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061" w:rsidRPr="00571D58" w:rsidRDefault="002E3224" w:rsidP="00EE1B39">
      <w:pPr>
        <w:pStyle w:val="HHeadingboxes"/>
        <w:numPr>
          <w:ilvl w:val="0"/>
          <w:numId w:val="0"/>
        </w:numPr>
      </w:pPr>
      <w:r>
        <w:rPr>
          <w:noProof/>
          <w:lang w:bidi="ar-SA"/>
        </w:rPr>
        <w:drawing>
          <wp:anchor distT="0" distB="0" distL="114300" distR="114300" simplePos="0" relativeHeight="251653631" behindDoc="1" locked="0" layoutInCell="1" allowOverlap="1" wp14:anchorId="46BFBDF3" wp14:editId="44E6ECAB">
            <wp:simplePos x="0" y="0"/>
            <wp:positionH relativeFrom="margin">
              <wp:posOffset>-877570</wp:posOffset>
            </wp:positionH>
            <wp:positionV relativeFrom="margin">
              <wp:posOffset>-914400</wp:posOffset>
            </wp:positionV>
            <wp:extent cx="7561580" cy="10683240"/>
            <wp:effectExtent l="0" t="0" r="1270" b="381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000B213F">
        <w:rPr>
          <w:noProof/>
          <w:szCs w:val="24"/>
          <w:lang w:bidi="ar-SA"/>
        </w:rPr>
        <mc:AlternateContent>
          <mc:Choice Requires="wps">
            <w:drawing>
              <wp:anchor distT="0" distB="0" distL="114300" distR="114300" simplePos="0" relativeHeight="251654656" behindDoc="1" locked="0" layoutInCell="1" allowOverlap="1" wp14:anchorId="23470BCD" wp14:editId="779C6AF2">
                <wp:simplePos x="0" y="0"/>
                <wp:positionH relativeFrom="page">
                  <wp:posOffset>2053590</wp:posOffset>
                </wp:positionH>
                <wp:positionV relativeFrom="page">
                  <wp:posOffset>5022215</wp:posOffset>
                </wp:positionV>
                <wp:extent cx="4775835" cy="3150870"/>
                <wp:effectExtent l="0" t="0" r="5715" b="11430"/>
                <wp:wrapTight wrapText="bothSides">
                  <wp:wrapPolygon edited="0">
                    <wp:start x="0" y="0"/>
                    <wp:lineTo x="0" y="21548"/>
                    <wp:lineTo x="21540" y="21548"/>
                    <wp:lineTo x="21540" y="0"/>
                    <wp:lineTo x="0" y="0"/>
                  </wp:wrapPolygon>
                </wp:wrapTight>
                <wp:docPr id="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315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24B" w:rsidRPr="00E76949" w:rsidRDefault="0024624B" w:rsidP="00E76949">
                            <w:pPr>
                              <w:pStyle w:val="HTitle1"/>
                            </w:pPr>
                            <w:r>
                              <w:t>ORIENTAÇÕES</w:t>
                            </w:r>
                          </w:p>
                          <w:p w:rsidR="0024624B" w:rsidRPr="00196DF6" w:rsidRDefault="0024624B" w:rsidP="00196DF6">
                            <w:pPr>
                              <w:pStyle w:val="HTitle2"/>
                            </w:pPr>
                            <w:r>
                              <w:t>Avaliação dos resultados e impactos do Programa de Desenvolvimento Rural (PDR) em 2019</w:t>
                            </w:r>
                          </w:p>
                          <w:p w:rsidR="0024624B" w:rsidRPr="00F15219" w:rsidRDefault="0024624B" w:rsidP="00196DF6">
                            <w:pPr>
                              <w:pStyle w:val="HTitle2"/>
                            </w:pPr>
                          </w:p>
                          <w:p w:rsidR="0024624B" w:rsidRPr="00435F02" w:rsidRDefault="0024624B" w:rsidP="00196DF6">
                            <w:pPr>
                              <w:pStyle w:val="HTitle3"/>
                              <w:rPr>
                                <w:color w:val="auto"/>
                              </w:rPr>
                            </w:pPr>
                            <w:r>
                              <w:rPr>
                                <w:color w:val="auto"/>
                              </w:rPr>
                              <w:t>agosto de 2018</w:t>
                            </w:r>
                          </w:p>
                          <w:p w:rsidR="0024624B" w:rsidRDefault="0024624B" w:rsidP="00196DF6">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70BCD" id="_x0000_t202" coordsize="21600,21600" o:spt="202" path="m,l,21600r21600,l21600,xe">
                <v:stroke joinstyle="miter"/>
                <v:path gradientshapeok="t" o:connecttype="rect"/>
              </v:shapetype>
              <v:shape id="Text Box 5" o:spid="_x0000_s1026" type="#_x0000_t202" style="position:absolute;margin-left:161.7pt;margin-top:395.45pt;width:376.05pt;height:248.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tFsgIAAKw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" filled="f" stroked="f">
                <v:textbox inset="0,0,0,0">
                  <w:txbxContent>
                    <w:p w:rsidR="0024624B" w:rsidRPr="00E76949" w:rsidRDefault="0024624B" w:rsidP="00E76949">
                      <w:pPr>
                        <w:pStyle w:val="HTitle1"/>
                      </w:pPr>
                      <w:r>
                        <w:t>ORIENTAÇÕES</w:t>
                      </w:r>
                    </w:p>
                    <w:p w:rsidR="0024624B" w:rsidRPr="00196DF6" w:rsidRDefault="0024624B" w:rsidP="00196DF6">
                      <w:pPr>
                        <w:pStyle w:val="HTitle2"/>
                      </w:pPr>
                      <w:r>
                        <w:t>Avaliação dos resultados e impactos do Programa de Desenvolvimento Rural (PDR) em 2019</w:t>
                      </w:r>
                    </w:p>
                    <w:p w:rsidR="0024624B" w:rsidRPr="00F15219" w:rsidRDefault="0024624B" w:rsidP="00196DF6">
                      <w:pPr>
                        <w:pStyle w:val="HTitle2"/>
                      </w:pPr>
                    </w:p>
                    <w:p w:rsidR="0024624B" w:rsidRPr="00435F02" w:rsidRDefault="0024624B" w:rsidP="00196DF6">
                      <w:pPr>
                        <w:pStyle w:val="HTitle3"/>
                        <w:rPr>
                          <w:color w:val="auto"/>
                        </w:rPr>
                      </w:pPr>
                      <w:r>
                        <w:rPr>
                          <w:color w:val="auto"/>
                        </w:rPr>
                        <w:t>agosto de 2018</w:t>
                      </w:r>
                    </w:p>
                    <w:p w:rsidR="0024624B" w:rsidRDefault="0024624B" w:rsidP="00196DF6">
                      <w:pPr>
                        <w:pStyle w:val="HTitle3"/>
                      </w:pPr>
                    </w:p>
                  </w:txbxContent>
                </v:textbox>
                <w10:wrap type="tight" anchorx="page" anchory="page"/>
              </v:shape>
            </w:pict>
          </mc:Fallback>
        </mc:AlternateContent>
      </w:r>
      <w:r w:rsidR="000B213F">
        <w:t xml:space="preserve"> </w:t>
      </w:r>
      <w:r w:rsidR="000B213F">
        <w:br w:type="page"/>
      </w:r>
    </w:p>
    <w:p w:rsidR="00016061" w:rsidRPr="00571D58" w:rsidRDefault="000B213F" w:rsidP="007C6797">
      <w:pPr>
        <w:pStyle w:val="HStandard"/>
      </w:pPr>
      <w:r>
        <w:rPr>
          <w:noProof/>
          <w:lang w:bidi="ar-SA"/>
        </w:rPr>
        <w:lastRenderedPageBreak/>
        <mc:AlternateContent>
          <mc:Choice Requires="wps">
            <w:drawing>
              <wp:anchor distT="0" distB="0" distL="114300" distR="114300" simplePos="0" relativeHeight="251664896" behindDoc="0" locked="0" layoutInCell="1" allowOverlap="1" wp14:anchorId="7AC29D70" wp14:editId="171EDC28">
                <wp:simplePos x="0" y="0"/>
                <wp:positionH relativeFrom="margin">
                  <wp:posOffset>-246490</wp:posOffset>
                </wp:positionH>
                <wp:positionV relativeFrom="paragraph">
                  <wp:posOffset>3005593</wp:posOffset>
                </wp:positionV>
                <wp:extent cx="6583680" cy="5860111"/>
                <wp:effectExtent l="0" t="0" r="0" b="0"/>
                <wp:wrapNone/>
                <wp:docPr id="9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860111"/>
                        </a:xfrm>
                        <a:prstGeom prst="rect">
                          <a:avLst/>
                        </a:prstGeom>
                        <a:solidFill>
                          <a:srgbClr val="FFFFFF">
                            <a:alpha val="0"/>
                          </a:srgbClr>
                        </a:solidFill>
                        <a:ln>
                          <a:noFill/>
                        </a:ln>
                        <a:extLst/>
                      </wps:spPr>
                      <wps:txbx>
                        <w:txbxContent>
                          <w:p w:rsidR="0024624B" w:rsidRPr="00811EF1" w:rsidRDefault="0024624B" w:rsidP="00811EF1">
                            <w:pPr>
                              <w:pStyle w:val="Hdisclaimer"/>
                            </w:pPr>
                            <w:r>
                              <w:t xml:space="preserve">Declaração </w:t>
                            </w:r>
                            <w:r>
                              <w:t>de direitos de autor</w:t>
                            </w:r>
                          </w:p>
                          <w:p w:rsidR="0024624B" w:rsidRPr="00811EF1" w:rsidRDefault="0024624B" w:rsidP="00811EF1">
                            <w:pPr>
                              <w:pStyle w:val="Hdisclaimer"/>
                            </w:pPr>
                            <w:r>
                              <w:t>© União Europeia, 2018</w:t>
                            </w:r>
                          </w:p>
                          <w:p w:rsidR="0024624B" w:rsidRPr="00811EF1" w:rsidRDefault="0024624B" w:rsidP="00811EF1">
                            <w:pPr>
                              <w:pStyle w:val="Hdisclaimer"/>
                            </w:pPr>
                            <w:r>
                              <w:t>Reprodução autorizada mediante indicação da fonte.</w:t>
                            </w:r>
                          </w:p>
                          <w:p w:rsidR="0024624B" w:rsidRPr="00811EF1" w:rsidRDefault="0024624B" w:rsidP="00811EF1">
                            <w:pPr>
                              <w:pStyle w:val="Hdisclaimer"/>
                            </w:pPr>
                            <w:r>
                              <w:t xml:space="preserve">Citação recomendada: </w:t>
                            </w:r>
                          </w:p>
                          <w:p w:rsidR="0024624B" w:rsidRDefault="0024624B" w:rsidP="00435F02">
                            <w:pPr>
                              <w:pStyle w:val="Hdisclaimer"/>
                            </w:pPr>
                            <w:r>
                              <w:t>COMISSÃO EUROPEIA – Direção-Geral da Agricultura e do Desenv</w:t>
                            </w:r>
                            <w:r w:rsidR="00AF1A97">
                              <w:t>olvimento Rural – Unidade C.4 (</w:t>
                            </w:r>
                            <w:r>
                              <w:t xml:space="preserve">2018): Orientações. Avaliação dos resultados e impactos do Programa de Desenvolvimento Rural (PDR) em 2019. Bruxelas, agosto 2018. </w:t>
                            </w:r>
                          </w:p>
                          <w:p w:rsidR="0024624B" w:rsidRPr="00811EF1" w:rsidRDefault="0024624B" w:rsidP="00811EF1">
                            <w:pPr>
                              <w:pStyle w:val="Hdisclaimer"/>
                            </w:pPr>
                            <w:r>
                              <w:t>Declaração de exoneração de responsabilidade:</w:t>
                            </w:r>
                          </w:p>
                          <w:p w:rsidR="0024624B" w:rsidRPr="00811EF1" w:rsidRDefault="0024624B" w:rsidP="00811EF1">
                            <w:pPr>
                              <w:pStyle w:val="Hdisclaimer"/>
                            </w:pPr>
                            <w:r>
                              <w:t>As informações e opiniões expressas nas presentes orientações são as do(s) autor(es) e não refletem necessariamente a posição oficial da Comissão. A Comissão Europeia não garante a precisão dos dados incluídos nas presentes orientações. Nem a Comissão nem qualquer pessoa agindo em seu nome pode ser considerada responsável pelo uso que possa ser dado às informações constantes das presentes orientações.</w:t>
                            </w:r>
                          </w:p>
                          <w:p w:rsidR="0024624B" w:rsidRPr="00811EF1" w:rsidRDefault="0024624B" w:rsidP="005B24FC">
                            <w:pPr>
                              <w:pStyle w:val="Hdisclaimer"/>
                              <w:tabs>
                                <w:tab w:val="right" w:pos="10065"/>
                              </w:tabs>
                            </w:pPr>
                            <w:r>
                              <w:rPr>
                                <w:noProof/>
                                <w:color w:val="auto"/>
                                <w:lang w:bidi="ar-SA"/>
                              </w:rPr>
                              <w:drawing>
                                <wp:inline distT="0" distB="0" distL="0" distR="0" wp14:anchorId="6C00EE35" wp14:editId="7ABF5206">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bidi="ar-SA"/>
                              </w:rPr>
                              <w:drawing>
                                <wp:inline distT="0" distB="0" distL="0" distR="0" wp14:anchorId="18BAAA3E" wp14:editId="4C21BBF4">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4624B" w:rsidRPr="00811EF1" w:rsidRDefault="0024624B" w:rsidP="00811EF1">
                            <w:pPr>
                              <w:pStyle w:val="Hdisclaimer"/>
                            </w:pPr>
                            <w:r>
                              <w:t>O Serviço Europeu de Assistência na Avaliação é responsável pela função de avaliação na Rede Europeia de Desenvolvimento Rural (REDR), orientando na avaliação de programas de desenvolvimento rural (PDR) e de políticas que são da competência e estão sujeitas à orientação da Unidade C.4, Acompanhamento e Avaliação, da DG Agricultura e Desenvolvimento Rural da Comissão Europeia (CE). A fim de melhorar a avaliação da política de desenvolvimento rural da UE, o Serviço Europeu de Assistência na Avaliação presta apoio a todas as partes interessadas na avaliação, nomeadamente à DG Agricultura e Desenvolvimento Rural, às autoridades nacionais e às autoridades de gestão dos PDR, e aos avaliadores, através da conceção e da divulgação de metodologias e instrumentos adequados, da recolha e do intercâmbio de boas práticas, e do desenvolvimento de capacidades e da comunicação com os membros da rede sobre questões relacionadas com a avaliação.</w:t>
                            </w:r>
                          </w:p>
                          <w:p w:rsidR="0024624B" w:rsidRPr="00811EF1" w:rsidRDefault="0024624B" w:rsidP="00811EF1">
                            <w:pPr>
                              <w:pStyle w:val="Hdisclaimer"/>
                            </w:pPr>
                            <w:r>
                              <w:t>Encontram-se disponíveis na Internet, no servidor Europa (http://enrd.ec.europa.eu), mais informações sobre as atividades do Serviço Europeu de Assistência na Avaliação para o Desenvolvimento Rural.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29D70" id="Text Box 7" o:spid="_x0000_s1027" type="#_x0000_t202" style="position:absolute;left:0;text-align:left;margin-left:-19.4pt;margin-top:236.65pt;width:518.4pt;height:461.4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" stroked="f">
                <v:fill opacity="0"/>
                <v:textbox>
                  <w:txbxContent>
                    <w:p w:rsidR="0024624B" w:rsidRPr="00811EF1" w:rsidRDefault="0024624B" w:rsidP="00811EF1">
                      <w:pPr>
                        <w:pStyle w:val="Hdisclaimer"/>
                      </w:pPr>
                      <w:r>
                        <w:t xml:space="preserve">Declaração </w:t>
                      </w:r>
                      <w:r>
                        <w:t>de direitos de autor</w:t>
                      </w:r>
                    </w:p>
                    <w:p w:rsidR="0024624B" w:rsidRPr="00811EF1" w:rsidRDefault="0024624B" w:rsidP="00811EF1">
                      <w:pPr>
                        <w:pStyle w:val="Hdisclaimer"/>
                      </w:pPr>
                      <w:r>
                        <w:t>© União Europeia, 2018</w:t>
                      </w:r>
                    </w:p>
                    <w:p w:rsidR="0024624B" w:rsidRPr="00811EF1" w:rsidRDefault="0024624B" w:rsidP="00811EF1">
                      <w:pPr>
                        <w:pStyle w:val="Hdisclaimer"/>
                      </w:pPr>
                      <w:r>
                        <w:t>Reprodução autorizada mediante indicação da fonte.</w:t>
                      </w:r>
                    </w:p>
                    <w:p w:rsidR="0024624B" w:rsidRPr="00811EF1" w:rsidRDefault="0024624B" w:rsidP="00811EF1">
                      <w:pPr>
                        <w:pStyle w:val="Hdisclaimer"/>
                      </w:pPr>
                      <w:r>
                        <w:t xml:space="preserve">Citação recomendada: </w:t>
                      </w:r>
                    </w:p>
                    <w:p w:rsidR="0024624B" w:rsidRDefault="0024624B" w:rsidP="00435F02">
                      <w:pPr>
                        <w:pStyle w:val="Hdisclaimer"/>
                      </w:pPr>
                      <w:r>
                        <w:t>COMISSÃO EUROPEIA – Direção-Geral da Agricultura e do Desenv</w:t>
                      </w:r>
                      <w:r w:rsidR="00AF1A97">
                        <w:t>olvimento Rural – Unidade C.4 (</w:t>
                      </w:r>
                      <w:r>
                        <w:t xml:space="preserve">2018): Orientações. Avaliação dos resultados e impactos do Programa de Desenvolvimento Rural (PDR) em 2019. Bruxelas, agosto 2018. </w:t>
                      </w:r>
                    </w:p>
                    <w:p w:rsidR="0024624B" w:rsidRPr="00811EF1" w:rsidRDefault="0024624B" w:rsidP="00811EF1">
                      <w:pPr>
                        <w:pStyle w:val="Hdisclaimer"/>
                      </w:pPr>
                      <w:r>
                        <w:t>Declaração de exoneração de responsabilidade:</w:t>
                      </w:r>
                    </w:p>
                    <w:p w:rsidR="0024624B" w:rsidRPr="00811EF1" w:rsidRDefault="0024624B" w:rsidP="00811EF1">
                      <w:pPr>
                        <w:pStyle w:val="Hdisclaimer"/>
                      </w:pPr>
                      <w:r>
                        <w:t>As informações e opiniões expressas nas presentes orientações são as do(s) autor(es) e não refletem necessariamente a posição oficial da Comissão. A Comissão Europeia não garante a precisão dos dados incluídos nas presentes orientações. Nem a Comissão nem qualquer pessoa agindo em seu nome pode ser considerada responsável pelo uso que possa ser dado às informações constantes das presentes orientações.</w:t>
                      </w:r>
                    </w:p>
                    <w:p w:rsidR="0024624B" w:rsidRPr="00811EF1" w:rsidRDefault="0024624B" w:rsidP="005B24FC">
                      <w:pPr>
                        <w:pStyle w:val="Hdisclaimer"/>
                        <w:tabs>
                          <w:tab w:val="right" w:pos="10065"/>
                        </w:tabs>
                      </w:pPr>
                      <w:r>
                        <w:rPr>
                          <w:noProof/>
                          <w:color w:val="auto"/>
                          <w:lang w:bidi="ar-SA"/>
                        </w:rPr>
                        <w:drawing>
                          <wp:inline distT="0" distB="0" distL="0" distR="0" wp14:anchorId="6C00EE35" wp14:editId="7ABF5206">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bidi="ar-SA"/>
                        </w:rPr>
                        <w:drawing>
                          <wp:inline distT="0" distB="0" distL="0" distR="0" wp14:anchorId="18BAAA3E" wp14:editId="4C21BBF4">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4624B" w:rsidRPr="00811EF1" w:rsidRDefault="0024624B" w:rsidP="00811EF1">
                      <w:pPr>
                        <w:pStyle w:val="Hdisclaimer"/>
                      </w:pPr>
                      <w:r>
                        <w:t>O Serviço Europeu de Assistência na Avaliação é responsável pela função de avaliação na Rede Europeia de Desenvolvimento Rural (REDR), orientando na avaliação de programas de desenvolvimento rural (PDR) e de políticas que são da competência e estão sujeitas à orientação da Unidade C.4, Acompanhamento e Avaliação, da DG Agricultura e Desenvolvimento Rural da Comissão Europeia (CE). A fim de melhorar a avaliação da política de desenvolvimento rural da UE, o Serviço Europeu de Assistência na Avaliação presta apoio a todas as partes interessadas na avaliação, nomeadamente à DG Agricultura e Desenvolvimento Rural, às autoridades nacionais e às autoridades de gestão dos PDR, e aos avaliadores, através da conceção e da divulgação de metodologias e instrumentos adequados, da recolha e do intercâmbio de boas práticas, e do desenvolvimento de capacidades e da comunicação com os membros da rede sobre questões relacionadas com a avaliação.</w:t>
                      </w:r>
                    </w:p>
                    <w:p w:rsidR="0024624B" w:rsidRPr="00811EF1" w:rsidRDefault="0024624B" w:rsidP="00811EF1">
                      <w:pPr>
                        <w:pStyle w:val="Hdisclaimer"/>
                      </w:pPr>
                      <w:r>
                        <w:t>Encontram-se disponíveis na Internet, no servidor Europa (http://enrd.ec.europa.eu), mais informações sobre as atividades do Serviço Europeu de Assistência na Avaliação para o Desenvolvimento Rural.</w:t>
                      </w:r>
                    </w:p>
                  </w:txbxContent>
                </v:textbox>
                <w10:wrap anchorx="margin"/>
              </v:shape>
            </w:pict>
          </mc:Fallback>
        </mc:AlternateContent>
      </w:r>
      <w:r>
        <w:br w:type="page"/>
      </w:r>
    </w:p>
    <w:p w:rsidR="00016061" w:rsidRPr="00571D58" w:rsidRDefault="00016061" w:rsidP="007C6797">
      <w:pPr>
        <w:pStyle w:val="HStandard"/>
      </w:pPr>
    </w:p>
    <w:p w:rsidR="00016061" w:rsidRPr="00571D58" w:rsidRDefault="00016061" w:rsidP="007C6797">
      <w:pPr>
        <w:pStyle w:val="HStandard"/>
      </w:pPr>
    </w:p>
    <w:p w:rsidR="00016061" w:rsidRPr="00571D58" w:rsidRDefault="00016061" w:rsidP="007C6797">
      <w:pPr>
        <w:pStyle w:val="HStandard"/>
      </w:pPr>
    </w:p>
    <w:p w:rsidR="00016061" w:rsidRPr="00571D58" w:rsidRDefault="000B213F" w:rsidP="007C6797">
      <w:pPr>
        <w:pStyle w:val="HStandard"/>
      </w:pPr>
      <w:r>
        <w:rPr>
          <w:noProof/>
          <w:lang w:bidi="ar-SA"/>
        </w:rPr>
        <mc:AlternateContent>
          <mc:Choice Requires="wps">
            <w:drawing>
              <wp:anchor distT="0" distB="0" distL="114300" distR="114300" simplePos="0" relativeHeight="251665920" behindDoc="1" locked="0" layoutInCell="1" allowOverlap="1" wp14:anchorId="15F0B7C9" wp14:editId="4EC757E9">
                <wp:simplePos x="0" y="0"/>
                <wp:positionH relativeFrom="page">
                  <wp:posOffset>2204720</wp:posOffset>
                </wp:positionH>
                <wp:positionV relativeFrom="page">
                  <wp:posOffset>5175250</wp:posOffset>
                </wp:positionV>
                <wp:extent cx="4958080" cy="3855720"/>
                <wp:effectExtent l="0" t="0" r="13970" b="11430"/>
                <wp:wrapTight wrapText="bothSides">
                  <wp:wrapPolygon edited="0">
                    <wp:start x="0" y="0"/>
                    <wp:lineTo x="0" y="21557"/>
                    <wp:lineTo x="21578" y="21557"/>
                    <wp:lineTo x="21578" y="0"/>
                    <wp:lineTo x="0" y="0"/>
                  </wp:wrapPolygon>
                </wp:wrapTight>
                <wp:docPr id="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24B" w:rsidRPr="00F15219" w:rsidRDefault="0024624B" w:rsidP="00E76949">
                            <w:pPr>
                              <w:pStyle w:val="HTitle1"/>
                            </w:pPr>
                            <w:r>
                              <w:t>Orientações</w:t>
                            </w:r>
                          </w:p>
                          <w:p w:rsidR="0024624B" w:rsidRPr="00F15219" w:rsidRDefault="0024624B" w:rsidP="00BE49CF">
                            <w:pPr>
                              <w:pStyle w:val="HTitle2"/>
                            </w:pPr>
                            <w:r>
                              <w:t>AVALIAÇÃO DOS RESULTADOS E IMPACTOS DO PROGRAMA DE DESENVOLVIMENTO RURAL (PDR) EM 2019</w:t>
                            </w:r>
                          </w:p>
                          <w:p w:rsidR="0024624B" w:rsidRPr="00F15219" w:rsidRDefault="0024624B" w:rsidP="00196DF6">
                            <w:pPr>
                              <w:pStyle w:val="HTitle2"/>
                            </w:pPr>
                          </w:p>
                          <w:p w:rsidR="0024624B" w:rsidRPr="00D46054" w:rsidRDefault="0024624B" w:rsidP="00BE49CF">
                            <w:pPr>
                              <w:pStyle w:val="HTitle3"/>
                              <w:rPr>
                                <w:color w:val="auto"/>
                              </w:rPr>
                            </w:pPr>
                            <w:r>
                              <w:rPr>
                                <w:color w:val="auto"/>
                              </w:rPr>
                              <w:t>agosto de 2018</w:t>
                            </w:r>
                          </w:p>
                          <w:p w:rsidR="0024624B" w:rsidRPr="00D46054" w:rsidRDefault="0024624B" w:rsidP="00196DF6">
                            <w:pPr>
                              <w:pStyle w:val="HTitle3"/>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0B7C9" id="Text Box 16" o:spid="_x0000_s1028" type="#_x0000_t202" style="position:absolute;left:0;text-align:left;margin-left:173.6pt;margin-top:407.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" filled="f" stroked="f">
                <v:textbox inset="0,0,0,0">
                  <w:txbxContent>
                    <w:p w:rsidR="0024624B" w:rsidRPr="00F15219" w:rsidRDefault="0024624B" w:rsidP="00E76949">
                      <w:pPr>
                        <w:pStyle w:val="HTitle1"/>
                      </w:pPr>
                      <w:r>
                        <w:t>Orientações</w:t>
                      </w:r>
                    </w:p>
                    <w:p w:rsidR="0024624B" w:rsidRPr="00F15219" w:rsidRDefault="0024624B" w:rsidP="00BE49CF">
                      <w:pPr>
                        <w:pStyle w:val="HTitle2"/>
                      </w:pPr>
                      <w:r>
                        <w:t>AVALIAÇÃO DOS RESULTADOS E IMPACTOS DO PROGRAMA DE DESENVOLVIMENTO RURAL (PDR) EM 2019</w:t>
                      </w:r>
                    </w:p>
                    <w:p w:rsidR="0024624B" w:rsidRPr="00F15219" w:rsidRDefault="0024624B" w:rsidP="00196DF6">
                      <w:pPr>
                        <w:pStyle w:val="HTitle2"/>
                      </w:pPr>
                    </w:p>
                    <w:p w:rsidR="0024624B" w:rsidRPr="00D46054" w:rsidRDefault="0024624B" w:rsidP="00BE49CF">
                      <w:pPr>
                        <w:pStyle w:val="HTitle3"/>
                        <w:rPr>
                          <w:color w:val="auto"/>
                        </w:rPr>
                      </w:pPr>
                      <w:r>
                        <w:rPr>
                          <w:color w:val="auto"/>
                        </w:rPr>
                        <w:t>agosto de 2018</w:t>
                      </w:r>
                    </w:p>
                    <w:p w:rsidR="0024624B" w:rsidRPr="00D46054" w:rsidRDefault="0024624B" w:rsidP="00196DF6">
                      <w:pPr>
                        <w:pStyle w:val="HTitle3"/>
                        <w:rPr>
                          <w:color w:val="auto"/>
                        </w:rPr>
                      </w:pPr>
                    </w:p>
                  </w:txbxContent>
                </v:textbox>
                <w10:wrap type="tight" anchorx="page" anchory="page"/>
              </v:shape>
            </w:pict>
          </mc:Fallback>
        </mc:AlternateContent>
      </w:r>
    </w:p>
    <w:p w:rsidR="00016061" w:rsidRPr="00571D58" w:rsidRDefault="00016061" w:rsidP="007C6797">
      <w:pPr>
        <w:pStyle w:val="HStandard"/>
        <w:sectPr w:rsidR="00016061" w:rsidRPr="00571D58" w:rsidSect="00FA7E7B">
          <w:footerReference w:type="first" r:id="rId11"/>
          <w:pgSz w:w="11906" w:h="16838" w:code="9"/>
          <w:pgMar w:top="1440" w:right="1440" w:bottom="1134" w:left="1440" w:header="284" w:footer="709" w:gutter="0"/>
          <w:cols w:space="708"/>
          <w:titlePg/>
          <w:docGrid w:linePitch="360"/>
        </w:sectPr>
      </w:pPr>
    </w:p>
    <w:p w:rsidR="008B6E5C" w:rsidRPr="00571D58" w:rsidRDefault="008B6E5C">
      <w:pPr>
        <w:spacing w:before="0" w:after="0" w:line="240" w:lineRule="auto"/>
        <w:jc w:val="left"/>
        <w:rPr>
          <w:rFonts w:cs="Arial"/>
          <w:b/>
          <w:bCs/>
          <w:caps/>
          <w:color w:val="F07E31" w:themeColor="accent1"/>
          <w:kern w:val="32"/>
          <w:sz w:val="20"/>
          <w:szCs w:val="32"/>
        </w:rPr>
      </w:pPr>
      <w:r>
        <w:lastRenderedPageBreak/>
        <w:br w:type="page"/>
      </w:r>
    </w:p>
    <w:p w:rsidR="000B62C2" w:rsidRPr="00571D58" w:rsidRDefault="000B62C2" w:rsidP="000B62C2">
      <w:pPr>
        <w:pStyle w:val="HContent"/>
      </w:pPr>
      <w:r>
        <w:lastRenderedPageBreak/>
        <w:t>Conteúdo</w:t>
      </w:r>
    </w:p>
    <w:p w:rsidR="00FB5A40" w:rsidRDefault="00FB5A40" w:rsidP="00E060E1">
      <w:pPr>
        <w:tabs>
          <w:tab w:val="left" w:pos="142"/>
          <w:tab w:val="left" w:pos="8647"/>
        </w:tabs>
        <w:ind w:right="379"/>
      </w:pPr>
      <w:r>
        <w:t>Agradecimentos</w:t>
      </w:r>
      <w:r>
        <w:tab/>
        <w:t>1</w:t>
      </w:r>
    </w:p>
    <w:p w:rsidR="00FB5A40" w:rsidRDefault="00FB5A40" w:rsidP="00E060E1">
      <w:pPr>
        <w:tabs>
          <w:tab w:val="left" w:pos="142"/>
          <w:tab w:val="left" w:pos="8647"/>
        </w:tabs>
        <w:ind w:right="379"/>
      </w:pPr>
      <w:r>
        <w:t>INTRODUÇÃO</w:t>
      </w:r>
      <w:r>
        <w:tab/>
        <w:t>2</w:t>
      </w:r>
    </w:p>
    <w:p w:rsidR="00FB5A40" w:rsidRDefault="00FB5A40" w:rsidP="00E060E1">
      <w:pPr>
        <w:tabs>
          <w:tab w:val="left" w:pos="142"/>
          <w:tab w:val="left" w:pos="8647"/>
        </w:tabs>
        <w:ind w:right="379"/>
      </w:pPr>
      <w:r>
        <w:t>1</w:t>
      </w:r>
      <w:r>
        <w:tab/>
        <w:t>Quais as informações sobre a avaliação que devem ser comunicadas no relatório anual de execução (RAE) de 2019? (Parte I)</w:t>
      </w:r>
      <w:r>
        <w:tab/>
        <w:t>3</w:t>
      </w:r>
    </w:p>
    <w:p w:rsidR="00FB5A40" w:rsidRDefault="00E060E1" w:rsidP="00E060E1">
      <w:pPr>
        <w:tabs>
          <w:tab w:val="left" w:pos="142"/>
          <w:tab w:val="left" w:pos="8647"/>
        </w:tabs>
        <w:ind w:right="379"/>
      </w:pPr>
      <w:r>
        <w:t xml:space="preserve">1.1 </w:t>
      </w:r>
      <w:r w:rsidR="00FB5A40">
        <w:t>O quadro normativo e a principal incidência da avaliação em 2019</w:t>
      </w:r>
      <w:r w:rsidR="00FB5A40">
        <w:tab/>
        <w:t>3</w:t>
      </w:r>
    </w:p>
    <w:p w:rsidR="00FB5A40" w:rsidRDefault="00E060E1" w:rsidP="00E060E1">
      <w:pPr>
        <w:tabs>
          <w:tab w:val="left" w:pos="142"/>
          <w:tab w:val="left" w:pos="8647"/>
        </w:tabs>
        <w:ind w:right="379"/>
      </w:pPr>
      <w:r>
        <w:t xml:space="preserve">1.2 </w:t>
      </w:r>
      <w:r w:rsidR="00FB5A40">
        <w:t>Como comunicar informações sobre as questões de avaliação comuns em 2019?</w:t>
      </w:r>
      <w:r w:rsidR="00FB5A40">
        <w:tab/>
        <w:t>6</w:t>
      </w:r>
    </w:p>
    <w:p w:rsidR="00FB5A40" w:rsidRDefault="00E060E1" w:rsidP="00E060E1">
      <w:pPr>
        <w:tabs>
          <w:tab w:val="left" w:pos="142"/>
          <w:tab w:val="left" w:pos="8647"/>
        </w:tabs>
        <w:ind w:right="379"/>
      </w:pPr>
      <w:r>
        <w:t xml:space="preserve">1.3 </w:t>
      </w:r>
      <w:r w:rsidR="00FB5A40">
        <w:t>Preparação para o RAE de 2019</w:t>
      </w:r>
      <w:r w:rsidR="00FB5A40">
        <w:tab/>
        <w:t>8</w:t>
      </w:r>
    </w:p>
    <w:p w:rsidR="00FB5A40" w:rsidRDefault="00E060E1" w:rsidP="00E060E1">
      <w:pPr>
        <w:tabs>
          <w:tab w:val="left" w:pos="142"/>
          <w:tab w:val="left" w:pos="8647"/>
        </w:tabs>
        <w:ind w:right="379"/>
      </w:pPr>
      <w:r>
        <w:t xml:space="preserve">2 </w:t>
      </w:r>
      <w:r w:rsidR="00FB5A40">
        <w:t>Abordagens para a avaliação dos impactos do PDR em 2019 (PARTE II)</w:t>
      </w:r>
      <w:r w:rsidR="00FB5A40">
        <w:tab/>
        <w:t>12</w:t>
      </w:r>
    </w:p>
    <w:p w:rsidR="00FB5A40" w:rsidRDefault="00E060E1" w:rsidP="00E060E1">
      <w:pPr>
        <w:tabs>
          <w:tab w:val="left" w:pos="142"/>
          <w:tab w:val="left" w:pos="8647"/>
        </w:tabs>
        <w:ind w:right="379"/>
      </w:pPr>
      <w:r>
        <w:t xml:space="preserve">2.1 </w:t>
      </w:r>
      <w:r w:rsidR="00FB5A40">
        <w:t>Seleção de abordagens de avaliação adequadas para a avaliação dos impactos do PDR</w:t>
      </w:r>
      <w:r w:rsidR="00FB5A40">
        <w:tab/>
        <w:t>12</w:t>
      </w:r>
    </w:p>
    <w:p w:rsidR="00FB5A40" w:rsidRDefault="00E060E1" w:rsidP="00E060E1">
      <w:pPr>
        <w:tabs>
          <w:tab w:val="left" w:pos="142"/>
          <w:tab w:val="left" w:pos="8647"/>
        </w:tabs>
        <w:ind w:right="379"/>
      </w:pPr>
      <w:r>
        <w:t xml:space="preserve">2.1.1 </w:t>
      </w:r>
      <w:r w:rsidR="00FB5A40">
        <w:t>Como podem ser utilizados modelos lógicos para determinar as abordagens de avaliação que são adequadas?</w:t>
      </w:r>
      <w:r w:rsidR="00FB5A40">
        <w:tab/>
        <w:t>12</w:t>
      </w:r>
    </w:p>
    <w:p w:rsidR="00FB5A40" w:rsidRDefault="00E060E1" w:rsidP="00E060E1">
      <w:pPr>
        <w:tabs>
          <w:tab w:val="left" w:pos="142"/>
          <w:tab w:val="left" w:pos="8647"/>
        </w:tabs>
        <w:ind w:right="379"/>
      </w:pPr>
      <w:r>
        <w:t xml:space="preserve">2.1.2 </w:t>
      </w:r>
      <w:r w:rsidR="00FB5A40">
        <w:t>Síntese das abordagens de avaliação recomendadas para a avaliação dos indicadores de impacto da PAC</w:t>
      </w:r>
      <w:r w:rsidR="00FB5A40">
        <w:tab/>
        <w:t>23</w:t>
      </w:r>
    </w:p>
    <w:p w:rsidR="00016061" w:rsidRPr="001C6ACF" w:rsidRDefault="00542440" w:rsidP="000B62C2">
      <w:pPr>
        <w:pStyle w:val="HContent"/>
      </w:pPr>
      <w:r>
        <w:lastRenderedPageBreak/>
        <w:t xml:space="preserve">Quadros e gráficos </w:t>
      </w:r>
    </w:p>
    <w:p w:rsidR="00FB5A40" w:rsidRDefault="00FB5A40" w:rsidP="00FB5A40">
      <w:r>
        <w:t>Quadro 1.</w:t>
      </w:r>
      <w:r>
        <w:tab/>
        <w:t>Orientações para responder às QAC no RAE de 2019</w:t>
      </w:r>
      <w:r>
        <w:tab/>
      </w:r>
      <w:r w:rsidR="00DE43F9">
        <w:tab/>
      </w:r>
      <w:r w:rsidR="00DE43F9">
        <w:tab/>
      </w:r>
      <w:r w:rsidR="00DE43F9">
        <w:tab/>
      </w:r>
      <w:r>
        <w:t>7</w:t>
      </w:r>
    </w:p>
    <w:p w:rsidR="00FB5A40" w:rsidRDefault="00FB5A40" w:rsidP="00FB5A40">
      <w:r>
        <w:t>Quadro 2.</w:t>
      </w:r>
      <w:r>
        <w:tab/>
        <w:t>Lista de verificação das etapas recomendadas para a avaliação em 2019</w:t>
      </w:r>
      <w:r>
        <w:tab/>
      </w:r>
      <w:r w:rsidR="00DE43F9">
        <w:tab/>
      </w:r>
      <w:r>
        <w:t>9</w:t>
      </w:r>
    </w:p>
    <w:p w:rsidR="00FB5A40" w:rsidRDefault="00FB5A40" w:rsidP="00DE43F9">
      <w:pPr>
        <w:ind w:right="95"/>
      </w:pPr>
      <w:r>
        <w:t>Quadro 3.</w:t>
      </w:r>
      <w:r>
        <w:tab/>
        <w:t>Exemplos das abordagens de avaliação recomendadas para a avaliação dos indicadores de impacto da PAC</w:t>
      </w:r>
      <w:r>
        <w:tab/>
      </w:r>
      <w:r w:rsidR="00DE43F9">
        <w:tab/>
      </w:r>
      <w:r w:rsidR="00DE43F9">
        <w:tab/>
      </w:r>
      <w:r w:rsidR="00DE43F9">
        <w:tab/>
      </w:r>
      <w:r w:rsidR="00DE43F9">
        <w:tab/>
      </w:r>
      <w:r w:rsidR="00DE43F9">
        <w:tab/>
      </w:r>
      <w:r w:rsidR="00DE43F9">
        <w:tab/>
      </w:r>
      <w:r w:rsidR="00DE43F9">
        <w:tab/>
      </w:r>
      <w:r w:rsidR="00DE43F9">
        <w:tab/>
      </w:r>
      <w:r w:rsidR="00DE43F9">
        <w:tab/>
      </w:r>
      <w:r w:rsidR="00DE43F9">
        <w:tab/>
      </w:r>
      <w:r>
        <w:t>24</w:t>
      </w:r>
    </w:p>
    <w:p w:rsidR="00FE491B" w:rsidRPr="00571D58" w:rsidRDefault="00FE491B" w:rsidP="00FE491B">
      <w:pPr>
        <w:pStyle w:val="HContent"/>
      </w:pPr>
      <w:r>
        <w:lastRenderedPageBreak/>
        <w:t>Lista de acrónimos</w:t>
      </w:r>
    </w:p>
    <w:p w:rsidR="00586D0B" w:rsidRPr="001C6ACF" w:rsidRDefault="00586D0B" w:rsidP="00FE491B">
      <w:pPr>
        <w:pStyle w:val="HStandard"/>
        <w:ind w:left="993" w:hanging="993"/>
      </w:pPr>
      <w:r>
        <w:t>ABT</w:t>
      </w:r>
      <w:r>
        <w:tab/>
      </w:r>
      <w:r>
        <w:tab/>
        <w:t>Avaliação baseada na teoria</w:t>
      </w:r>
    </w:p>
    <w:p w:rsidR="00586D0B" w:rsidRPr="001C6ACF" w:rsidRDefault="00586D0B" w:rsidP="00FE491B">
      <w:pPr>
        <w:pStyle w:val="HStandard"/>
        <w:ind w:left="993" w:hanging="993"/>
      </w:pPr>
      <w:r>
        <w:t>AES</w:t>
      </w:r>
      <w:r>
        <w:tab/>
      </w:r>
      <w:r>
        <w:tab/>
        <w:t>Análise de entradas-saídas</w:t>
      </w:r>
    </w:p>
    <w:p w:rsidR="00586D0B" w:rsidRPr="001C6ACF" w:rsidRDefault="00586D0B" w:rsidP="00FE491B">
      <w:pPr>
        <w:pStyle w:val="HStandard"/>
        <w:ind w:left="993" w:hanging="993"/>
      </w:pPr>
      <w:r>
        <w:t>AG</w:t>
      </w:r>
      <w:r>
        <w:tab/>
      </w:r>
      <w:r>
        <w:tab/>
        <w:t>Autoridade de gestão</w:t>
      </w:r>
    </w:p>
    <w:p w:rsidR="00586D0B" w:rsidRPr="001C6ACF" w:rsidRDefault="00586D0B" w:rsidP="00FE491B">
      <w:pPr>
        <w:pStyle w:val="HStandard"/>
        <w:ind w:left="993" w:hanging="993"/>
      </w:pPr>
      <w:r>
        <w:t>ARD</w:t>
      </w:r>
      <w:r>
        <w:tab/>
      </w:r>
      <w:r>
        <w:tab/>
        <w:t xml:space="preserve">Abordagem de regressão descontínua </w:t>
      </w:r>
    </w:p>
    <w:p w:rsidR="00586D0B" w:rsidRPr="001C6ACF" w:rsidRDefault="00586D0B" w:rsidP="00FE491B">
      <w:pPr>
        <w:pStyle w:val="HStandard"/>
        <w:ind w:left="993" w:hanging="993"/>
      </w:pPr>
      <w:r>
        <w:t>AT</w:t>
      </w:r>
      <w:r>
        <w:tab/>
      </w:r>
      <w:r>
        <w:tab/>
        <w:t>Assistência técnica</w:t>
      </w:r>
    </w:p>
    <w:p w:rsidR="00586D0B" w:rsidRPr="001C6ACF" w:rsidRDefault="00586D0B" w:rsidP="00FE491B">
      <w:pPr>
        <w:pStyle w:val="HStandard"/>
        <w:ind w:left="993" w:hanging="993"/>
      </w:pPr>
      <w:r>
        <w:t>ATT</w:t>
      </w:r>
      <w:r>
        <w:tab/>
      </w:r>
      <w:r>
        <w:tab/>
        <w:t>Efeito médio do tratamento sobre os dados tratados</w:t>
      </w:r>
    </w:p>
    <w:p w:rsidR="00586D0B" w:rsidRPr="001C6ACF" w:rsidRDefault="00586D0B" w:rsidP="00FE491B">
      <w:pPr>
        <w:pStyle w:val="HStandard"/>
        <w:ind w:left="993" w:hanging="993"/>
      </w:pPr>
      <w:r>
        <w:t>Av</w:t>
      </w:r>
      <w:r>
        <w:tab/>
      </w:r>
      <w:r>
        <w:tab/>
        <w:t>Avaliador</w:t>
      </w:r>
    </w:p>
    <w:p w:rsidR="00586D0B" w:rsidRPr="001C6ACF" w:rsidRDefault="00586D0B" w:rsidP="00FE491B">
      <w:pPr>
        <w:pStyle w:val="HStandard"/>
        <w:ind w:left="993" w:hanging="993"/>
      </w:pPr>
      <w:r>
        <w:t>BBN</w:t>
      </w:r>
      <w:r>
        <w:tab/>
      </w:r>
      <w:r>
        <w:tab/>
        <w:t>Balanços brutos de nutrientes</w:t>
      </w:r>
    </w:p>
    <w:p w:rsidR="00586D0B" w:rsidRPr="001C6ACF" w:rsidRDefault="00586D0B" w:rsidP="00FE491B">
      <w:pPr>
        <w:pStyle w:val="HStandard"/>
        <w:ind w:left="993" w:hanging="993"/>
      </w:pPr>
      <w:r>
        <w:t>BCAA</w:t>
      </w:r>
      <w:r>
        <w:tab/>
      </w:r>
      <w:r>
        <w:tab/>
        <w:t>Boas condições agrícolas e ambientais</w:t>
      </w:r>
    </w:p>
    <w:p w:rsidR="00586D0B" w:rsidRPr="001C6ACF" w:rsidRDefault="00586D0B" w:rsidP="00FE491B">
      <w:pPr>
        <w:pStyle w:val="HStandard"/>
        <w:ind w:left="993" w:hanging="993"/>
      </w:pPr>
      <w:r>
        <w:t>BEE</w:t>
      </w:r>
      <w:r>
        <w:tab/>
      </w:r>
      <w:r>
        <w:tab/>
        <w:t>Bom estado ecológico</w:t>
      </w:r>
    </w:p>
    <w:p w:rsidR="00586D0B" w:rsidRPr="001C6ACF" w:rsidRDefault="00586D0B" w:rsidP="00FE491B">
      <w:pPr>
        <w:pStyle w:val="HStandard"/>
        <w:ind w:left="993" w:hanging="993"/>
      </w:pPr>
      <w:r>
        <w:t>CA</w:t>
      </w:r>
      <w:r>
        <w:tab/>
      </w:r>
      <w:r>
        <w:tab/>
        <w:t>Comité de acompanhamento</w:t>
      </w:r>
    </w:p>
    <w:p w:rsidR="00586D0B" w:rsidRPr="001C6ACF" w:rsidRDefault="00586D0B" w:rsidP="00FE491B">
      <w:pPr>
        <w:pStyle w:val="HStandard"/>
        <w:ind w:left="993" w:hanging="993"/>
      </w:pPr>
      <w:r>
        <w:t>CCI</w:t>
      </w:r>
      <w:r>
        <w:tab/>
      </w:r>
      <w:r>
        <w:tab/>
        <w:t>Centro Comum de Investigação.</w:t>
      </w:r>
    </w:p>
    <w:p w:rsidR="00586D0B" w:rsidRPr="001C6ACF" w:rsidRDefault="00586D0B" w:rsidP="00FE491B">
      <w:pPr>
        <w:pStyle w:val="HStandard"/>
        <w:ind w:left="993" w:hanging="993"/>
      </w:pPr>
      <w:r>
        <w:t>CEA</w:t>
      </w:r>
      <w:r>
        <w:tab/>
      </w:r>
      <w:r>
        <w:tab/>
        <w:t>Contas económicas da agricultura</w:t>
      </w:r>
    </w:p>
    <w:p w:rsidR="00586D0B" w:rsidRPr="001C6ACF" w:rsidRDefault="00586D0B" w:rsidP="00FE491B">
      <w:pPr>
        <w:pStyle w:val="HStandard"/>
        <w:ind w:left="993" w:hanging="993"/>
      </w:pPr>
      <w:r>
        <w:t>CN</w:t>
      </w:r>
      <w:r>
        <w:tab/>
      </w:r>
      <w:r>
        <w:tab/>
        <w:t>Cabeças normais</w:t>
      </w:r>
    </w:p>
    <w:p w:rsidR="00586D0B" w:rsidRPr="001C6ACF" w:rsidRDefault="00586D0B" w:rsidP="00FE491B">
      <w:pPr>
        <w:pStyle w:val="HStandard"/>
        <w:ind w:left="993" w:hanging="993"/>
      </w:pPr>
      <w:r>
        <w:t>CORINE</w:t>
      </w:r>
      <w:r>
        <w:tab/>
      </w:r>
      <w:r>
        <w:tab/>
        <w:t>Coordenação de informações sobre o ambiente (</w:t>
      </w:r>
      <w:r>
        <w:rPr>
          <w:i/>
        </w:rPr>
        <w:t>Coordination of information on the environment</w:t>
      </w:r>
      <w:r>
        <w:t>)</w:t>
      </w:r>
    </w:p>
    <w:p w:rsidR="00586D0B" w:rsidRPr="00FB5A40" w:rsidRDefault="00586D0B" w:rsidP="00FE491B">
      <w:pPr>
        <w:pStyle w:val="HStandard"/>
        <w:ind w:left="993" w:hanging="993"/>
      </w:pPr>
      <w:r>
        <w:t>COS</w:t>
      </w:r>
      <w:r>
        <w:tab/>
      </w:r>
      <w:r>
        <w:tab/>
        <w:t>Carbono orgânico do solo</w:t>
      </w:r>
    </w:p>
    <w:p w:rsidR="00586D0B" w:rsidRPr="00FB5A40" w:rsidRDefault="00586D0B" w:rsidP="00FE491B">
      <w:pPr>
        <w:pStyle w:val="HStandard"/>
        <w:ind w:left="993" w:hanging="993"/>
      </w:pPr>
      <w:r>
        <w:t>CrA</w:t>
      </w:r>
      <w:r>
        <w:tab/>
      </w:r>
      <w:r>
        <w:tab/>
        <w:t>Critérios de apreciação</w:t>
      </w:r>
    </w:p>
    <w:p w:rsidR="00586D0B" w:rsidRPr="001C6ACF" w:rsidRDefault="00586D0B" w:rsidP="00FE491B">
      <w:pPr>
        <w:pStyle w:val="HStandard"/>
        <w:ind w:left="993" w:hanging="993"/>
      </w:pPr>
      <w:r>
        <w:t>DD</w:t>
      </w:r>
      <w:r>
        <w:tab/>
      </w:r>
      <w:r>
        <w:tab/>
        <w:t>Diferença nas diferenças</w:t>
      </w:r>
    </w:p>
    <w:p w:rsidR="00586D0B" w:rsidRPr="001C6ACF" w:rsidRDefault="00586D0B" w:rsidP="00FE491B">
      <w:pPr>
        <w:pStyle w:val="HStandard"/>
        <w:ind w:left="993" w:hanging="993"/>
      </w:pPr>
      <w:r>
        <w:t>DG AGRI</w:t>
      </w:r>
      <w:r>
        <w:tab/>
      </w:r>
      <w:r>
        <w:tab/>
        <w:t>Direção-Geral da Agricultura e do Desenvolvimento Rural</w:t>
      </w:r>
    </w:p>
    <w:p w:rsidR="00586D0B" w:rsidRPr="001C6ACF" w:rsidRDefault="00586D0B" w:rsidP="00FE491B">
      <w:pPr>
        <w:pStyle w:val="HStandard"/>
        <w:ind w:left="993" w:hanging="993"/>
      </w:pPr>
      <w:r>
        <w:t>DI</w:t>
      </w:r>
      <w:r>
        <w:tab/>
      </w:r>
      <w:r>
        <w:tab/>
        <w:t>Domínio de incidência</w:t>
      </w:r>
    </w:p>
    <w:p w:rsidR="00586D0B" w:rsidRPr="001C6ACF" w:rsidRDefault="00586D0B" w:rsidP="00FE491B">
      <w:pPr>
        <w:pStyle w:val="HStandard"/>
        <w:ind w:left="993" w:hanging="993"/>
      </w:pPr>
      <w:r>
        <w:t>DIBID</w:t>
      </w:r>
      <w:r>
        <w:tab/>
      </w:r>
      <w:r>
        <w:tab/>
        <w:t>Despesa interna bruta em I&amp;D</w:t>
      </w:r>
    </w:p>
    <w:p w:rsidR="00586D0B" w:rsidRPr="001C6ACF" w:rsidRDefault="00586D0B" w:rsidP="00FE491B">
      <w:pPr>
        <w:pStyle w:val="HStandard"/>
        <w:ind w:left="993" w:hanging="993"/>
      </w:pPr>
      <w:r>
        <w:t>DLBC</w:t>
      </w:r>
      <w:r>
        <w:tab/>
      </w:r>
      <w:r>
        <w:tab/>
        <w:t>Desenvolvimento local de base comunitária</w:t>
      </w:r>
    </w:p>
    <w:p w:rsidR="00586D0B" w:rsidRPr="001C6ACF" w:rsidRDefault="00586D0B" w:rsidP="00FE491B">
      <w:pPr>
        <w:pStyle w:val="HStandard"/>
        <w:ind w:left="993" w:hanging="993"/>
      </w:pPr>
      <w:r>
        <w:t>DN</w:t>
      </w:r>
      <w:r>
        <w:tab/>
      </w:r>
      <w:r>
        <w:tab/>
        <w:t>Diretiva Nitratos</w:t>
      </w:r>
    </w:p>
    <w:p w:rsidR="00586D0B" w:rsidRPr="001C6ACF" w:rsidRDefault="00586D0B" w:rsidP="00FE491B">
      <w:pPr>
        <w:pStyle w:val="HStandard"/>
        <w:ind w:left="993" w:hanging="993"/>
      </w:pPr>
      <w:r>
        <w:t>DQA</w:t>
      </w:r>
      <w:r>
        <w:tab/>
      </w:r>
      <w:r>
        <w:tab/>
        <w:t>Diretiva-Quadro Água</w:t>
      </w:r>
    </w:p>
    <w:p w:rsidR="00586D0B" w:rsidRPr="001C6ACF" w:rsidRDefault="00586D0B" w:rsidP="00FE491B">
      <w:pPr>
        <w:pStyle w:val="HStandard"/>
        <w:ind w:left="993" w:hanging="993"/>
      </w:pPr>
      <w:r>
        <w:t>DT</w:t>
      </w:r>
      <w:r>
        <w:tab/>
      </w:r>
      <w:r>
        <w:tab/>
        <w:t>Documento de trabalho</w:t>
      </w:r>
    </w:p>
    <w:p w:rsidR="00586D0B" w:rsidRPr="001C6ACF" w:rsidRDefault="00586D0B" w:rsidP="00FE491B">
      <w:pPr>
        <w:pStyle w:val="HStandard"/>
        <w:ind w:left="993" w:hanging="993"/>
      </w:pPr>
      <w:r>
        <w:t>EDGAR</w:t>
      </w:r>
      <w:r>
        <w:tab/>
      </w:r>
      <w:r>
        <w:tab/>
        <w:t>Base de dados sobre emissões para investigação atmosférica mundial (</w:t>
      </w:r>
      <w:r>
        <w:rPr>
          <w:i/>
        </w:rPr>
        <w:t>Emissions Database for Global Atmospheric Research</w:t>
      </w:r>
      <w:r>
        <w:t>)</w:t>
      </w:r>
    </w:p>
    <w:p w:rsidR="00586D0B" w:rsidRPr="001C6ACF" w:rsidRDefault="00586D0B" w:rsidP="00FE491B">
      <w:pPr>
        <w:pStyle w:val="HStandard"/>
        <w:ind w:left="993" w:hanging="993"/>
      </w:pPr>
      <w:r>
        <w:t xml:space="preserve">EGC </w:t>
      </w:r>
      <w:r>
        <w:tab/>
      </w:r>
      <w:r>
        <w:tab/>
        <w:t>Equilíbrio geral calculável</w:t>
      </w:r>
    </w:p>
    <w:p w:rsidR="00586D0B" w:rsidRPr="001C6ACF" w:rsidRDefault="00586D0B" w:rsidP="00FE491B">
      <w:pPr>
        <w:pStyle w:val="HStandard"/>
        <w:ind w:left="993" w:hanging="993"/>
      </w:pPr>
      <w:r>
        <w:t>EM</w:t>
      </w:r>
      <w:r>
        <w:tab/>
      </w:r>
      <w:r>
        <w:tab/>
        <w:t>Estado-Membro</w:t>
      </w:r>
    </w:p>
    <w:p w:rsidR="00586D0B" w:rsidRPr="001C6ACF" w:rsidRDefault="00586D0B" w:rsidP="00FE491B">
      <w:pPr>
        <w:pStyle w:val="HStandard"/>
        <w:ind w:left="993" w:hanging="993"/>
      </w:pPr>
      <w:r>
        <w:t>ESDAC</w:t>
      </w:r>
      <w:r>
        <w:tab/>
      </w:r>
      <w:r>
        <w:tab/>
        <w:t>Centro europeu de dados sobre solos (</w:t>
      </w:r>
      <w:r>
        <w:rPr>
          <w:i/>
        </w:rPr>
        <w:t>European Soil Data Centre</w:t>
      </w:r>
      <w:r>
        <w:t>)</w:t>
      </w:r>
    </w:p>
    <w:p w:rsidR="00586D0B" w:rsidRPr="001C6ACF" w:rsidRDefault="00586D0B" w:rsidP="00FE491B">
      <w:pPr>
        <w:pStyle w:val="HStandard"/>
        <w:ind w:left="993" w:hanging="993"/>
      </w:pPr>
      <w:r>
        <w:t>EVN</w:t>
      </w:r>
      <w:r>
        <w:tab/>
      </w:r>
      <w:r>
        <w:tab/>
        <w:t>Sistemas agrícolas de elevado valor natural</w:t>
      </w:r>
    </w:p>
    <w:p w:rsidR="00586D0B" w:rsidRPr="001C6ACF" w:rsidRDefault="00586D0B" w:rsidP="00FE491B">
      <w:pPr>
        <w:pStyle w:val="HStandard"/>
        <w:ind w:left="993" w:hanging="993"/>
      </w:pPr>
      <w:r>
        <w:t>FD</w:t>
      </w:r>
      <w:r>
        <w:tab/>
      </w:r>
      <w:r>
        <w:tab/>
        <w:t>Fornecedor de dados</w:t>
      </w:r>
    </w:p>
    <w:p w:rsidR="00586D0B" w:rsidRPr="001C6ACF" w:rsidRDefault="00586D0B" w:rsidP="00FE491B">
      <w:pPr>
        <w:pStyle w:val="HStandard"/>
        <w:ind w:left="993" w:hanging="993"/>
      </w:pPr>
      <w:r>
        <w:t>FEADER</w:t>
      </w:r>
      <w:r>
        <w:tab/>
      </w:r>
      <w:r>
        <w:tab/>
        <w:t>Fundo Europeu Agrícola de Desenvolvimento Rural</w:t>
      </w:r>
    </w:p>
    <w:p w:rsidR="00586D0B" w:rsidRPr="001C6ACF" w:rsidRDefault="00586D0B" w:rsidP="00FE491B">
      <w:pPr>
        <w:pStyle w:val="HStandard"/>
        <w:ind w:left="993" w:hanging="993"/>
      </w:pPr>
      <w:r>
        <w:lastRenderedPageBreak/>
        <w:t>FEEI</w:t>
      </w:r>
      <w:r>
        <w:tab/>
      </w:r>
      <w:r>
        <w:tab/>
        <w:t>Fundos Europeus Estruturais e de Investimento</w:t>
      </w:r>
    </w:p>
    <w:p w:rsidR="00586D0B" w:rsidRPr="001C6ACF" w:rsidRDefault="00586D0B" w:rsidP="00FE491B">
      <w:pPr>
        <w:pStyle w:val="HStandard"/>
        <w:ind w:left="993" w:hanging="993"/>
      </w:pPr>
      <w:r>
        <w:t xml:space="preserve">GDA </w:t>
      </w:r>
      <w:r>
        <w:tab/>
      </w:r>
      <w:r>
        <w:tab/>
        <w:t>Grupo diretor de avaliação</w:t>
      </w:r>
    </w:p>
    <w:p w:rsidR="00586D0B" w:rsidRPr="001C6ACF" w:rsidRDefault="00586D0B" w:rsidP="00FE491B">
      <w:pPr>
        <w:pStyle w:val="HStandard"/>
        <w:ind w:left="993" w:hanging="993"/>
      </w:pPr>
      <w:r>
        <w:t>GEE</w:t>
      </w:r>
      <w:r>
        <w:tab/>
      </w:r>
      <w:r>
        <w:tab/>
        <w:t>Gases com efeito de estufa</w:t>
      </w:r>
    </w:p>
    <w:p w:rsidR="00586D0B" w:rsidRPr="001C6ACF" w:rsidRDefault="00586D0B" w:rsidP="00FE491B">
      <w:pPr>
        <w:pStyle w:val="HStandard"/>
        <w:ind w:left="993" w:hanging="993"/>
      </w:pPr>
      <w:r>
        <w:t>GPSM</w:t>
      </w:r>
      <w:r>
        <w:tab/>
      </w:r>
      <w:r>
        <w:tab/>
      </w:r>
      <w:r>
        <w:rPr>
          <w:i/>
        </w:rPr>
        <w:t>Generalised Propensity Score Matching</w:t>
      </w:r>
      <w:r>
        <w:t xml:space="preserve"> (emparelhamento generalizado da propensão)</w:t>
      </w:r>
    </w:p>
    <w:p w:rsidR="00586D0B" w:rsidRPr="001C6ACF" w:rsidRDefault="00586D0B" w:rsidP="00FE491B">
      <w:pPr>
        <w:pStyle w:val="HStandard"/>
        <w:ind w:left="993" w:hanging="993"/>
      </w:pPr>
      <w:r>
        <w:t>GQESR</w:t>
      </w:r>
      <w:r>
        <w:tab/>
      </w:r>
      <w:r>
        <w:tab/>
        <w:t>Geração de quadros de entradas-saídas utilizados nas contas regionais</w:t>
      </w:r>
    </w:p>
    <w:p w:rsidR="00586D0B" w:rsidRPr="001C6ACF" w:rsidRDefault="00586D0B" w:rsidP="00FE491B">
      <w:pPr>
        <w:pStyle w:val="HStandard"/>
        <w:ind w:left="993" w:hanging="993"/>
      </w:pPr>
      <w:r>
        <w:t>I</w:t>
      </w:r>
      <w:r>
        <w:tab/>
      </w:r>
      <w:r>
        <w:tab/>
        <w:t>Indicador de impacto</w:t>
      </w:r>
    </w:p>
    <w:p w:rsidR="00586D0B" w:rsidRPr="00FB6C06" w:rsidRDefault="00586D0B" w:rsidP="00FE491B">
      <w:pPr>
        <w:pStyle w:val="HStandard"/>
        <w:ind w:left="993" w:hanging="993"/>
      </w:pPr>
      <w:r>
        <w:t>IAA</w:t>
      </w:r>
      <w:r>
        <w:tab/>
      </w:r>
      <w:r>
        <w:tab/>
        <w:t>Indicadores agroambientais</w:t>
      </w:r>
    </w:p>
    <w:p w:rsidR="00586D0B" w:rsidRPr="001C6ACF" w:rsidRDefault="00586D0B" w:rsidP="00FE491B">
      <w:pPr>
        <w:pStyle w:val="HStandard"/>
        <w:ind w:left="993" w:hanging="993"/>
      </w:pPr>
      <w:r>
        <w:t>IATA</w:t>
      </w:r>
      <w:r>
        <w:tab/>
      </w:r>
      <w:r>
        <w:tab/>
        <w:t>Indicador relativo às aves das terras agrícolas</w:t>
      </w:r>
    </w:p>
    <w:p w:rsidR="00586D0B" w:rsidRPr="001C6ACF" w:rsidRDefault="00586D0B" w:rsidP="00FE491B">
      <w:pPr>
        <w:pStyle w:val="HStandard"/>
        <w:ind w:left="993" w:hanging="993"/>
      </w:pPr>
      <w:r>
        <w:t>ICC</w:t>
      </w:r>
      <w:r>
        <w:tab/>
      </w:r>
      <w:r>
        <w:tab/>
        <w:t>Indicadores comuns de contexto</w:t>
      </w:r>
    </w:p>
    <w:p w:rsidR="00586D0B" w:rsidRPr="001C6ACF" w:rsidRDefault="00586D0B" w:rsidP="00FE491B">
      <w:pPr>
        <w:pStyle w:val="HStandard"/>
        <w:ind w:left="993" w:hanging="993"/>
      </w:pPr>
      <w:r>
        <w:t>IMPA</w:t>
      </w:r>
      <w:r>
        <w:tab/>
      </w:r>
      <w:r>
        <w:tab/>
        <w:t>Inquérito aos modos de produção agrícola</w:t>
      </w:r>
    </w:p>
    <w:p w:rsidR="00586D0B" w:rsidRPr="001C6ACF" w:rsidRDefault="00586D0B" w:rsidP="00FE491B">
      <w:pPr>
        <w:pStyle w:val="HStandard"/>
        <w:ind w:left="993" w:hanging="993"/>
      </w:pPr>
      <w:r>
        <w:t>IO</w:t>
      </w:r>
      <w:r>
        <w:tab/>
      </w:r>
      <w:r>
        <w:tab/>
        <w:t>Indicador de objetivo</w:t>
      </w:r>
    </w:p>
    <w:p w:rsidR="00586D0B" w:rsidRPr="001C6ACF" w:rsidRDefault="00586D0B" w:rsidP="00FE491B">
      <w:pPr>
        <w:pStyle w:val="HStandard"/>
        <w:ind w:left="993" w:hanging="993"/>
      </w:pPr>
      <w:r>
        <w:t>IR</w:t>
      </w:r>
      <w:r>
        <w:tab/>
      </w:r>
      <w:r>
        <w:tab/>
        <w:t>Indicadores de resultados</w:t>
      </w:r>
    </w:p>
    <w:p w:rsidR="00586D0B" w:rsidRPr="00482ABA" w:rsidRDefault="00586D0B" w:rsidP="00FE491B">
      <w:pPr>
        <w:pStyle w:val="HStandard"/>
        <w:ind w:left="993" w:hanging="993"/>
      </w:pPr>
      <w:r>
        <w:t>LI</w:t>
      </w:r>
      <w:r>
        <w:tab/>
      </w:r>
      <w:r>
        <w:tab/>
        <w:t>Lógica de intervenção</w:t>
      </w:r>
    </w:p>
    <w:p w:rsidR="00586D0B" w:rsidRPr="001C6ACF" w:rsidRDefault="00586D0B" w:rsidP="00FE491B">
      <w:pPr>
        <w:pStyle w:val="HStandard"/>
        <w:ind w:left="993" w:hanging="993"/>
      </w:pPr>
      <w:r>
        <w:t>LUCAS</w:t>
      </w:r>
      <w:r>
        <w:tab/>
      </w:r>
      <w:r>
        <w:tab/>
        <w:t>Inquérito sobre a utilização/ocupação dos solos (</w:t>
      </w:r>
      <w:r>
        <w:rPr>
          <w:i/>
        </w:rPr>
        <w:t>Land Use and Coverage Area Frame Survey</w:t>
      </w:r>
      <w:r>
        <w:t>)</w:t>
      </w:r>
    </w:p>
    <w:p w:rsidR="00586D0B" w:rsidRPr="001C6ACF" w:rsidRDefault="00586D0B" w:rsidP="00FE491B">
      <w:pPr>
        <w:pStyle w:val="HStandard"/>
        <w:ind w:left="993" w:hanging="993"/>
      </w:pPr>
      <w:r>
        <w:t>LULUCF</w:t>
      </w:r>
      <w:r>
        <w:tab/>
      </w:r>
      <w:r>
        <w:tab/>
        <w:t>Utilização dos solos, reafetação dos solos e silvicultura (</w:t>
      </w:r>
      <w:r>
        <w:rPr>
          <w:i/>
        </w:rPr>
        <w:t>Land Use, Land Use Change and Forestry</w:t>
      </w:r>
      <w:r>
        <w:t>)</w:t>
      </w:r>
    </w:p>
    <w:p w:rsidR="00586D0B" w:rsidRPr="001C6ACF" w:rsidRDefault="00586D0B" w:rsidP="00FE491B">
      <w:pPr>
        <w:pStyle w:val="HStandard"/>
        <w:ind w:left="993" w:hanging="993"/>
      </w:pPr>
      <w:r>
        <w:t>M</w:t>
      </w:r>
      <w:r>
        <w:tab/>
      </w:r>
      <w:r>
        <w:tab/>
        <w:t xml:space="preserve">Medida </w:t>
      </w:r>
    </w:p>
    <w:p w:rsidR="00586D0B" w:rsidRPr="001C6ACF" w:rsidRDefault="00586D0B" w:rsidP="00FE491B">
      <w:pPr>
        <w:pStyle w:val="HStandard"/>
        <w:ind w:left="993" w:hanging="993"/>
      </w:pPr>
      <w:r>
        <w:t>MAIPP</w:t>
      </w:r>
      <w:r>
        <w:tab/>
      </w:r>
      <w:r>
        <w:tab/>
        <w:t>Método de avaliação de impacto de programas e projetos</w:t>
      </w:r>
    </w:p>
    <w:p w:rsidR="00586D0B" w:rsidRPr="001C6ACF" w:rsidRDefault="00586D0B" w:rsidP="00FE491B">
      <w:pPr>
        <w:pStyle w:val="HStandard"/>
        <w:ind w:left="993" w:hanging="993"/>
      </w:pPr>
      <w:r>
        <w:t>MCS</w:t>
      </w:r>
      <w:r>
        <w:tab/>
      </w:r>
      <w:r>
        <w:tab/>
        <w:t>Matriz de contabilidade social</w:t>
      </w:r>
    </w:p>
    <w:p w:rsidR="00586D0B" w:rsidRPr="00FB5A40" w:rsidRDefault="00586D0B" w:rsidP="00FE491B">
      <w:pPr>
        <w:pStyle w:val="HStandard"/>
        <w:ind w:left="993" w:hanging="993"/>
      </w:pPr>
      <w:r>
        <w:t>MOS</w:t>
      </w:r>
      <w:r>
        <w:tab/>
      </w:r>
      <w:r>
        <w:tab/>
        <w:t xml:space="preserve">Matéria orgânica do solo </w:t>
      </w:r>
    </w:p>
    <w:p w:rsidR="00586D0B" w:rsidRPr="001C6ACF" w:rsidRDefault="00586D0B" w:rsidP="00FE491B">
      <w:pPr>
        <w:pStyle w:val="HStandard"/>
        <w:ind w:left="993" w:hanging="993"/>
      </w:pPr>
      <w:r>
        <w:t>NUTS</w:t>
      </w:r>
      <w:r>
        <w:tab/>
      </w:r>
      <w:r>
        <w:tab/>
        <w:t>Nomenclatura das Unidades Territoriais Estatísticas (</w:t>
      </w:r>
      <w:r>
        <w:rPr>
          <w:i/>
        </w:rPr>
        <w:t>Nomenclature of Units for Territorial Statistics</w:t>
      </w:r>
      <w:r>
        <w:t>)</w:t>
      </w:r>
      <w:r>
        <w:tab/>
      </w:r>
    </w:p>
    <w:p w:rsidR="00586D0B" w:rsidRPr="001C6ACF" w:rsidRDefault="00586D0B" w:rsidP="00FE491B">
      <w:pPr>
        <w:pStyle w:val="HStandard"/>
        <w:ind w:left="993" w:hanging="993"/>
      </w:pPr>
      <w:r>
        <w:t>ONG</w:t>
      </w:r>
      <w:r>
        <w:tab/>
      </w:r>
      <w:r>
        <w:tab/>
        <w:t>Organização não governamental</w:t>
      </w:r>
    </w:p>
    <w:p w:rsidR="00586D0B" w:rsidRPr="001C6ACF" w:rsidRDefault="00586D0B" w:rsidP="00FE491B">
      <w:pPr>
        <w:pStyle w:val="HStandard"/>
        <w:ind w:left="993" w:hanging="993"/>
      </w:pPr>
      <w:r>
        <w:t>OP</w:t>
      </w:r>
      <w:r>
        <w:tab/>
      </w:r>
      <w:r>
        <w:tab/>
        <w:t>Organismo pagador</w:t>
      </w:r>
    </w:p>
    <w:p w:rsidR="00586D0B" w:rsidRPr="001C6ACF" w:rsidRDefault="00586D0B" w:rsidP="00FE491B">
      <w:pPr>
        <w:pStyle w:val="HStandard"/>
        <w:ind w:left="993" w:hanging="993"/>
      </w:pPr>
      <w:r>
        <w:t>PAA</w:t>
      </w:r>
      <w:r>
        <w:tab/>
      </w:r>
      <w:r>
        <w:tab/>
        <w:t>Programa de ação em matéria de ambiente</w:t>
      </w:r>
    </w:p>
    <w:p w:rsidR="00586D0B" w:rsidRPr="001C6ACF" w:rsidRDefault="00586D0B" w:rsidP="00FE491B">
      <w:pPr>
        <w:pStyle w:val="HStandard"/>
        <w:ind w:left="993" w:hanging="993"/>
      </w:pPr>
      <w:r>
        <w:t>PAC</w:t>
      </w:r>
      <w:r>
        <w:tab/>
      </w:r>
      <w:r>
        <w:tab/>
        <w:t xml:space="preserve">Política agrícola comum </w:t>
      </w:r>
    </w:p>
    <w:p w:rsidR="00586D0B" w:rsidRPr="001C6ACF" w:rsidRDefault="00586D0B" w:rsidP="00FE491B">
      <w:pPr>
        <w:pStyle w:val="HStandard"/>
        <w:ind w:left="993" w:hanging="993"/>
      </w:pPr>
      <w:r>
        <w:t>PCIP</w:t>
      </w:r>
      <w:r>
        <w:tab/>
      </w:r>
      <w:r>
        <w:tab/>
        <w:t>Prevenção e controlo integrados da poluição</w:t>
      </w:r>
    </w:p>
    <w:p w:rsidR="00586D0B" w:rsidRPr="001C6ACF" w:rsidRDefault="00586D0B" w:rsidP="00FE491B">
      <w:pPr>
        <w:pStyle w:val="HStandard"/>
        <w:ind w:left="993" w:hanging="993"/>
      </w:pPr>
      <w:r>
        <w:t>PDR</w:t>
      </w:r>
      <w:r>
        <w:tab/>
      </w:r>
      <w:r>
        <w:tab/>
        <w:t>Programa de desenvolvimento rural</w:t>
      </w:r>
    </w:p>
    <w:p w:rsidR="00586D0B" w:rsidRPr="001C6ACF" w:rsidRDefault="00586D0B" w:rsidP="00FE491B">
      <w:pPr>
        <w:pStyle w:val="HStandard"/>
        <w:ind w:left="993" w:hanging="993"/>
      </w:pPr>
      <w:r>
        <w:t>PEI</w:t>
      </w:r>
      <w:r>
        <w:tab/>
      </w:r>
      <w:r>
        <w:tab/>
        <w:t>Parceria europeia de inovação</w:t>
      </w:r>
    </w:p>
    <w:p w:rsidR="00586D0B" w:rsidRPr="001C6ACF" w:rsidRDefault="00586D0B" w:rsidP="00FE491B">
      <w:pPr>
        <w:pStyle w:val="HStandard"/>
        <w:ind w:left="993" w:hanging="993"/>
      </w:pPr>
      <w:r>
        <w:t>PIB</w:t>
      </w:r>
      <w:r>
        <w:tab/>
      </w:r>
      <w:r>
        <w:tab/>
        <w:t xml:space="preserve">Produto interno bruto </w:t>
      </w:r>
    </w:p>
    <w:p w:rsidR="00586D0B" w:rsidRPr="001C6ACF" w:rsidRDefault="00586D0B" w:rsidP="00FE491B">
      <w:pPr>
        <w:pStyle w:val="HStandard"/>
        <w:ind w:left="993" w:hanging="993"/>
      </w:pPr>
      <w:r>
        <w:t>PSM</w:t>
      </w:r>
      <w:r>
        <w:tab/>
      </w:r>
      <w:r>
        <w:tab/>
      </w:r>
      <w:r>
        <w:rPr>
          <w:i/>
        </w:rPr>
        <w:t>Propensity Score Matching</w:t>
      </w:r>
      <w:r>
        <w:t xml:space="preserve"> (emparelhamento da propensão)</w:t>
      </w:r>
    </w:p>
    <w:p w:rsidR="00586D0B" w:rsidRPr="001C6ACF" w:rsidRDefault="00586D0B" w:rsidP="00FE491B">
      <w:pPr>
        <w:pStyle w:val="HStandard"/>
        <w:ind w:left="993" w:hanging="993"/>
      </w:pPr>
      <w:r>
        <w:t>PTF</w:t>
      </w:r>
      <w:r>
        <w:tab/>
      </w:r>
      <w:r>
        <w:tab/>
        <w:t>Produtividade total dos fatores</w:t>
      </w:r>
    </w:p>
    <w:p w:rsidR="00586D0B" w:rsidRPr="001C6ACF" w:rsidRDefault="00586D0B" w:rsidP="00FE491B">
      <w:pPr>
        <w:pStyle w:val="HStandard"/>
        <w:ind w:left="993" w:hanging="993"/>
      </w:pPr>
      <w:r>
        <w:t>QAC</w:t>
      </w:r>
      <w:r>
        <w:tab/>
      </w:r>
      <w:r>
        <w:tab/>
        <w:t>Questão de avaliação comum</w:t>
      </w:r>
    </w:p>
    <w:p w:rsidR="00586D0B" w:rsidRPr="001C6ACF" w:rsidRDefault="00586D0B" w:rsidP="00FE491B">
      <w:pPr>
        <w:pStyle w:val="HStandard"/>
        <w:ind w:left="993" w:hanging="993"/>
      </w:pPr>
      <w:r>
        <w:t>QAEP</w:t>
      </w:r>
      <w:r>
        <w:tab/>
      </w:r>
      <w:r>
        <w:tab/>
        <w:t>Questão de avaliação específica do programa</w:t>
      </w:r>
    </w:p>
    <w:p w:rsidR="00586D0B" w:rsidRPr="001C6ACF" w:rsidRDefault="00586D0B" w:rsidP="00FE491B">
      <w:pPr>
        <w:pStyle w:val="HStandard"/>
        <w:ind w:left="993" w:hanging="993"/>
      </w:pPr>
      <w:r>
        <w:t>RAE</w:t>
      </w:r>
      <w:r>
        <w:tab/>
      </w:r>
      <w:r>
        <w:tab/>
        <w:t>Relatório anual de execução</w:t>
      </w:r>
    </w:p>
    <w:p w:rsidR="00586D0B" w:rsidRPr="00336531" w:rsidRDefault="00586D0B" w:rsidP="00FE491B">
      <w:pPr>
        <w:pStyle w:val="HStandard"/>
        <w:ind w:left="993" w:hanging="993"/>
      </w:pPr>
      <w:r>
        <w:lastRenderedPageBreak/>
        <w:t>REA</w:t>
      </w:r>
      <w:r>
        <w:tab/>
      </w:r>
      <w:r>
        <w:tab/>
        <w:t>Rendimento empresarial agrícola</w:t>
      </w:r>
    </w:p>
    <w:p w:rsidR="00586D0B" w:rsidRPr="007645B4" w:rsidRDefault="00586D0B" w:rsidP="00FE491B">
      <w:pPr>
        <w:pStyle w:val="HStandard"/>
        <w:ind w:left="993" w:hanging="993"/>
      </w:pPr>
      <w:r>
        <w:t>RFA</w:t>
      </w:r>
      <w:r>
        <w:tab/>
      </w:r>
      <w:r>
        <w:tab/>
        <w:t>Rendimento dos fatores agrícolas</w:t>
      </w:r>
    </w:p>
    <w:p w:rsidR="00586D0B" w:rsidRPr="001C6ACF" w:rsidRDefault="00586D0B" w:rsidP="00FE491B">
      <w:pPr>
        <w:pStyle w:val="HStandard"/>
        <w:ind w:left="993" w:hanging="993"/>
      </w:pPr>
      <w:r>
        <w:t>RHi</w:t>
      </w:r>
      <w:r>
        <w:tab/>
      </w:r>
      <w:r>
        <w:tab/>
        <w:t>Região hidrográfica</w:t>
      </w:r>
    </w:p>
    <w:p w:rsidR="00586D0B" w:rsidRPr="001C6ACF" w:rsidRDefault="00586D0B" w:rsidP="00FE491B">
      <w:pPr>
        <w:pStyle w:val="HStandard"/>
        <w:ind w:left="993" w:hanging="993"/>
      </w:pPr>
      <w:r>
        <w:t>RICA</w:t>
      </w:r>
      <w:r>
        <w:tab/>
      </w:r>
      <w:r>
        <w:tab/>
        <w:t>Rede de informação contabilística agrícola</w:t>
      </w:r>
    </w:p>
    <w:p w:rsidR="00586D0B" w:rsidRPr="001C6ACF" w:rsidRDefault="00586D0B" w:rsidP="00FE491B">
      <w:pPr>
        <w:pStyle w:val="HStandard"/>
        <w:ind w:left="993" w:hanging="993"/>
      </w:pPr>
      <w:r>
        <w:t>RPES</w:t>
      </w:r>
      <w:r>
        <w:tab/>
      </w:r>
      <w:r>
        <w:tab/>
        <w:t>Risco de pobreza ou exclusão social</w:t>
      </w:r>
    </w:p>
    <w:p w:rsidR="00586D0B" w:rsidRPr="001C6ACF" w:rsidRDefault="00586D0B" w:rsidP="00FE491B">
      <w:pPr>
        <w:pStyle w:val="HStandard"/>
        <w:ind w:left="993" w:hanging="993"/>
      </w:pPr>
      <w:r>
        <w:t>RRN</w:t>
      </w:r>
      <w:r>
        <w:tab/>
      </w:r>
      <w:r>
        <w:tab/>
        <w:t>Rede rural nacional</w:t>
      </w:r>
    </w:p>
    <w:p w:rsidR="00586D0B" w:rsidRPr="001C6ACF" w:rsidRDefault="00586D0B" w:rsidP="00FE491B">
      <w:pPr>
        <w:pStyle w:val="HStandard"/>
        <w:ind w:left="993" w:hanging="993"/>
      </w:pPr>
      <w:r>
        <w:t>RUSLE</w:t>
      </w:r>
      <w:r>
        <w:tab/>
      </w:r>
      <w:r>
        <w:tab/>
        <w:t>Equação universal de perda de solo revista (</w:t>
      </w:r>
      <w:r>
        <w:rPr>
          <w:i/>
        </w:rPr>
        <w:t>Revised Universal Soil Loss Equation</w:t>
      </w:r>
      <w:r>
        <w:t>)</w:t>
      </w:r>
    </w:p>
    <w:p w:rsidR="00586D0B" w:rsidRPr="001C6ACF" w:rsidRDefault="00586D0B" w:rsidP="00FE491B">
      <w:pPr>
        <w:pStyle w:val="HStandard"/>
        <w:ind w:left="993" w:hanging="993"/>
      </w:pPr>
      <w:r>
        <w:t>SAU</w:t>
      </w:r>
      <w:r>
        <w:tab/>
      </w:r>
      <w:r>
        <w:tab/>
        <w:t>Superfície agrícola utilizada</w:t>
      </w:r>
    </w:p>
    <w:p w:rsidR="00586D0B" w:rsidRPr="001C6ACF" w:rsidRDefault="00586D0B" w:rsidP="00FE491B">
      <w:pPr>
        <w:pStyle w:val="HStandard"/>
        <w:ind w:left="993" w:hanging="993"/>
      </w:pPr>
      <w:r>
        <w:t xml:space="preserve">SCAA </w:t>
      </w:r>
      <w:r>
        <w:tab/>
      </w:r>
      <w:r>
        <w:tab/>
        <w:t>Sistema comum de acompanhamento e avaliação</w:t>
      </w:r>
    </w:p>
    <w:p w:rsidR="00586D0B" w:rsidRPr="001C6ACF" w:rsidRDefault="00586D0B" w:rsidP="00FE491B">
      <w:pPr>
        <w:pStyle w:val="HStandard"/>
        <w:ind w:left="993" w:hanging="993"/>
      </w:pPr>
      <w:r>
        <w:t>SEBI</w:t>
      </w:r>
      <w:r>
        <w:tab/>
      </w:r>
      <w:r>
        <w:tab/>
        <w:t>Racionalização dos indicadores europeus da biodiversidade (</w:t>
      </w:r>
      <w:r>
        <w:rPr>
          <w:i/>
        </w:rPr>
        <w:t>Streamlining European Biodiversity Indicators</w:t>
      </w:r>
      <w:r>
        <w:t>)</w:t>
      </w:r>
    </w:p>
    <w:p w:rsidR="00586D0B" w:rsidRPr="001C6ACF" w:rsidRDefault="00586D0B" w:rsidP="00FE491B">
      <w:pPr>
        <w:pStyle w:val="HStandard"/>
        <w:ind w:left="993" w:hanging="993"/>
      </w:pPr>
      <w:r>
        <w:t>SFC</w:t>
      </w:r>
      <w:r>
        <w:tab/>
      </w:r>
      <w:r>
        <w:tab/>
        <w:t>Sistema comum de gestão partilhada dos fundos (</w:t>
      </w:r>
      <w:r>
        <w:rPr>
          <w:i/>
        </w:rPr>
        <w:t>Shared Fund Management Common System</w:t>
      </w:r>
      <w:r>
        <w:t>)</w:t>
      </w:r>
    </w:p>
    <w:p w:rsidR="00586D0B" w:rsidRPr="001C6ACF" w:rsidRDefault="00586D0B" w:rsidP="00FE491B">
      <w:pPr>
        <w:pStyle w:val="HStandard"/>
        <w:ind w:left="993" w:hanging="993"/>
      </w:pPr>
      <w:r>
        <w:t>SIG</w:t>
      </w:r>
      <w:r>
        <w:tab/>
      </w:r>
      <w:r>
        <w:tab/>
        <w:t>Sistema de informação geográfica</w:t>
      </w:r>
    </w:p>
    <w:p w:rsidR="00586D0B" w:rsidRPr="001C6ACF" w:rsidRDefault="00586D0B" w:rsidP="00FE491B">
      <w:pPr>
        <w:pStyle w:val="HStandard"/>
        <w:ind w:left="993" w:hanging="993"/>
      </w:pPr>
      <w:r>
        <w:t>SIGC</w:t>
      </w:r>
      <w:r>
        <w:tab/>
      </w:r>
      <w:r>
        <w:tab/>
        <w:t>Sistema integrado de gestão e de controlo</w:t>
      </w:r>
    </w:p>
    <w:p w:rsidR="00586D0B" w:rsidRPr="001C6ACF" w:rsidRDefault="00586D0B" w:rsidP="00FE491B">
      <w:pPr>
        <w:pStyle w:val="HStandard"/>
        <w:ind w:left="993" w:hanging="993"/>
      </w:pPr>
      <w:r>
        <w:t>SIPA</w:t>
      </w:r>
      <w:r>
        <w:tab/>
      </w:r>
      <w:r>
        <w:tab/>
        <w:t>Sistema de identificação das parcelas agrícolas</w:t>
      </w:r>
    </w:p>
    <w:p w:rsidR="00586D0B" w:rsidRPr="001C6ACF" w:rsidRDefault="00586D0B" w:rsidP="00FE491B">
      <w:pPr>
        <w:pStyle w:val="HStandard"/>
        <w:ind w:left="993" w:hanging="993"/>
      </w:pPr>
      <w:r>
        <w:t>SWOT</w:t>
      </w:r>
      <w:r>
        <w:tab/>
      </w:r>
      <w:r>
        <w:tab/>
        <w:t>Pontos fortes, pontos fracos, oportunidades e ameaças (</w:t>
      </w:r>
      <w:r>
        <w:rPr>
          <w:i/>
        </w:rPr>
        <w:t>Strengths, Weaknesses, Opportunities, Threats</w:t>
      </w:r>
      <w:r>
        <w:t>)</w:t>
      </w:r>
    </w:p>
    <w:p w:rsidR="00586D0B" w:rsidRPr="00482ABA" w:rsidRDefault="00586D0B" w:rsidP="00FE491B">
      <w:pPr>
        <w:pStyle w:val="HStandard"/>
        <w:ind w:left="993" w:hanging="993"/>
      </w:pPr>
      <w:r>
        <w:t xml:space="preserve">TIC </w:t>
      </w:r>
      <w:r>
        <w:tab/>
      </w:r>
      <w:r>
        <w:tab/>
        <w:t>Tecnologias da Informação e da Comunicação</w:t>
      </w:r>
    </w:p>
    <w:p w:rsidR="00586D0B" w:rsidRPr="001C6ACF" w:rsidRDefault="00586D0B" w:rsidP="00FE491B">
      <w:pPr>
        <w:pStyle w:val="HStandard"/>
        <w:ind w:left="993" w:hanging="993"/>
      </w:pPr>
      <w:r>
        <w:t>TR</w:t>
      </w:r>
      <w:r>
        <w:tab/>
      </w:r>
      <w:r>
        <w:tab/>
        <w:t>Termos de referência</w:t>
      </w:r>
    </w:p>
    <w:p w:rsidR="00586D0B" w:rsidRPr="001C6ACF" w:rsidRDefault="00586D0B" w:rsidP="00FE491B">
      <w:pPr>
        <w:pStyle w:val="HStandard"/>
        <w:ind w:left="993" w:hanging="993"/>
      </w:pPr>
      <w:r>
        <w:t>UA</w:t>
      </w:r>
      <w:r>
        <w:tab/>
      </w:r>
      <w:r>
        <w:tab/>
        <w:t>Unidade administrativa (solos)</w:t>
      </w:r>
    </w:p>
    <w:p w:rsidR="00586D0B" w:rsidRPr="001C6ACF" w:rsidRDefault="00586D0B" w:rsidP="00FE491B">
      <w:pPr>
        <w:pStyle w:val="HStandard"/>
        <w:ind w:left="993" w:hanging="993"/>
      </w:pPr>
      <w:r>
        <w:t>UAv</w:t>
      </w:r>
      <w:r>
        <w:tab/>
      </w:r>
      <w:r>
        <w:tab/>
        <w:t>Unidade de avaliação</w:t>
      </w:r>
    </w:p>
    <w:p w:rsidR="00586D0B" w:rsidRPr="001C6ACF" w:rsidRDefault="00586D0B" w:rsidP="00FE491B">
      <w:pPr>
        <w:pStyle w:val="HStandard"/>
        <w:ind w:left="993" w:hanging="993"/>
      </w:pPr>
      <w:r>
        <w:t>UE</w:t>
      </w:r>
      <w:r>
        <w:tab/>
      </w:r>
      <w:r>
        <w:tab/>
        <w:t>União Europeia</w:t>
      </w:r>
    </w:p>
    <w:p w:rsidR="00586D0B" w:rsidRPr="001C6ACF" w:rsidRDefault="00586D0B" w:rsidP="00FE491B">
      <w:pPr>
        <w:pStyle w:val="HStandard"/>
        <w:ind w:left="993" w:hanging="993"/>
      </w:pPr>
      <w:r>
        <w:t>UTA</w:t>
      </w:r>
      <w:r>
        <w:tab/>
      </w:r>
      <w:r>
        <w:tab/>
        <w:t>Unidade de trabalho-ano</w:t>
      </w:r>
    </w:p>
    <w:p w:rsidR="00586D0B" w:rsidRPr="001C6ACF" w:rsidRDefault="00586D0B" w:rsidP="00FE491B">
      <w:pPr>
        <w:pStyle w:val="HStandard"/>
        <w:ind w:left="993" w:hanging="993"/>
      </w:pPr>
      <w:r>
        <w:t>UTF</w:t>
      </w:r>
      <w:r>
        <w:tab/>
      </w:r>
      <w:r>
        <w:tab/>
        <w:t xml:space="preserve">Unidade de trabalho familiar </w:t>
      </w:r>
    </w:p>
    <w:p w:rsidR="00586D0B" w:rsidRPr="00FB5A40" w:rsidRDefault="00586D0B" w:rsidP="00FE491B">
      <w:pPr>
        <w:pStyle w:val="HStandard"/>
        <w:ind w:left="993" w:hanging="993"/>
      </w:pPr>
      <w:r>
        <w:t>VI</w:t>
      </w:r>
      <w:r>
        <w:tab/>
      </w:r>
      <w:r>
        <w:tab/>
        <w:t>Variáveis instrumentais</w:t>
      </w:r>
    </w:p>
    <w:p w:rsidR="00586D0B" w:rsidRPr="001C6ACF" w:rsidRDefault="00586D0B" w:rsidP="00FE491B">
      <w:pPr>
        <w:pStyle w:val="HStandard"/>
        <w:ind w:left="993" w:hanging="993"/>
      </w:pPr>
      <w:r>
        <w:t>ZCN</w:t>
      </w:r>
      <w:r>
        <w:tab/>
      </w:r>
      <w:r>
        <w:tab/>
        <w:t>Zonas sujeitas a condicionantes naturais</w:t>
      </w:r>
    </w:p>
    <w:p w:rsidR="00D32538" w:rsidRPr="001C6ACF" w:rsidRDefault="00D32538" w:rsidP="0095356C">
      <w:pPr>
        <w:pStyle w:val="HStandard"/>
        <w:ind w:left="993" w:hanging="993"/>
        <w:sectPr w:rsidR="00D32538" w:rsidRPr="001C6ACF" w:rsidSect="00C702ED">
          <w:headerReference w:type="default" r:id="rId12"/>
          <w:footerReference w:type="first" r:id="rId13"/>
          <w:pgSz w:w="11906" w:h="16838" w:code="9"/>
          <w:pgMar w:top="1440" w:right="1440" w:bottom="1134" w:left="1440" w:header="567" w:footer="737" w:gutter="0"/>
          <w:cols w:space="708"/>
          <w:titlePg/>
          <w:docGrid w:linePitch="360"/>
        </w:sectPr>
      </w:pPr>
    </w:p>
    <w:p w:rsidR="006F7D30" w:rsidRPr="001C6ACF" w:rsidRDefault="006F7D30" w:rsidP="006F7D30">
      <w:pPr>
        <w:pStyle w:val="HHeading1"/>
        <w:numPr>
          <w:ilvl w:val="0"/>
          <w:numId w:val="0"/>
        </w:numPr>
        <w:rPr>
          <w:sz w:val="28"/>
        </w:rPr>
      </w:pPr>
      <w:r>
        <w:rPr>
          <w:sz w:val="28"/>
        </w:rPr>
        <w:lastRenderedPageBreak/>
        <w:t>Agradecimentos</w:t>
      </w:r>
    </w:p>
    <w:p w:rsidR="00EB120C" w:rsidRPr="001C6ACF" w:rsidRDefault="00EB120C" w:rsidP="00EB120C">
      <w:pPr>
        <w:spacing w:after="120" w:line="280" w:lineRule="atLeast"/>
        <w:rPr>
          <w:rFonts w:ascii="Calibri" w:hAnsi="Calibri"/>
          <w:i/>
          <w:iCs/>
          <w:color w:val="373737" w:themeColor="text1"/>
          <w:sz w:val="20"/>
          <w:szCs w:val="20"/>
        </w:rPr>
      </w:pPr>
      <w:r>
        <w:rPr>
          <w:i/>
          <w:color w:val="373737" w:themeColor="text1"/>
          <w:sz w:val="20"/>
        </w:rPr>
        <w:t xml:space="preserve">As orientações foram elaboradas por uma equipa de peritos em matéria de avaliação do desenvolvimento rural, nomeadamente Jerzy Michalek (impactos setoriais), Demetrios Psaltopoulos (impactos socioeconómicos), Marili Parisaki (métodos qualitativos), Tomáš Ratinger (impactos setoriais), Gerald Schwarz (impactos ambientais), Dimitris Skuras (impactos ambientais), e Darko Znaor (impactos ambientais). O grupo de trabalho temático relacionado foi coordenado pelo Serviço Europeu de Assistência na Avaliação, sob a orientação de Jela Tvrdonova e Hannes Wimmer. Valérie Dumont, Myles Stiffler, Matteo Metta, Valdis Kudins e Harriet Mackaill-Hill apoiaram o trabalho de elaboração e asseguraram a qualidade e a aparência visual das orientações finais. </w:t>
      </w:r>
    </w:p>
    <w:p w:rsidR="00EB120C" w:rsidRPr="001C6ACF" w:rsidRDefault="00EB120C" w:rsidP="00EB120C">
      <w:pPr>
        <w:spacing w:after="120" w:line="280" w:lineRule="atLeast"/>
        <w:rPr>
          <w:i/>
          <w:iCs/>
          <w:color w:val="373737" w:themeColor="text1"/>
          <w:sz w:val="20"/>
          <w:szCs w:val="20"/>
        </w:rPr>
      </w:pPr>
      <w:r>
        <w:rPr>
          <w:i/>
          <w:color w:val="373737" w:themeColor="text1"/>
          <w:sz w:val="20"/>
        </w:rPr>
        <w:t>Vários peritos representaram funções de avaliadores dos pares (Rolf Bergs, Kit Macleod e Žymantas Morkvėnas). A coerência das presentes orientações com o quadro das políticas da UE foi assegurada por representantes da DG Agricultura e Desenvolvimento Rural.</w:t>
      </w:r>
    </w:p>
    <w:p w:rsidR="006F7D30" w:rsidRPr="001C6ACF" w:rsidRDefault="00EB120C" w:rsidP="00EB120C">
      <w:pPr>
        <w:pStyle w:val="HStandard"/>
      </w:pPr>
      <w:r>
        <w:rPr>
          <w:i/>
        </w:rPr>
        <w:t>As versões preliminares das orientações foram sujeitas a observações por representantes dos Estados-Membros durante a auscultação do painel de consulta, em janeiro e abril de 2018. Os membros do Grupo de Peritos sobre Acompanhamento e Avaliação da PAC apresentaram observações sobre o projeto final, em junho de 2018. </w:t>
      </w:r>
    </w:p>
    <w:p w:rsidR="00860B72" w:rsidRPr="001C6ACF" w:rsidRDefault="00860B72" w:rsidP="000B2A17">
      <w:pPr>
        <w:pStyle w:val="HStandard"/>
      </w:pPr>
    </w:p>
    <w:p w:rsidR="008E728A" w:rsidRPr="001C6ACF" w:rsidRDefault="008549B5" w:rsidP="008E3ACB">
      <w:pPr>
        <w:pStyle w:val="HHeading1"/>
        <w:numPr>
          <w:ilvl w:val="0"/>
          <w:numId w:val="0"/>
        </w:numPr>
        <w:rPr>
          <w:sz w:val="28"/>
        </w:rPr>
      </w:pPr>
      <w:r>
        <w:rPr>
          <w:sz w:val="28"/>
        </w:rPr>
        <w:lastRenderedPageBreak/>
        <w:t>INTRODUÇÃO</w:t>
      </w:r>
    </w:p>
    <w:p w:rsidR="00CD63F6" w:rsidRPr="001C6ACF" w:rsidRDefault="00CD63F6" w:rsidP="00CD63F6">
      <w:pPr>
        <w:pStyle w:val="HHeading4"/>
      </w:pPr>
      <w:r>
        <w:t>Importância da avaliação</w:t>
      </w:r>
    </w:p>
    <w:p w:rsidR="00CD63F6" w:rsidRPr="001C6ACF" w:rsidRDefault="00CD63F6" w:rsidP="00CD63F6">
      <w:pPr>
        <w:pStyle w:val="HStandard"/>
      </w:pPr>
      <w:r>
        <w:t xml:space="preserve">Os Fundos Europeus Estruturais e de Investimento (FEEI) são </w:t>
      </w:r>
      <w:r>
        <w:rPr>
          <w:b/>
        </w:rPr>
        <w:t>instrumentos públicos</w:t>
      </w:r>
      <w:r>
        <w:t xml:space="preserve"> importantes para apoiar ações relacionadas com as principais prioridades da União, aplicados através de programas plurianuais nos Estados-Membros e regiões. Por conseguinte, é do interesse dos decisores políticos e dos cidadãos saber se o dinheiro é gasto de forma responsável e produz os resultados esperados, e se as intervenções visam os beneficiários certos para atingir os objetivos estratégicos da UE. </w:t>
      </w:r>
    </w:p>
    <w:p w:rsidR="00CD63F6" w:rsidRPr="001C6ACF" w:rsidRDefault="00CD63F6" w:rsidP="00CC00DA">
      <w:pPr>
        <w:pStyle w:val="HStandard"/>
      </w:pPr>
      <w:r>
        <w:t xml:space="preserve">A </w:t>
      </w:r>
      <w:r>
        <w:rPr>
          <w:b/>
        </w:rPr>
        <w:t>avaliação</w:t>
      </w:r>
      <w:r>
        <w:t xml:space="preserve"> constitui um instrumento para aferir a eficácia, a eficiência, os resultados e os impactos</w:t>
      </w:r>
      <w:r>
        <w:rPr>
          <w:rStyle w:val="FootnoteReference"/>
        </w:rPr>
        <w:footnoteReference w:id="1"/>
      </w:r>
      <w:r>
        <w:t xml:space="preserve">, a relevância e a coerência das políticas, bem como o valor acrescentado para a UE, a fim de garantir a sua responsabilização e transparência e, em última análise, melhorar a sua conceção. No âmbito do desenvolvimento rural, </w:t>
      </w:r>
      <w:r>
        <w:rPr>
          <w:b/>
        </w:rPr>
        <w:t>o período de programação 2014-2020</w:t>
      </w:r>
      <w:r>
        <w:t xml:space="preserve"> prevê duas etapas de avaliação: uma em 2017, destinada à avaliação dos resultados das políticas pelas partes interessadas, e outra em 2019, para aferir tanto os resultados como os impactos das políticas. Além disso, será realizada uma avaliação </w:t>
      </w:r>
      <w:r>
        <w:rPr>
          <w:i/>
        </w:rPr>
        <w:t>ex post</w:t>
      </w:r>
      <w:r>
        <w:t xml:space="preserve"> </w:t>
      </w:r>
      <w:r>
        <w:rPr>
          <w:b/>
        </w:rPr>
        <w:t>após o período de programação</w:t>
      </w:r>
      <w:r>
        <w:t>.</w:t>
      </w:r>
      <w:r>
        <w:rPr>
          <w:b/>
        </w:rPr>
        <w:t xml:space="preserve"> </w:t>
      </w:r>
    </w:p>
    <w:p w:rsidR="00CD63F6" w:rsidRPr="001C6ACF" w:rsidRDefault="00CD63F6" w:rsidP="005C0884">
      <w:pPr>
        <w:pStyle w:val="HHeading4"/>
      </w:pPr>
      <w:r>
        <w:t xml:space="preserve">Objetivo das Orientações </w:t>
      </w:r>
    </w:p>
    <w:p w:rsidR="00CD63F6" w:rsidRPr="00571D58" w:rsidRDefault="00BD7C99" w:rsidP="00CD63F6">
      <w:pPr>
        <w:pStyle w:val="HStandard"/>
      </w:pPr>
      <w:r>
        <w:t>O quadro normativo obriga os Estados-Membros a comunicar, em 2019, os progressos do PDR na consecução dos objetivos do programa, bem como os seus contributos para a estratégia da UE para um crescimento inteligente, sustentável e inclusivo. Para o efeito, serão apresentados relatórios anuais de execução (RAE) em 2019. As avaliações devem apreciar os contributos líquidos do programa para as alterações nos valores dos indicadores de impacto da PAC e responder às questões de avaliação</w:t>
      </w:r>
      <w:r>
        <w:rPr>
          <w:rStyle w:val="FootnoteReference"/>
        </w:rPr>
        <w:footnoteReference w:id="2"/>
      </w:r>
      <w:r>
        <w:t xml:space="preserve">. </w:t>
      </w:r>
    </w:p>
    <w:p w:rsidR="00CD63F6" w:rsidRPr="001C6ACF" w:rsidRDefault="009642AA" w:rsidP="009F77FD">
      <w:pPr>
        <w:pStyle w:val="HStandard"/>
      </w:pPr>
      <w:r>
        <w:t xml:space="preserve">As presentes orientações visam </w:t>
      </w:r>
      <w:r>
        <w:rPr>
          <w:b/>
        </w:rPr>
        <w:t>examinar os desafios</w:t>
      </w:r>
      <w:r>
        <w:t xml:space="preserve"> que se colocam às atividades de avaliação para o RAE de 2019, </w:t>
      </w:r>
      <w:r>
        <w:rPr>
          <w:b/>
        </w:rPr>
        <w:t>apresentar abordagens práticas</w:t>
      </w:r>
      <w:r>
        <w:t xml:space="preserve"> para estimar os contributos líquidos do PDR para os indicadores comuns de impacto da PAC e para avaliar os progressos na consecução dos objetivos a nível da UE, bem como</w:t>
      </w:r>
      <w:r>
        <w:rPr>
          <w:b/>
        </w:rPr>
        <w:t xml:space="preserve"> ajudar a responder</w:t>
      </w:r>
      <w:r>
        <w:t xml:space="preserve"> às questões de avaliação comuns (QAC) n.</w:t>
      </w:r>
      <w:r>
        <w:rPr>
          <w:vertAlign w:val="superscript"/>
        </w:rPr>
        <w:t>os</w:t>
      </w:r>
      <w:r>
        <w:t> 22 a 30 e a comunicar à Comissão Europeia as conclusões da avaliação constantes dos RAE apresentados em 2019.</w:t>
      </w:r>
    </w:p>
    <w:p w:rsidR="00CD63F6" w:rsidRPr="001C6ACF" w:rsidRDefault="00CD63F6" w:rsidP="005C0884">
      <w:pPr>
        <w:pStyle w:val="HHeading4"/>
      </w:pPr>
      <w:r>
        <w:t xml:space="preserve">Estrutura e conteúdo das Orientações </w:t>
      </w:r>
    </w:p>
    <w:p w:rsidR="00CD63F6" w:rsidRPr="001C6ACF" w:rsidRDefault="00BD7C99" w:rsidP="005C0884">
      <w:pPr>
        <w:pStyle w:val="HStandard"/>
      </w:pPr>
      <w:r>
        <w:t xml:space="preserve">As </w:t>
      </w:r>
      <w:r>
        <w:rPr>
          <w:b/>
        </w:rPr>
        <w:t>orientações NÃO VINCULATIVAS</w:t>
      </w:r>
      <w:r>
        <w:t xml:space="preserve"> «Avaliação dos resultados e impactos do Programa de Desenvolvimento Rural (PDR) em 2019» são compostas pelas seguintes partes: </w:t>
      </w:r>
    </w:p>
    <w:p w:rsidR="00CD63F6" w:rsidRPr="001C6ACF" w:rsidRDefault="008358D0" w:rsidP="00AD4DC6">
      <w:pPr>
        <w:pStyle w:val="Hlistbullet"/>
        <w:spacing w:line="276" w:lineRule="auto"/>
      </w:pPr>
      <w:r>
        <w:rPr>
          <w:b/>
          <w:color w:val="F07E31" w:themeColor="accent1"/>
        </w:rPr>
        <w:t>PARTE I</w:t>
      </w:r>
      <w:r>
        <w:t xml:space="preserve"> </w:t>
      </w:r>
      <w:r>
        <w:rPr>
          <w:b/>
          <w:color w:val="F07E31" w:themeColor="accent1"/>
        </w:rPr>
        <w:t xml:space="preserve">(destina-se, sobretudo, às autoridades de gestão): </w:t>
      </w:r>
      <w:r>
        <w:t>informa sobre os requisitos jurídicos e descreve como comunicar as informações sobre as QAC n.</w:t>
      </w:r>
      <w:r>
        <w:rPr>
          <w:vertAlign w:val="superscript"/>
        </w:rPr>
        <w:t>os</w:t>
      </w:r>
      <w:r>
        <w:t xml:space="preserve"> 22 a 30, em 2019. Esta parte contém referências a outras orientações em vigor. </w:t>
      </w:r>
    </w:p>
    <w:p w:rsidR="00CD63F6" w:rsidRPr="001C6ACF" w:rsidRDefault="008358D0" w:rsidP="00AD4DC6">
      <w:pPr>
        <w:pStyle w:val="Hlistbullet"/>
        <w:spacing w:line="276" w:lineRule="auto"/>
      </w:pPr>
      <w:r>
        <w:rPr>
          <w:b/>
          <w:color w:val="F07E31" w:themeColor="accent1"/>
        </w:rPr>
        <w:t>PARTE II</w:t>
      </w:r>
      <w:r>
        <w:t xml:space="preserve"> </w:t>
      </w:r>
      <w:r>
        <w:rPr>
          <w:b/>
          <w:color w:val="F07E31" w:themeColor="accent1"/>
        </w:rPr>
        <w:t>(destina-se, sobretudo, aos avaliadores):</w:t>
      </w:r>
      <w:r>
        <w:t xml:space="preserve"> presta apoio metodológico para a avaliação dos indicadores comuns de impacto do Pilar II (impactos setoriais, ambientais e socioeconómicos). Esta parte explica as lógicas de intervenção, a utilização de elementos de avaliação adicionais, os dados a apresentar e as unidades de avaliação, e orienta o leitor através da escolha das abordagens de avaliação mais adequadas para o cálculo do valor líquido dos contributos do PDR para os valores dos indicadores de impacto da PAC. Além </w:t>
      </w:r>
      <w:r>
        <w:lastRenderedPageBreak/>
        <w:t xml:space="preserve">disso, a Parte II sugere igualmente abordagens para avaliar os contributos do PDR para a realização da estratégia e da inovação da UE para 2020. </w:t>
      </w:r>
    </w:p>
    <w:p w:rsidR="00800238" w:rsidRPr="001C6ACF" w:rsidRDefault="00800238" w:rsidP="00AD4DC6">
      <w:pPr>
        <w:pStyle w:val="Hlistbullet"/>
        <w:spacing w:line="276" w:lineRule="auto"/>
      </w:pPr>
      <w:r>
        <w:rPr>
          <w:b/>
          <w:color w:val="F07E31" w:themeColor="accent1"/>
        </w:rPr>
        <w:t>PARTE III:</w:t>
      </w:r>
      <w:r>
        <w:rPr>
          <w:color w:val="F07E31" w:themeColor="accent1"/>
        </w:rPr>
        <w:t xml:space="preserve"> </w:t>
      </w:r>
      <w:r>
        <w:t>contém as fichas para responder às QAC n.</w:t>
      </w:r>
      <w:r>
        <w:rPr>
          <w:vertAlign w:val="superscript"/>
        </w:rPr>
        <w:t>os</w:t>
      </w:r>
      <w:r>
        <w:t> 22 a 30.</w:t>
      </w:r>
    </w:p>
    <w:p w:rsidR="00CD63F6" w:rsidRPr="001C6ACF" w:rsidRDefault="00FE491B" w:rsidP="00AD4DC6">
      <w:pPr>
        <w:pStyle w:val="Hlistbullet"/>
        <w:spacing w:line="276" w:lineRule="auto"/>
      </w:pPr>
      <w:r>
        <w:rPr>
          <w:b/>
          <w:color w:val="F07E31" w:themeColor="accent1"/>
        </w:rPr>
        <w:t xml:space="preserve">PARTE IV: </w:t>
      </w:r>
      <w:r>
        <w:t xml:space="preserve">contém o anexo técnico, incluindo informação mais circunstanciada sobre as abordagens para avaliar os indicadores de impacto da PAC, bem como o glossário de termos. </w:t>
      </w:r>
    </w:p>
    <w:p w:rsidR="001C2076" w:rsidRPr="001C6ACF" w:rsidRDefault="001C2076" w:rsidP="008D52EA">
      <w:pPr>
        <w:pStyle w:val="HHeading1"/>
        <w:tabs>
          <w:tab w:val="clear" w:pos="474"/>
          <w:tab w:val="clear" w:pos="567"/>
        </w:tabs>
        <w:rPr>
          <w:sz w:val="28"/>
        </w:rPr>
      </w:pPr>
      <w:r>
        <w:rPr>
          <w:sz w:val="28"/>
        </w:rPr>
        <w:lastRenderedPageBreak/>
        <w:t>Quais as informações sobre a avaliação que devem ser comunicadas no relatório anual de execução (RAE) de 2019? (Parte I)</w:t>
      </w:r>
    </w:p>
    <w:p w:rsidR="001C2076" w:rsidRPr="001C6ACF" w:rsidRDefault="000C5796" w:rsidP="00E35440">
      <w:pPr>
        <w:pStyle w:val="HHeading2"/>
      </w:pPr>
      <w:r>
        <w:t xml:space="preserve">O quadro normativo e a principal incidência da avaliação em 2019 </w:t>
      </w:r>
    </w:p>
    <w:p w:rsidR="00B013D7" w:rsidRPr="00571D58" w:rsidRDefault="006A3698" w:rsidP="001C2076">
      <w:pPr>
        <w:pStyle w:val="HStandard"/>
      </w:pPr>
      <w:r>
        <w:t>A partir de junho de 2016, e anualmente até 2024</w:t>
      </w:r>
      <w:r>
        <w:rPr>
          <w:rStyle w:val="FootnoteReference"/>
        </w:rPr>
        <w:footnoteReference w:id="3"/>
      </w:r>
      <w:r>
        <w:t>, os Estados-Membros apresentam à Comissão Europeia um RAE, com informações sobre a execução do PDR, bem como informações sobre o progresso na execução do plano de avaliação</w:t>
      </w:r>
      <w:r>
        <w:rPr>
          <w:rStyle w:val="FootnoteReference"/>
        </w:rPr>
        <w:footnoteReference w:id="4"/>
      </w:r>
      <w:r>
        <w:t xml:space="preserve">. </w:t>
      </w:r>
    </w:p>
    <w:p w:rsidR="001C2076" w:rsidRPr="0036731C" w:rsidRDefault="001C2076" w:rsidP="001C2076">
      <w:pPr>
        <w:pStyle w:val="HStandard"/>
      </w:pPr>
      <w:r>
        <w:rPr>
          <w:b/>
        </w:rPr>
        <w:t>Em 2017, o RAE</w:t>
      </w:r>
      <w:r>
        <w:t xml:space="preserve"> incluiu a quantificação das realizações do programa (através da avaliação dos indicadores de resultados, incluindo os indicadores complementares de resultados). Foram utilizados critérios de apreciação para interpretar os indicadores de resultados e responder às QAC</w:t>
      </w:r>
      <w:r>
        <w:rPr>
          <w:rStyle w:val="FootnoteReference"/>
        </w:rPr>
        <w:footnoteReference w:id="5"/>
      </w:r>
      <w:r>
        <w:t xml:space="preserve"> n.</w:t>
      </w:r>
      <w:r>
        <w:rPr>
          <w:vertAlign w:val="superscript"/>
        </w:rPr>
        <w:t>os</w:t>
      </w:r>
      <w:r>
        <w:t> 1 a 21. As orientações:</w:t>
      </w:r>
      <w:r>
        <w:rPr>
          <w:i/>
        </w:rPr>
        <w:t xml:space="preserve"> </w:t>
      </w:r>
      <w:hyperlink r:id="rId14">
        <w:r>
          <w:rPr>
            <w:rStyle w:val="Hyperlink"/>
            <w:i/>
          </w:rPr>
          <w:t>«Assessment of RDP Results: how to prepare for reporting on evaluation in 2017»</w:t>
        </w:r>
      </w:hyperlink>
      <w:r>
        <w:t xml:space="preserve"> (Avaliação dos resultados do PDR: como preparar a comunicação de informações sobre a avaliação em 2017), podem igualmente apoiar essas atividades, tornando-as assim relevantes para o exercício de 2019</w:t>
      </w:r>
      <w:r>
        <w:rPr>
          <w:rStyle w:val="FootnoteReference"/>
        </w:rPr>
        <w:footnoteReference w:id="6"/>
      </w:r>
      <w:r>
        <w:t xml:space="preserve">. </w:t>
      </w:r>
    </w:p>
    <w:p w:rsidR="00BA41C1" w:rsidRPr="001C6ACF" w:rsidRDefault="001C2076" w:rsidP="001C2076">
      <w:pPr>
        <w:pStyle w:val="HStandard"/>
      </w:pPr>
      <w:r>
        <w:t xml:space="preserve">O </w:t>
      </w:r>
      <w:r>
        <w:rPr>
          <w:b/>
        </w:rPr>
        <w:t>RAE</w:t>
      </w:r>
      <w:r>
        <w:t xml:space="preserve"> de</w:t>
      </w:r>
      <w:r>
        <w:rPr>
          <w:b/>
        </w:rPr>
        <w:t xml:space="preserve"> 2019</w:t>
      </w:r>
      <w:r>
        <w:t xml:space="preserve"> exige uma atualização das conclusões da avaliação que foram comunicadas anteriormente em 2017 e incluirá </w:t>
      </w:r>
      <w:r>
        <w:rPr>
          <w:u w:val="single"/>
        </w:rPr>
        <w:t>ainda</w:t>
      </w:r>
      <w:r>
        <w:t>:</w:t>
      </w:r>
    </w:p>
    <w:p w:rsidR="00BA41C1" w:rsidRPr="001C6ACF" w:rsidRDefault="001C2076" w:rsidP="00BA41C1">
      <w:pPr>
        <w:pStyle w:val="Hlistbullet"/>
      </w:pPr>
      <w:r>
        <w:t xml:space="preserve">As conclusões da avaliação dos impactos do PDR, obtidas através do cálculo e da interpretação dos valores líquidos dos indicadores de impacto da PAC; </w:t>
      </w:r>
    </w:p>
    <w:p w:rsidR="00BA41C1" w:rsidRPr="001C6ACF" w:rsidRDefault="00BA41C1" w:rsidP="00BA41C1">
      <w:pPr>
        <w:pStyle w:val="Hlistbullet"/>
      </w:pPr>
      <w:r>
        <w:t xml:space="preserve">Os contributos do PDR para a estratégia da UE para um crescimento inteligente, sustentável e inclusivo, bem como para a estratégia de biodiversidade; e </w:t>
      </w:r>
    </w:p>
    <w:p w:rsidR="001C2076" w:rsidRPr="001C6ACF" w:rsidRDefault="00BA41C1" w:rsidP="00BA41C1">
      <w:pPr>
        <w:pStyle w:val="Hlistbullet"/>
      </w:pPr>
      <w:r>
        <w:t>As respostas às QAC para os PDR 2014-2020, no que respeita aos objetivos a nível da UE (ou seja, as QAC n.</w:t>
      </w:r>
      <w:r>
        <w:rPr>
          <w:vertAlign w:val="superscript"/>
        </w:rPr>
        <w:t>os</w:t>
      </w:r>
      <w:r>
        <w:t> 22 a 30).</w:t>
      </w:r>
    </w:p>
    <w:p w:rsidR="001C2076" w:rsidRPr="0036731C" w:rsidRDefault="00CA1C02" w:rsidP="001C2076">
      <w:pPr>
        <w:pStyle w:val="HStandard"/>
      </w:pPr>
      <w:r>
        <w:t>A figura a seguir descreve os principais requisitos aplicáveis à comunicação de informações sobre a avaliação nos RAE em todo o período de programação, conforme declarado no quadro normativo</w:t>
      </w:r>
      <w:r>
        <w:rPr>
          <w:rStyle w:val="FootnoteReference"/>
        </w:rPr>
        <w:footnoteReference w:id="7"/>
      </w:r>
      <w:r>
        <w:t xml:space="preserve">, bem como as orientações pertinentes. </w:t>
      </w:r>
    </w:p>
    <w:p w:rsidR="001C2076" w:rsidRPr="00FB6C06" w:rsidRDefault="00702F4A" w:rsidP="00702F4A">
      <w:pPr>
        <w:pStyle w:val="HHeadingfigures"/>
        <w:numPr>
          <w:ilvl w:val="0"/>
          <w:numId w:val="0"/>
        </w:numPr>
      </w:pPr>
      <w:r>
        <w:lastRenderedPageBreak/>
        <w:t>Figura 1.</w:t>
      </w:r>
      <w:r>
        <w:tab/>
      </w:r>
      <w:r w:rsidR="00CA1C02">
        <w:t xml:space="preserve">Relatório de avaliação (em conformidade com o anexo VII do Regulamento (UE) n.º 808/2014) </w:t>
      </w:r>
    </w:p>
    <w:p w:rsidR="001C2076" w:rsidRPr="00571D58" w:rsidRDefault="006A4BE4" w:rsidP="00744BAA">
      <w:pPr>
        <w:pStyle w:val="HStandard"/>
        <w:jc w:val="center"/>
      </w:pPr>
      <w:r w:rsidRPr="006A4BE4">
        <w:rPr>
          <w:noProof/>
          <w:lang w:bidi="ar-SA"/>
        </w:rPr>
        <w:drawing>
          <wp:inline distT="0" distB="0" distL="0" distR="0">
            <wp:extent cx="5731510" cy="3373782"/>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373782"/>
                    </a:xfrm>
                    <a:prstGeom prst="rect">
                      <a:avLst/>
                    </a:prstGeom>
                    <a:noFill/>
                    <a:ln>
                      <a:noFill/>
                    </a:ln>
                  </pic:spPr>
                </pic:pic>
              </a:graphicData>
            </a:graphic>
          </wp:inline>
        </w:drawing>
      </w:r>
    </w:p>
    <w:p w:rsidR="001C2076" w:rsidRPr="007645B4" w:rsidRDefault="001C2076" w:rsidP="008D52EA">
      <w:pPr>
        <w:pStyle w:val="HSource"/>
        <w:rPr>
          <w:i w:val="0"/>
        </w:rPr>
      </w:pPr>
      <w:r>
        <w:t>Fonte: Serviço Europeu de Assistência na Avaliação para o Desenvolvimento Rural (2018)</w:t>
      </w:r>
    </w:p>
    <w:p w:rsidR="00E52E73" w:rsidRPr="007645B4" w:rsidRDefault="00E52E73" w:rsidP="00E52E73">
      <w:pPr>
        <w:pStyle w:val="HHeading4"/>
      </w:pPr>
      <w:r>
        <w:t xml:space="preserve">Quadro normativo </w:t>
      </w:r>
    </w:p>
    <w:p w:rsidR="00DE65AB" w:rsidRPr="001C6ACF" w:rsidRDefault="00BA41C1" w:rsidP="001C2076">
      <w:pPr>
        <w:pStyle w:val="HStandard"/>
      </w:pPr>
      <w:r>
        <w:t>O quadro normativo e o sistema comum de acompanhamento e avaliação (SCAA) constituem a</w:t>
      </w:r>
      <w:r w:rsidR="00702F4A">
        <w:t xml:space="preserve"> base para a avaliação dos PDR.</w:t>
      </w:r>
    </w:p>
    <w:p w:rsidR="001A2395" w:rsidRPr="00863E73" w:rsidRDefault="00BA41C1" w:rsidP="001C2076">
      <w:pPr>
        <w:pStyle w:val="HStandard"/>
      </w:pPr>
      <w:r>
        <w:t xml:space="preserve">O </w:t>
      </w:r>
      <w:r>
        <w:rPr>
          <w:b/>
        </w:rPr>
        <w:t>quadro normativo</w:t>
      </w:r>
      <w:r>
        <w:rPr>
          <w:rStyle w:val="FootnoteReference"/>
        </w:rPr>
        <w:footnoteReference w:id="8"/>
      </w:r>
      <w:r>
        <w:t xml:space="preserve"> constitui a base para a avaliação das realizações e dos contributos do PDR para os objetivos políticos mais ambiciosos da UE. </w:t>
      </w:r>
    </w:p>
    <w:p w:rsidR="001C2076" w:rsidRPr="001C6ACF" w:rsidRDefault="00CA1C02" w:rsidP="001C2076">
      <w:pPr>
        <w:pStyle w:val="HStandard"/>
      </w:pPr>
      <w:r>
        <w:t xml:space="preserve">As </w:t>
      </w:r>
      <w:r>
        <w:rPr>
          <w:b/>
        </w:rPr>
        <w:t>disposições gerais</w:t>
      </w:r>
      <w:r>
        <w:t xml:space="preserve"> de avaliação são estipuladas no </w:t>
      </w:r>
      <w:r>
        <w:rPr>
          <w:b/>
        </w:rPr>
        <w:t>Regulamento (UE) n.º 1303/2013</w:t>
      </w:r>
      <w:r>
        <w:t xml:space="preserve"> e especificam o papel da avaliação:</w:t>
      </w:r>
    </w:p>
    <w:p w:rsidR="001C2076" w:rsidRPr="001C6ACF" w:rsidRDefault="001C2076" w:rsidP="008D52EA">
      <w:pPr>
        <w:pStyle w:val="Hlistbullet"/>
      </w:pPr>
      <w:r>
        <w:t xml:space="preserve">na melhoria da qualidade da elaboração e execução dos programas, e </w:t>
      </w:r>
    </w:p>
    <w:p w:rsidR="001C2076" w:rsidRPr="00571D58" w:rsidRDefault="001C2076" w:rsidP="008D52EA">
      <w:pPr>
        <w:pStyle w:val="Hlistbullet"/>
      </w:pPr>
      <w:r>
        <w:t>na avaliação da eficácia, da eficiência e dos impactos dos programas</w:t>
      </w:r>
      <w:r>
        <w:rPr>
          <w:rStyle w:val="FootnoteReference"/>
        </w:rPr>
        <w:footnoteReference w:id="9"/>
      </w:r>
      <w:r>
        <w:t xml:space="preserve">. </w:t>
      </w:r>
    </w:p>
    <w:p w:rsidR="00087412" w:rsidRPr="001C6ACF" w:rsidRDefault="00D42EC7" w:rsidP="001C2076">
      <w:pPr>
        <w:pStyle w:val="HStandard"/>
      </w:pPr>
      <w:r>
        <w:t xml:space="preserve">Para o efeito, compete aos Estados-Membros garantir os </w:t>
      </w:r>
      <w:r>
        <w:rPr>
          <w:b/>
        </w:rPr>
        <w:t>recursos necessários para efetuar as avaliações</w:t>
      </w:r>
      <w:r>
        <w:t xml:space="preserve">, bem como os procedimentos a aplicar para a </w:t>
      </w:r>
      <w:r>
        <w:rPr>
          <w:b/>
        </w:rPr>
        <w:t>produção e recolha dos dados necessários a essas avaliações</w:t>
      </w:r>
      <w:r>
        <w:t xml:space="preserve">, incluindo os dados relativos aos indicadores comuns e, quando apropriado, aos indicadores específicos dos programas. </w:t>
      </w:r>
    </w:p>
    <w:p w:rsidR="001C2076" w:rsidRPr="00571D58" w:rsidRDefault="001C2076" w:rsidP="001C2076">
      <w:pPr>
        <w:pStyle w:val="HStandard"/>
      </w:pPr>
      <w:r>
        <w:t xml:space="preserve">A avaliação deve ser efetuada em conformidade com o </w:t>
      </w:r>
      <w:r>
        <w:rPr>
          <w:b/>
        </w:rPr>
        <w:t>plano de avaliação</w:t>
      </w:r>
      <w:r>
        <w:t xml:space="preserve"> e deve ser dado seguimento às suas conclusões em conformidade com as regras específicas dos fundos. Pelo menos uma vez durante o período de programação, deve ser realizada uma avaliação para determinar de que forma os FEEI contribuíram para os objetivos de cada prioridade</w:t>
      </w:r>
      <w:r>
        <w:rPr>
          <w:rStyle w:val="FootnoteReference"/>
        </w:rPr>
        <w:footnoteReference w:id="10"/>
      </w:r>
      <w:r>
        <w:t>.</w:t>
      </w:r>
    </w:p>
    <w:p w:rsidR="001C2076" w:rsidRPr="00571D58" w:rsidRDefault="001C2076" w:rsidP="001C2076">
      <w:pPr>
        <w:pStyle w:val="HStandard"/>
      </w:pPr>
      <w:r>
        <w:t xml:space="preserve">O </w:t>
      </w:r>
      <w:r>
        <w:rPr>
          <w:b/>
        </w:rPr>
        <w:t>Regulamento (UE) n.º 1306/2013</w:t>
      </w:r>
      <w:r>
        <w:t xml:space="preserve"> especifica os requisitos de acompanhamento e avaliação da Política Agrícola Comum (PAC)</w:t>
      </w:r>
      <w:r>
        <w:rPr>
          <w:rStyle w:val="FootnoteReference"/>
        </w:rPr>
        <w:footnoteReference w:id="11"/>
      </w:r>
      <w:r>
        <w:t xml:space="preserve">, e estabelece que a Comissão Europeia deve assegurar o desempenho da PAC na realização dos seus </w:t>
      </w:r>
      <w:r>
        <w:rPr>
          <w:b/>
        </w:rPr>
        <w:t>objetivos comuns</w:t>
      </w:r>
      <w:r>
        <w:t xml:space="preserve">. O impacto combinado de todos os instrumentos da PAC é medido e avaliado com base nas informações das atividades de </w:t>
      </w:r>
      <w:r>
        <w:lastRenderedPageBreak/>
        <w:t>acompanhamento e avaliação realizadas nos Estados-Membros.</w:t>
      </w:r>
      <w:r>
        <w:rPr>
          <w:b/>
        </w:rPr>
        <w:t xml:space="preserve"> </w:t>
      </w:r>
      <w:r>
        <w:t xml:space="preserve">Os objetivos comuns devem ser avaliados através de </w:t>
      </w:r>
      <w:r>
        <w:rPr>
          <w:b/>
        </w:rPr>
        <w:t>indicadores comuns de impacto</w:t>
      </w:r>
      <w:r>
        <w:t xml:space="preserve">, enquanto os objetivos específicos subjacentes devem ser avaliados mediante a utilização de </w:t>
      </w:r>
      <w:r>
        <w:rPr>
          <w:b/>
        </w:rPr>
        <w:t>indicadores comuns de resultados</w:t>
      </w:r>
      <w:r>
        <w:t>. As informações coligidas devem basear-se em fontes reconhecidas de dados, tais como a Rede de Informação Contabilística Agrícola (RICA) e o Eurostat. A Comissão Europeia deve ter em conta as necessidades em termos de dados e as sinergias entre potenciais fontes de dados, em particular a sua utilização para fins estatísticos, quando adequado</w:t>
      </w:r>
      <w:r>
        <w:rPr>
          <w:rStyle w:val="FootnoteReference"/>
        </w:rPr>
        <w:footnoteReference w:id="12"/>
      </w:r>
      <w:r>
        <w:t>.</w:t>
      </w:r>
    </w:p>
    <w:p w:rsidR="001C2076" w:rsidRPr="001C6ACF" w:rsidRDefault="001C2076" w:rsidP="001C2076">
      <w:pPr>
        <w:pStyle w:val="HStandard"/>
      </w:pPr>
      <w:r>
        <w:t xml:space="preserve">O </w:t>
      </w:r>
      <w:r>
        <w:rPr>
          <w:b/>
        </w:rPr>
        <w:t>Regulamento (UE) n.º 1305/2013 estabelece o sistema comum de acompanhamento e avaliação</w:t>
      </w:r>
      <w:r>
        <w:t>, os seus objetivos</w:t>
      </w:r>
      <w:r>
        <w:rPr>
          <w:rStyle w:val="FootnoteReference"/>
        </w:rPr>
        <w:footnoteReference w:id="13"/>
      </w:r>
      <w:r>
        <w:t xml:space="preserve"> e os indicadores comuns</w:t>
      </w:r>
      <w:r>
        <w:rPr>
          <w:rStyle w:val="FootnoteReference"/>
        </w:rPr>
        <w:footnoteReference w:id="14"/>
      </w:r>
      <w:r>
        <w:t>. Este indicadores comuns referem-se à situação inicial (indicadores de contexto), bem como à execução financeira, às realizações, aos resultados e ao impacto dos programas. Os indicadores comuns baseiam-se nos dados disponíveis e estão associados à estrutura e aos objetivos do quadro estratégico para o desenvolvimento rural e permitem a avaliação dos progressos, da eficiência e da eficácia da execução da política de desenvolvimento rural em relação aos objetivos e metas fixados a nível da União, a nível nacional e a nível dos programas.</w:t>
      </w:r>
    </w:p>
    <w:p w:rsidR="001C2076" w:rsidRPr="001C6ACF" w:rsidRDefault="001C2076" w:rsidP="001C2076">
      <w:pPr>
        <w:pStyle w:val="HStandard"/>
        <w:rPr>
          <w:b/>
        </w:rPr>
      </w:pPr>
      <w:r>
        <w:t xml:space="preserve">Os impactos dos programas de desenvolvimento rural são avaliados com recurso a indicadores comuns de impacto (bem como a indicadores adicionais e específicos do programa). </w:t>
      </w:r>
      <w:r>
        <w:rPr>
          <w:b/>
        </w:rPr>
        <w:t xml:space="preserve">A avaliação dos impactos do programa é da responsabilidade de cada Estado-Membro. </w:t>
      </w:r>
    </w:p>
    <w:p w:rsidR="00E52E73" w:rsidRPr="001C6ACF" w:rsidRDefault="00E52E73" w:rsidP="00E52E73">
      <w:pPr>
        <w:pStyle w:val="HHeading4"/>
      </w:pPr>
      <w:r>
        <w:t>Elementos de avaliação comuns</w:t>
      </w:r>
    </w:p>
    <w:p w:rsidR="00D42EC7" w:rsidRPr="00CB20AA" w:rsidRDefault="00D42EC7" w:rsidP="00D42EC7">
      <w:pPr>
        <w:pStyle w:val="HStandard"/>
      </w:pPr>
      <w:r>
        <w:t>O sistema comum de acompanhamento e avaliação (SCAA) integra o quadro comum de acompanhamento e de avaliação (QCAA) da PAC</w:t>
      </w:r>
      <w:r>
        <w:rPr>
          <w:rStyle w:val="FootnoteReference"/>
        </w:rPr>
        <w:footnoteReference w:id="15"/>
      </w:r>
      <w:r>
        <w:t xml:space="preserve"> e inclui vários documentos de orientação sobre a utilização de indicadores e questões de avaliação comuns no acompanhamento e na avaliação da política de desenvolvimento rural. O </w:t>
      </w:r>
      <w:r>
        <w:rPr>
          <w:b/>
        </w:rPr>
        <w:t>Regulamento</w:t>
      </w:r>
      <w:r>
        <w:t xml:space="preserve"> de Execução (UE) </w:t>
      </w:r>
      <w:r>
        <w:rPr>
          <w:b/>
        </w:rPr>
        <w:t>n.º 808/2014</w:t>
      </w:r>
      <w:r>
        <w:t xml:space="preserve"> da Comissão</w:t>
      </w:r>
      <w:r>
        <w:rPr>
          <w:rStyle w:val="FootnoteReference"/>
          <w:b/>
        </w:rPr>
        <w:footnoteReference w:id="16"/>
      </w:r>
      <w:r>
        <w:t xml:space="preserve"> descreve em pormenor o SCAA e especifica os seus elementos: </w:t>
      </w:r>
    </w:p>
    <w:p w:rsidR="001C2076" w:rsidRPr="00FB6C06" w:rsidRDefault="001C2076" w:rsidP="008D52EA">
      <w:pPr>
        <w:pStyle w:val="Hlistbullet"/>
      </w:pPr>
      <w:r>
        <w:t xml:space="preserve">Uma lógica de intervenção que revele as interações entre as prioridades, os domínios de incidência e as medidas; </w:t>
      </w:r>
    </w:p>
    <w:p w:rsidR="001C2076" w:rsidRPr="00571D58" w:rsidRDefault="001C2076" w:rsidP="008D52EA">
      <w:pPr>
        <w:pStyle w:val="Hlistbullet"/>
      </w:pPr>
      <w:r>
        <w:t>Um conjunto comum constituído por um contexto e por indicadores de resultados e realizações, incluindo os indicadores a utilizar para o estabelecimento de objetivos quantificados para o desenvolvimento rural nos domínios de incidência</w:t>
      </w:r>
      <w:r>
        <w:rPr>
          <w:rStyle w:val="FootnoteReference"/>
        </w:rPr>
        <w:footnoteReference w:id="17"/>
      </w:r>
      <w:r>
        <w:t xml:space="preserve">; </w:t>
      </w:r>
    </w:p>
    <w:p w:rsidR="001C2076" w:rsidRPr="00571D58" w:rsidRDefault="001C2076" w:rsidP="008D52EA">
      <w:pPr>
        <w:pStyle w:val="Hlistbullet"/>
      </w:pPr>
      <w:r>
        <w:t>Questões de avaliação comuns</w:t>
      </w:r>
      <w:r>
        <w:rPr>
          <w:rStyle w:val="FootnoteReference"/>
        </w:rPr>
        <w:footnoteReference w:id="18"/>
      </w:r>
      <w:r>
        <w:t>;</w:t>
      </w:r>
    </w:p>
    <w:p w:rsidR="001C2076" w:rsidRPr="00FB6C06" w:rsidRDefault="001C2076" w:rsidP="008D52EA">
      <w:pPr>
        <w:pStyle w:val="Hlistbullet"/>
      </w:pPr>
      <w:r>
        <w:t xml:space="preserve">Recolha, armazenagem e transporte de dados; </w:t>
      </w:r>
    </w:p>
    <w:p w:rsidR="001C2076" w:rsidRPr="00571D58" w:rsidRDefault="001C2076" w:rsidP="008D52EA">
      <w:pPr>
        <w:pStyle w:val="Hlistbullet"/>
      </w:pPr>
      <w:r>
        <w:t>Relatórios regulares sobre as atividades de acompanhamento e de avaliação</w:t>
      </w:r>
      <w:r>
        <w:rPr>
          <w:rStyle w:val="FootnoteReference"/>
        </w:rPr>
        <w:footnoteReference w:id="19"/>
      </w:r>
      <w:r>
        <w:t xml:space="preserve">; </w:t>
      </w:r>
    </w:p>
    <w:p w:rsidR="001C2076" w:rsidRPr="00571D58" w:rsidRDefault="001C2076" w:rsidP="008D52EA">
      <w:pPr>
        <w:pStyle w:val="Hlistbullet"/>
      </w:pPr>
      <w:r>
        <w:t>O plano de avaliação</w:t>
      </w:r>
      <w:r>
        <w:rPr>
          <w:rStyle w:val="FootnoteReference"/>
        </w:rPr>
        <w:footnoteReference w:id="20"/>
      </w:r>
      <w:r>
        <w:t xml:space="preserve">; </w:t>
      </w:r>
    </w:p>
    <w:p w:rsidR="001C2076" w:rsidRPr="00571D58" w:rsidRDefault="001C2076" w:rsidP="008D52EA">
      <w:pPr>
        <w:pStyle w:val="Hlistbullet"/>
      </w:pPr>
      <w:r>
        <w:t xml:space="preserve">As avaliações </w:t>
      </w:r>
      <w:r>
        <w:rPr>
          <w:i/>
        </w:rPr>
        <w:t>ex ante</w:t>
      </w:r>
      <w:r>
        <w:t xml:space="preserve"> e </w:t>
      </w:r>
      <w:r>
        <w:rPr>
          <w:i/>
        </w:rPr>
        <w:t>ex post</w:t>
      </w:r>
      <w:r>
        <w:t>, assim como as restantes atividades de avaliação associadas ao programa de desenvolvimento rural, incluindo as necessárias para cumprir os requisitos acrescidos dos relatórios anuais de execução de 2017 e 2019</w:t>
      </w:r>
      <w:r>
        <w:rPr>
          <w:rStyle w:val="FootnoteReference"/>
        </w:rPr>
        <w:footnoteReference w:id="21"/>
      </w:r>
      <w:r>
        <w:t>;</w:t>
      </w:r>
    </w:p>
    <w:p w:rsidR="001C2076" w:rsidRPr="00571D58" w:rsidRDefault="001C2076" w:rsidP="008D52EA">
      <w:pPr>
        <w:pStyle w:val="Hlistbullet"/>
      </w:pPr>
      <w:r>
        <w:t>Apoio aos responsáveis pelo acompanhamento e pela avaliação no cumprimento das suas obrigações</w:t>
      </w:r>
      <w:r>
        <w:rPr>
          <w:rStyle w:val="FootnoteReference"/>
        </w:rPr>
        <w:footnoteReference w:id="22"/>
      </w:r>
      <w:r>
        <w:t xml:space="preserve">; </w:t>
      </w:r>
    </w:p>
    <w:p w:rsidR="00F40273" w:rsidRPr="00CB20AA" w:rsidRDefault="00D42EC7" w:rsidP="001C2076">
      <w:pPr>
        <w:pStyle w:val="HStandard"/>
      </w:pPr>
      <w:r>
        <w:lastRenderedPageBreak/>
        <w:t xml:space="preserve">A Comissão Europeia também fornece </w:t>
      </w:r>
      <w:r>
        <w:rPr>
          <w:b/>
        </w:rPr>
        <w:t>fichas</w:t>
      </w:r>
      <w:r>
        <w:t xml:space="preserve"> detalhadas para cada um dos indicadores comuns comunicados nos RAE de 2017 e 2019. Entre esses indicadores, estão os 16 </w:t>
      </w:r>
      <w:hyperlink r:id="rId16">
        <w:r>
          <w:rPr>
            <w:rStyle w:val="Hyperlink"/>
          </w:rPr>
          <w:t>indicadores comuns de impacto da PAC</w:t>
        </w:r>
      </w:hyperlink>
      <w:r>
        <w:t xml:space="preserve">. </w:t>
      </w:r>
      <w:r>
        <w:rPr>
          <w:b/>
        </w:rPr>
        <w:t>Cada ficha de indicador de impacto</w:t>
      </w:r>
      <w:r>
        <w:t xml:space="preserve"> contém uma ligação para:</w:t>
      </w:r>
    </w:p>
    <w:p w:rsidR="00F40273" w:rsidRPr="001C6ACF" w:rsidRDefault="00A3244E" w:rsidP="00DA263D">
      <w:pPr>
        <w:pStyle w:val="Hlistbullet"/>
      </w:pPr>
      <w:r>
        <w:t xml:space="preserve">O seu objetivo político; </w:t>
      </w:r>
    </w:p>
    <w:p w:rsidR="00F40273" w:rsidRPr="001C6ACF" w:rsidRDefault="001C2076" w:rsidP="00DA263D">
      <w:pPr>
        <w:pStyle w:val="Hlistbullet"/>
      </w:pPr>
      <w:r>
        <w:t xml:space="preserve">A definição do indicador; </w:t>
      </w:r>
    </w:p>
    <w:p w:rsidR="00F40273" w:rsidRPr="001C6ACF" w:rsidRDefault="001C2076" w:rsidP="00DA263D">
      <w:pPr>
        <w:pStyle w:val="Hlistbullet"/>
      </w:pPr>
      <w:r>
        <w:t xml:space="preserve">A unidade de medida; </w:t>
      </w:r>
    </w:p>
    <w:p w:rsidR="00F40273" w:rsidRPr="001C6ACF" w:rsidRDefault="001C2076" w:rsidP="00DA263D">
      <w:pPr>
        <w:pStyle w:val="Hlistbullet"/>
      </w:pPr>
      <w:r>
        <w:t xml:space="preserve">A metodologia/fórmula de cálculo; </w:t>
      </w:r>
    </w:p>
    <w:p w:rsidR="00F40273" w:rsidRPr="001C6ACF" w:rsidRDefault="001C2076" w:rsidP="00DA263D">
      <w:pPr>
        <w:pStyle w:val="Hlistbullet"/>
      </w:pPr>
      <w:r>
        <w:t xml:space="preserve">Os requisitos de dados e as fontes; </w:t>
      </w:r>
    </w:p>
    <w:p w:rsidR="00F40273" w:rsidRPr="001C6ACF" w:rsidRDefault="003304E5" w:rsidP="00DA263D">
      <w:pPr>
        <w:pStyle w:val="Hlistbullet"/>
      </w:pPr>
      <w:r>
        <w:t xml:space="preserve">O nível e a frequência da recolha de dados; </w:t>
      </w:r>
    </w:p>
    <w:p w:rsidR="001C2076" w:rsidRPr="001C6ACF" w:rsidRDefault="001C2076" w:rsidP="00DA263D">
      <w:pPr>
        <w:pStyle w:val="Hlistbullet"/>
      </w:pPr>
      <w:r>
        <w:t xml:space="preserve">As informações sobre atrasos na recolha de dados. </w:t>
      </w:r>
    </w:p>
    <w:p w:rsidR="001C2076" w:rsidRPr="001C6ACF" w:rsidRDefault="001C2076" w:rsidP="001C2076">
      <w:pPr>
        <w:pStyle w:val="HStandard"/>
      </w:pPr>
      <w:r>
        <w:t xml:space="preserve">Serão utilizados </w:t>
      </w:r>
      <w:r>
        <w:rPr>
          <w:b/>
        </w:rPr>
        <w:t>13 dos 16 indicadores comuns de impacto da PAC</w:t>
      </w:r>
      <w:r>
        <w:t xml:space="preserve"> na avaliação dos impactos do PDR:</w:t>
      </w:r>
    </w:p>
    <w:p w:rsidR="001C2076" w:rsidRPr="001C6ACF" w:rsidRDefault="001C2076" w:rsidP="008D52EA">
      <w:pPr>
        <w:pStyle w:val="Hlistbullet"/>
      </w:pPr>
      <w:r>
        <w:t>I.01 Rendimento empresarial agrícola</w:t>
      </w:r>
    </w:p>
    <w:p w:rsidR="001C2076" w:rsidRPr="001C6ACF" w:rsidRDefault="001C2076" w:rsidP="008D52EA">
      <w:pPr>
        <w:pStyle w:val="Hlistbullet"/>
      </w:pPr>
      <w:r>
        <w:t>I.02 Rendimento dos fatores agrícolas</w:t>
      </w:r>
    </w:p>
    <w:p w:rsidR="001C2076" w:rsidRPr="001C6ACF" w:rsidRDefault="001C2076" w:rsidP="008D52EA">
      <w:pPr>
        <w:pStyle w:val="Hlistbullet"/>
      </w:pPr>
      <w:r>
        <w:t>I.03 Produtividade total dos fatores na agricultura</w:t>
      </w:r>
    </w:p>
    <w:p w:rsidR="001C2076" w:rsidRPr="001C6ACF" w:rsidRDefault="001C2076" w:rsidP="008D52EA">
      <w:pPr>
        <w:pStyle w:val="Hlistbullet"/>
      </w:pPr>
      <w:r>
        <w:t>I.07 Emissões com origem na agricultura</w:t>
      </w:r>
    </w:p>
    <w:p w:rsidR="001C2076" w:rsidRPr="001C6ACF" w:rsidRDefault="001C2076" w:rsidP="008D52EA">
      <w:pPr>
        <w:pStyle w:val="Hlistbullet"/>
      </w:pPr>
      <w:r>
        <w:t>I.08 Indicador relativo às aves das terras agrícolas</w:t>
      </w:r>
    </w:p>
    <w:p w:rsidR="001C2076" w:rsidRPr="001C6ACF" w:rsidRDefault="001C2076" w:rsidP="008D52EA">
      <w:pPr>
        <w:pStyle w:val="Hlistbullet"/>
      </w:pPr>
      <w:r>
        <w:t>I.09 Sistemas agrícolas de elevado valor natural</w:t>
      </w:r>
    </w:p>
    <w:p w:rsidR="001C2076" w:rsidRPr="001C6ACF" w:rsidRDefault="001C2076" w:rsidP="008D52EA">
      <w:pPr>
        <w:pStyle w:val="Hlistbullet"/>
      </w:pPr>
      <w:r>
        <w:t>I.10 Captação de água na agricultura</w:t>
      </w:r>
    </w:p>
    <w:p w:rsidR="001C2076" w:rsidRPr="001C6ACF" w:rsidRDefault="001C2076" w:rsidP="008D52EA">
      <w:pPr>
        <w:pStyle w:val="Hlistbullet"/>
      </w:pPr>
      <w:r>
        <w:t>I.11 Qualidade da água</w:t>
      </w:r>
    </w:p>
    <w:p w:rsidR="001C2076" w:rsidRPr="001C6ACF" w:rsidRDefault="001C2076" w:rsidP="008D52EA">
      <w:pPr>
        <w:pStyle w:val="Hlistbullet"/>
      </w:pPr>
      <w:r>
        <w:t>I.12 Matéria orgânica do solo em terras aráveis</w:t>
      </w:r>
    </w:p>
    <w:p w:rsidR="001C2076" w:rsidRPr="001C6ACF" w:rsidRDefault="001C2076" w:rsidP="008D52EA">
      <w:pPr>
        <w:pStyle w:val="Hlistbullet"/>
      </w:pPr>
      <w:r>
        <w:t>I.13 Erosão dos solos pela água</w:t>
      </w:r>
    </w:p>
    <w:p w:rsidR="001C2076" w:rsidRPr="001C6ACF" w:rsidRDefault="001C2076" w:rsidP="008D52EA">
      <w:pPr>
        <w:pStyle w:val="Hlistbullet"/>
      </w:pPr>
      <w:r>
        <w:t>I.14 Taxa de emprego rural</w:t>
      </w:r>
    </w:p>
    <w:p w:rsidR="001C2076" w:rsidRPr="001C6ACF" w:rsidRDefault="001C2076" w:rsidP="008D52EA">
      <w:pPr>
        <w:pStyle w:val="Hlistbullet"/>
      </w:pPr>
      <w:r>
        <w:t>I.15 Grau de pobreza rural</w:t>
      </w:r>
    </w:p>
    <w:p w:rsidR="001C2076" w:rsidRPr="001C6ACF" w:rsidRDefault="001C2076" w:rsidP="008D52EA">
      <w:pPr>
        <w:pStyle w:val="Hlistbullet"/>
      </w:pPr>
      <w:r>
        <w:t>I.16 PIB per capita rural</w:t>
      </w:r>
    </w:p>
    <w:p w:rsidR="001C2076" w:rsidRPr="001C6ACF" w:rsidRDefault="00B21618" w:rsidP="00E35440">
      <w:pPr>
        <w:pStyle w:val="HHeading2"/>
      </w:pPr>
      <w:r>
        <w:t xml:space="preserve"> Como comunicar informações sobre as questões de avaliação comuns em 2019?</w:t>
      </w:r>
    </w:p>
    <w:p w:rsidR="001C2076" w:rsidRPr="001C6ACF" w:rsidRDefault="003304E5" w:rsidP="003304E5">
      <w:pPr>
        <w:pStyle w:val="HStandard"/>
      </w:pPr>
      <w:r>
        <w:t xml:space="preserve">Em 2019, os Estados-Membros apresentarão os resultados das suas avaliações, respondendo a todas as questões de avaliação comuns e específicas do programa pertinentes em cada uma das respetivas secções do RAE. </w:t>
      </w:r>
    </w:p>
    <w:p w:rsidR="001C2076" w:rsidRPr="001C6ACF" w:rsidRDefault="00906DAF" w:rsidP="003304E5">
      <w:pPr>
        <w:pStyle w:val="HStandard"/>
      </w:pPr>
      <w:r>
        <w:t>Tal como para as QAC n.</w:t>
      </w:r>
      <w:r>
        <w:rPr>
          <w:vertAlign w:val="superscript"/>
        </w:rPr>
        <w:t>os</w:t>
      </w:r>
      <w:r>
        <w:t> 1 a 21, as respostas às QAC relacionadas com os objetivos a nível da UE (QAC n.</w:t>
      </w:r>
      <w:r>
        <w:rPr>
          <w:vertAlign w:val="superscript"/>
        </w:rPr>
        <w:t>os</w:t>
      </w:r>
      <w:r>
        <w:t> 22 a 30) devem ser baseadas nos elementos dos resultados da avaliação. As apreciações sobre o êxito das intervenções são formuladas com base em critérios de apreciação e aferidas através de indicadores de impacto comuns e adicionais, bem como de indicadores associados à estratégia da UE para um crescimento inteligente, sustentável e inclusivo. Além disso, podem ser recolhidas informações qualitativas para responder às questões de avaliação em caso de escassez de dados.</w:t>
      </w:r>
    </w:p>
    <w:p w:rsidR="00970A15" w:rsidRPr="001C6ACF" w:rsidRDefault="00C16EB2" w:rsidP="00970A15">
      <w:pPr>
        <w:pStyle w:val="HHeading4"/>
      </w:pPr>
      <w:r>
        <w:t>Quais são as etapas gerais para responder às questões de avaliação?</w:t>
      </w:r>
    </w:p>
    <w:p w:rsidR="001C2076" w:rsidRPr="001C6ACF" w:rsidRDefault="001C2076" w:rsidP="007D2D54">
      <w:pPr>
        <w:pStyle w:val="HStandard"/>
        <w:rPr>
          <w:rFonts w:cs="Arial"/>
        </w:rPr>
      </w:pPr>
      <w:r>
        <w:t>Recomendam-se as etapas gerais a seguir indicadas para a elaboração das respostas às QAC n.</w:t>
      </w:r>
      <w:r>
        <w:rPr>
          <w:vertAlign w:val="superscript"/>
        </w:rPr>
        <w:t>os</w:t>
      </w:r>
      <w:r>
        <w:t> 22 a 30:</w:t>
      </w:r>
    </w:p>
    <w:p w:rsidR="001C2076" w:rsidRPr="001C6ACF" w:rsidRDefault="007B324B" w:rsidP="00E35440">
      <w:pPr>
        <w:pStyle w:val="Hlistbullet"/>
      </w:pPr>
      <w:r>
        <w:t>Analisar a lógica de intervenção do programa associada a cada um dos objetivos da respetiva questão de avaliação comum da CAP/objetivos estratégicos UE 2020, à(s) prioridade(s) de desenvolvimento rural, ao(s) domínio(s) de incidência e às medidas;</w:t>
      </w:r>
    </w:p>
    <w:p w:rsidR="001C2076" w:rsidRPr="001C6ACF" w:rsidRDefault="00DA263D" w:rsidP="00E35440">
      <w:pPr>
        <w:pStyle w:val="Hlistbullet"/>
      </w:pPr>
      <w:r>
        <w:t xml:space="preserve">Definir os critérios de apreciação e associá-los aos indicadores de impacto comuns (e adicionais) utilizados para responder às questões de avaliação; </w:t>
      </w:r>
    </w:p>
    <w:p w:rsidR="001C2076" w:rsidRPr="00863E73" w:rsidRDefault="007B324B" w:rsidP="00E35440">
      <w:pPr>
        <w:pStyle w:val="Hlistbullet"/>
      </w:pPr>
      <w:r>
        <w:lastRenderedPageBreak/>
        <w:t>Selecionar métodos quantitativos e qualitativos que possam determinar os valores líquidos</w:t>
      </w:r>
      <w:r>
        <w:rPr>
          <w:rStyle w:val="FootnoteReference"/>
          <w:i w:val="0"/>
          <w:position w:val="0"/>
          <w:sz w:val="20"/>
          <w:vertAlign w:val="superscript"/>
        </w:rPr>
        <w:footnoteReference w:id="23"/>
      </w:r>
      <w:r>
        <w:t xml:space="preserve"> dos indicadores de impacto;</w:t>
      </w:r>
    </w:p>
    <w:p w:rsidR="001C2076" w:rsidRPr="001C6ACF" w:rsidRDefault="007B324B" w:rsidP="00E35440">
      <w:pPr>
        <w:pStyle w:val="Hlistbullet"/>
      </w:pPr>
      <w:r>
        <w:t xml:space="preserve">Fornecer os valores quantitativos para os indicadores de resultados e de impacto, bem como os resultados qualitativos para responder às questões de avaliação; </w:t>
      </w:r>
    </w:p>
    <w:p w:rsidR="001C2076" w:rsidRPr="001C6ACF" w:rsidRDefault="007B324B" w:rsidP="00E35440">
      <w:pPr>
        <w:pStyle w:val="Hlistbullet"/>
      </w:pPr>
      <w:r>
        <w:t>Responder às questões de avaliação.</w:t>
      </w:r>
    </w:p>
    <w:p w:rsidR="001C2076" w:rsidRPr="001C6ACF" w:rsidRDefault="00217482" w:rsidP="007D2D54">
      <w:pPr>
        <w:pStyle w:val="HStandard"/>
      </w:pPr>
      <w:r>
        <w:t xml:space="preserve">As etapas acima mencionadas são semelhantes às sugeridas para o exercício de avaliação de 2017. No entanto, em 2019, poderão surgir alguns novos desafios, que são explicados de forma mais exaustiva na </w:t>
      </w:r>
      <w:r>
        <w:rPr>
          <w:color w:val="F07E31" w:themeColor="accent1"/>
        </w:rPr>
        <w:t>Parte II</w:t>
      </w:r>
      <w:r>
        <w:t xml:space="preserve"> das presentes orientações. </w:t>
      </w:r>
    </w:p>
    <w:p w:rsidR="001C2076" w:rsidRPr="001C6ACF" w:rsidRDefault="001C2076" w:rsidP="00812032">
      <w:pPr>
        <w:pStyle w:val="HHeading4"/>
      </w:pPr>
      <w:r>
        <w:t xml:space="preserve">Onde encontrar orientação para as QAC que devem ser respondidas em 2019? </w:t>
      </w:r>
    </w:p>
    <w:p w:rsidR="00217482" w:rsidRPr="001C6ACF" w:rsidRDefault="00217482" w:rsidP="00217482">
      <w:pPr>
        <w:pStyle w:val="HStandard"/>
      </w:pPr>
      <w:r>
        <w:t>As presentes orientações fornecem informações circunstanciadas sobre como responder às questões de avaliação comuns relacionadas com os objetivos das QAC n.</w:t>
      </w:r>
      <w:r>
        <w:rPr>
          <w:vertAlign w:val="superscript"/>
        </w:rPr>
        <w:t>os</w:t>
      </w:r>
      <w:r>
        <w:t xml:space="preserve"> 22 a 30 a nível da UE. Sempre que necessário, as orientações remetem para outras orientações pertinentes, conforme mostrado no Quadro 1. </w:t>
      </w:r>
    </w:p>
    <w:p w:rsidR="001C2076" w:rsidRPr="001C6ACF" w:rsidRDefault="001C2076" w:rsidP="001C2076">
      <w:pPr>
        <w:spacing w:after="0" w:line="280" w:lineRule="atLeast"/>
        <w:rPr>
          <w:rFonts w:cs="Arial"/>
          <w:color w:val="373737" w:themeColor="text1"/>
          <w:sz w:val="20"/>
          <w:szCs w:val="20"/>
        </w:rPr>
      </w:pPr>
      <w:r>
        <w:rPr>
          <w:color w:val="373737" w:themeColor="text1"/>
          <w:sz w:val="20"/>
        </w:rPr>
        <w:t>As orientações para responder às questões de avaliação comuns relacionadas com o desenvolvimento rural nos domínios de incidência, as sinergias de programas, a assistência técnica e as Redes Nacionais Rurais (QAC n.</w:t>
      </w:r>
      <w:r>
        <w:rPr>
          <w:color w:val="373737" w:themeColor="text1"/>
          <w:sz w:val="20"/>
          <w:vertAlign w:val="superscript"/>
        </w:rPr>
        <w:t>os</w:t>
      </w:r>
      <w:r>
        <w:rPr>
          <w:color w:val="373737" w:themeColor="text1"/>
          <w:sz w:val="20"/>
        </w:rPr>
        <w:t> 1 a 21) podem ser encontradas em:</w:t>
      </w:r>
    </w:p>
    <w:p w:rsidR="008E3ACB" w:rsidRPr="001C6ACF" w:rsidRDefault="00217482" w:rsidP="00E35440">
      <w:pPr>
        <w:pStyle w:val="Hlistbullet"/>
      </w:pPr>
      <w:r>
        <w:t>«</w:t>
      </w:r>
      <w:r>
        <w:rPr>
          <w:i/>
        </w:rPr>
        <w:t xml:space="preserve">Guidelines </w:t>
      </w:r>
      <w:hyperlink r:id="rId17">
        <w:r>
          <w:rPr>
            <w:rStyle w:val="Hyperlink"/>
            <w:i/>
            <w:color w:val="373737" w:themeColor="text1"/>
            <w:u w:val="none"/>
          </w:rPr>
          <w:t>Assessment of RDP results: how to prepare for reporting on evaluation in 2017</w:t>
        </w:r>
      </w:hyperlink>
      <w:r>
        <w:t>»: as orientações relativas à avaliação dos resultados do PDR e à preparação da comunicação de informações sobre a avaliação em 2017 explicam a forma de comunicar informações sobre as avaliações no RAE de 2017 e seguintes. As orientações sugerem possíveis abordagens de avaliação para avaliar os resultados do PDR em 2017, as quais, no que respeita às QAC n.</w:t>
      </w:r>
      <w:r>
        <w:rPr>
          <w:vertAlign w:val="superscript"/>
        </w:rPr>
        <w:t>os</w:t>
      </w:r>
      <w:r>
        <w:t xml:space="preserve"> 1 a 21, são igualmente válidas para 2019. </w:t>
      </w:r>
    </w:p>
    <w:p w:rsidR="001C2076" w:rsidRPr="001C6ACF" w:rsidRDefault="006F62E2" w:rsidP="00E35440">
      <w:pPr>
        <w:pStyle w:val="Hlistbullet"/>
      </w:pPr>
      <w:r>
        <w:t>«</w:t>
      </w:r>
      <w:hyperlink r:id="rId18">
        <w:r>
          <w:rPr>
            <w:rStyle w:val="Hyperlink"/>
            <w:i/>
            <w:color w:val="373737" w:themeColor="text1"/>
            <w:u w:val="none"/>
          </w:rPr>
          <w:t>Annex 11 - Fiches for answering Common Evaluation Questions for Rural Development Programmes 2014-2020</w:t>
        </w:r>
      </w:hyperlink>
      <w:r>
        <w:t>» (Anexo 11 – Fichas para responder às questões de avaliação comuns relacionadas com os programas de desenvolvimento rural): presta assistência técnica sobre a forma de responder às QAC n.</w:t>
      </w:r>
      <w:r>
        <w:rPr>
          <w:vertAlign w:val="superscript"/>
        </w:rPr>
        <w:t>os</w:t>
      </w:r>
      <w:r>
        <w:t xml:space="preserve"> 1 a 21. Explica a lógica de intervenção subjacente a cada QAC, descreve os elementos úteis para a avaliação e propõe métodos de avaliação.</w:t>
      </w:r>
    </w:p>
    <w:p w:rsidR="0020488A" w:rsidRPr="001C6ACF" w:rsidRDefault="0020488A" w:rsidP="005A56B7">
      <w:pPr>
        <w:pStyle w:val="HStandard"/>
      </w:pPr>
      <w:r>
        <w:t xml:space="preserve">O Quadro 1 apresenta uma breve descrição dos documentos mais relevantes para responder às QAC no RAE de 2019: </w:t>
      </w:r>
    </w:p>
    <w:p w:rsidR="00AB3BA1" w:rsidRPr="001C6ACF" w:rsidRDefault="009F77FD" w:rsidP="0024624B">
      <w:pPr>
        <w:pStyle w:val="HHeadingtables"/>
        <w:numPr>
          <w:ilvl w:val="0"/>
          <w:numId w:val="0"/>
        </w:numPr>
        <w:ind w:left="360"/>
      </w:pPr>
      <w:r>
        <w:br w:type="column"/>
      </w:r>
      <w:r w:rsidR="0024624B">
        <w:lastRenderedPageBreak/>
        <w:t>Quadro 1.</w:t>
      </w:r>
      <w:r w:rsidR="0024624B">
        <w:tab/>
      </w:r>
      <w:r>
        <w:t>Orientações para responder às QAC no RAE de 2019</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29"/>
        <w:gridCol w:w="2410"/>
        <w:gridCol w:w="5477"/>
      </w:tblGrid>
      <w:tr w:rsidR="00AB3BA1" w:rsidRPr="001C6ACF" w:rsidTr="00A746BC">
        <w:trPr>
          <w:tblHeader/>
        </w:trPr>
        <w:tc>
          <w:tcPr>
            <w:tcW w:w="1129" w:type="dxa"/>
            <w:shd w:val="clear" w:color="auto" w:fill="F07E31" w:themeFill="accent1"/>
          </w:tcPr>
          <w:p w:rsidR="00AB3BA1" w:rsidRPr="001C6ACF" w:rsidRDefault="007038B3" w:rsidP="00A746BC">
            <w:pPr>
              <w:pStyle w:val="HStandard"/>
              <w:jc w:val="center"/>
              <w:rPr>
                <w:b/>
                <w:color w:val="FFFFFF" w:themeColor="background1"/>
              </w:rPr>
            </w:pPr>
            <w:r>
              <w:rPr>
                <w:b/>
                <w:color w:val="FFFFFF" w:themeColor="background1"/>
              </w:rPr>
              <w:t>QAC</w:t>
            </w:r>
          </w:p>
        </w:tc>
        <w:tc>
          <w:tcPr>
            <w:tcW w:w="2410" w:type="dxa"/>
            <w:shd w:val="clear" w:color="auto" w:fill="F07E31" w:themeFill="accent1"/>
          </w:tcPr>
          <w:p w:rsidR="00AB3BA1" w:rsidRPr="001C6ACF" w:rsidRDefault="00116A79" w:rsidP="008D52EA">
            <w:pPr>
              <w:pStyle w:val="HStandard"/>
              <w:jc w:val="center"/>
              <w:rPr>
                <w:b/>
                <w:color w:val="FFFFFF" w:themeColor="background1"/>
              </w:rPr>
            </w:pPr>
            <w:r>
              <w:rPr>
                <w:b/>
                <w:color w:val="FFFFFF" w:themeColor="background1"/>
              </w:rPr>
              <w:t>Documento</w:t>
            </w:r>
          </w:p>
        </w:tc>
        <w:tc>
          <w:tcPr>
            <w:tcW w:w="5477" w:type="dxa"/>
            <w:shd w:val="clear" w:color="auto" w:fill="F07E31" w:themeFill="accent1"/>
          </w:tcPr>
          <w:p w:rsidR="00AB3BA1" w:rsidRPr="001C6ACF" w:rsidRDefault="00146C75" w:rsidP="008D52EA">
            <w:pPr>
              <w:pStyle w:val="HStandard"/>
              <w:jc w:val="center"/>
              <w:rPr>
                <w:b/>
                <w:color w:val="FFFFFF" w:themeColor="background1"/>
              </w:rPr>
            </w:pPr>
            <w:r>
              <w:rPr>
                <w:b/>
                <w:color w:val="FFFFFF" w:themeColor="background1"/>
              </w:rPr>
              <w:t>Relevância para o RAE de 2019</w:t>
            </w:r>
          </w:p>
        </w:tc>
      </w:tr>
      <w:tr w:rsidR="009F7952" w:rsidRPr="001C6ACF" w:rsidTr="00A746BC">
        <w:trPr>
          <w:trHeight w:val="1091"/>
        </w:trPr>
        <w:tc>
          <w:tcPr>
            <w:tcW w:w="1129" w:type="dxa"/>
            <w:vMerge w:val="restart"/>
          </w:tcPr>
          <w:p w:rsidR="009F7952" w:rsidRPr="001C6ACF" w:rsidRDefault="009F7952" w:rsidP="00A746BC">
            <w:pPr>
              <w:pStyle w:val="HStandard"/>
              <w:jc w:val="center"/>
            </w:pPr>
            <w:r>
              <w:t>1 - 21</w:t>
            </w:r>
          </w:p>
        </w:tc>
        <w:tc>
          <w:tcPr>
            <w:tcW w:w="2410" w:type="dxa"/>
          </w:tcPr>
          <w:p w:rsidR="009F7952" w:rsidRPr="00571D58" w:rsidRDefault="00365561" w:rsidP="00DF22D0">
            <w:pPr>
              <w:pStyle w:val="HStandard"/>
              <w:jc w:val="left"/>
            </w:pPr>
            <w:hyperlink r:id="rId19">
              <w:r w:rsidR="006F62E2">
                <w:rPr>
                  <w:rStyle w:val="Hyperlink"/>
                </w:rPr>
                <w:t>Fichas de indicadores de objetivos para o Pilar II (Prioridades I e II)</w:t>
              </w:r>
            </w:hyperlink>
          </w:p>
        </w:tc>
        <w:tc>
          <w:tcPr>
            <w:tcW w:w="5477" w:type="dxa"/>
          </w:tcPr>
          <w:p w:rsidR="009F7952" w:rsidRPr="00FB6C06" w:rsidRDefault="009F7952" w:rsidP="005A56B7">
            <w:pPr>
              <w:pStyle w:val="HStandard"/>
            </w:pPr>
            <w:r>
              <w:t>Mostram, para cada indicador, as ligações à prioridade e ao domínio de incidência pertinentes, a definição e a unidade de medida, a metodologia seguida para o cálculo do indicador, os dados necessários e as suas fontes, a frequência de recolha de dados e os meios de transmissão dos dados à Comissão Europeia.</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365561" w:rsidP="00DF22D0">
            <w:pPr>
              <w:pStyle w:val="HStandard"/>
              <w:jc w:val="left"/>
            </w:pPr>
            <w:hyperlink r:id="rId20">
              <w:r w:rsidR="006F62E2">
                <w:rPr>
                  <w:rStyle w:val="Hyperlink"/>
                </w:rPr>
                <w:t>Fichas de indicadores de resultados complementares para o Pilar II</w:t>
              </w:r>
            </w:hyperlink>
          </w:p>
        </w:tc>
        <w:tc>
          <w:tcPr>
            <w:tcW w:w="5477" w:type="dxa"/>
          </w:tcPr>
          <w:p w:rsidR="009F7952" w:rsidRPr="00336531" w:rsidRDefault="009F7952" w:rsidP="005A56B7">
            <w:pPr>
              <w:pStyle w:val="HStandard"/>
            </w:pPr>
            <w:r>
              <w:t>Contêm orientações semelhantes para cada um dos indicadores de resultados complementares.</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863E73" w:rsidRDefault="00365561" w:rsidP="00DF22D0">
            <w:pPr>
              <w:pStyle w:val="HStandard"/>
              <w:jc w:val="left"/>
            </w:pPr>
            <w:hyperlink r:id="rId21">
              <w:r w:rsidR="006F62E2">
                <w:rPr>
                  <w:rStyle w:val="Hyperlink"/>
                </w:rPr>
                <w:t>Anexo 11 das orientações relativas à avaliação dos resultados do PDR e à preparação da comunicação de informações sobre a avaliação em 2017</w:t>
              </w:r>
            </w:hyperlink>
          </w:p>
        </w:tc>
        <w:tc>
          <w:tcPr>
            <w:tcW w:w="5477" w:type="dxa"/>
          </w:tcPr>
          <w:p w:rsidR="009F7952" w:rsidRPr="001C6ACF" w:rsidRDefault="00116A79" w:rsidP="00593F3E">
            <w:pPr>
              <w:pStyle w:val="HStandard"/>
            </w:pPr>
            <w:r>
              <w:t>Apresenta sugestões sobre a forma de comunicar as informações relativas às avaliações no RAE de 2017, a forma de conduzir as atividades de avaliação e os métodos que devem ser utilizados, a fim de responder às QAC n.</w:t>
            </w:r>
            <w:r>
              <w:rPr>
                <w:vertAlign w:val="superscript"/>
              </w:rPr>
              <w:t>os</w:t>
            </w:r>
            <w:r>
              <w:t> 1 a 21.</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365561" w:rsidP="00DF22D0">
            <w:pPr>
              <w:pStyle w:val="HStandard"/>
              <w:jc w:val="left"/>
            </w:pPr>
            <w:hyperlink r:id="rId22">
              <w:r w:rsidR="006F62E2">
                <w:rPr>
                  <w:rStyle w:val="Hyperlink"/>
                </w:rPr>
                <w:t>Orientações relativas à avaliação da LEADER/DLBC</w:t>
              </w:r>
            </w:hyperlink>
          </w:p>
        </w:tc>
        <w:tc>
          <w:tcPr>
            <w:tcW w:w="5477" w:type="dxa"/>
          </w:tcPr>
          <w:p w:rsidR="009F7952" w:rsidRPr="007645B4" w:rsidRDefault="00116A79" w:rsidP="005A56B7">
            <w:pPr>
              <w:pStyle w:val="HStandard"/>
            </w:pPr>
            <w:r>
              <w:t xml:space="preserve">Explicam como avaliar os contributos primários e secundários da LEADER/DLBC para o desenvolvimento rural nos domínios de incidência. </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365561" w:rsidP="00DF22D0">
            <w:pPr>
              <w:pStyle w:val="HStandard"/>
              <w:jc w:val="left"/>
            </w:pPr>
            <w:hyperlink r:id="rId23">
              <w:r w:rsidR="006F62E2">
                <w:rPr>
                  <w:rStyle w:val="Hyperlink"/>
                </w:rPr>
                <w:t>Orientações relativas à avaliação da inovação nos programas de desenvolvimento rural 2014-2020</w:t>
              </w:r>
            </w:hyperlink>
          </w:p>
        </w:tc>
        <w:tc>
          <w:tcPr>
            <w:tcW w:w="5477" w:type="dxa"/>
          </w:tcPr>
          <w:p w:rsidR="009F7952" w:rsidRPr="00863E73" w:rsidRDefault="009F7952" w:rsidP="005A56B7">
            <w:pPr>
              <w:pStyle w:val="HStandard"/>
            </w:pPr>
            <w:r>
              <w:t>Fornecem informações sobre a avaliação da inovação relacionadas com os domínios de incidência 1A e 1B e sobre o apoio à inovação através das atividades das Redes Rurais Nacionais. Além disso, prestam aconselhamento para responder às QAC n.</w:t>
            </w:r>
            <w:r>
              <w:rPr>
                <w:vertAlign w:val="superscript"/>
              </w:rPr>
              <w:t>os</w:t>
            </w:r>
            <w:r>
              <w:t xml:space="preserve"> 1, 2 e 21, na perspetiva da inovação. </w:t>
            </w:r>
          </w:p>
        </w:tc>
      </w:tr>
      <w:tr w:rsidR="002C57D4" w:rsidRPr="001C6ACF" w:rsidTr="00A746BC">
        <w:tc>
          <w:tcPr>
            <w:tcW w:w="1129" w:type="dxa"/>
            <w:vMerge w:val="restart"/>
          </w:tcPr>
          <w:p w:rsidR="002C57D4" w:rsidRPr="001C6ACF" w:rsidRDefault="002C57D4" w:rsidP="00A746BC">
            <w:pPr>
              <w:pStyle w:val="HStandard"/>
              <w:jc w:val="center"/>
            </w:pPr>
            <w:r>
              <w:t>22 - 30</w:t>
            </w:r>
          </w:p>
        </w:tc>
        <w:tc>
          <w:tcPr>
            <w:tcW w:w="2410" w:type="dxa"/>
          </w:tcPr>
          <w:p w:rsidR="002C57D4" w:rsidRPr="00571D58" w:rsidRDefault="00365561" w:rsidP="00DF22D0">
            <w:pPr>
              <w:pStyle w:val="HStandard"/>
              <w:jc w:val="left"/>
            </w:pPr>
            <w:hyperlink r:id="rId24">
              <w:r w:rsidR="006F62E2">
                <w:rPr>
                  <w:rStyle w:val="Hyperlink"/>
                </w:rPr>
                <w:t>Fichas de indicadores de impacto</w:t>
              </w:r>
            </w:hyperlink>
            <w:r w:rsidR="006F62E2">
              <w:t xml:space="preserve"> </w:t>
            </w:r>
          </w:p>
        </w:tc>
        <w:tc>
          <w:tcPr>
            <w:tcW w:w="5477" w:type="dxa"/>
          </w:tcPr>
          <w:p w:rsidR="002C57D4" w:rsidRPr="001C6ACF" w:rsidRDefault="002C57D4" w:rsidP="005A56B7">
            <w:pPr>
              <w:pStyle w:val="HStandard"/>
            </w:pPr>
            <w:r>
              <w:t>Fornecem informações sobre as ligações entre os indicadores e os objetivos gerais da CAP, a definição dos indicadores, a unidade de medida, a metodologia/fórmula de cálculo, os dados necessários, bem como as fontes, a frequência, o atraso na recolha e a localização dos dados.</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365561">
            <w:pPr>
              <w:pStyle w:val="HStandard"/>
              <w:jc w:val="left"/>
            </w:pPr>
            <w:hyperlink r:id="rId25">
              <w:r w:rsidR="006F62E2">
                <w:rPr>
                  <w:rStyle w:val="Hyperlink"/>
                </w:rPr>
                <w:t>Dados mais recentes dos Estados-Membros relativos aos indicadores de contexto</w:t>
              </w:r>
            </w:hyperlink>
          </w:p>
        </w:tc>
        <w:tc>
          <w:tcPr>
            <w:tcW w:w="5477" w:type="dxa"/>
          </w:tcPr>
          <w:p w:rsidR="00A75E50" w:rsidRPr="00336531" w:rsidRDefault="00A75E50" w:rsidP="00FF4127">
            <w:pPr>
              <w:pStyle w:val="HStandard"/>
            </w:pPr>
            <w:r>
              <w:t>A Comissão Europeia fornece uma atualização anual dos dados (dependendo da disponibilidade) dos indicadores de contexto comuns, com base nos dados enviados pelos Estados-Membros.</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365561" w:rsidP="00DF22D0">
            <w:pPr>
              <w:pStyle w:val="HStandard"/>
              <w:jc w:val="left"/>
              <w:rPr>
                <w:color w:val="F07E31" w:themeColor="accent1"/>
              </w:rPr>
            </w:pPr>
            <w:hyperlink r:id="rId26">
              <w:r w:rsidR="006F62E2">
                <w:rPr>
                  <w:rStyle w:val="Hyperlink"/>
                </w:rPr>
                <w:t>Orientações relativas à avaliação da inovação nos programas de desenvolvimento rural 2014-2020</w:t>
              </w:r>
            </w:hyperlink>
          </w:p>
          <w:p w:rsidR="00A75E50" w:rsidRPr="00336531" w:rsidRDefault="00A75E50">
            <w:pPr>
              <w:pStyle w:val="HStandard"/>
              <w:jc w:val="left"/>
            </w:pPr>
          </w:p>
        </w:tc>
        <w:tc>
          <w:tcPr>
            <w:tcW w:w="5477" w:type="dxa"/>
          </w:tcPr>
          <w:p w:rsidR="00A75E50" w:rsidRPr="001C6ACF" w:rsidRDefault="00A75E50" w:rsidP="00FF4127">
            <w:pPr>
              <w:pStyle w:val="HStandard"/>
            </w:pPr>
            <w:r>
              <w:t>Fornecem informações sobre a avaliação dos contributos do PDR para o objetivo principal da Estratégia Europa 2020, que prevê um investimento de 3 % do PIB da UE em investigação, desenvolvimento e inovação, e do contributo do PDR para a inovação, bem como informações para responder às QAC n.</w:t>
            </w:r>
            <w:r>
              <w:rPr>
                <w:vertAlign w:val="superscript"/>
              </w:rPr>
              <w:t>os</w:t>
            </w:r>
            <w:r>
              <w:t> 23 e 30.</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365561" w:rsidP="00DF22D0">
            <w:pPr>
              <w:pStyle w:val="HStandard"/>
              <w:jc w:val="left"/>
            </w:pPr>
            <w:hyperlink r:id="rId27">
              <w:r w:rsidR="006F62E2">
                <w:rPr>
                  <w:rStyle w:val="Hyperlink"/>
                </w:rPr>
                <w:t xml:space="preserve">Informações sobre a </w:t>
              </w:r>
              <w:r w:rsidR="006F62E2">
                <w:rPr>
                  <w:rStyle w:val="Hyperlink"/>
                </w:rPr>
                <w:lastRenderedPageBreak/>
                <w:t>Estratégia Europa 2020</w:t>
              </w:r>
            </w:hyperlink>
          </w:p>
        </w:tc>
        <w:tc>
          <w:tcPr>
            <w:tcW w:w="5477" w:type="dxa"/>
          </w:tcPr>
          <w:p w:rsidR="00A75E50" w:rsidRPr="001C6ACF" w:rsidRDefault="00A75E50" w:rsidP="00EE407C">
            <w:pPr>
              <w:pStyle w:val="HStandard"/>
            </w:pPr>
            <w:r>
              <w:lastRenderedPageBreak/>
              <w:t xml:space="preserve">A Estratégia Europa 2020 é utilizada como um quadro de </w:t>
            </w:r>
            <w:r>
              <w:lastRenderedPageBreak/>
              <w:t>referência para as atividades na UE e a nível nacional e regional. Os governos da UE definiram metas nacionais para ajudar a alcançar os objetivos principais da UE e comunicam as informações sobre estas metas nos seus programas nacionais de reforma anuais. O Serviço de Estatística da União Europeia, o Eurostat, publica regularmente relatórios de progresso pormenorizados relativos aos objetivos (</w:t>
            </w:r>
            <w:hyperlink r:id="rId28">
              <w:r>
                <w:rPr>
                  <w:rStyle w:val="Hyperlink"/>
                </w:rPr>
                <w:t>publicação «</w:t>
              </w:r>
              <w:r>
                <w:rPr>
                  <w:rStyle w:val="Hyperlink"/>
                  <w:i/>
                </w:rPr>
                <w:t>Smarter, greener, more inclusive?</w:t>
              </w:r>
              <w:r>
                <w:rPr>
                  <w:rStyle w:val="Hyperlink"/>
                </w:rPr>
                <w:t xml:space="preserve"> </w:t>
              </w:r>
              <w:r>
                <w:rPr>
                  <w:rStyle w:val="Hyperlink"/>
                  <w:i/>
                </w:rPr>
                <w:t>Indicators to support the Europe 2020 strategy</w:t>
              </w:r>
              <w:r>
                <w:rPr>
                  <w:rStyle w:val="Hyperlink"/>
                </w:rPr>
                <w:t>»</w:t>
              </w:r>
            </w:hyperlink>
            <w:r>
              <w:t>),</w:t>
            </w:r>
            <w:r>
              <w:rPr>
                <w:color w:val="333333"/>
              </w:rPr>
              <w:t xml:space="preserve"> que acompanham os progressos realizados na consecução dos objetivos e metas da UE, definidos no âmbito das três prioridades da estratégia que se reforçam mutuamente (crescimento inteligente, sustentável e inclusivo) e descrevem a situação nos Estados-Membros.</w:t>
            </w:r>
          </w:p>
        </w:tc>
      </w:tr>
      <w:tr w:rsidR="00A75E50" w:rsidRPr="001C6ACF" w:rsidTr="00A746BC">
        <w:tc>
          <w:tcPr>
            <w:tcW w:w="1129" w:type="dxa"/>
            <w:vMerge w:val="restart"/>
          </w:tcPr>
          <w:p w:rsidR="00A75E50" w:rsidRPr="001C6ACF" w:rsidRDefault="00A75E50" w:rsidP="00A746BC">
            <w:pPr>
              <w:pStyle w:val="HStandard"/>
              <w:jc w:val="center"/>
            </w:pPr>
            <w:r>
              <w:lastRenderedPageBreak/>
              <w:t>22, 23, 24, 25, 30</w:t>
            </w:r>
          </w:p>
        </w:tc>
        <w:tc>
          <w:tcPr>
            <w:tcW w:w="2410" w:type="dxa"/>
          </w:tcPr>
          <w:p w:rsidR="00A75E50" w:rsidRPr="00571D58" w:rsidRDefault="00365561">
            <w:pPr>
              <w:pStyle w:val="HStandard"/>
              <w:jc w:val="left"/>
              <w:rPr>
                <w:rFonts w:cs="Arial"/>
                <w:color w:val="F07E31" w:themeColor="accent1"/>
              </w:rPr>
            </w:pPr>
            <w:hyperlink r:id="rId29">
              <w:r w:rsidR="006F62E2">
                <w:rPr>
                  <w:rStyle w:val="Hyperlink"/>
                </w:rPr>
                <w:t>Informações sobre os objetivos da Estratégia Europa 2020 por Estado-Membro</w:t>
              </w:r>
            </w:hyperlink>
          </w:p>
        </w:tc>
        <w:tc>
          <w:tcPr>
            <w:tcW w:w="5477" w:type="dxa"/>
          </w:tcPr>
          <w:p w:rsidR="00A75E50" w:rsidRPr="001C6ACF" w:rsidRDefault="00A75E50" w:rsidP="00823352">
            <w:pPr>
              <w:pStyle w:val="HStandard"/>
            </w:pPr>
            <w:r>
              <w:t>O Eurostat atualiza regularmente as informações sobre as metas nacionais para alcançar os objetivos principais da Estratégia Europa 2020, por Estado-Membro.</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365561">
            <w:pPr>
              <w:pStyle w:val="HStandard"/>
              <w:jc w:val="left"/>
              <w:rPr>
                <w:rFonts w:cs="Arial"/>
              </w:rPr>
            </w:pPr>
            <w:hyperlink r:id="rId30">
              <w:r w:rsidR="006F62E2">
                <w:rPr>
                  <w:rStyle w:val="Hyperlink"/>
                </w:rPr>
                <w:t>Fichas de indicadores de contexto</w:t>
              </w:r>
            </w:hyperlink>
            <w:r w:rsidR="006F62E2">
              <w:t xml:space="preserve"> </w:t>
            </w:r>
          </w:p>
        </w:tc>
        <w:tc>
          <w:tcPr>
            <w:tcW w:w="5477" w:type="dxa"/>
          </w:tcPr>
          <w:p w:rsidR="00A75E50" w:rsidRPr="007645B4" w:rsidRDefault="00A75E50" w:rsidP="00FF4127">
            <w:pPr>
              <w:pStyle w:val="HStandard"/>
            </w:pPr>
            <w:r>
              <w:t>Os 45 indicadores comuns de contexto da PAC (divididos em 3 grupos: socioeconómicos, setoriais e ambientais) refletem os aspetos relevantes das tendências contextuais gerais da economia, do ambiente e da sociedade. Podem influenciar a execução, os resultados e o desempenho da PAC. As fichas informativas dos indicadores contêm uma descrição das definições, da metodologia e das fontes de dados.</w:t>
            </w:r>
          </w:p>
        </w:tc>
      </w:tr>
      <w:tr w:rsidR="00A75E50" w:rsidRPr="001C6ACF" w:rsidTr="00A746BC">
        <w:trPr>
          <w:trHeight w:val="1800"/>
        </w:trPr>
        <w:tc>
          <w:tcPr>
            <w:tcW w:w="1129" w:type="dxa"/>
          </w:tcPr>
          <w:p w:rsidR="00A75E50" w:rsidRPr="001C6ACF" w:rsidRDefault="00A75E50" w:rsidP="00A746BC">
            <w:pPr>
              <w:pStyle w:val="HStandard"/>
              <w:jc w:val="center"/>
            </w:pPr>
            <w:r>
              <w:t>Todas as QAC</w:t>
            </w:r>
          </w:p>
        </w:tc>
        <w:tc>
          <w:tcPr>
            <w:tcW w:w="2410" w:type="dxa"/>
          </w:tcPr>
          <w:p w:rsidR="00A75E50" w:rsidRPr="00571D58" w:rsidRDefault="00365561" w:rsidP="00E95159">
            <w:pPr>
              <w:pStyle w:val="HStandard"/>
              <w:jc w:val="left"/>
            </w:pPr>
            <w:hyperlink r:id="rId31">
              <w:r w:rsidR="006F62E2">
                <w:rPr>
                  <w:rStyle w:val="Hyperlink"/>
                </w:rPr>
                <w:t>Documento de trabalho relativo às questões de avaliação comuns para os Programas de Desenvolvimento Rural 2014-2020</w:t>
              </w:r>
            </w:hyperlink>
          </w:p>
        </w:tc>
        <w:tc>
          <w:tcPr>
            <w:tcW w:w="5477" w:type="dxa"/>
          </w:tcPr>
          <w:p w:rsidR="00A75E50" w:rsidRPr="00863E73" w:rsidRDefault="00A75E50" w:rsidP="00E95159">
            <w:pPr>
              <w:pStyle w:val="HStandard"/>
            </w:pPr>
            <w:r>
              <w:t>Explica a finalidade e a utilização das questões de avaliação comuns no sistema comum de acompanhamento e avaliação. Descreve os diferentes tipos de questões de avaliação e enumera os critérios de apreciação e os indicadores comuns e adicionais para as QAC n.</w:t>
            </w:r>
            <w:r>
              <w:rPr>
                <w:vertAlign w:val="superscript"/>
              </w:rPr>
              <w:t>os</w:t>
            </w:r>
            <w:r>
              <w:t> 1 a 21.</w:t>
            </w:r>
          </w:p>
        </w:tc>
      </w:tr>
    </w:tbl>
    <w:p w:rsidR="00154C43" w:rsidRPr="001C6ACF" w:rsidRDefault="00154C43"/>
    <w:p w:rsidR="001C2076" w:rsidRPr="001C6ACF" w:rsidRDefault="001C2076" w:rsidP="00E35440">
      <w:pPr>
        <w:pStyle w:val="HHeading2"/>
      </w:pPr>
      <w:r>
        <w:t xml:space="preserve">Preparação para o RAE de 2019 </w:t>
      </w:r>
    </w:p>
    <w:p w:rsidR="009B016B" w:rsidRPr="001C6ACF" w:rsidRDefault="00806A70" w:rsidP="00217482">
      <w:pPr>
        <w:pStyle w:val="HStandard"/>
      </w:pPr>
      <w:r>
        <w:t>Durante a preparação da avaliação dos resultados e impactos do PDR em 2019, as várias partes interessadas na avaliação, nos Estados-Membros, podem realizar várias etapas</w:t>
      </w:r>
      <w:r>
        <w:rPr>
          <w:rStyle w:val="FootnoteReference"/>
          <w:sz w:val="20"/>
          <w:vertAlign w:val="superscript"/>
        </w:rPr>
        <w:footnoteReference w:id="24"/>
      </w:r>
      <w:r>
        <w:t>, o que contribuirá para garantir que os resultados da avaliação sejam de elevada qualidade e relevantes para os decisores políticos.</w:t>
      </w:r>
    </w:p>
    <w:p w:rsidR="00932C3E" w:rsidRPr="001C6ACF" w:rsidRDefault="003146E6" w:rsidP="00217482">
      <w:pPr>
        <w:pStyle w:val="HStandard"/>
      </w:pPr>
      <w:r>
        <w:t xml:space="preserve">O Quadro 2 sugere uma lista de verificação, que contém as etapas necessárias para a avaliação em 2019. Inclui igualmente algumas etapas preparatórias, que, caso ainda não tenham sido realizadas, podem ainda ser realizadas antes do início das atividades de avaliação em 2019. O quadro 2 indica as responsabilidades dos vários intervenientes suscetíveis de estarem envolvidos nas atividades de avaliação, nos Estados-Membros: autoridade de gestão (AG), comité de acompanhamento (CA), </w:t>
      </w:r>
      <w:r>
        <w:lastRenderedPageBreak/>
        <w:t xml:space="preserve">organismo pagador (OP), unidade de avaliação (UAv) (se existir), grupo diretor de avaliação (GDA) (se existir), os avaliadores (Av), os fornecedores de dados (FD), e outras partes interessadas pertinentes (O). </w:t>
      </w:r>
    </w:p>
    <w:p w:rsidR="004773BB" w:rsidRPr="001C6ACF" w:rsidRDefault="00A75E50" w:rsidP="0024624B">
      <w:pPr>
        <w:pStyle w:val="HHeadingtables"/>
        <w:numPr>
          <w:ilvl w:val="0"/>
          <w:numId w:val="0"/>
        </w:numPr>
        <w:ind w:left="360"/>
      </w:pPr>
      <w:r>
        <w:br w:type="column"/>
      </w:r>
      <w:r w:rsidR="0024624B">
        <w:lastRenderedPageBreak/>
        <w:t>Quadro 2.</w:t>
      </w:r>
      <w:r w:rsidR="0024624B">
        <w:tab/>
      </w:r>
      <w:r>
        <w:t>Lista de verificação das etapas recomendadas para a avaliação em 2019</w:t>
      </w:r>
    </w:p>
    <w:tbl>
      <w:tblPr>
        <w:tblStyle w:val="Tabukasmriekou5tmavzvraznenie61"/>
        <w:tblW w:w="9492" w:type="dxa"/>
        <w:jc w:val="center"/>
        <w:tblLayout w:type="fixed"/>
        <w:tblLook w:val="04A0" w:firstRow="1" w:lastRow="0" w:firstColumn="1" w:lastColumn="0" w:noHBand="0" w:noVBand="1"/>
      </w:tblPr>
      <w:tblGrid>
        <w:gridCol w:w="562"/>
        <w:gridCol w:w="3402"/>
        <w:gridCol w:w="1061"/>
        <w:gridCol w:w="622"/>
        <w:gridCol w:w="549"/>
        <w:gridCol w:w="549"/>
        <w:gridCol w:w="550"/>
        <w:gridCol w:w="593"/>
        <w:gridCol w:w="505"/>
        <w:gridCol w:w="549"/>
        <w:gridCol w:w="550"/>
      </w:tblGrid>
      <w:tr w:rsidR="00055507" w:rsidRPr="001C6ACF" w:rsidTr="0005550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6E8967"/>
              <w:left w:val="single" w:sz="4" w:space="0" w:color="6E8967"/>
              <w:right w:val="single" w:sz="4" w:space="0" w:color="FFFFFF"/>
            </w:tcBorders>
            <w:textDirection w:val="btLr"/>
            <w:vAlign w:val="center"/>
          </w:tcPr>
          <w:p w:rsidR="00055507" w:rsidRPr="001C6ACF" w:rsidRDefault="00055507" w:rsidP="00DF22D0">
            <w:pPr>
              <w:spacing w:line="280" w:lineRule="atLeast"/>
              <w:ind w:left="113" w:right="113"/>
              <w:jc w:val="center"/>
              <w:rPr>
                <w:rFonts w:cs="Arial"/>
                <w:sz w:val="16"/>
                <w:szCs w:val="16"/>
              </w:rPr>
            </w:pPr>
            <w:r>
              <w:rPr>
                <w:sz w:val="16"/>
              </w:rPr>
              <w:t>Fase</w:t>
            </w:r>
          </w:p>
        </w:tc>
        <w:tc>
          <w:tcPr>
            <w:tcW w:w="3402" w:type="dxa"/>
            <w:vMerge w:val="restart"/>
            <w:tcBorders>
              <w:top w:val="single" w:sz="4" w:space="0" w:color="6E8967"/>
              <w:left w:val="single" w:sz="4" w:space="0" w:color="FFFFFF"/>
              <w:right w:val="single" w:sz="4" w:space="0" w:color="FFFFFF"/>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Etapa</w:t>
            </w:r>
          </w:p>
        </w:tc>
        <w:tc>
          <w:tcPr>
            <w:tcW w:w="1061" w:type="dxa"/>
            <w:vMerge w:val="restart"/>
            <w:tcBorders>
              <w:top w:val="single" w:sz="4" w:space="0" w:color="6E8967"/>
              <w:left w:val="single" w:sz="4" w:space="0" w:color="FFFFFF"/>
              <w:right w:val="single" w:sz="4" w:space="0" w:color="FFFFFF" w:themeColor="background1"/>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Calendário indicativo</w:t>
            </w:r>
          </w:p>
        </w:tc>
        <w:tc>
          <w:tcPr>
            <w:tcW w:w="4467" w:type="dxa"/>
            <w:gridSpan w:val="8"/>
            <w:tcBorders>
              <w:top w:val="single" w:sz="4" w:space="0" w:color="6E8967"/>
              <w:left w:val="single" w:sz="4" w:space="0" w:color="FFFFFF" w:themeColor="background1"/>
              <w:right w:val="single" w:sz="4" w:space="0" w:color="6E8967"/>
            </w:tcBorders>
            <w:vAlign w:val="center"/>
          </w:tcPr>
          <w:p w:rsidR="00055507" w:rsidRPr="00571D58"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Responsabilidade (x) e envolvimento (y)</w:t>
            </w:r>
            <w:r>
              <w:rPr>
                <w:rStyle w:val="FootnoteReference"/>
                <w:color w:val="FFFFFF" w:themeColor="background1"/>
                <w:sz w:val="10"/>
              </w:rPr>
              <w:footnoteReference w:id="25"/>
            </w:r>
          </w:p>
        </w:tc>
      </w:tr>
      <w:tr w:rsidR="00BA1544" w:rsidRPr="001C6ACF" w:rsidTr="004C3C30">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right w:val="single" w:sz="4" w:space="0" w:color="FFFFFF"/>
            </w:tcBorders>
            <w:textDirection w:val="btLr"/>
          </w:tcPr>
          <w:p w:rsidR="00055507" w:rsidRPr="001C6ACF" w:rsidRDefault="00055507" w:rsidP="00DF22D0">
            <w:pPr>
              <w:spacing w:line="280" w:lineRule="atLeast"/>
              <w:ind w:left="113" w:right="113"/>
              <w:jc w:val="right"/>
              <w:rPr>
                <w:rFonts w:cs="Arial"/>
                <w:b w:val="0"/>
                <w:sz w:val="16"/>
                <w:szCs w:val="16"/>
              </w:rPr>
            </w:pPr>
          </w:p>
        </w:tc>
        <w:tc>
          <w:tcPr>
            <w:tcW w:w="3402" w:type="dxa"/>
            <w:vMerge/>
            <w:tcBorders>
              <w:top w:val="single" w:sz="4" w:space="0" w:color="FFFFFF"/>
              <w:left w:val="single" w:sz="4" w:space="0" w:color="FFFFFF"/>
              <w:right w:val="single" w:sz="4" w:space="0" w:color="FFFFFF"/>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1061" w:type="dxa"/>
            <w:vMerge/>
            <w:tcBorders>
              <w:top w:val="single" w:sz="4" w:space="0" w:color="FFFFFF"/>
              <w:left w:val="single" w:sz="4" w:space="0" w:color="FFFFFF"/>
              <w:right w:val="single" w:sz="4" w:space="0" w:color="FFFFFF" w:themeColor="background1"/>
            </w:tcBorders>
          </w:tcPr>
          <w:p w:rsidR="00055507" w:rsidRPr="001C6ACF" w:rsidRDefault="00055507" w:rsidP="00DA3493">
            <w:pPr>
              <w:spacing w:line="280" w:lineRule="atLeast"/>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622"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AG</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OP</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FD</w:t>
            </w:r>
          </w:p>
        </w:tc>
        <w:tc>
          <w:tcPr>
            <w:tcW w:w="55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UAv</w:t>
            </w:r>
          </w:p>
        </w:tc>
        <w:tc>
          <w:tcPr>
            <w:tcW w:w="593"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GDA</w:t>
            </w:r>
          </w:p>
        </w:tc>
        <w:tc>
          <w:tcPr>
            <w:tcW w:w="505"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Av</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CA</w:t>
            </w:r>
          </w:p>
        </w:tc>
        <w:tc>
          <w:tcPr>
            <w:tcW w:w="550" w:type="dxa"/>
            <w:tcBorders>
              <w:top w:val="single" w:sz="4" w:space="0" w:color="FFFFFF"/>
              <w:left w:val="single" w:sz="4" w:space="0" w:color="FFFFFF" w:themeColor="background1"/>
              <w:bottom w:val="single" w:sz="4" w:space="0" w:color="FFFFFF"/>
              <w:right w:val="single" w:sz="4" w:space="0" w:color="6E8967"/>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O</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Planeamento</w:t>
            </w:r>
          </w:p>
        </w:tc>
        <w:tc>
          <w:tcPr>
            <w:tcW w:w="3402"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Atualizar os valores de base dos indicadores comuns de contexto (no PDR)</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Logo que os dados estejam disponíveis</w:t>
            </w:r>
          </w:p>
        </w:tc>
        <w:tc>
          <w:tcPr>
            <w:tcW w:w="622" w:type="dxa"/>
            <w:tcBorders>
              <w:top w:val="single" w:sz="4" w:space="0" w:color="FFFFFF"/>
              <w:right w:val="single" w:sz="4" w:space="0" w:color="FFFFFF"/>
            </w:tcBorders>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left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tcBorders>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5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Planear atividades de avaliação, temas, estudos, mecanismos de recolha de dados relacionados com os indicadores comuns de impacto no plano de avaliação do PDR. </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A partir de 2013 </w:t>
            </w:r>
          </w:p>
        </w:tc>
        <w:tc>
          <w:tcPr>
            <w:tcW w:w="622" w:type="dxa"/>
            <w:tcBorders>
              <w:right w:val="single" w:sz="4" w:space="0" w:color="FFFFFF"/>
            </w:tcBorders>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left w:val="single" w:sz="4" w:space="0" w:color="FFFFFF"/>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2A0D72" w:rsidP="004C3C30">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Elaborar/atualizar o plano (documento) de avaliação interno para especificar os temas e as atividades no âmbito da avaliação (incluindo os mecanismos de dados para o cálculo do valor líquido dos indicadores de impacto, para a recolha de outros elementos de prova, e os estudos conexos). </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A partir de 2013</w:t>
            </w:r>
          </w:p>
        </w:tc>
        <w:tc>
          <w:tcPr>
            <w:tcW w:w="62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Preparação</w:t>
            </w:r>
          </w:p>
        </w:tc>
        <w:tc>
          <w:tcPr>
            <w:tcW w:w="3402"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Criação de um grupo diretor de avaliação, constituído por voluntários, para orientar o processo de avaliação (reuniões periódicas).</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No início do período de programação </w:t>
            </w:r>
          </w:p>
        </w:tc>
        <w:tc>
          <w:tcPr>
            <w:tcW w:w="62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Rever a lógica da intervenção do programa (objetivos, prioridades de desenvolvimento rural e domínios de incidência, medidas). </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No início do período de programação e antes de cada avaliação</w:t>
            </w:r>
          </w:p>
        </w:tc>
        <w:tc>
          <w:tcPr>
            <w:tcW w:w="62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95480A">
        <w:trPr>
          <w:trHeight w:val="502"/>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95134D">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Criar um entendimento comum das questões de avaliação comuns, elaborar critérios de apreciação e associá-los aos indicadores comuns (e adicionais). Assegurar a coerência ao associar os elementos da avaliação à lógica de intervenção do PDR. </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No início do período de programação e antes de cada avaliação</w:t>
            </w:r>
          </w:p>
        </w:tc>
        <w:tc>
          <w:tcPr>
            <w:tcW w:w="62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95480A"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Elaborar questões de avaliação específicas para o programa, se necessário. Dotá-las dos critérios de apreciação e dos indicadores específicos do programa. Assegurar a coerência ao associar os elementos da avaliação à lógica de intervenção do PDR.</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No início do período de programação e antes de cada avaliação</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BA1544" w:rsidRPr="001C6ACF" w:rsidTr="0095480A">
        <w:trPr>
          <w:trHeight w:val="105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Borders>
              <w:top w:val="single" w:sz="4" w:space="0" w:color="FFFFFF"/>
            </w:tcBorders>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Analisar os dados existentes para o cálculo dos indicadores comuns (e adicionais), a fim de recolher os elementos necessários para responder às QAC relacionadas com a Estratégia 2020 da UE. Identificar possíveis lacunas de dados no que respeita aos indicadores selecionados. </w:t>
            </w:r>
          </w:p>
        </w:tc>
        <w:tc>
          <w:tcPr>
            <w:tcW w:w="1061" w:type="dxa"/>
            <w:tcBorders>
              <w:top w:val="single" w:sz="4" w:space="0" w:color="FFFFFF"/>
            </w:tcBorders>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No início do período de programação e antes de cada avaliação</w:t>
            </w:r>
          </w:p>
        </w:tc>
        <w:tc>
          <w:tcPr>
            <w:tcW w:w="622"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tcBorders>
              <w:top w:val="single" w:sz="4" w:space="0" w:color="FFFFFF"/>
            </w:tcBorders>
            <w:shd w:val="clear" w:color="auto" w:fill="D0DDCC" w:themeFill="accent6" w:themeFillTint="66"/>
          </w:tcPr>
          <w:p w:rsidR="00055507" w:rsidRPr="001C6ACF" w:rsidRDefault="0095480A"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Discutir possíveis abordagens de avaliação para avaliar/calcular o valor líquido dos indicadores de impacto em função dos dados existentes.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No início do período de programação e antes de cada avaliação</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24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Redigir os termos de referência e lançar um concurso público para a avaliação (sob a forma de contratos de avaliação contínua ou de avaliação única para 2017 e 2019). </w:t>
            </w:r>
          </w:p>
        </w:tc>
        <w:tc>
          <w:tcPr>
            <w:tcW w:w="1061"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No início do período de programação ou em 2016 e 2018.</w:t>
            </w:r>
          </w:p>
        </w:tc>
        <w:tc>
          <w:tcPr>
            <w:tcW w:w="62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BA1544"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Estruturação</w:t>
            </w: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Discutir com os avaliadores as fontes de dados e as lacunas de dados existentes. Acordar a forma de colmatar as lacunas de dados.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2016 e 2.º e 3.º trimestres de 2018.</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Discutir com os avaliadores as abordagens metodológicas para a avaliação dos impactos do PDR e para o cálculo do valor líquido dos indicadores de impacto comuns (e adicionais). </w:t>
            </w:r>
          </w:p>
        </w:tc>
        <w:tc>
          <w:tcPr>
            <w:tcW w:w="1061"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2016 e 2.º e 3.º trimestres de 2018.</w:t>
            </w:r>
          </w:p>
        </w:tc>
        <w:tc>
          <w:tcPr>
            <w:tcW w:w="62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Observação</w:t>
            </w: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Recolher dados e informações sobre os beneficiários relacionados com os indicadores de impacto comuns (e adicionais) e de acordo com os métodos propostos.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Desde o início do PDR até ao final de 2018</w:t>
            </w:r>
          </w:p>
        </w:tc>
        <w:tc>
          <w:tcPr>
            <w:tcW w:w="62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Recolher dados e informações sobre os não beneficiários relacionados com os indicadores de impacto comuns (e adicionais) e de acordo com os métodos propostos.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Desde o início do PDR até ao final de 2018</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Assegurar a qualidade dos dados recolhidos através da base de dados de operações e de outras fontes (p. ex., RICA, serviço de estatística, vigilância ambiental, etc.). </w:t>
            </w:r>
          </w:p>
        </w:tc>
        <w:tc>
          <w:tcPr>
            <w:tcW w:w="1061" w:type="dxa"/>
          </w:tcPr>
          <w:p w:rsidR="00055507" w:rsidRPr="001C6ACF" w:rsidRDefault="00AF5B55" w:rsidP="00810ED5">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Em curso</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Análise</w:t>
            </w: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Realizar a avaliação e o cálculo do valor líquido dos indicadores de impacto de acordo com a abordagem de avaliação proposta e com os métodos de avaliação selecionados. </w:t>
            </w:r>
          </w:p>
        </w:tc>
        <w:tc>
          <w:tcPr>
            <w:tcW w:w="1061" w:type="dxa"/>
          </w:tcPr>
          <w:p w:rsidR="00055507" w:rsidRPr="001C6ACF" w:rsidRDefault="0095480A" w:rsidP="0095480A">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1º trimestre de 2019</w:t>
            </w:r>
          </w:p>
        </w:tc>
        <w:tc>
          <w:tcPr>
            <w:tcW w:w="62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Assegurar a qualidade da análise. </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1º trimestre de 2019</w:t>
            </w:r>
          </w:p>
        </w:tc>
        <w:tc>
          <w:tcPr>
            <w:tcW w:w="62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Apreciação</w:t>
            </w: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Interpretar os resultados da avaliação com base na análise, elaborar apreciações com base nos critérios de apreciação e responder às questões de avaliação.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1º trimestre de 2019</w:t>
            </w:r>
          </w:p>
        </w:tc>
        <w:tc>
          <w:tcPr>
            <w:tcW w:w="62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Formular conclusões relacionadas com as apreciações e formular recomendações, se necessário.</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1.º e 2.º trimestres de 2019</w:t>
            </w:r>
          </w:p>
        </w:tc>
        <w:tc>
          <w:tcPr>
            <w:tcW w:w="622"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Assegurar a qualidade das apreciações.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1.º e 2.º trimestres de 2019</w:t>
            </w:r>
          </w:p>
        </w:tc>
        <w:tc>
          <w:tcPr>
            <w:tcW w:w="622"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Relatórios</w:t>
            </w: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Elaborar o relatório de avaliação</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2.º trimestre de 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Apresentar as resultados da avaliação ao Comité de acompanhamento.</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2.º trimestre de 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CD67A7">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Preencher o modelo SFC do RAE (incluindo os capítulos 2 e 7) e enviá-lo à CE.</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2.º trimestre de 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Publicar o RAE e os relatórios de avaliação (não apenas o capítulo 7 do RAE) no sítio Web público.</w:t>
            </w:r>
          </w:p>
        </w:tc>
        <w:tc>
          <w:tcPr>
            <w:tcW w:w="1061" w:type="dxa"/>
          </w:tcPr>
          <w:p w:rsidR="00055507" w:rsidRPr="001C6ACF" w:rsidRDefault="00025148"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2.º, 3.º e 4.º trimestres de 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434BEF"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Preparar os resultados da avaliação noutros formatos (p. ex., resumos para os cidadãos) para os diferentes grupos-alvo.</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3.º e 4.º trimestres de 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Comunicar os resultados da avaliação aos grupos-alvo.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3.º e 4.º trimestres de 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6E8967"/>
              <w:bottom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Acompanhamento</w:t>
            </w:r>
          </w:p>
        </w:tc>
        <w:tc>
          <w:tcPr>
            <w:tcW w:w="3402"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Ter em conta e acompanhar as conclusões e as recomendações da avaliação, a fim de melhorar o modelo e a execução do programa de desenvolvimento rural. </w:t>
            </w:r>
          </w:p>
        </w:tc>
        <w:tc>
          <w:tcPr>
            <w:tcW w:w="1061" w:type="dxa"/>
            <w:tcBorders>
              <w:bottom w:val="single" w:sz="4" w:space="0" w:color="6E8967"/>
            </w:tcBorders>
          </w:tcPr>
          <w:p w:rsidR="00055507" w:rsidRPr="001C6ACF" w:rsidRDefault="00055507" w:rsidP="00DF22D0">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A partir do 2.º trimestre de 2019 </w:t>
            </w:r>
          </w:p>
        </w:tc>
        <w:tc>
          <w:tcPr>
            <w:tcW w:w="622" w:type="dxa"/>
            <w:tcBorders>
              <w:bottom w:val="single" w:sz="4" w:space="0" w:color="6E8967"/>
            </w:tcBorders>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93"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Borders>
              <w:bottom w:val="single" w:sz="4" w:space="0" w:color="6E8967"/>
              <w:right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bl>
    <w:p w:rsidR="00C744FC" w:rsidRPr="001C6ACF" w:rsidRDefault="00C744FC" w:rsidP="001F25E0">
      <w:pPr>
        <w:pStyle w:val="HStandard"/>
      </w:pPr>
    </w:p>
    <w:p w:rsidR="00425D88" w:rsidRPr="001C6ACF" w:rsidRDefault="00425D88" w:rsidP="00425D88">
      <w:pPr>
        <w:pStyle w:val="HStandard"/>
        <w:sectPr w:rsidR="00425D88" w:rsidRPr="001C6ACF" w:rsidSect="00D32538">
          <w:footerReference w:type="default" r:id="rId32"/>
          <w:footerReference w:type="first" r:id="rId33"/>
          <w:pgSz w:w="11906" w:h="16838" w:code="9"/>
          <w:pgMar w:top="1440" w:right="1440" w:bottom="1134" w:left="1440" w:header="567" w:footer="737" w:gutter="0"/>
          <w:pgNumType w:start="1"/>
          <w:cols w:space="708"/>
          <w:titlePg/>
          <w:docGrid w:linePitch="360"/>
        </w:sectPr>
      </w:pPr>
    </w:p>
    <w:p w:rsidR="00425D88" w:rsidRPr="001C6ACF" w:rsidRDefault="00425D88" w:rsidP="00E93BEA">
      <w:pPr>
        <w:pStyle w:val="HHeading1"/>
        <w:tabs>
          <w:tab w:val="clear" w:pos="474"/>
          <w:tab w:val="clear" w:pos="567"/>
        </w:tabs>
        <w:rPr>
          <w:sz w:val="28"/>
        </w:rPr>
      </w:pPr>
      <w:r>
        <w:rPr>
          <w:sz w:val="28"/>
        </w:rPr>
        <w:lastRenderedPageBreak/>
        <w:t>Abordagens para a avaliação dos impactos do PDR em 2019 (PARTE II)</w:t>
      </w:r>
    </w:p>
    <w:p w:rsidR="00BB6B80" w:rsidRPr="00571D58" w:rsidRDefault="000B213F" w:rsidP="00B86C6A">
      <w:pPr>
        <w:pStyle w:val="HStandard"/>
      </w:pPr>
      <w:r>
        <w:rPr>
          <w:b/>
          <w:noProof/>
          <w:lang w:bidi="ar-SA"/>
        </w:rPr>
        <mc:AlternateContent>
          <mc:Choice Requires="wps">
            <w:drawing>
              <wp:inline distT="0" distB="0" distL="0" distR="0" wp14:anchorId="32B98344" wp14:editId="11ED9CAD">
                <wp:extent cx="5746750" cy="1733550"/>
                <wp:effectExtent l="0" t="0" r="25400" b="19050"/>
                <wp:docPr id="935" name="Rectangle: Diagonal Corners Rounded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6750" cy="1733550"/>
                        </a:xfrm>
                        <a:custGeom>
                          <a:avLst/>
                          <a:gdLst>
                            <a:gd name="T0" fmla="*/ 254411 w 5695950"/>
                            <a:gd name="T1" fmla="*/ 0 h 1464319"/>
                            <a:gd name="T2" fmla="*/ 5695950 w 5695950"/>
                            <a:gd name="T3" fmla="*/ 0 h 1464319"/>
                            <a:gd name="T4" fmla="*/ 5695950 w 5695950"/>
                            <a:gd name="T5" fmla="*/ 0 h 1464319"/>
                            <a:gd name="T6" fmla="*/ 5695950 w 5695950"/>
                            <a:gd name="T7" fmla="*/ 1209908 h 1464319"/>
                            <a:gd name="T8" fmla="*/ 5441539 w 5695950"/>
                            <a:gd name="T9" fmla="*/ 1464319 h 1464319"/>
                            <a:gd name="T10" fmla="*/ 0 w 5695950"/>
                            <a:gd name="T11" fmla="*/ 1464319 h 1464319"/>
                            <a:gd name="T12" fmla="*/ 0 w 5695950"/>
                            <a:gd name="T13" fmla="*/ 1464319 h 1464319"/>
                            <a:gd name="T14" fmla="*/ 0 w 5695950"/>
                            <a:gd name="T15" fmla="*/ 254411 h 1464319"/>
                            <a:gd name="T16" fmla="*/ 254411 w 5695950"/>
                            <a:gd name="T17" fmla="*/ 0 h 14643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5950"/>
                            <a:gd name="T28" fmla="*/ 0 h 1464319"/>
                            <a:gd name="T29" fmla="*/ 5695950 w 5695950"/>
                            <a:gd name="T30" fmla="*/ 1464319 h 14643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5950" h="1464319">
                              <a:moveTo>
                                <a:pt x="254411" y="0"/>
                              </a:moveTo>
                              <a:lnTo>
                                <a:pt x="5695950" y="0"/>
                              </a:lnTo>
                              <a:lnTo>
                                <a:pt x="5695950" y="1209908"/>
                              </a:lnTo>
                              <a:cubicBezTo>
                                <a:pt x="5695950" y="1350415"/>
                                <a:pt x="5582046" y="1464319"/>
                                <a:pt x="5441539" y="1464319"/>
                              </a:cubicBezTo>
                              <a:lnTo>
                                <a:pt x="0" y="1464319"/>
                              </a:lnTo>
                              <a:lnTo>
                                <a:pt x="0" y="254411"/>
                              </a:lnTo>
                              <a:cubicBezTo>
                                <a:pt x="0" y="113904"/>
                                <a:pt x="113904" y="0"/>
                                <a:pt x="254411" y="0"/>
                              </a:cubicBezTo>
                              <a:close/>
                            </a:path>
                          </a:pathLst>
                        </a:custGeom>
                        <a:noFill/>
                        <a:ln w="25400">
                          <a:solidFill>
                            <a:srgbClr val="8BAB80"/>
                          </a:solidFill>
                          <a:miter lim="800000"/>
                          <a:headEnd/>
                          <a:tailEnd/>
                        </a:ln>
                        <a:extLst>
                          <a:ext uri="{909E8E84-426E-40DD-AFC4-6F175D3DCCD1}">
                            <a14:hiddenFill xmlns:a14="http://schemas.microsoft.com/office/drawing/2010/main">
                              <a:solidFill>
                                <a:srgbClr val="FFFFFF"/>
                              </a:solidFill>
                            </a14:hiddenFill>
                          </a:ext>
                        </a:extLst>
                      </wps:spPr>
                      <wps:txbx>
                        <w:txbxContent>
                          <w:p w:rsidR="0024624B" w:rsidRPr="00B86C6A" w:rsidRDefault="0024624B" w:rsidP="00BB6B80">
                            <w:pPr>
                              <w:pStyle w:val="Normal12PTcouleurgris"/>
                              <w:rPr>
                                <w:rStyle w:val="HStandardCar"/>
                                <w:color w:val="292929" w:themeColor="text1" w:themeShade="BF"/>
                              </w:rPr>
                            </w:pPr>
                            <w:r w:rsidRPr="00171202">
                              <w:rPr>
                                <w:noProof/>
                                <w:sz w:val="18"/>
                              </w:rPr>
                              <w:drawing>
                                <wp:inline distT="0" distB="0" distL="0" distR="0" wp14:anchorId="4E9CC156" wp14:editId="6EB1D402">
                                  <wp:extent cx="578362" cy="539115"/>
                                  <wp:effectExtent l="0" t="0" r="0" b="0"/>
                                  <wp:docPr id="903"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4">
                                            <a:extLst>
                                              <a:ext uri="{28A0092B-C50C-407E-A947-70E740481C1C}">
                                                <a14:useLocalDpi xmlns:a14="http://schemas.microsoft.com/office/drawing/2010/main" val="0"/>
                                              </a:ext>
                                            </a:extLst>
                                          </a:blip>
                                          <a:srcRect l="12992" r="21270"/>
                                          <a:stretch/>
                                        </pic:blipFill>
                                        <pic:spPr bwMode="auto">
                                          <a:xfrm>
                                            <a:off x="0" y="0"/>
                                            <a:ext cx="579311" cy="540000"/>
                                          </a:xfrm>
                                          <a:prstGeom prst="rect">
                                            <a:avLst/>
                                          </a:prstGeom>
                                          <a:ln>
                                            <a:noFill/>
                                          </a:ln>
                                          <a:extLst>
                                            <a:ext uri="{53640926-AAD7-44D8-BBD7-CCE9431645EC}">
                                              <a14:shadowObscured xmlns:a14="http://schemas.microsoft.com/office/drawing/2010/main"/>
                                            </a:ext>
                                          </a:extLst>
                                        </pic:spPr>
                                      </pic:pic>
                                    </a:graphicData>
                                  </a:graphic>
                                </wp:inline>
                              </w:drawing>
                            </w:r>
                            <w:r w:rsidRPr="0024624B">
                              <w:rPr>
                                <w:rStyle w:val="HStandardCar"/>
                                <w:b/>
                                <w:color w:val="F07E31"/>
                                <w:sz w:val="20"/>
                              </w:rPr>
                              <w:t>A</w:t>
                            </w:r>
                            <w:r>
                              <w:t xml:space="preserve"> </w:t>
                            </w:r>
                            <w:r>
                              <w:rPr>
                                <w:rStyle w:val="HStandardCar"/>
                                <w:b/>
                                <w:color w:val="F07E31"/>
                                <w:sz w:val="20"/>
                              </w:rPr>
                              <w:t>PARTE II</w:t>
                            </w:r>
                            <w:r>
                              <w:rPr>
                                <w:rStyle w:val="HStandardCar"/>
                                <w:color w:val="F07E31"/>
                                <w:sz w:val="20"/>
                              </w:rPr>
                              <w:t xml:space="preserve"> </w:t>
                            </w:r>
                            <w:r>
                              <w:rPr>
                                <w:rStyle w:val="HStandardCar"/>
                                <w:color w:val="292929" w:themeColor="text1" w:themeShade="BF"/>
                                <w:sz w:val="20"/>
                              </w:rPr>
                              <w:t xml:space="preserve">das orientações não vinculativas «Avaliação dos resultados e impactos do PDR em 2019» deve ser interpretada em articulação com a </w:t>
                            </w:r>
                            <w:r>
                              <w:rPr>
                                <w:rStyle w:val="HStandardCar"/>
                                <w:b/>
                                <w:color w:val="F07E31"/>
                                <w:sz w:val="20"/>
                              </w:rPr>
                              <w:t>PARTE III</w:t>
                            </w:r>
                            <w:r>
                              <w:rPr>
                                <w:rStyle w:val="HStandardCar"/>
                                <w:color w:val="F07E31"/>
                                <w:sz w:val="20"/>
                              </w:rPr>
                              <w:t xml:space="preserve"> </w:t>
                            </w:r>
                            <w:r>
                              <w:rPr>
                                <w:rStyle w:val="HStandardCar"/>
                                <w:color w:val="292929" w:themeColor="text1" w:themeShade="BF"/>
                                <w:sz w:val="20"/>
                              </w:rPr>
                              <w:t>(Fichas para responder às QAC n.</w:t>
                            </w:r>
                            <w:r>
                              <w:rPr>
                                <w:rStyle w:val="HStandardCar"/>
                                <w:color w:val="292929" w:themeColor="text1" w:themeShade="BF"/>
                                <w:sz w:val="20"/>
                                <w:vertAlign w:val="superscript"/>
                              </w:rPr>
                              <w:t>os</w:t>
                            </w:r>
                            <w:r>
                              <w:rPr>
                                <w:rStyle w:val="HStandardCar"/>
                                <w:color w:val="292929" w:themeColor="text1" w:themeShade="BF"/>
                                <w:sz w:val="20"/>
                              </w:rPr>
                              <w:t xml:space="preserve"> 22 a 30) e a </w:t>
                            </w:r>
                            <w:r>
                              <w:rPr>
                                <w:rStyle w:val="HStandardCar"/>
                                <w:b/>
                                <w:color w:val="F07E31"/>
                                <w:sz w:val="20"/>
                              </w:rPr>
                              <w:t xml:space="preserve">PARTE IV </w:t>
                            </w:r>
                            <w:r>
                              <w:rPr>
                                <w:rStyle w:val="HStandardCar"/>
                                <w:color w:val="292929" w:themeColor="text1" w:themeShade="BF"/>
                                <w:sz w:val="20"/>
                              </w:rPr>
                              <w:t>(Anexo Técnico), que contém informações complementares relativas às abordagens de avaliação propostas, exemplos de indicadores adicionais, descrições exaustivas das etapas de trabalho, adequação das abordagens de avaliação sugeridas, práticas aconselháveis e práticas desaconselháveis e um glossário).</w:t>
                            </w:r>
                          </w:p>
                        </w:txbxContent>
                      </wps:txbx>
                      <wps:bodyPr rot="0" vert="horz" wrap="square" lIns="91440" tIns="45720" rIns="91440" bIns="45720" anchor="ctr" anchorCtr="0" upright="1">
                        <a:noAutofit/>
                      </wps:bodyPr>
                    </wps:wsp>
                  </a:graphicData>
                </a:graphic>
              </wp:inline>
            </w:drawing>
          </mc:Choice>
          <mc:Fallback>
            <w:pict>
              <v:shape w14:anchorId="32B98344" id="Rectangle: Diagonal Corners Rounded 48" o:spid="_x0000_s1029" style="width:452.5pt;height:136.5pt;visibility:visible;mso-wrap-style:square;mso-left-percent:-10001;mso-top-percent:-10001;mso-position-horizontal:absolute;mso-position-horizontal-relative:char;mso-position-vertical:absolute;mso-position-vertical-relative:line;mso-left-percent:-10001;mso-top-percent:-10001;v-text-anchor:middle" coordsize="5695950,1464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" adj="-11796480,,5400" path="m254411,l5695950,r,1209908c5695950,1350415,5582046,1464319,5441539,1464319l,1464319,,254411c,113904,113904,,254411,xe" filled="f" strokecolor="#8bab80" strokeweight="2pt">
                <v:stroke joinstyle="miter"/>
                <v:formulas/>
                <v:path arrowok="t" o:connecttype="custom" o:connectlocs="256680,0;5746750,0;5746750,0;5746750,1432363;5490070,1733550;0,1733550;0,1733550;0,301187;256680,0" o:connectangles="0,0,0,0,0,0,0,0,0" textboxrect="0,0,5695950,1464319"/>
                <v:textbox>
                  <w:txbxContent>
                    <w:p w:rsidR="0024624B" w:rsidRPr="00B86C6A" w:rsidRDefault="0024624B" w:rsidP="00BB6B80">
                      <w:pPr>
                        <w:pStyle w:val="Normal12PTcouleurgris"/>
                        <w:rPr>
                          <w:rStyle w:val="HStandardCar"/>
                          <w:color w:val="292929" w:themeColor="text1" w:themeShade="BF"/>
                        </w:rPr>
                      </w:pPr>
                      <w:r w:rsidRPr="00171202">
                        <w:rPr>
                          <w:noProof/>
                          <w:sz w:val="18"/>
                        </w:rPr>
                        <w:drawing>
                          <wp:inline distT="0" distB="0" distL="0" distR="0" wp14:anchorId="4E9CC156" wp14:editId="6EB1D402">
                            <wp:extent cx="578362" cy="539115"/>
                            <wp:effectExtent l="0" t="0" r="0" b="0"/>
                            <wp:docPr id="903"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4">
                                      <a:extLst>
                                        <a:ext uri="{28A0092B-C50C-407E-A947-70E740481C1C}">
                                          <a14:useLocalDpi xmlns:a14="http://schemas.microsoft.com/office/drawing/2010/main" val="0"/>
                                        </a:ext>
                                      </a:extLst>
                                    </a:blip>
                                    <a:srcRect l="12992" r="21270"/>
                                    <a:stretch/>
                                  </pic:blipFill>
                                  <pic:spPr bwMode="auto">
                                    <a:xfrm>
                                      <a:off x="0" y="0"/>
                                      <a:ext cx="579311" cy="540000"/>
                                    </a:xfrm>
                                    <a:prstGeom prst="rect">
                                      <a:avLst/>
                                    </a:prstGeom>
                                    <a:ln>
                                      <a:noFill/>
                                    </a:ln>
                                    <a:extLst>
                                      <a:ext uri="{53640926-AAD7-44D8-BBD7-CCE9431645EC}">
                                        <a14:shadowObscured xmlns:a14="http://schemas.microsoft.com/office/drawing/2010/main"/>
                                      </a:ext>
                                    </a:extLst>
                                  </pic:spPr>
                                </pic:pic>
                              </a:graphicData>
                            </a:graphic>
                          </wp:inline>
                        </w:drawing>
                      </w:r>
                      <w:r w:rsidRPr="0024624B">
                        <w:rPr>
                          <w:rStyle w:val="HStandardCar"/>
                          <w:b/>
                          <w:color w:val="F07E31"/>
                          <w:sz w:val="20"/>
                        </w:rPr>
                        <w:t>A</w:t>
                      </w:r>
                      <w:r>
                        <w:t xml:space="preserve"> </w:t>
                      </w:r>
                      <w:r>
                        <w:rPr>
                          <w:rStyle w:val="HStandardCar"/>
                          <w:b/>
                          <w:color w:val="F07E31"/>
                          <w:sz w:val="20"/>
                        </w:rPr>
                        <w:t>PARTE II</w:t>
                      </w:r>
                      <w:r>
                        <w:rPr>
                          <w:rStyle w:val="HStandardCar"/>
                          <w:color w:val="F07E31"/>
                          <w:sz w:val="20"/>
                        </w:rPr>
                        <w:t xml:space="preserve"> </w:t>
                      </w:r>
                      <w:r>
                        <w:rPr>
                          <w:rStyle w:val="HStandardCar"/>
                          <w:color w:val="292929" w:themeColor="text1" w:themeShade="BF"/>
                          <w:sz w:val="20"/>
                        </w:rPr>
                        <w:t xml:space="preserve">das orientações não vinculativas «Avaliação dos resultados e impactos do PDR em 2019» deve ser interpretada em articulação com a </w:t>
                      </w:r>
                      <w:r>
                        <w:rPr>
                          <w:rStyle w:val="HStandardCar"/>
                          <w:b/>
                          <w:color w:val="F07E31"/>
                          <w:sz w:val="20"/>
                        </w:rPr>
                        <w:t>PARTE III</w:t>
                      </w:r>
                      <w:r>
                        <w:rPr>
                          <w:rStyle w:val="HStandardCar"/>
                          <w:color w:val="F07E31"/>
                          <w:sz w:val="20"/>
                        </w:rPr>
                        <w:t xml:space="preserve"> </w:t>
                      </w:r>
                      <w:r>
                        <w:rPr>
                          <w:rStyle w:val="HStandardCar"/>
                          <w:color w:val="292929" w:themeColor="text1" w:themeShade="BF"/>
                          <w:sz w:val="20"/>
                        </w:rPr>
                        <w:t>(Fichas para responder às QAC n.</w:t>
                      </w:r>
                      <w:r>
                        <w:rPr>
                          <w:rStyle w:val="HStandardCar"/>
                          <w:color w:val="292929" w:themeColor="text1" w:themeShade="BF"/>
                          <w:sz w:val="20"/>
                          <w:vertAlign w:val="superscript"/>
                        </w:rPr>
                        <w:t>os</w:t>
                      </w:r>
                      <w:r>
                        <w:rPr>
                          <w:rStyle w:val="HStandardCar"/>
                          <w:color w:val="292929" w:themeColor="text1" w:themeShade="BF"/>
                          <w:sz w:val="20"/>
                        </w:rPr>
                        <w:t xml:space="preserve"> 22 a 30) e a </w:t>
                      </w:r>
                      <w:r>
                        <w:rPr>
                          <w:rStyle w:val="HStandardCar"/>
                          <w:b/>
                          <w:color w:val="F07E31"/>
                          <w:sz w:val="20"/>
                        </w:rPr>
                        <w:t xml:space="preserve">PARTE IV </w:t>
                      </w:r>
                      <w:r>
                        <w:rPr>
                          <w:rStyle w:val="HStandardCar"/>
                          <w:color w:val="292929" w:themeColor="text1" w:themeShade="BF"/>
                          <w:sz w:val="20"/>
                        </w:rPr>
                        <w:t>(Anexo Técnico), que contém informações complementares relativas às abordagens de avaliação propostas, exemplos de indicadores adicionais, descrições exaustivas das etapas de trabalho, adequação das abordagens de avaliação sugeridas, práticas aconselháveis e práticas desaconselháveis e um glossário).</w:t>
                      </w:r>
                    </w:p>
                  </w:txbxContent>
                </v:textbox>
                <w10:anchorlock/>
              </v:shape>
            </w:pict>
          </mc:Fallback>
        </mc:AlternateContent>
      </w:r>
    </w:p>
    <w:p w:rsidR="00425D88" w:rsidRPr="007645B4" w:rsidRDefault="00425D88" w:rsidP="00002482">
      <w:pPr>
        <w:pStyle w:val="HHeading2"/>
        <w:tabs>
          <w:tab w:val="clear" w:pos="360"/>
          <w:tab w:val="clear" w:pos="567"/>
        </w:tabs>
      </w:pPr>
      <w:r>
        <w:t>Seleção de abordagens de avaliação adequadas para a avaliação dos impactos do PDR</w:t>
      </w:r>
    </w:p>
    <w:p w:rsidR="00E93BEA" w:rsidRPr="001C6ACF" w:rsidRDefault="00E93BEA" w:rsidP="00E93BEA">
      <w:pPr>
        <w:pStyle w:val="HStandard"/>
        <w:rPr>
          <w:rFonts w:cs="Arial"/>
        </w:rPr>
      </w:pPr>
      <w:r>
        <w:t xml:space="preserve">A avaliação e o cálculo do valor líquido dos indicadores de impacto comuns do Pilar II da PAC, em 2019, constitui um desafio e suscita </w:t>
      </w:r>
      <w:r>
        <w:rPr>
          <w:b/>
        </w:rPr>
        <w:t>várias questões</w:t>
      </w:r>
      <w:r>
        <w:t xml:space="preserve">: </w:t>
      </w:r>
    </w:p>
    <w:p w:rsidR="00E93BEA" w:rsidRPr="001C6ACF" w:rsidRDefault="00E93BEA" w:rsidP="00E93BEA">
      <w:pPr>
        <w:pStyle w:val="Hlistbullet"/>
      </w:pPr>
      <w:r>
        <w:t xml:space="preserve">Como podem as alterações observadas nas zonas rurais ser imputadas às intervenções do PDR e que abordagens de avaliação devem ser utilizadas para este efeito? </w:t>
      </w:r>
    </w:p>
    <w:p w:rsidR="00E93BEA" w:rsidRPr="001C6ACF" w:rsidRDefault="00E93BEA" w:rsidP="00E93BEA">
      <w:pPr>
        <w:pStyle w:val="Hlistbullet"/>
      </w:pPr>
      <w:r>
        <w:t xml:space="preserve">Quais os dados de fontes existentes (p. ex., bases de dados de acompanhamento, bases de dados europeias, nacionais e regionais) que devem ser utilizados para fornecer informações sobre a abordagem de avaliação sugerida? </w:t>
      </w:r>
    </w:p>
    <w:p w:rsidR="00E93BEA" w:rsidRPr="001C6ACF" w:rsidRDefault="00E93BEA" w:rsidP="00E93BEA">
      <w:pPr>
        <w:pStyle w:val="Hlistbullet"/>
      </w:pPr>
      <w:r>
        <w:t xml:space="preserve">Como efetuar a coordenação com os vários fornecedores de dados? </w:t>
      </w:r>
    </w:p>
    <w:p w:rsidR="00E93BEA" w:rsidRPr="001C6ACF" w:rsidRDefault="00E93BEA" w:rsidP="00E93BEA">
      <w:pPr>
        <w:pStyle w:val="Hlistbullet"/>
      </w:pPr>
      <w:r>
        <w:t xml:space="preserve">Como pode ser assegurada a qualidade dos dados e como podem ser colmatadas as lacunas de dados? </w:t>
      </w:r>
    </w:p>
    <w:p w:rsidR="009B0B1E" w:rsidRPr="001C6ACF" w:rsidRDefault="009B0B1E" w:rsidP="00B63445">
      <w:pPr>
        <w:pStyle w:val="HHeading3"/>
      </w:pPr>
      <w:r>
        <w:t>Como podem ser utilizados modelos lógicos para determinar as abordagens de avaliação que são adequadas?</w:t>
      </w:r>
    </w:p>
    <w:p w:rsidR="009B37D9" w:rsidRPr="001C6ACF" w:rsidRDefault="000B213F" w:rsidP="009B37D9">
      <w:pPr>
        <w:pStyle w:val="HStandard"/>
      </w:pPr>
      <w:r>
        <w:rPr>
          <w:b/>
          <w:i/>
          <w:noProof/>
          <w:color w:val="F07E31" w:themeColor="accent1"/>
          <w:lang w:bidi="ar-SA"/>
        </w:rPr>
        <mc:AlternateContent>
          <mc:Choice Requires="wps">
            <w:drawing>
              <wp:anchor distT="0" distB="0" distL="114300" distR="114300" simplePos="0" relativeHeight="251728384" behindDoc="1" locked="0" layoutInCell="1" allowOverlap="1" wp14:anchorId="63A05713" wp14:editId="19395B45">
                <wp:simplePos x="0" y="0"/>
                <wp:positionH relativeFrom="margin">
                  <wp:align>right</wp:align>
                </wp:positionH>
                <wp:positionV relativeFrom="paragraph">
                  <wp:posOffset>39370</wp:posOffset>
                </wp:positionV>
                <wp:extent cx="2447925" cy="2219325"/>
                <wp:effectExtent l="0" t="0" r="28575" b="28575"/>
                <wp:wrapTight wrapText="bothSides">
                  <wp:wrapPolygon edited="0">
                    <wp:start x="840" y="0"/>
                    <wp:lineTo x="0" y="556"/>
                    <wp:lineTo x="0" y="21693"/>
                    <wp:lineTo x="21012" y="21693"/>
                    <wp:lineTo x="21684" y="20951"/>
                    <wp:lineTo x="21684" y="0"/>
                    <wp:lineTo x="840" y="0"/>
                  </wp:wrapPolygon>
                </wp:wrapTight>
                <wp:docPr id="9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2219325"/>
                        </a:xfrm>
                        <a:prstGeom prst="round2DiagRect">
                          <a:avLst>
                            <a:gd name="adj1" fmla="val 8733"/>
                            <a:gd name="adj2" fmla="val 0"/>
                          </a:avLst>
                        </a:prstGeom>
                        <a:noFill/>
                        <a:ln w="25400" cap="flat" cmpd="sng" algn="ctr">
                          <a:solidFill>
                            <a:srgbClr val="BE4A35"/>
                          </a:solidFill>
                          <a:prstDash val="solid"/>
                        </a:ln>
                        <a:effectLst/>
                      </wps:spPr>
                      <wps:txbx>
                        <w:txbxContent>
                          <w:p w:rsidR="0024624B" w:rsidRPr="00C545E7" w:rsidRDefault="0024624B" w:rsidP="005166F3">
                            <w:pPr>
                              <w:pStyle w:val="HHeading4"/>
                              <w:spacing w:before="0"/>
                              <w:jc w:val="both"/>
                              <w:rPr>
                                <w:i/>
                                <w:color w:val="F07E31" w:themeColor="accent1"/>
                                <w:sz w:val="18"/>
                              </w:rPr>
                            </w:pPr>
                            <w:r>
                              <w:rPr>
                                <w:noProof/>
                                <w:color w:val="373737"/>
                                <w:lang w:bidi="ar-SA"/>
                              </w:rPr>
                              <w:drawing>
                                <wp:inline distT="0" distB="0" distL="0" distR="0" wp14:anchorId="3EBD10A7" wp14:editId="7634A0C5">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Os </w:t>
                            </w:r>
                            <w:r>
                              <w:rPr>
                                <w:color w:val="373737" w:themeColor="text1"/>
                              </w:rPr>
                              <w:t xml:space="preserve">modelos lógicos </w:t>
                            </w:r>
                            <w:r>
                              <w:rPr>
                                <w:b w:val="0"/>
                                <w:color w:val="373737" w:themeColor="text1"/>
                              </w:rPr>
                              <w:t>são árvores de decisão que podem ajudar as partes interessadas a conceber uma abordagem de avaliação (contrafactual) e a selecionar os métodos mais adequados em função dos dados e das informações disponíveis.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A05713" id="_x0000_s1030" style="position:absolute;left:0;text-align:left;margin-left:141.55pt;margin-top:3.1pt;width:192.75pt;height:174.75pt;z-index:-25158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2447925,2219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" adj="-11796480,,5400" path="m193814,l2447925,r,l2447925,2025511v,107041,-86773,193814,-193814,193814l,2219325r,l,193814c,86773,86773,,193814,xe" filled="f" strokecolor="#be4a35" strokeweight="2pt">
                <v:stroke joinstyle="miter"/>
                <v:formulas/>
                <v:path arrowok="t" o:connecttype="custom" o:connectlocs="193814,0;2447925,0;2447925,0;2447925,2025511;2254111,2219325;0,2219325;0,2219325;0,193814;193814,0" o:connectangles="0,0,0,0,0,0,0,0,0" textboxrect="0,0,2447925,2219325"/>
                <v:textbox>
                  <w:txbxContent>
                    <w:p w:rsidR="0024624B" w:rsidRPr="00C545E7" w:rsidRDefault="0024624B" w:rsidP="005166F3">
                      <w:pPr>
                        <w:pStyle w:val="HHeading4"/>
                        <w:spacing w:before="0"/>
                        <w:jc w:val="both"/>
                        <w:rPr>
                          <w:i/>
                          <w:color w:val="F07E31" w:themeColor="accent1"/>
                          <w:sz w:val="18"/>
                        </w:rPr>
                      </w:pPr>
                      <w:r>
                        <w:rPr>
                          <w:noProof/>
                          <w:color w:val="373737"/>
                          <w:lang w:bidi="ar-SA"/>
                        </w:rPr>
                        <w:drawing>
                          <wp:inline distT="0" distB="0" distL="0" distR="0" wp14:anchorId="3EBD10A7" wp14:editId="7634A0C5">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Os </w:t>
                      </w:r>
                      <w:r>
                        <w:rPr>
                          <w:color w:val="373737" w:themeColor="text1"/>
                        </w:rPr>
                        <w:t xml:space="preserve">modelos lógicos </w:t>
                      </w:r>
                      <w:r>
                        <w:rPr>
                          <w:b w:val="0"/>
                          <w:color w:val="373737" w:themeColor="text1"/>
                        </w:rPr>
                        <w:t>são árvores de decisão que podem ajudar as partes interessadas a conceber uma abordagem de avaliação (contrafactual) e a selecionar os métodos mais adequados em função dos dados e das informações disponíveis.</w:t>
                      </w:r>
                    </w:p>
                  </w:txbxContent>
                </v:textbox>
                <w10:wrap type="tight" anchorx="margin"/>
              </v:shape>
            </w:pict>
          </mc:Fallback>
        </mc:AlternateContent>
      </w:r>
      <w:r>
        <w:t xml:space="preserve">Os modelos lógicos podem orientar o avaliador para novas abordagens e um melhor planeamento da recolha de dados, bem como para iniciar um processo de ponderação de métodos que sejam menos dependentes da disponibilidade de dados (p. ex., métodos qualitativos). Os modelos lógicos também podem ajudar as autoridades de gestão a planear e prever melhor os resultados da avaliação no contexto específico (dados, orçamento e calendário da avaliação). </w:t>
      </w:r>
    </w:p>
    <w:p w:rsidR="00FF13C7" w:rsidRPr="001C6ACF" w:rsidRDefault="00FF13C7" w:rsidP="00FF13C7">
      <w:pPr>
        <w:pStyle w:val="HStandard"/>
        <w:spacing w:after="0"/>
        <w:rPr>
          <w:rFonts w:cs="Arial"/>
          <w:color w:val="373737"/>
          <w:szCs w:val="18"/>
        </w:rPr>
      </w:pPr>
      <w:r>
        <w:rPr>
          <w:color w:val="373737"/>
        </w:rPr>
        <w:t>Os modelos lógicos fornecem um guia explicativo para a elaboração das abordagens de avaliação, com vista a uma melhor compreensão dos seguintes aspetos:</w:t>
      </w:r>
    </w:p>
    <w:p w:rsidR="00FF13C7" w:rsidRPr="001C6ACF" w:rsidRDefault="00FF13C7" w:rsidP="00FF13C7">
      <w:pPr>
        <w:pStyle w:val="Hlistbullet"/>
        <w:spacing w:before="0" w:after="0" w:line="280" w:lineRule="atLeast"/>
        <w:ind w:left="502"/>
        <w:rPr>
          <w:rFonts w:cs="Arial"/>
          <w:color w:val="373737"/>
          <w:szCs w:val="18"/>
        </w:rPr>
      </w:pPr>
      <w:r>
        <w:rPr>
          <w:b/>
          <w:color w:val="373737"/>
        </w:rPr>
        <w:t>POSSIBILIDADES:</w:t>
      </w:r>
      <w:r>
        <w:rPr>
          <w:color w:val="373737"/>
        </w:rPr>
        <w:t xml:space="preserve"> as combinações de dados/indicadores/métodos que estão disponíveis e são adequadas para responder às questões da avaliação. </w:t>
      </w:r>
    </w:p>
    <w:p w:rsidR="00FF13C7" w:rsidRPr="001C6ACF" w:rsidRDefault="00FF13C7" w:rsidP="00FF13C7">
      <w:pPr>
        <w:pStyle w:val="Hlistbullet"/>
        <w:spacing w:before="0" w:after="0" w:line="280" w:lineRule="atLeast"/>
        <w:ind w:left="502"/>
        <w:rPr>
          <w:color w:val="373737"/>
          <w:sz w:val="22"/>
        </w:rPr>
      </w:pPr>
      <w:r>
        <w:rPr>
          <w:b/>
          <w:color w:val="373737"/>
        </w:rPr>
        <w:t>REQUISITOS:</w:t>
      </w:r>
      <w:r>
        <w:rPr>
          <w:color w:val="373737"/>
        </w:rPr>
        <w:t xml:space="preserve"> os dados/indicadores/métodos/abordagens que são necessários para avaliar os impactos líquidos e responder à questão da avaliação.</w:t>
      </w:r>
    </w:p>
    <w:p w:rsidR="00FF13C7" w:rsidRPr="001C6ACF" w:rsidRDefault="00FF13C7" w:rsidP="00FF13C7">
      <w:pPr>
        <w:pStyle w:val="Hlistbullet"/>
        <w:spacing w:before="0" w:after="0" w:line="280" w:lineRule="atLeast"/>
        <w:ind w:left="502"/>
        <w:rPr>
          <w:color w:val="373737"/>
          <w:sz w:val="22"/>
        </w:rPr>
      </w:pPr>
      <w:r>
        <w:rPr>
          <w:b/>
          <w:color w:val="373737"/>
        </w:rPr>
        <w:t>CONSEQUÊNCIAS:</w:t>
      </w:r>
      <w:r>
        <w:rPr>
          <w:color w:val="373737"/>
        </w:rPr>
        <w:t xml:space="preserve"> as implicações que as decisões tomadas nas diferentes etapas têm para o custo e a eficácia da avaliação.</w:t>
      </w:r>
    </w:p>
    <w:p w:rsidR="00E93BEA" w:rsidRPr="00571D58" w:rsidRDefault="009B37D9" w:rsidP="009B37D9">
      <w:pPr>
        <w:pStyle w:val="HStandard"/>
      </w:pPr>
      <w:r>
        <w:lastRenderedPageBreak/>
        <w:t xml:space="preserve">Os modelos lógicos apresentados nas presentes orientações seguem a abordagem desenvolvida pelo projeto </w:t>
      </w:r>
      <w:hyperlink r:id="rId36">
        <w:r>
          <w:rPr>
            <w:rStyle w:val="Hyperlink"/>
            <w:u w:val="none"/>
          </w:rPr>
          <w:t>ENVIEVAL</w:t>
        </w:r>
      </w:hyperlink>
      <w:r>
        <w:rPr>
          <w:rStyle w:val="FootnoteReference"/>
        </w:rPr>
        <w:footnoteReference w:id="26"/>
      </w:r>
      <w:r>
        <w:t xml:space="preserve"> no manual «</w:t>
      </w:r>
      <w:hyperlink r:id="rId37">
        <w:r>
          <w:rPr>
            <w:rStyle w:val="Hyperlink"/>
            <w:i/>
            <w:u w:val="none"/>
          </w:rPr>
          <w:t>Methodological Handbook for the evaluation of environmental impacts of RDPs</w:t>
        </w:r>
      </w:hyperlink>
      <w:r>
        <w:t>».</w:t>
      </w:r>
      <w:hyperlink r:id="rId38">
        <w:r>
          <w:rPr>
            <w:rStyle w:val="Hyperlink"/>
            <w:u w:val="none"/>
          </w:rPr>
          <w:t xml:space="preserve"> </w:t>
        </w:r>
      </w:hyperlink>
      <w:r>
        <w:t>O projeto ENVIEVAL desenvolveu e ensaiou estes instrumentos melhorados destinados à avaliação dos impactos ambientais dos programas e medidas de desenvolvimento rural nos Estados-Membros da UE</w:t>
      </w:r>
      <w:r>
        <w:rPr>
          <w:rStyle w:val="FootnoteReference"/>
        </w:rPr>
        <w:footnoteReference w:id="27"/>
      </w:r>
      <w:r>
        <w:t xml:space="preserve">. </w:t>
      </w:r>
    </w:p>
    <w:p w:rsidR="00AE216A" w:rsidRPr="00FB6C06" w:rsidRDefault="00AE216A" w:rsidP="00AE216A">
      <w:pPr>
        <w:pStyle w:val="HHeading4"/>
      </w:pPr>
      <w:r>
        <w:t>Os níveis do modelo lógico</w:t>
      </w:r>
    </w:p>
    <w:p w:rsidR="00AE216A" w:rsidRPr="001C6ACF" w:rsidRDefault="00AE216A" w:rsidP="00AE216A">
      <w:pPr>
        <w:pStyle w:val="HStandard"/>
        <w:rPr>
          <w:rFonts w:cs="Arial"/>
        </w:rPr>
      </w:pPr>
      <w:r>
        <w:t xml:space="preserve">A figura 2 apresenta uma descrição dos </w:t>
      </w:r>
      <w:r>
        <w:rPr>
          <w:b/>
        </w:rPr>
        <w:t>quatro níveis do modelo lógico</w:t>
      </w:r>
      <w:r>
        <w:t xml:space="preserve">. O </w:t>
      </w:r>
      <w:r>
        <w:rPr>
          <w:b/>
        </w:rPr>
        <w:t>1.º nível</w:t>
      </w:r>
      <w:r>
        <w:t xml:space="preserve"> mostra como definir o quadro para a avaliação. Para o efeito, é necessário conhecer o posicionamento dos impactos na lógica de intervenção, os indicadores disponíveis e a unidade de avaliação. O </w:t>
      </w:r>
      <w:r>
        <w:rPr>
          <w:b/>
        </w:rPr>
        <w:t>2.º nível</w:t>
      </w:r>
      <w:r>
        <w:t xml:space="preserve"> identifica as opções para a análise contrafactual, tendo em conta os fatores restritivos. O </w:t>
      </w:r>
      <w:r>
        <w:rPr>
          <w:b/>
        </w:rPr>
        <w:t>3.º nível</w:t>
      </w:r>
      <w:r>
        <w:t xml:space="preserve"> aperfeiçoa as opções aos níveis micro e macro, a fim de avaliar os impactos líquidos. O </w:t>
      </w:r>
      <w:r>
        <w:rPr>
          <w:b/>
        </w:rPr>
        <w:t>4.º nível</w:t>
      </w:r>
      <w:r>
        <w:t xml:space="preserve">, por último, controla a coerência da análise a nível micro e macro, a fim de validar as conclusões. </w:t>
      </w:r>
    </w:p>
    <w:p w:rsidR="00E93BEA" w:rsidRPr="001C6ACF" w:rsidRDefault="004C7E7F" w:rsidP="004C7E7F">
      <w:pPr>
        <w:pStyle w:val="HHeadingfigures"/>
        <w:numPr>
          <w:ilvl w:val="0"/>
          <w:numId w:val="0"/>
        </w:numPr>
      </w:pPr>
      <w:r>
        <w:t>Figura 2.</w:t>
      </w:r>
      <w:r>
        <w:tab/>
      </w:r>
      <w:r w:rsidR="00E93BEA">
        <w:t>Fluxograma simplificado dos níveis do módulo lógico</w:t>
      </w:r>
    </w:p>
    <w:p w:rsidR="00E93BEA" w:rsidRPr="00571D58" w:rsidRDefault="006A4BE4" w:rsidP="00E93BEA">
      <w:pPr>
        <w:pStyle w:val="HStandard"/>
        <w:jc w:val="center"/>
      </w:pPr>
      <w:r w:rsidRPr="006A4BE4">
        <w:rPr>
          <w:noProof/>
          <w:lang w:bidi="ar-SA"/>
        </w:rPr>
        <w:drawing>
          <wp:inline distT="0" distB="0" distL="0" distR="0">
            <wp:extent cx="4572000" cy="267713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2818" cy="2683465"/>
                    </a:xfrm>
                    <a:prstGeom prst="rect">
                      <a:avLst/>
                    </a:prstGeom>
                    <a:noFill/>
                    <a:ln>
                      <a:noFill/>
                    </a:ln>
                  </pic:spPr>
                </pic:pic>
              </a:graphicData>
            </a:graphic>
          </wp:inline>
        </w:drawing>
      </w:r>
    </w:p>
    <w:p w:rsidR="004F365B" w:rsidRPr="001C6ACF" w:rsidRDefault="004F365B" w:rsidP="004F365B">
      <w:pPr>
        <w:pStyle w:val="HSource"/>
        <w:rPr>
          <w:i w:val="0"/>
        </w:rPr>
      </w:pPr>
      <w:r>
        <w:t xml:space="preserve">Fonte: Serviço Europeu de Assistência na Avaliação para o Desenvolvimento Rural (2018), adaptado de «ENDIEVAL (2015): Methodological Handbook for the evaluation of environmental impacts of RDPs: Report D9.5». Bruxelas: Comissão Europeia. </w:t>
      </w:r>
    </w:p>
    <w:p w:rsidR="00B52943" w:rsidRDefault="00B52943" w:rsidP="00AE216A">
      <w:pPr>
        <w:pStyle w:val="HStandard"/>
        <w:rPr>
          <w:rFonts w:cs="Arial"/>
        </w:rPr>
      </w:pPr>
    </w:p>
    <w:p w:rsidR="00AE216A" w:rsidRPr="001C6ACF" w:rsidRDefault="00AE216A" w:rsidP="00AE216A">
      <w:pPr>
        <w:pStyle w:val="HStandard"/>
        <w:rPr>
          <w:rFonts w:cs="Arial"/>
        </w:rPr>
      </w:pPr>
      <w:r>
        <w:t xml:space="preserve">Os níveis do modelo lógico são utilizados como ponto de referência para a descrição das abordagens de avaliação sugeridas para os indicadores de impacto da PAC (ver capítulos 2.2 a 2.9). </w:t>
      </w:r>
    </w:p>
    <w:p w:rsidR="006B44E5" w:rsidRPr="001C6ACF" w:rsidRDefault="006B44E5">
      <w:pPr>
        <w:spacing w:before="0" w:after="0" w:line="240" w:lineRule="auto"/>
        <w:jc w:val="left"/>
        <w:rPr>
          <w:b/>
          <w:color w:val="57825E" w:themeColor="accent4"/>
          <w:sz w:val="20"/>
          <w:szCs w:val="20"/>
        </w:rPr>
      </w:pPr>
      <w:r>
        <w:br w:type="page"/>
      </w:r>
    </w:p>
    <w:p w:rsidR="00E93BEA" w:rsidRPr="001C6ACF" w:rsidRDefault="00E93BEA" w:rsidP="00E93BEA">
      <w:pPr>
        <w:pStyle w:val="HHeading4"/>
      </w:pPr>
      <w:r>
        <w:lastRenderedPageBreak/>
        <w:t>Definição do quadro para a avaliação (1.º nível)</w:t>
      </w:r>
    </w:p>
    <w:p w:rsidR="00E93BEA" w:rsidRPr="007645B4" w:rsidRDefault="000B213F" w:rsidP="00E93BEA">
      <w:pPr>
        <w:pStyle w:val="HStandard"/>
        <w:rPr>
          <w:rFonts w:cs="Arial"/>
        </w:rPr>
      </w:pPr>
      <w:r>
        <w:rPr>
          <w:b/>
          <w:i/>
          <w:noProof/>
          <w:color w:val="F07E31" w:themeColor="accent1"/>
          <w:lang w:bidi="ar-SA"/>
        </w:rPr>
        <mc:AlternateContent>
          <mc:Choice Requires="wps">
            <w:drawing>
              <wp:anchor distT="0" distB="0" distL="114300" distR="114300" simplePos="0" relativeHeight="251729408" behindDoc="0" locked="0" layoutInCell="1" allowOverlap="1" wp14:anchorId="70CD87F6" wp14:editId="17E5EAD2">
                <wp:simplePos x="0" y="0"/>
                <wp:positionH relativeFrom="margin">
                  <wp:posOffset>-38100</wp:posOffset>
                </wp:positionH>
                <wp:positionV relativeFrom="paragraph">
                  <wp:posOffset>88265</wp:posOffset>
                </wp:positionV>
                <wp:extent cx="2286000" cy="2886075"/>
                <wp:effectExtent l="0" t="0" r="19050" b="28575"/>
                <wp:wrapThrough wrapText="bothSides">
                  <wp:wrapPolygon edited="0">
                    <wp:start x="900" y="0"/>
                    <wp:lineTo x="0" y="713"/>
                    <wp:lineTo x="0" y="21671"/>
                    <wp:lineTo x="20880" y="21671"/>
                    <wp:lineTo x="21600" y="21101"/>
                    <wp:lineTo x="21600" y="0"/>
                    <wp:lineTo x="900" y="0"/>
                  </wp:wrapPolygon>
                </wp:wrapThrough>
                <wp:docPr id="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886075"/>
                        </a:xfrm>
                        <a:prstGeom prst="round2DiagRect">
                          <a:avLst>
                            <a:gd name="adj1" fmla="val 8733"/>
                            <a:gd name="adj2" fmla="val 0"/>
                          </a:avLst>
                        </a:prstGeom>
                        <a:noFill/>
                        <a:ln w="25400" cap="flat" cmpd="sng" algn="ctr">
                          <a:solidFill>
                            <a:srgbClr val="BE4A35"/>
                          </a:solidFill>
                          <a:prstDash val="solid"/>
                        </a:ln>
                        <a:effectLst/>
                      </wps:spPr>
                      <wps:txbx>
                        <w:txbxContent>
                          <w:p w:rsidR="0024624B" w:rsidRPr="00044269" w:rsidRDefault="0024624B" w:rsidP="005166F3">
                            <w:pPr>
                              <w:pStyle w:val="HHeading4"/>
                              <w:spacing w:before="0"/>
                              <w:jc w:val="both"/>
                              <w:rPr>
                                <w:b w:val="0"/>
                                <w:i/>
                                <w:color w:val="F07E31" w:themeColor="accent1"/>
                                <w:sz w:val="18"/>
                              </w:rPr>
                            </w:pPr>
                            <w:r>
                              <w:rPr>
                                <w:noProof/>
                                <w:color w:val="373737"/>
                                <w:lang w:bidi="ar-SA"/>
                              </w:rPr>
                              <w:drawing>
                                <wp:inline distT="0" distB="0" distL="0" distR="0" wp14:anchorId="5C08980E" wp14:editId="50BE3FE7">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A </w:t>
                            </w:r>
                            <w:r>
                              <w:rPr>
                                <w:color w:val="373737" w:themeColor="text1"/>
                              </w:rPr>
                              <w:t xml:space="preserve">avaliação de um determinado impacto </w:t>
                            </w:r>
                            <w:r>
                              <w:rPr>
                                <w:b w:val="0"/>
                                <w:color w:val="373737" w:themeColor="text1"/>
                              </w:rPr>
                              <w:t>(setorial, ambiental ou socioeconómico) começa com a definição de um quadro de avaliação coerente, o que permite determinar claramente o posicionamento do impacto no contexto da lógica de intervenção e mostra os indicadores disponíveis e as unidades de análise para a sua aferição.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CD87F6" id="_x0000_s1031" style="position:absolute;left:0;text-align:left;margin-left:-3pt;margin-top:6.95pt;width:180pt;height:227.2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286000,2886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" adj="-11796480,,5400" path="m199636,l2286000,r,l2286000,2686439v,110256,-89380,199636,-199636,199636l,2886075r,l,199636c,89380,89380,,199636,xe" filled="f" strokecolor="#be4a35" strokeweight="2pt">
                <v:stroke joinstyle="miter"/>
                <v:formulas/>
                <v:path arrowok="t" o:connecttype="custom" o:connectlocs="199636,0;2286000,0;2286000,0;2286000,2686439;2086364,2886075;0,2886075;0,2886075;0,199636;199636,0" o:connectangles="0,0,0,0,0,0,0,0,0" textboxrect="0,0,2286000,2886075"/>
                <v:textbox>
                  <w:txbxContent>
                    <w:p w:rsidR="0024624B" w:rsidRPr="00044269" w:rsidRDefault="0024624B" w:rsidP="005166F3">
                      <w:pPr>
                        <w:pStyle w:val="HHeading4"/>
                        <w:spacing w:before="0"/>
                        <w:jc w:val="both"/>
                        <w:rPr>
                          <w:b w:val="0"/>
                          <w:i/>
                          <w:color w:val="F07E31" w:themeColor="accent1"/>
                          <w:sz w:val="18"/>
                        </w:rPr>
                      </w:pPr>
                      <w:r>
                        <w:rPr>
                          <w:noProof/>
                          <w:color w:val="373737"/>
                          <w:lang w:bidi="ar-SA"/>
                        </w:rPr>
                        <w:drawing>
                          <wp:inline distT="0" distB="0" distL="0" distR="0" wp14:anchorId="5C08980E" wp14:editId="50BE3FE7">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A </w:t>
                      </w:r>
                      <w:r>
                        <w:rPr>
                          <w:color w:val="373737" w:themeColor="text1"/>
                        </w:rPr>
                        <w:t xml:space="preserve">avaliação de um determinado impacto </w:t>
                      </w:r>
                      <w:r>
                        <w:rPr>
                          <w:b w:val="0"/>
                          <w:color w:val="373737" w:themeColor="text1"/>
                        </w:rPr>
                        <w:t>(setorial, ambiental ou socioeconómico) começa com a definição de um quadro de avaliação coerente, o que permite determinar claramente o posicionamento do impacto no contexto da lógica de intervenção e mostra os indicadores disponíveis e as unidades de análise para a sua aferição.</w:t>
                      </w:r>
                    </w:p>
                  </w:txbxContent>
                </v:textbox>
                <w10:wrap type="through" anchorx="margin"/>
              </v:shape>
            </w:pict>
          </mc:Fallback>
        </mc:AlternateContent>
      </w:r>
      <w:r>
        <w:t>O quadro para a avaliação pode ser preparado de acordo com as seguintes etapas:</w:t>
      </w:r>
    </w:p>
    <w:p w:rsidR="00E93BEA" w:rsidRPr="001C6ACF" w:rsidRDefault="0084519A" w:rsidP="00E93BEA">
      <w:pPr>
        <w:pStyle w:val="HStandard"/>
        <w:rPr>
          <w:rFonts w:cs="Arial"/>
        </w:rPr>
      </w:pPr>
      <w:r>
        <w:rPr>
          <w:b/>
          <w:color w:val="F07E31" w:themeColor="accent1"/>
        </w:rPr>
        <w:t>Etapa 1 -</w:t>
      </w:r>
      <w:r>
        <w:rPr>
          <w:i/>
        </w:rPr>
        <w:t xml:space="preserve"> </w:t>
      </w:r>
      <w:r>
        <w:rPr>
          <w:b/>
          <w:color w:val="F07E31" w:themeColor="accent1"/>
        </w:rPr>
        <w:t>Explicar a lógica de intervenção do SCAA:</w:t>
      </w:r>
      <w:r>
        <w:t xml:space="preserve"> a lógica de intervenção mostra a hierarquia dos objetivos de política relacionados com as questões de avaliação, as medidas e os domínios de incidência pertinentes, bem como </w:t>
      </w:r>
      <w:r>
        <w:rPr>
          <w:b/>
        </w:rPr>
        <w:t>com os indicadores de realizações, resultados e impacto relacionados com o SCAA</w:t>
      </w:r>
      <w:r>
        <w:t>. Os indicadores são analisados no contexto dos dados disponíveis.</w:t>
      </w:r>
    </w:p>
    <w:p w:rsidR="000C2540" w:rsidRPr="001C6ACF" w:rsidRDefault="0084519A" w:rsidP="000C2540">
      <w:pPr>
        <w:pStyle w:val="HStandard"/>
        <w:rPr>
          <w:rFonts w:cs="Arial"/>
          <w:bCs/>
        </w:rPr>
      </w:pPr>
      <w:r>
        <w:rPr>
          <w:b/>
          <w:color w:val="F07E31" w:themeColor="accent1"/>
        </w:rPr>
        <w:t xml:space="preserve">Etapa 2 - Selecionar os indicadores (de resultados e/ou de impacto) adicionais: </w:t>
      </w:r>
      <w:r>
        <w:t xml:space="preserve">estes indicadores podem complementar os indicadores obrigatórios do SCAA. </w:t>
      </w:r>
      <w:r>
        <w:rPr>
          <w:b/>
        </w:rPr>
        <w:t xml:space="preserve">A utilização de indicadores adicionais é opcional </w:t>
      </w:r>
      <w:r>
        <w:t xml:space="preserve">e deve ser ponderada cuidadosamente, tendo em conta os custos, a disponibilidade de dados, a adequação e o valor acrescentado para a avaliação. Os indicadores adicionais podem ser úteis para quantificar os resultados e impactos líquidos, caso os dados para os indicadores comuns não sejam suficientes ou seja necessário preencher lacunas nos indicadores comuns de resultados e de impacto. Os indicadores adicionais também podem ter uma natureza qualitativa (p. ex., grau de alteração percetível pelas partes interessadas com base numa escala de Likert), a fim de complementar os elementos quantitativos ou caso não existam elementos alternativos quantificáveis. </w:t>
      </w:r>
    </w:p>
    <w:p w:rsidR="00560A1E" w:rsidRPr="001C6ACF" w:rsidRDefault="0084519A" w:rsidP="00E93BEA">
      <w:pPr>
        <w:pStyle w:val="HStandard"/>
        <w:rPr>
          <w:rFonts w:cs="Arial"/>
        </w:rPr>
      </w:pPr>
      <w:r>
        <w:rPr>
          <w:b/>
          <w:color w:val="F07E31" w:themeColor="accent1"/>
        </w:rPr>
        <w:t xml:space="preserve">Etapa 3 - Definir a unidade de análise (= a «parte mais pequena de um sistema organizado») para a avaliação a nível micro e macro (se aplicável): </w:t>
      </w:r>
      <w:r>
        <w:t>a nível micro, a unidade de análise pode consistir em explorações agrícolas, parcelas de terreno, comunidades ou regiões, enquanto a nível macro pode consistir numa captação, numa unidade regional ou na totalidade do território de um PDR. Com uma unidade de análise definida, o indicador pode aferir as alterações na gestão dos solos e as alterações ambientais, setoriais ou socioeconómicas causadas pelas intervenções do PDR. Os dados relacionados devem ser recolhidos para a mesma categoria de unidade e incluir os beneficiários do programa, bem como os não beneficiários.</w:t>
      </w:r>
    </w:p>
    <w:p w:rsidR="00E93BEA" w:rsidRPr="001C6ACF" w:rsidRDefault="00E93BEA" w:rsidP="00E93BEA">
      <w:pPr>
        <w:pStyle w:val="HHeading4"/>
      </w:pPr>
      <w:r>
        <w:t>Definição do cenário contrafactual (2.º nível)</w:t>
      </w:r>
    </w:p>
    <w:p w:rsidR="00391ECD" w:rsidRPr="001C6ACF" w:rsidRDefault="000B213F" w:rsidP="002D4AB7">
      <w:pPr>
        <w:pStyle w:val="HStandard"/>
        <w:rPr>
          <w:rFonts w:cs="Arial"/>
        </w:rPr>
      </w:pPr>
      <w:r>
        <w:rPr>
          <w:b/>
          <w:i/>
          <w:noProof/>
          <w:color w:val="F07E31" w:themeColor="accent1"/>
          <w:lang w:bidi="ar-SA"/>
        </w:rPr>
        <mc:AlternateContent>
          <mc:Choice Requires="wps">
            <w:drawing>
              <wp:anchor distT="0" distB="0" distL="114300" distR="114300" simplePos="0" relativeHeight="251730432" behindDoc="0" locked="0" layoutInCell="1" allowOverlap="1" wp14:anchorId="6A6E36E7" wp14:editId="213D3A19">
                <wp:simplePos x="0" y="0"/>
                <wp:positionH relativeFrom="column">
                  <wp:posOffset>3238500</wp:posOffset>
                </wp:positionH>
                <wp:positionV relativeFrom="paragraph">
                  <wp:posOffset>44450</wp:posOffset>
                </wp:positionV>
                <wp:extent cx="2447925" cy="1828800"/>
                <wp:effectExtent l="0" t="0" r="28575" b="19050"/>
                <wp:wrapThrough wrapText="bothSides">
                  <wp:wrapPolygon edited="0">
                    <wp:start x="504" y="0"/>
                    <wp:lineTo x="0" y="675"/>
                    <wp:lineTo x="0" y="21600"/>
                    <wp:lineTo x="21180" y="21600"/>
                    <wp:lineTo x="21684" y="20925"/>
                    <wp:lineTo x="21684" y="0"/>
                    <wp:lineTo x="504" y="0"/>
                  </wp:wrapPolygon>
                </wp:wrapThrough>
                <wp:docPr id="38"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828800"/>
                        </a:xfrm>
                        <a:prstGeom prst="round2DiagRect">
                          <a:avLst>
                            <a:gd name="adj1" fmla="val 8733"/>
                            <a:gd name="adj2" fmla="val 0"/>
                          </a:avLst>
                        </a:prstGeom>
                        <a:noFill/>
                        <a:ln w="25400" cap="flat" cmpd="sng" algn="ctr">
                          <a:solidFill>
                            <a:srgbClr val="BE4A35"/>
                          </a:solidFill>
                          <a:prstDash val="solid"/>
                        </a:ln>
                        <a:effectLst/>
                      </wps:spPr>
                      <wps:txbx>
                        <w:txbxContent>
                          <w:p w:rsidR="0024624B" w:rsidRPr="00044269" w:rsidRDefault="0024624B" w:rsidP="005166F3">
                            <w:pPr>
                              <w:pStyle w:val="HHeading4"/>
                              <w:spacing w:before="0"/>
                              <w:jc w:val="both"/>
                              <w:rPr>
                                <w:b w:val="0"/>
                                <w:i/>
                                <w:color w:val="373737" w:themeColor="text1"/>
                                <w:sz w:val="18"/>
                              </w:rPr>
                            </w:pPr>
                            <w:r>
                              <w:rPr>
                                <w:noProof/>
                                <w:color w:val="373737" w:themeColor="text1"/>
                                <w:lang w:bidi="ar-SA"/>
                              </w:rPr>
                              <w:drawing>
                                <wp:inline distT="0" distB="0" distL="0" distR="0" wp14:anchorId="2DA6738F" wp14:editId="65AC0B57">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Os </w:t>
                            </w:r>
                            <w:r>
                              <w:rPr>
                                <w:color w:val="373737" w:themeColor="text1"/>
                              </w:rPr>
                              <w:t xml:space="preserve">efeitos do programa </w:t>
                            </w:r>
                            <w:r>
                              <w:rPr>
                                <w:b w:val="0"/>
                                <w:color w:val="373737" w:themeColor="text1"/>
                              </w:rPr>
                              <w:t>nunca podem ser observados diretamente devido a outros fatores intervenientes e, por conseguinte, a sua avaliação exige a utilização de uma análise contrafactual.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6E36E7" id="_x0000_s1032" style="position:absolute;left:0;text-align:left;margin-left:255pt;margin-top:3.5pt;width:192.75pt;height:2in;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7925,182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" adj="-11796480,,5400" path="m159709,l2447925,r,l2447925,1669091v,88205,-71504,159709,-159709,159709l,1828800r,l,159709c,71504,71504,,159709,xe" filled="f" strokecolor="#be4a35" strokeweight="2pt">
                <v:stroke joinstyle="miter"/>
                <v:formulas/>
                <v:path arrowok="t" o:connecttype="custom" o:connectlocs="159709,0;2447925,0;2447925,0;2447925,1669091;2288216,1828800;0,1828800;0,1828800;0,159709;159709,0" o:connectangles="0,0,0,0,0,0,0,0,0" textboxrect="0,0,2447925,1828800"/>
                <v:textbox>
                  <w:txbxContent>
                    <w:p w:rsidR="0024624B" w:rsidRPr="00044269" w:rsidRDefault="0024624B" w:rsidP="005166F3">
                      <w:pPr>
                        <w:pStyle w:val="HHeading4"/>
                        <w:spacing w:before="0"/>
                        <w:jc w:val="both"/>
                        <w:rPr>
                          <w:b w:val="0"/>
                          <w:i/>
                          <w:color w:val="373737" w:themeColor="text1"/>
                          <w:sz w:val="18"/>
                        </w:rPr>
                      </w:pPr>
                      <w:r>
                        <w:rPr>
                          <w:noProof/>
                          <w:color w:val="373737" w:themeColor="text1"/>
                          <w:lang w:bidi="ar-SA"/>
                        </w:rPr>
                        <w:drawing>
                          <wp:inline distT="0" distB="0" distL="0" distR="0" wp14:anchorId="2DA6738F" wp14:editId="65AC0B57">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Os </w:t>
                      </w:r>
                      <w:r>
                        <w:rPr>
                          <w:color w:val="373737" w:themeColor="text1"/>
                        </w:rPr>
                        <w:t xml:space="preserve">efeitos do programa </w:t>
                      </w:r>
                      <w:r>
                        <w:rPr>
                          <w:b w:val="0"/>
                          <w:color w:val="373737" w:themeColor="text1"/>
                        </w:rPr>
                        <w:t>nunca podem ser observados diretamente devido a outros fatores intervenientes e, por conseguinte, a sua avaliação exige a utilização de uma análise contrafactual.</w:t>
                      </w:r>
                    </w:p>
                  </w:txbxContent>
                </v:textbox>
                <w10:wrap type="through"/>
              </v:shape>
            </w:pict>
          </mc:Fallback>
        </mc:AlternateContent>
      </w:r>
      <w:r>
        <w:t>O efeito do programa é a diferença no valor do resultado específico (p. ex., o valor acrescentado bruto ou a produtividade laboral) para a mesma unidade, com o programa e sem o programa. Esta definição é válida para qualquer unidade de análise (p. ex., pessoa, exploração agrícola, empresa, terreno, comunidade, aldeia, região, zona de programação ou país) e para qualquer resultado (expresso em termos de indicadores setoriais, ambientais ou socioeconómicos) suscetível de estar relacionado com o programa.</w:t>
      </w:r>
    </w:p>
    <w:p w:rsidR="002D4AB7" w:rsidRPr="001C6ACF" w:rsidRDefault="002D4AB7" w:rsidP="002D4AB7">
      <w:pPr>
        <w:pStyle w:val="HStandard"/>
        <w:rPr>
          <w:rFonts w:cs="Arial"/>
        </w:rPr>
      </w:pPr>
      <w:r>
        <w:t xml:space="preserve">O 2.º nível ajuda o avaliador a identificar o(s) tipo(s) de cenários contrafactuais que podem ser definidos com os dados disponíveis. Tem em conta diversos fatores restritivos (p. ex., escassa </w:t>
      </w:r>
      <w:r>
        <w:lastRenderedPageBreak/>
        <w:t xml:space="preserve">disponibilidade de dados, contratos de avaliação de curta duração, capacidade de avaliação limitada), e também ajuda a identificar soluções alternativas viáveis (p. ex., para a avaliação dos impactos ambientais). A exploração sistemática de possíveis opções para a definição de um cenário contrafactual é importante, mesmo que os dados sejam insuficientes, uma vez que proporciona informações valiosas sobre as condições que devem ser satisfeitas para aplicar uma análise contrafactual robusta e apresenta opções alternativas (p. ex., comparações de grupo mais simples, avaliações qualitativas). </w:t>
      </w:r>
    </w:p>
    <w:p w:rsidR="00A41C7D" w:rsidRPr="001C6ACF" w:rsidRDefault="00E93BEA" w:rsidP="000B6372">
      <w:pPr>
        <w:pStyle w:val="HStandard"/>
      </w:pPr>
      <w:r>
        <w:t xml:space="preserve">No modelo lógico, o nível contrafactual é aplicável às avaliações a nível micro e macro e está associado à seleção dos métodos e da abordagem de avaliação. </w:t>
      </w:r>
      <w:r>
        <w:rPr>
          <w:b/>
        </w:rPr>
        <w:t>Cabe ao avaliador do programa definir a que nível (micro/macro) é efetuada a análise dos efeitos do programa.</w:t>
      </w:r>
      <w:r>
        <w:t xml:space="preserve"> Esta decisão dependerá dos dados disponíveis e antecede a seleção da unidade de análise para a qual os dados (económicos, ambientais ou socioeconómicos) são recolhidos. </w:t>
      </w:r>
    </w:p>
    <w:p w:rsidR="00A41C7D" w:rsidRPr="00571D58" w:rsidRDefault="00C87859">
      <w:pPr>
        <w:spacing w:before="0" w:after="0" w:line="240" w:lineRule="auto"/>
        <w:jc w:val="left"/>
        <w:rPr>
          <w:color w:val="373737" w:themeColor="text1"/>
          <w:sz w:val="20"/>
          <w:szCs w:val="20"/>
        </w:rPr>
      </w:pPr>
      <w:r>
        <w:rPr>
          <w:noProof/>
          <w:lang w:bidi="ar-SA"/>
        </w:rPr>
        <mc:AlternateContent>
          <mc:Choice Requires="wps">
            <w:drawing>
              <wp:anchor distT="0" distB="0" distL="114300" distR="114300" simplePos="0" relativeHeight="251732480" behindDoc="0" locked="0" layoutInCell="1" allowOverlap="1" wp14:anchorId="44EAA66D" wp14:editId="515A8A05">
                <wp:simplePos x="0" y="0"/>
                <wp:positionH relativeFrom="margin">
                  <wp:align>right</wp:align>
                </wp:positionH>
                <wp:positionV relativeFrom="paragraph">
                  <wp:posOffset>86360</wp:posOffset>
                </wp:positionV>
                <wp:extent cx="5731510" cy="1790700"/>
                <wp:effectExtent l="0" t="0" r="21590" b="19050"/>
                <wp:wrapNone/>
                <wp:docPr id="46"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790700"/>
                        </a:xfrm>
                        <a:prstGeom prst="round2DiagRect">
                          <a:avLst>
                            <a:gd name="adj1" fmla="val 8733"/>
                            <a:gd name="adj2" fmla="val 0"/>
                          </a:avLst>
                        </a:prstGeom>
                        <a:noFill/>
                        <a:ln w="25400" cap="flat" cmpd="sng" algn="ctr">
                          <a:solidFill>
                            <a:srgbClr val="BE4A35"/>
                          </a:solidFill>
                          <a:prstDash val="solid"/>
                        </a:ln>
                        <a:effectLst/>
                      </wps:spPr>
                      <wps:txbx>
                        <w:txbxContent>
                          <w:p w:rsidR="0024624B" w:rsidRPr="009B4B57" w:rsidRDefault="0024624B" w:rsidP="005166F3">
                            <w:pPr>
                              <w:pStyle w:val="HHeading4"/>
                              <w:spacing w:before="0"/>
                              <w:jc w:val="both"/>
                              <w:rPr>
                                <w:rFonts w:cs="Arial"/>
                                <w:b w:val="0"/>
                                <w:color w:val="373737" w:themeColor="text1"/>
                              </w:rPr>
                            </w:pPr>
                            <w:r>
                              <w:rPr>
                                <w:noProof/>
                                <w:color w:val="373737" w:themeColor="text1"/>
                                <w:lang w:bidi="ar-SA"/>
                              </w:rPr>
                              <w:drawing>
                                <wp:inline distT="0" distB="0" distL="0" distR="0" wp14:anchorId="143BF302" wp14:editId="5AE64481">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Os </w:t>
                            </w:r>
                            <w:r>
                              <w:rPr>
                                <w:color w:val="373737" w:themeColor="text1"/>
                              </w:rPr>
                              <w:t xml:space="preserve">Estados-Membros com vários PDR </w:t>
                            </w:r>
                            <w:r>
                              <w:rPr>
                                <w:b w:val="0"/>
                                <w:color w:val="373737" w:themeColor="text1"/>
                              </w:rPr>
                              <w:t>podem deparar-se com a dificuldade de as fontes de dados europeias (p. ex., Eurostat) não fornecerem valores para os indicadores comuns de impacto da PAC ao nível de cada um dos PDR regionais</w:t>
                            </w:r>
                            <w:r>
                              <w:rPr>
                                <w:color w:val="373737" w:themeColor="text1"/>
                              </w:rPr>
                              <w:t>.</w:t>
                            </w:r>
                            <w:r>
                              <w:rPr>
                                <w:b w:val="0"/>
                                <w:color w:val="373737" w:themeColor="text1"/>
                              </w:rPr>
                              <w:t xml:space="preserve"> Nesse caso, o valor regional do indicador (NUTS 2) pode ser estimado com base em dados nacionais ou, se possível, adicionando os dados baseados nas unidades recolhidos na respetiva região (I.01, I.02, I.03).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EAA66D" id="_x0000_s1033" style="position:absolute;margin-left:400.1pt;margin-top:6.8pt;width:451.3pt;height:141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5731510,179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" adj="-11796480,,5400" path="m156382,l5731510,r,l5731510,1634318v,86367,-70015,156382,-156382,156382l,1790700r,l,156382c,70015,70015,,156382,xe" filled="f" strokecolor="#be4a35" strokeweight="2pt">
                <v:stroke joinstyle="miter"/>
                <v:formulas/>
                <v:path arrowok="t" o:connecttype="custom" o:connectlocs="156382,0;5731510,0;5731510,0;5731510,1634318;5575128,1790700;0,1790700;0,1790700;0,156382;156382,0" o:connectangles="0,0,0,0,0,0,0,0,0" textboxrect="0,0,5731510,1790700"/>
                <v:textbox>
                  <w:txbxContent>
                    <w:p w:rsidR="0024624B" w:rsidRPr="009B4B57" w:rsidRDefault="0024624B" w:rsidP="005166F3">
                      <w:pPr>
                        <w:pStyle w:val="HHeading4"/>
                        <w:spacing w:before="0"/>
                        <w:jc w:val="both"/>
                        <w:rPr>
                          <w:rFonts w:cs="Arial"/>
                          <w:b w:val="0"/>
                          <w:color w:val="373737" w:themeColor="text1"/>
                        </w:rPr>
                      </w:pPr>
                      <w:r>
                        <w:rPr>
                          <w:noProof/>
                          <w:color w:val="373737" w:themeColor="text1"/>
                          <w:lang w:bidi="ar-SA"/>
                        </w:rPr>
                        <w:drawing>
                          <wp:inline distT="0" distB="0" distL="0" distR="0" wp14:anchorId="143BF302" wp14:editId="5AE64481">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Os </w:t>
                      </w:r>
                      <w:r>
                        <w:rPr>
                          <w:color w:val="373737" w:themeColor="text1"/>
                        </w:rPr>
                        <w:t xml:space="preserve">Estados-Membros com vários PDR </w:t>
                      </w:r>
                      <w:r>
                        <w:rPr>
                          <w:b w:val="0"/>
                          <w:color w:val="373737" w:themeColor="text1"/>
                        </w:rPr>
                        <w:t>podem deparar-se com a dificuldade de as fontes de dados europeias (p. ex., Eurostat) não fornecerem valores para os indicadores comuns de impacto da PAC ao nível de cada um dos PDR regionais</w:t>
                      </w:r>
                      <w:r>
                        <w:rPr>
                          <w:color w:val="373737" w:themeColor="text1"/>
                        </w:rPr>
                        <w:t>.</w:t>
                      </w:r>
                      <w:r>
                        <w:rPr>
                          <w:b w:val="0"/>
                          <w:color w:val="373737" w:themeColor="text1"/>
                        </w:rPr>
                        <w:t xml:space="preserve"> Nesse caso, o valor regional do indicador (NUTS 2) pode ser estimado com base em dados nacionais ou, se possível, adicionando os dados baseados nas unidades recolhidos na respetiva região (I.01, I.02, I.03).</w:t>
                      </w:r>
                    </w:p>
                  </w:txbxContent>
                </v:textbox>
                <w10:wrap anchorx="margin"/>
              </v:shape>
            </w:pict>
          </mc:Fallback>
        </mc:AlternateContent>
      </w:r>
      <w:r>
        <w:br w:type="page"/>
      </w:r>
    </w:p>
    <w:p w:rsidR="00A41C7D" w:rsidRPr="00571D58" w:rsidRDefault="000B213F" w:rsidP="000B6372">
      <w:pPr>
        <w:pStyle w:val="HStandard"/>
        <w:rPr>
          <w:rFonts w:cs="Arial"/>
        </w:rPr>
      </w:pPr>
      <w:r>
        <w:rPr>
          <w:b/>
          <w:i/>
          <w:noProof/>
          <w:color w:val="F07E31" w:themeColor="accent1"/>
          <w:lang w:bidi="ar-SA"/>
        </w:rPr>
        <w:lastRenderedPageBreak/>
        <mc:AlternateContent>
          <mc:Choice Requires="wps">
            <w:drawing>
              <wp:anchor distT="0" distB="0" distL="114300" distR="114300" simplePos="0" relativeHeight="251733504" behindDoc="0" locked="0" layoutInCell="1" allowOverlap="1" wp14:anchorId="7BD82ABA" wp14:editId="5E8C60EF">
                <wp:simplePos x="0" y="0"/>
                <wp:positionH relativeFrom="column">
                  <wp:posOffset>-114300</wp:posOffset>
                </wp:positionH>
                <wp:positionV relativeFrom="paragraph">
                  <wp:posOffset>-104775</wp:posOffset>
                </wp:positionV>
                <wp:extent cx="6229350" cy="8886825"/>
                <wp:effectExtent l="0" t="0" r="19050" b="28575"/>
                <wp:wrapNone/>
                <wp:docPr id="946" name="Rectangle: Rounded Corners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8886825"/>
                        </a:xfrm>
                        <a:prstGeom prst="roundRect">
                          <a:avLst>
                            <a:gd name="adj" fmla="val 456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1A1B3" id="Rectangle: Rounded Corners 946" o:spid="_x0000_s1026" style="position:absolute;margin-left:-9pt;margin-top:-8.25pt;width:490.5pt;height:699.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" filled="f" strokecolor="#be4a35 [3205]" strokeweight="2pt">
                <v:path arrowok="t"/>
              </v:roundrect>
            </w:pict>
          </mc:Fallback>
        </mc:AlternateContent>
      </w:r>
      <w:r>
        <w:rPr>
          <w:b/>
          <w:i/>
          <w:noProof/>
          <w:color w:val="F07E31" w:themeColor="accent1"/>
          <w:lang w:bidi="ar-SA"/>
        </w:rPr>
        <mc:AlternateContent>
          <mc:Choice Requires="wps">
            <w:drawing>
              <wp:inline distT="0" distB="0" distL="0" distR="0" wp14:anchorId="347F332D" wp14:editId="0EDB1CDE">
                <wp:extent cx="6093460" cy="2609850"/>
                <wp:effectExtent l="0" t="0" r="2540" b="0"/>
                <wp:docPr id="909"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3460" cy="2609850"/>
                        </a:xfrm>
                        <a:custGeom>
                          <a:avLst/>
                          <a:gdLst>
                            <a:gd name="T0" fmla="*/ 150406 w 6093460"/>
                            <a:gd name="T1" fmla="*/ 0 h 2609850"/>
                            <a:gd name="T2" fmla="*/ 6093460 w 6093460"/>
                            <a:gd name="T3" fmla="*/ 0 h 2609850"/>
                            <a:gd name="T4" fmla="*/ 6093460 w 6093460"/>
                            <a:gd name="T5" fmla="*/ 0 h 2609850"/>
                            <a:gd name="T6" fmla="*/ 6093460 w 6093460"/>
                            <a:gd name="T7" fmla="*/ 2459444 h 2609850"/>
                            <a:gd name="T8" fmla="*/ 5943054 w 6093460"/>
                            <a:gd name="T9" fmla="*/ 2609850 h 2609850"/>
                            <a:gd name="T10" fmla="*/ 0 w 6093460"/>
                            <a:gd name="T11" fmla="*/ 2609850 h 2609850"/>
                            <a:gd name="T12" fmla="*/ 0 w 6093460"/>
                            <a:gd name="T13" fmla="*/ 2609850 h 2609850"/>
                            <a:gd name="T14" fmla="*/ 0 w 6093460"/>
                            <a:gd name="T15" fmla="*/ 150406 h 2609850"/>
                            <a:gd name="T16" fmla="*/ 150406 w 6093460"/>
                            <a:gd name="T17" fmla="*/ 0 h 2609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093460"/>
                            <a:gd name="T28" fmla="*/ 0 h 2609850"/>
                            <a:gd name="T29" fmla="*/ 6093460 w 6093460"/>
                            <a:gd name="T30" fmla="*/ 2609850 h 2609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093460" h="2609850">
                              <a:moveTo>
                                <a:pt x="150406" y="0"/>
                              </a:moveTo>
                              <a:lnTo>
                                <a:pt x="6093460" y="0"/>
                              </a:lnTo>
                              <a:lnTo>
                                <a:pt x="6093460" y="2459444"/>
                              </a:lnTo>
                              <a:cubicBezTo>
                                <a:pt x="6093460" y="2542511"/>
                                <a:pt x="6026121" y="2609850"/>
                                <a:pt x="5943054" y="2609850"/>
                              </a:cubicBezTo>
                              <a:lnTo>
                                <a:pt x="0" y="2609850"/>
                              </a:lnTo>
                              <a:lnTo>
                                <a:pt x="0" y="150406"/>
                              </a:lnTo>
                              <a:cubicBezTo>
                                <a:pt x="0" y="67339"/>
                                <a:pt x="67339" y="0"/>
                                <a:pt x="150406" y="0"/>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4624B" w:rsidRDefault="0024624B" w:rsidP="005166F3">
                            <w:pPr>
                              <w:pStyle w:val="HHeading4"/>
                              <w:spacing w:before="0"/>
                              <w:jc w:val="both"/>
                              <w:rPr>
                                <w:rFonts w:cs="Arial"/>
                                <w:color w:val="373737"/>
                                <w:sz w:val="18"/>
                                <w:szCs w:val="18"/>
                              </w:rPr>
                            </w:pPr>
                            <w:r>
                              <w:rPr>
                                <w:noProof/>
                                <w:color w:val="373737"/>
                                <w:lang w:bidi="ar-SA"/>
                              </w:rPr>
                              <w:drawing>
                                <wp:inline distT="0" distB="0" distL="0" distR="0" wp14:anchorId="4EDEEC38" wp14:editId="5918F4A3">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GUIA </w:t>
                            </w:r>
                            <w:r>
                              <w:t>RÁPIDO 1: Como aplicar o modelo lógico para identificar outras opções para definir o cenário contrafactual e decidir a abordagem de avaliação?</w:t>
                            </w:r>
                          </w:p>
                          <w:p w:rsidR="0024624B" w:rsidRPr="005D575A" w:rsidRDefault="0024624B" w:rsidP="005166F3">
                            <w:pPr>
                              <w:pStyle w:val="HStandard"/>
                              <w:spacing w:after="0"/>
                              <w:rPr>
                                <w:rFonts w:cs="Arial"/>
                                <w:sz w:val="18"/>
                              </w:rPr>
                            </w:pPr>
                            <w:r>
                              <w:rPr>
                                <w:sz w:val="18"/>
                              </w:rPr>
                              <w:t xml:space="preserve">A aplicação das etapas da árvore de decisão no nível contrafactual fornece orientações sobre como responder às seguintes questões essenciais na definição do cenário contrafactual: </w:t>
                            </w:r>
                          </w:p>
                          <w:p w:rsidR="0024624B" w:rsidRPr="005D575A" w:rsidRDefault="0024624B" w:rsidP="005166F3">
                            <w:pPr>
                              <w:pStyle w:val="Hlistbullet"/>
                              <w:rPr>
                                <w:sz w:val="18"/>
                              </w:rPr>
                            </w:pPr>
                            <w:r>
                              <w:rPr>
                                <w:sz w:val="18"/>
                              </w:rPr>
                              <w:t>Que opções estão disponíveis para definir um cenário contrafactual?</w:t>
                            </w:r>
                          </w:p>
                          <w:p w:rsidR="0024624B" w:rsidRPr="005D575A" w:rsidRDefault="0024624B" w:rsidP="005166F3">
                            <w:pPr>
                              <w:pStyle w:val="Hlistbullet"/>
                              <w:rPr>
                                <w:sz w:val="18"/>
                              </w:rPr>
                            </w:pPr>
                            <w:r>
                              <w:rPr>
                                <w:sz w:val="18"/>
                              </w:rPr>
                              <w:t>A aplicação e a adesão às medidas permitem a constituição de um grupo de controlo?</w:t>
                            </w:r>
                          </w:p>
                          <w:p w:rsidR="0024624B" w:rsidRPr="005D575A" w:rsidRDefault="0024624B" w:rsidP="005166F3">
                            <w:pPr>
                              <w:pStyle w:val="Hlistbullet"/>
                              <w:rPr>
                                <w:sz w:val="18"/>
                              </w:rPr>
                            </w:pPr>
                            <w:r>
                              <w:rPr>
                                <w:sz w:val="18"/>
                              </w:rPr>
                              <w:t>Em que medida disponho de dados sobre outros fatores que influenciam os indicadores selecionados?</w:t>
                            </w:r>
                          </w:p>
                          <w:p w:rsidR="0024624B" w:rsidRPr="005D575A" w:rsidRDefault="0024624B" w:rsidP="005166F3">
                            <w:pPr>
                              <w:pStyle w:val="Hlistbullet"/>
                              <w:rPr>
                                <w:sz w:val="18"/>
                              </w:rPr>
                            </w:pPr>
                            <w:r>
                              <w:rPr>
                                <w:sz w:val="18"/>
                              </w:rPr>
                              <w:t>Disponho de dados para os indicadores selecionados para momentos distintos (antes e depois) e para beneficiários e não beneficiários?</w:t>
                            </w:r>
                          </w:p>
                          <w:p w:rsidR="0024624B" w:rsidRPr="00A41C7D" w:rsidRDefault="0024624B" w:rsidP="005166F3">
                            <w:pPr>
                              <w:pStyle w:val="Hlistbullet"/>
                              <w:rPr>
                                <w:sz w:val="18"/>
                              </w:rPr>
                            </w:pPr>
                            <w:r>
                              <w:rPr>
                                <w:sz w:val="18"/>
                              </w:rPr>
                              <w:t>Posso utilizar, de um modo rentável, métodos sólidos baseados em dados estatísticos para quantificar os efeitos líquidos das medidas avaliadas?</w:t>
                            </w:r>
                          </w:p>
                          <w:p w:rsidR="0024624B" w:rsidRPr="00C545E7" w:rsidRDefault="0024624B" w:rsidP="00010B08">
                            <w:pPr>
                              <w:pStyle w:val="Hlistbullet"/>
                              <w:numPr>
                                <w:ilvl w:val="0"/>
                                <w:numId w:val="0"/>
                              </w:numPr>
                              <w:spacing w:before="0" w:after="0" w:line="280" w:lineRule="atLeast"/>
                              <w:jc w:val="right"/>
                              <w:rPr>
                                <w:i/>
                                <w:color w:val="F07E31" w:themeColor="accent1"/>
                                <w:sz w:val="18"/>
                              </w:rPr>
                            </w:pPr>
                          </w:p>
                        </w:txbxContent>
                      </wps:txbx>
                      <wps:bodyPr rot="0" vert="horz" wrap="square" lIns="91440" tIns="45720" rIns="91440" bIns="45720" anchor="ctr" anchorCtr="0" upright="1">
                        <a:noAutofit/>
                      </wps:bodyPr>
                    </wps:wsp>
                  </a:graphicData>
                </a:graphic>
              </wp:inline>
            </w:drawing>
          </mc:Choice>
          <mc:Fallback>
            <w:pict>
              <v:shape w14:anchorId="347F332D" id="Rectangle: Diagonal Corners Rounded 90" o:spid="_x0000_s1034" style="width:479.8pt;height:205.5pt;visibility:visible;mso-wrap-style:square;mso-left-percent:-10001;mso-top-percent:-10001;mso-position-horizontal:absolute;mso-position-horizontal-relative:char;mso-position-vertical:absolute;mso-position-vertical-relative:line;mso-left-percent:-10001;mso-top-percent:-10001;v-text-anchor:middle" coordsize="6093460,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" adj="-11796480,,5400" path="m150406,l6093460,r,2459444c6093460,2542511,6026121,2609850,5943054,2609850l,2609850,,150406c,67339,67339,,150406,xe" filled="f" stroked="f" strokeweight="2pt">
                <v:stroke joinstyle="miter"/>
                <v:formulas/>
                <v:path arrowok="t" o:connecttype="custom" o:connectlocs="150406,0;6093460,0;6093460,0;6093460,2459444;5943054,2609850;0,2609850;0,2609850;0,150406;150406,0" o:connectangles="0,0,0,0,0,0,0,0,0" textboxrect="0,0,6093460,2609850"/>
                <v:textbox>
                  <w:txbxContent>
                    <w:p w:rsidR="0024624B" w:rsidRDefault="0024624B" w:rsidP="005166F3">
                      <w:pPr>
                        <w:pStyle w:val="HHeading4"/>
                        <w:spacing w:before="0"/>
                        <w:jc w:val="both"/>
                        <w:rPr>
                          <w:rFonts w:cs="Arial"/>
                          <w:color w:val="373737"/>
                          <w:sz w:val="18"/>
                          <w:szCs w:val="18"/>
                        </w:rPr>
                      </w:pPr>
                      <w:r>
                        <w:rPr>
                          <w:noProof/>
                          <w:color w:val="373737"/>
                          <w:lang w:bidi="ar-SA"/>
                        </w:rPr>
                        <w:drawing>
                          <wp:inline distT="0" distB="0" distL="0" distR="0" wp14:anchorId="4EDEEC38" wp14:editId="5918F4A3">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GUIA </w:t>
                      </w:r>
                      <w:r>
                        <w:t>RÁPIDO 1: Como aplicar o modelo lógico para identificar outras opções para definir o cenário contrafactual e decidir a abordagem de avaliação?</w:t>
                      </w:r>
                    </w:p>
                    <w:p w:rsidR="0024624B" w:rsidRPr="005D575A" w:rsidRDefault="0024624B" w:rsidP="005166F3">
                      <w:pPr>
                        <w:pStyle w:val="HStandard"/>
                        <w:spacing w:after="0"/>
                        <w:rPr>
                          <w:rFonts w:cs="Arial"/>
                          <w:sz w:val="18"/>
                        </w:rPr>
                      </w:pPr>
                      <w:r>
                        <w:rPr>
                          <w:sz w:val="18"/>
                        </w:rPr>
                        <w:t xml:space="preserve">A aplicação das etapas da árvore de decisão no nível contrafactual fornece orientações sobre como responder às seguintes questões essenciais na definição do cenário contrafactual: </w:t>
                      </w:r>
                    </w:p>
                    <w:p w:rsidR="0024624B" w:rsidRPr="005D575A" w:rsidRDefault="0024624B" w:rsidP="005166F3">
                      <w:pPr>
                        <w:pStyle w:val="Hlistbullet"/>
                        <w:rPr>
                          <w:sz w:val="18"/>
                        </w:rPr>
                      </w:pPr>
                      <w:r>
                        <w:rPr>
                          <w:sz w:val="18"/>
                        </w:rPr>
                        <w:t>Que opções estão disponíveis para definir um cenário contrafactual?</w:t>
                      </w:r>
                    </w:p>
                    <w:p w:rsidR="0024624B" w:rsidRPr="005D575A" w:rsidRDefault="0024624B" w:rsidP="005166F3">
                      <w:pPr>
                        <w:pStyle w:val="Hlistbullet"/>
                        <w:rPr>
                          <w:sz w:val="18"/>
                        </w:rPr>
                      </w:pPr>
                      <w:r>
                        <w:rPr>
                          <w:sz w:val="18"/>
                        </w:rPr>
                        <w:t>A aplicação e a adesão às medidas permitem a constituição de um grupo de controlo?</w:t>
                      </w:r>
                    </w:p>
                    <w:p w:rsidR="0024624B" w:rsidRPr="005D575A" w:rsidRDefault="0024624B" w:rsidP="005166F3">
                      <w:pPr>
                        <w:pStyle w:val="Hlistbullet"/>
                        <w:rPr>
                          <w:sz w:val="18"/>
                        </w:rPr>
                      </w:pPr>
                      <w:r>
                        <w:rPr>
                          <w:sz w:val="18"/>
                        </w:rPr>
                        <w:t>Em que medida disponho de dados sobre outros fatores que influenciam os indicadores selecionados?</w:t>
                      </w:r>
                    </w:p>
                    <w:p w:rsidR="0024624B" w:rsidRPr="005D575A" w:rsidRDefault="0024624B" w:rsidP="005166F3">
                      <w:pPr>
                        <w:pStyle w:val="Hlistbullet"/>
                        <w:rPr>
                          <w:sz w:val="18"/>
                        </w:rPr>
                      </w:pPr>
                      <w:r>
                        <w:rPr>
                          <w:sz w:val="18"/>
                        </w:rPr>
                        <w:t>Disponho de dados para os indicadores selecionados para momentos distintos (antes e depois) e para beneficiários e não beneficiários?</w:t>
                      </w:r>
                    </w:p>
                    <w:p w:rsidR="0024624B" w:rsidRPr="00A41C7D" w:rsidRDefault="0024624B" w:rsidP="005166F3">
                      <w:pPr>
                        <w:pStyle w:val="Hlistbullet"/>
                        <w:rPr>
                          <w:sz w:val="18"/>
                        </w:rPr>
                      </w:pPr>
                      <w:r>
                        <w:rPr>
                          <w:sz w:val="18"/>
                        </w:rPr>
                        <w:t>Posso utilizar, de um modo rentável, métodos sólidos baseados em dados estatísticos para quantificar os efeitos líquidos das medidas avaliadas?</w:t>
                      </w:r>
                    </w:p>
                    <w:p w:rsidR="0024624B" w:rsidRPr="00C545E7" w:rsidRDefault="0024624B" w:rsidP="00010B08">
                      <w:pPr>
                        <w:pStyle w:val="Hlistbullet"/>
                        <w:numPr>
                          <w:ilvl w:val="0"/>
                          <w:numId w:val="0"/>
                        </w:numPr>
                        <w:spacing w:before="0" w:after="0" w:line="280" w:lineRule="atLeast"/>
                        <w:jc w:val="right"/>
                        <w:rPr>
                          <w:i/>
                          <w:color w:val="F07E31" w:themeColor="accent1"/>
                          <w:sz w:val="18"/>
                        </w:rPr>
                      </w:pPr>
                    </w:p>
                  </w:txbxContent>
                </v:textbox>
                <w10:anchorlock/>
              </v:shape>
            </w:pict>
          </mc:Fallback>
        </mc:AlternateContent>
      </w:r>
    </w:p>
    <w:p w:rsidR="00EB120C" w:rsidRPr="005934AE" w:rsidRDefault="004C7E7F" w:rsidP="004C7E7F">
      <w:pPr>
        <w:pStyle w:val="HHeadingfigures"/>
        <w:numPr>
          <w:ilvl w:val="0"/>
          <w:numId w:val="0"/>
        </w:numPr>
      </w:pPr>
      <w:r>
        <w:t>Figura 3.</w:t>
      </w:r>
      <w:r>
        <w:tab/>
      </w:r>
      <w:r w:rsidR="00EC01C3">
        <w:t>Modelo lógico para identificar opções para a definição do cenário contrafactual</w:t>
      </w:r>
    </w:p>
    <w:p w:rsidR="00727DDF" w:rsidRPr="00571D58" w:rsidRDefault="006A4BE4" w:rsidP="00727DDF">
      <w:pPr>
        <w:pStyle w:val="HStandard"/>
      </w:pPr>
      <w:r w:rsidRPr="006A4BE4">
        <w:rPr>
          <w:noProof/>
          <w:lang w:bidi="ar-SA"/>
        </w:rPr>
        <w:drawing>
          <wp:inline distT="0" distB="0" distL="0" distR="0">
            <wp:extent cx="5731510" cy="418482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4184820"/>
                    </a:xfrm>
                    <a:prstGeom prst="rect">
                      <a:avLst/>
                    </a:prstGeom>
                    <a:noFill/>
                    <a:ln>
                      <a:noFill/>
                    </a:ln>
                  </pic:spPr>
                </pic:pic>
              </a:graphicData>
            </a:graphic>
          </wp:inline>
        </w:drawing>
      </w:r>
      <w:r w:rsidR="00EC01C3">
        <w:rPr>
          <w:noProof/>
          <w:color w:val="auto"/>
          <w:sz w:val="18"/>
        </w:rPr>
        <w:t xml:space="preserve"> </w:t>
      </w:r>
    </w:p>
    <w:p w:rsidR="00EB120C" w:rsidRPr="00AC6A80" w:rsidRDefault="00EB120C" w:rsidP="00B42D5D">
      <w:pPr>
        <w:pStyle w:val="HSource"/>
      </w:pPr>
      <w:r>
        <w:t>Fonte: adaptado de ENVIEVAL (2015)</w:t>
      </w:r>
    </w:p>
    <w:p w:rsidR="00EB120C" w:rsidRPr="007645B4" w:rsidRDefault="00EB120C" w:rsidP="00EB120C">
      <w:pPr>
        <w:pStyle w:val="Hlistbullet"/>
        <w:numPr>
          <w:ilvl w:val="0"/>
          <w:numId w:val="0"/>
        </w:numPr>
        <w:spacing w:before="0" w:after="0" w:line="280" w:lineRule="atLeast"/>
        <w:rPr>
          <w:rFonts w:cs="Arial"/>
          <w:sz w:val="18"/>
        </w:rPr>
      </w:pPr>
      <w:r>
        <w:rPr>
          <w:sz w:val="18"/>
        </w:rPr>
        <w:t xml:space="preserve">O modelo lógico começa com a descrição da adesão ao PDR e da situação dos dados, no que respeita aos indicadores de impacto (e de resultados) do SCAA disponíveis e aos indicadores adicionais, se selecionados (caixas com fundo cinzento escuro). Uma série de questões de decisão (caixas a vermelho) conduz às possíveis opções para a definição do cenário contrafactual (caixas com fundo vermelho). </w:t>
      </w:r>
    </w:p>
    <w:p w:rsidR="00EB120C" w:rsidRPr="00571D58" w:rsidRDefault="00EB120C" w:rsidP="00B42D5D">
      <w:pPr>
        <w:pStyle w:val="Hlistbullet"/>
        <w:numPr>
          <w:ilvl w:val="0"/>
          <w:numId w:val="0"/>
        </w:numPr>
        <w:spacing w:before="0" w:after="0" w:line="280" w:lineRule="atLeast"/>
        <w:jc w:val="center"/>
        <w:rPr>
          <w:i/>
          <w:color w:val="F07E31" w:themeColor="accent1"/>
          <w:sz w:val="18"/>
        </w:rPr>
      </w:pPr>
      <w:r>
        <w:rPr>
          <w:i/>
          <w:color w:val="F07E31" w:themeColor="accent1"/>
          <w:sz w:val="18"/>
        </w:rPr>
        <w:t xml:space="preserve">Mais informações sobre a utilização de modelos lógicos do </w:t>
      </w:r>
      <w:hyperlink r:id="rId41">
        <w:r>
          <w:rPr>
            <w:rStyle w:val="Hyperlink"/>
            <w:i/>
            <w:sz w:val="18"/>
          </w:rPr>
          <w:t>projeto de investigação ENVIEVAL ao abrigo do 7PQ</w:t>
        </w:r>
      </w:hyperlink>
      <w:r>
        <w:rPr>
          <w:rStyle w:val="Hyperlink"/>
          <w:i/>
          <w:sz w:val="18"/>
          <w:u w:val="none"/>
        </w:rPr>
        <w:t xml:space="preserve"> e do seu manual</w:t>
      </w:r>
      <w:r>
        <w:rPr>
          <w:i/>
          <w:color w:val="F07E31" w:themeColor="accent1"/>
          <w:sz w:val="18"/>
        </w:rPr>
        <w:t xml:space="preserve"> </w:t>
      </w:r>
      <w:hyperlink r:id="rId42">
        <w:r>
          <w:rPr>
            <w:rStyle w:val="Hyperlink"/>
            <w:i/>
            <w:sz w:val="18"/>
          </w:rPr>
          <w:t>«Methodological Handbook for the evaluation of environmental impacts of RDPs»</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D4194" w:rsidRPr="001C6ACF" w:rsidTr="00F74B7E">
        <w:tc>
          <w:tcPr>
            <w:tcW w:w="9026" w:type="dxa"/>
            <w:shd w:val="clear" w:color="auto" w:fill="auto"/>
          </w:tcPr>
          <w:p w:rsidR="006D4194" w:rsidRPr="00571D58" w:rsidRDefault="006D4194" w:rsidP="00010B08">
            <w:pPr>
              <w:pStyle w:val="Hlistbullet"/>
              <w:numPr>
                <w:ilvl w:val="0"/>
                <w:numId w:val="0"/>
              </w:numPr>
              <w:spacing w:before="0" w:after="0" w:line="280" w:lineRule="atLeast"/>
              <w:rPr>
                <w:sz w:val="18"/>
                <w:szCs w:val="18"/>
              </w:rPr>
            </w:pPr>
            <w:r>
              <w:lastRenderedPageBreak/>
              <w:br w:type="column"/>
            </w:r>
            <w:r>
              <w:rPr>
                <w:b/>
                <w:i/>
                <w:noProof/>
                <w:color w:val="F07E31" w:themeColor="accent1"/>
                <w:lang w:bidi="ar-SA"/>
              </w:rPr>
              <mc:AlternateContent>
                <mc:Choice Requires="wps">
                  <w:drawing>
                    <wp:inline distT="0" distB="0" distL="0" distR="0" wp14:anchorId="23524C0B" wp14:editId="273C1073">
                      <wp:extent cx="5567045" cy="8801100"/>
                      <wp:effectExtent l="0" t="0" r="14605" b="19050"/>
                      <wp:docPr id="90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7045" cy="8801100"/>
                              </a:xfrm>
                              <a:custGeom>
                                <a:avLst/>
                                <a:gdLst>
                                  <a:gd name="T0" fmla="*/ 276626 w 5567045"/>
                                  <a:gd name="T1" fmla="*/ 0 h 8401050"/>
                                  <a:gd name="T2" fmla="*/ 5567045 w 5567045"/>
                                  <a:gd name="T3" fmla="*/ 0 h 8401050"/>
                                  <a:gd name="T4" fmla="*/ 5567045 w 5567045"/>
                                  <a:gd name="T5" fmla="*/ 0 h 8401050"/>
                                  <a:gd name="T6" fmla="*/ 5567045 w 5567045"/>
                                  <a:gd name="T7" fmla="*/ 8124424 h 8401050"/>
                                  <a:gd name="T8" fmla="*/ 5290419 w 5567045"/>
                                  <a:gd name="T9" fmla="*/ 8401050 h 8401050"/>
                                  <a:gd name="T10" fmla="*/ 0 w 5567045"/>
                                  <a:gd name="T11" fmla="*/ 8401050 h 8401050"/>
                                  <a:gd name="T12" fmla="*/ 0 w 5567045"/>
                                  <a:gd name="T13" fmla="*/ 8401050 h 8401050"/>
                                  <a:gd name="T14" fmla="*/ 0 w 5567045"/>
                                  <a:gd name="T15" fmla="*/ 276626 h 8401050"/>
                                  <a:gd name="T16" fmla="*/ 276626 w 5567045"/>
                                  <a:gd name="T17" fmla="*/ 0 h 84010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7045"/>
                                  <a:gd name="T28" fmla="*/ 0 h 8401050"/>
                                  <a:gd name="T29" fmla="*/ 5567045 w 5567045"/>
                                  <a:gd name="T30" fmla="*/ 8401050 h 84010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7045" h="8401050">
                                    <a:moveTo>
                                      <a:pt x="276626" y="0"/>
                                    </a:moveTo>
                                    <a:lnTo>
                                      <a:pt x="5567045" y="0"/>
                                    </a:lnTo>
                                    <a:lnTo>
                                      <a:pt x="5567045" y="8124424"/>
                                    </a:lnTo>
                                    <a:cubicBezTo>
                                      <a:pt x="5567045" y="8277200"/>
                                      <a:pt x="5443195" y="8401050"/>
                                      <a:pt x="5290419" y="8401050"/>
                                    </a:cubicBezTo>
                                    <a:lnTo>
                                      <a:pt x="0" y="8401050"/>
                                    </a:lnTo>
                                    <a:lnTo>
                                      <a:pt x="0" y="276626"/>
                                    </a:lnTo>
                                    <a:cubicBezTo>
                                      <a:pt x="0" y="123850"/>
                                      <a:pt x="123850" y="0"/>
                                      <a:pt x="276626"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24624B" w:rsidRPr="00391ECD" w:rsidRDefault="0024624B" w:rsidP="005C7C25">
                                  <w:pPr>
                                    <w:pStyle w:val="HHeading4"/>
                                  </w:pPr>
                                  <w:r>
                                    <w:rPr>
                                      <w:noProof/>
                                      <w:color w:val="373737"/>
                                      <w:lang w:bidi="ar-SA"/>
                                    </w:rPr>
                                    <w:drawing>
                                      <wp:inline distT="0" distB="0" distL="0" distR="0" wp14:anchorId="3C5F0C94" wp14:editId="25724E54">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GUIA </w:t>
                                  </w:r>
                                  <w:r>
                                    <w:t>RÁPIDO 2: Como constituir um grupo de controlo ao nível micro? (no que respeita ao 2.º nível)</w:t>
                                  </w:r>
                                </w:p>
                                <w:p w:rsidR="0024624B" w:rsidRPr="007008C0" w:rsidRDefault="0024624B" w:rsidP="005C7C25">
                                  <w:pPr>
                                    <w:pStyle w:val="HStandard"/>
                                    <w:spacing w:after="0"/>
                                    <w:rPr>
                                      <w:rFonts w:cs="Arial"/>
                                      <w:color w:val="373737"/>
                                      <w:sz w:val="18"/>
                                      <w:szCs w:val="18"/>
                                    </w:rPr>
                                  </w:pPr>
                                  <w:r>
                                    <w:rPr>
                                      <w:color w:val="373737"/>
                                      <w:sz w:val="18"/>
                                    </w:rPr>
                                    <w:t>A análise contrafactual ao nível micro deve basear-se em comparações entre grupos de controlo de beneficiários e não beneficiários do programa que sejam tão idênticos quanto possível (em dimensões observáveis e não observáveis). Se os dois grupos forem suficientemente idênticos em termos estatísticos (tiverem características semelhantes), pode pressupor-se que qualquer diferença nos resultados se deve ao programa. A análise contrafactual permite o estabelecimento de causalidade – imputando as alterações observadas nos resultados ao programa e excluindo os fatores de confusão.</w:t>
                                  </w:r>
                                </w:p>
                                <w:p w:rsidR="0024624B" w:rsidRPr="007008C0" w:rsidRDefault="0024624B" w:rsidP="005C7C25">
                                  <w:pPr>
                                    <w:pStyle w:val="HStandard"/>
                                    <w:spacing w:after="0"/>
                                    <w:rPr>
                                      <w:rFonts w:cs="Arial"/>
                                      <w:color w:val="373737"/>
                                      <w:sz w:val="18"/>
                                      <w:szCs w:val="18"/>
                                    </w:rPr>
                                  </w:pPr>
                                </w:p>
                                <w:p w:rsidR="0024624B" w:rsidRPr="007008C0" w:rsidRDefault="0024624B" w:rsidP="005C7C25">
                                  <w:pPr>
                                    <w:pStyle w:val="HStandard"/>
                                    <w:spacing w:after="0"/>
                                    <w:rPr>
                                      <w:rFonts w:cs="Arial"/>
                                      <w:color w:val="373737"/>
                                      <w:sz w:val="18"/>
                                      <w:szCs w:val="18"/>
                                    </w:rPr>
                                  </w:pPr>
                                  <w:r>
                                    <w:rPr>
                                      <w:color w:val="373737"/>
                                      <w:sz w:val="18"/>
                                    </w:rPr>
                                    <w:t xml:space="preserve">A constituição de um grupo de controlo adequado pode ser problemática, devido a uma elevada autosseleção do programa e a condições rigorosas de elegibilidade do programa. Os beneficiários do programa incluídos na avaliação que receberam apoio do programa podem ser muito diferentes dos não beneficiários, tanto em termos das suas características estruturais como do desempenho económico, ambiental e socioeconómico. </w:t>
                                  </w:r>
                                </w:p>
                                <w:p w:rsidR="0024624B" w:rsidRPr="007008C0" w:rsidRDefault="0024624B" w:rsidP="005C7C25">
                                  <w:pPr>
                                    <w:pStyle w:val="HStandard"/>
                                    <w:spacing w:after="0"/>
                                    <w:rPr>
                                      <w:rFonts w:cs="Arial"/>
                                      <w:color w:val="373737"/>
                                      <w:sz w:val="18"/>
                                      <w:szCs w:val="18"/>
                                    </w:rPr>
                                  </w:pPr>
                                </w:p>
                                <w:p w:rsidR="0024624B" w:rsidRPr="007008C0" w:rsidRDefault="0024624B" w:rsidP="005C7C25">
                                  <w:pPr>
                                    <w:pStyle w:val="HStandard"/>
                                    <w:spacing w:after="0"/>
                                    <w:rPr>
                                      <w:rFonts w:cs="Arial"/>
                                      <w:color w:val="373737"/>
                                      <w:sz w:val="18"/>
                                      <w:szCs w:val="18"/>
                                    </w:rPr>
                                  </w:pPr>
                                  <w:r>
                                    <w:rPr>
                                      <w:color w:val="373737"/>
                                      <w:sz w:val="18"/>
                                    </w:rPr>
                                    <w:t>As etapas para a constituição de um grupo de controlo adequado são as seguintes:</w:t>
                                  </w:r>
                                </w:p>
                                <w:p w:rsidR="0024624B" w:rsidRPr="007008C0" w:rsidRDefault="0024624B" w:rsidP="005C7C25">
                                  <w:pPr>
                                    <w:pStyle w:val="Hlistbullet"/>
                                    <w:spacing w:before="0" w:after="0" w:line="280" w:lineRule="atLeast"/>
                                    <w:ind w:left="604" w:hanging="604"/>
                                    <w:rPr>
                                      <w:color w:val="373737"/>
                                      <w:sz w:val="18"/>
                                      <w:szCs w:val="18"/>
                                    </w:rPr>
                                  </w:pPr>
                                  <w:r>
                                    <w:rPr>
                                      <w:b/>
                                      <w:color w:val="F07E31" w:themeColor="accent1"/>
                                      <w:sz w:val="18"/>
                                    </w:rPr>
                                    <w:t>Etapa 1:</w:t>
                                  </w:r>
                                  <w:r>
                                    <w:rPr>
                                      <w:color w:val="373737"/>
                                      <w:sz w:val="18"/>
                                    </w:rPr>
                                    <w:t xml:space="preserve"> Obter uma amostra de beneficiários do PDR (p. ex., explorações agrícolas/agricultores/empresas/comunidades/zonas/regiões não agrícolas) numa base de dados disponível (p. ex., RICA) e utilizar o sistema de acompanhamento do PDR como ponto de referência (p. ex., base de dados do organismo pagador). </w:t>
                                  </w:r>
                                </w:p>
                                <w:p w:rsidR="0024624B" w:rsidRPr="00AF5661" w:rsidRDefault="0024624B" w:rsidP="005C7C25">
                                  <w:pPr>
                                    <w:pStyle w:val="Hlistbullet"/>
                                    <w:spacing w:before="0" w:after="0" w:line="280" w:lineRule="atLeast"/>
                                    <w:ind w:left="604" w:hanging="604"/>
                                    <w:rPr>
                                      <w:color w:val="373737"/>
                                      <w:sz w:val="18"/>
                                      <w:szCs w:val="18"/>
                                    </w:rPr>
                                  </w:pPr>
                                  <w:r>
                                    <w:rPr>
                                      <w:b/>
                                      <w:color w:val="F07E31" w:themeColor="accent1"/>
                                      <w:sz w:val="18"/>
                                    </w:rPr>
                                    <w:t>Etapa 2:</w:t>
                                  </w:r>
                                  <w:r>
                                    <w:rPr>
                                      <w:color w:val="373737"/>
                                      <w:sz w:val="18"/>
                                    </w:rPr>
                                    <w:t xml:space="preserve"> Selecionar, entre as unidades relevantes incluídas na base de dados, aquelas que, no mesmo período, não receberam apoio das medidas do PDR («não beneficiários»).</w:t>
                                  </w:r>
                                </w:p>
                                <w:p w:rsidR="0024624B" w:rsidRPr="00AF5661" w:rsidRDefault="0024624B" w:rsidP="005C7C25">
                                  <w:pPr>
                                    <w:pStyle w:val="Hlistbullet"/>
                                    <w:spacing w:before="0" w:after="0" w:line="280" w:lineRule="atLeast"/>
                                    <w:ind w:left="604" w:hanging="604"/>
                                    <w:rPr>
                                      <w:color w:val="373737"/>
                                      <w:sz w:val="18"/>
                                      <w:szCs w:val="18"/>
                                    </w:rPr>
                                  </w:pPr>
                                  <w:r>
                                    <w:rPr>
                                      <w:b/>
                                      <w:color w:val="F07E31" w:themeColor="accent1"/>
                                      <w:sz w:val="18"/>
                                    </w:rPr>
                                    <w:t>Etapa 3:</w:t>
                                  </w:r>
                                  <w:r>
                                    <w:rPr>
                                      <w:color w:val="373737"/>
                                      <w:sz w:val="18"/>
                                    </w:rPr>
                                    <w:t xml:space="preserve"> No grupo de não beneficiários, efetuar uma pré-seleção das unidades que NÃO satisfazem as condições de elegibilidade do programa (devido a rendimento elevado, dimensão, localização, etc.) e retirá-las da análise. </w:t>
                                  </w:r>
                                </w:p>
                                <w:p w:rsidR="0024624B" w:rsidRPr="007008C0" w:rsidRDefault="0024624B" w:rsidP="005C7C25">
                                  <w:pPr>
                                    <w:pStyle w:val="Hlistbullet"/>
                                    <w:spacing w:before="0" w:after="0" w:line="280" w:lineRule="atLeast"/>
                                    <w:ind w:left="604" w:hanging="604"/>
                                    <w:rPr>
                                      <w:color w:val="373737"/>
                                      <w:sz w:val="18"/>
                                      <w:szCs w:val="18"/>
                                    </w:rPr>
                                  </w:pPr>
                                  <w:r>
                                    <w:rPr>
                                      <w:b/>
                                      <w:color w:val="F07E31" w:themeColor="accent1"/>
                                      <w:sz w:val="18"/>
                                    </w:rPr>
                                    <w:t>Etapa 4:</w:t>
                                  </w:r>
                                  <w:r>
                                    <w:rPr>
                                      <w:color w:val="373737"/>
                                      <w:sz w:val="18"/>
                                    </w:rPr>
                                    <w:t xml:space="preserve"> Para todas as unidades de ambos os grupos (beneficiários e não beneficiários), recolher dados sobre as suas principais cara</w:t>
                                  </w:r>
                                  <w:r w:rsidR="004C7E7F">
                                    <w:rPr>
                                      <w:color w:val="373737"/>
                                      <w:sz w:val="18"/>
                                    </w:rPr>
                                    <w:t>c</w:t>
                                  </w:r>
                                  <w:r>
                                    <w:rPr>
                                      <w:color w:val="373737"/>
                                      <w:sz w:val="18"/>
                                    </w:rPr>
                                    <w:t>terísticas (variáveis) relativos ao ano de 2013 (ou seja, antes do programa). Importa notar que as variáveis incluídas na análise devem afetar tanto a seleção de uma unidade como os indicadores calculados ao nível micro (indicadores de impacto comuns e adicionais). Uma das variáveis propostas (utilizada como uma variável de controlo importante) pode ser: i) o nível do apoio recebido por uma determinada unidade («beneficiário» e «não beneficiário») durante o anterior período de programação 2007-2013, e/ou ii) o nível do apoio recebido por uma determinada unidade («beneficiário» e «não beneficiário») de outras fontes de financiamento público (p. ex., fundos estruturais da UE, Pilar I) no período analisado.</w:t>
                                  </w:r>
                                </w:p>
                                <w:p w:rsidR="0024624B" w:rsidRPr="00AF5661" w:rsidRDefault="0024624B" w:rsidP="005C7C25">
                                  <w:pPr>
                                    <w:pStyle w:val="Hlistbullet"/>
                                    <w:spacing w:before="0" w:after="0" w:line="280" w:lineRule="atLeast"/>
                                    <w:ind w:left="604" w:hanging="604"/>
                                    <w:rPr>
                                      <w:color w:val="373737"/>
                                      <w:sz w:val="18"/>
                                      <w:szCs w:val="18"/>
                                    </w:rPr>
                                  </w:pPr>
                                  <w:r>
                                    <w:rPr>
                                      <w:b/>
                                      <w:color w:val="F07E31" w:themeColor="accent1"/>
                                      <w:sz w:val="18"/>
                                    </w:rPr>
                                    <w:t>Etapa 5:</w:t>
                                  </w:r>
                                  <w:r>
                                    <w:rPr>
                                      <w:color w:val="373737"/>
                                      <w:sz w:val="18"/>
                                    </w:rPr>
                                    <w:t xml:space="preserve"> Aplicar técnicas adequadas (p. ex., «emparelhamento») que permitam a identificação, na amostra de «não beneficiários» (ver etapas 2 e 3), de um «grupo de controlo» adequado (alguns dos «não beneficiários» e/ou «beneficiários» serão excluídos da análise devido à inexistência de unidades de controlo adequadas).</w:t>
                                  </w:r>
                                </w:p>
                                <w:p w:rsidR="0024624B" w:rsidRPr="0025164E" w:rsidRDefault="0024624B" w:rsidP="005C7C25">
                                  <w:pPr>
                                    <w:pStyle w:val="Hlistbullet"/>
                                    <w:spacing w:before="0" w:after="0" w:line="280" w:lineRule="atLeast"/>
                                    <w:ind w:left="604" w:hanging="604"/>
                                  </w:pPr>
                                  <w:r>
                                    <w:rPr>
                                      <w:b/>
                                      <w:color w:val="F07E31" w:themeColor="accent1"/>
                                      <w:sz w:val="18"/>
                                    </w:rPr>
                                    <w:t>Etapa 6:</w:t>
                                  </w:r>
                                  <w:r>
                                    <w:rPr>
                                      <w:color w:val="373737"/>
                                      <w:sz w:val="18"/>
                                    </w:rPr>
                                    <w:t xml:space="preserve"> Controlar estatisticamente a «similaridade» dos dois grupos antes de receberem apoio do programa (p. ex., através da realização de testes estatísticos das covariáveis incluídas na análise). O valor médio de uma unidade no grupo de «beneficiários» não deve diferir significativamente da respetiva unidade no «grupo de controlo».</w:t>
                                  </w:r>
                                </w:p>
                                <w:p w:rsidR="0024624B" w:rsidRPr="0025164E" w:rsidRDefault="0024624B" w:rsidP="00735F08">
                                  <w:pPr>
                                    <w:pStyle w:val="Hlistbullet"/>
                                    <w:numPr>
                                      <w:ilvl w:val="0"/>
                                      <w:numId w:val="0"/>
                                    </w:numPr>
                                    <w:jc w:val="center"/>
                                    <w:rPr>
                                      <w:i/>
                                      <w:color w:val="F07E31" w:themeColor="accent1"/>
                                      <w:sz w:val="18"/>
                                      <w:szCs w:val="18"/>
                                    </w:rPr>
                                  </w:pPr>
                                  <w:r>
                                    <w:rPr>
                                      <w:i/>
                                      <w:color w:val="F07E31" w:themeColor="accent1"/>
                                      <w:sz w:val="18"/>
                                    </w:rPr>
                                    <w:t>Estão disponíveis mais informações sobre a constituição de grupos de controlo, técnicas de «emparelhamento», etc., nas</w:t>
                                  </w:r>
                                  <w:r>
                                    <w:rPr>
                                      <w:i/>
                                      <w:color w:val="F07E31" w:themeColor="accent1"/>
                                      <w:sz w:val="18"/>
                                      <w:szCs w:val="18"/>
                                    </w:rPr>
                                    <w:br/>
                                  </w:r>
                                  <w:r>
                                    <w:rPr>
                                      <w:i/>
                                      <w:color w:val="F07E31" w:themeColor="accent1"/>
                                      <w:sz w:val="18"/>
                                    </w:rPr>
                                    <w:t xml:space="preserve"> </w:t>
                                  </w:r>
                                  <w:hyperlink r:id="rId43" w:history="1">
                                    <w:r>
                                      <w:rPr>
                                        <w:rStyle w:val="Hyperlink"/>
                                        <w:i/>
                                        <w:color w:val="F07E31" w:themeColor="accent1"/>
                                        <w:sz w:val="18"/>
                                      </w:rPr>
                                      <w:t>«Guidelines for ex post evaluation of 2007-2013 RDPs»</w:t>
                                    </w:r>
                                  </w:hyperlink>
                                  <w:r>
                                    <w:rPr>
                                      <w:rStyle w:val="Hyperlink"/>
                                      <w:i/>
                                      <w:color w:val="F07E31" w:themeColor="accent1"/>
                                      <w:sz w:val="18"/>
                                    </w:rPr>
                                    <w:t>, capítulo 4</w:t>
                                  </w:r>
                                </w:p>
                              </w:txbxContent>
                            </wps:txbx>
                            <wps:bodyPr rot="0" vert="horz" wrap="square" lIns="91440" tIns="45720" rIns="91440" bIns="45720" anchor="ctr" anchorCtr="0" upright="1">
                              <a:noAutofit/>
                            </wps:bodyPr>
                          </wps:wsp>
                        </a:graphicData>
                      </a:graphic>
                    </wp:inline>
                  </w:drawing>
                </mc:Choice>
                <mc:Fallback>
                  <w:pict>
                    <v:shape w14:anchorId="23524C0B" id="AutoShape 67" o:spid="_x0000_s1035" style="width:438.35pt;height:693pt;visibility:visible;mso-wrap-style:square;mso-left-percent:-10001;mso-top-percent:-10001;mso-position-horizontal:absolute;mso-position-horizontal-relative:char;mso-position-vertical:absolute;mso-position-vertical-relative:line;mso-left-percent:-10001;mso-top-percent:-10001;v-text-anchor:middle" coordsize="5567045,840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" adj="-11796480,,5400" path="m276626,l5567045,r,8124424c5567045,8277200,5443195,8401050,5290419,8401050l,8401050,,276626c,123850,123850,,276626,xe" filled="f" strokecolor="#be4a35" strokeweight="2pt">
                      <v:stroke joinstyle="miter"/>
                      <v:formulas/>
                      <v:path arrowok="t" o:connecttype="custom" o:connectlocs="276626,0;5567045,0;5567045,0;5567045,8511301;5290419,8801100;0,8801100;0,8801100;0,289799;276626,0" o:connectangles="0,0,0,0,0,0,0,0,0" textboxrect="0,0,5567045,8401050"/>
                      <v:textbox>
                        <w:txbxContent>
                          <w:p w:rsidR="0024624B" w:rsidRPr="00391ECD" w:rsidRDefault="0024624B" w:rsidP="005C7C25">
                            <w:pPr>
                              <w:pStyle w:val="HHeading4"/>
                            </w:pPr>
                            <w:r>
                              <w:rPr>
                                <w:noProof/>
                                <w:color w:val="373737"/>
                                <w:lang w:bidi="ar-SA"/>
                              </w:rPr>
                              <w:drawing>
                                <wp:inline distT="0" distB="0" distL="0" distR="0" wp14:anchorId="3C5F0C94" wp14:editId="25724E54">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GUIA </w:t>
                            </w:r>
                            <w:r>
                              <w:t>RÁPIDO 2: Como constituir um grupo de controlo ao nível micro? (no que respeita ao 2.º nível)</w:t>
                            </w:r>
                          </w:p>
                          <w:p w:rsidR="0024624B" w:rsidRPr="007008C0" w:rsidRDefault="0024624B" w:rsidP="005C7C25">
                            <w:pPr>
                              <w:pStyle w:val="HStandard"/>
                              <w:spacing w:after="0"/>
                              <w:rPr>
                                <w:rFonts w:cs="Arial"/>
                                <w:color w:val="373737"/>
                                <w:sz w:val="18"/>
                                <w:szCs w:val="18"/>
                              </w:rPr>
                            </w:pPr>
                            <w:r>
                              <w:rPr>
                                <w:color w:val="373737"/>
                                <w:sz w:val="18"/>
                              </w:rPr>
                              <w:t>A análise contrafactual ao nível micro deve basear-se em comparações entre grupos de controlo de beneficiários e não beneficiários do programa que sejam tão idênticos quanto possível (em dimensões observáveis e não observáveis). Se os dois grupos forem suficientemente idênticos em termos estatísticos (tiverem características semelhantes), pode pressupor-se que qualquer diferença nos resultados se deve ao programa. A análise contrafactual permite o estabelecimento de causalidade – imputando as alterações observadas nos resultados ao programa e excluindo os fatores de confusão.</w:t>
                            </w:r>
                          </w:p>
                          <w:p w:rsidR="0024624B" w:rsidRPr="007008C0" w:rsidRDefault="0024624B" w:rsidP="005C7C25">
                            <w:pPr>
                              <w:pStyle w:val="HStandard"/>
                              <w:spacing w:after="0"/>
                              <w:rPr>
                                <w:rFonts w:cs="Arial"/>
                                <w:color w:val="373737"/>
                                <w:sz w:val="18"/>
                                <w:szCs w:val="18"/>
                              </w:rPr>
                            </w:pPr>
                          </w:p>
                          <w:p w:rsidR="0024624B" w:rsidRPr="007008C0" w:rsidRDefault="0024624B" w:rsidP="005C7C25">
                            <w:pPr>
                              <w:pStyle w:val="HStandard"/>
                              <w:spacing w:after="0"/>
                              <w:rPr>
                                <w:rFonts w:cs="Arial"/>
                                <w:color w:val="373737"/>
                                <w:sz w:val="18"/>
                                <w:szCs w:val="18"/>
                              </w:rPr>
                            </w:pPr>
                            <w:r>
                              <w:rPr>
                                <w:color w:val="373737"/>
                                <w:sz w:val="18"/>
                              </w:rPr>
                              <w:t xml:space="preserve">A constituição de um grupo de controlo adequado pode ser problemática, devido a uma elevada autosseleção do programa e a condições rigorosas de elegibilidade do programa. Os beneficiários do programa incluídos na avaliação que receberam apoio do programa podem ser muito diferentes dos não beneficiários, tanto em termos das suas características estruturais como do desempenho económico, ambiental e socioeconómico. </w:t>
                            </w:r>
                          </w:p>
                          <w:p w:rsidR="0024624B" w:rsidRPr="007008C0" w:rsidRDefault="0024624B" w:rsidP="005C7C25">
                            <w:pPr>
                              <w:pStyle w:val="HStandard"/>
                              <w:spacing w:after="0"/>
                              <w:rPr>
                                <w:rFonts w:cs="Arial"/>
                                <w:color w:val="373737"/>
                                <w:sz w:val="18"/>
                                <w:szCs w:val="18"/>
                              </w:rPr>
                            </w:pPr>
                          </w:p>
                          <w:p w:rsidR="0024624B" w:rsidRPr="007008C0" w:rsidRDefault="0024624B" w:rsidP="005C7C25">
                            <w:pPr>
                              <w:pStyle w:val="HStandard"/>
                              <w:spacing w:after="0"/>
                              <w:rPr>
                                <w:rFonts w:cs="Arial"/>
                                <w:color w:val="373737"/>
                                <w:sz w:val="18"/>
                                <w:szCs w:val="18"/>
                              </w:rPr>
                            </w:pPr>
                            <w:r>
                              <w:rPr>
                                <w:color w:val="373737"/>
                                <w:sz w:val="18"/>
                              </w:rPr>
                              <w:t>As etapas para a constituição de um grupo de controlo adequado são as seguintes:</w:t>
                            </w:r>
                          </w:p>
                          <w:p w:rsidR="0024624B" w:rsidRPr="007008C0" w:rsidRDefault="0024624B" w:rsidP="005C7C25">
                            <w:pPr>
                              <w:pStyle w:val="Hlistbullet"/>
                              <w:spacing w:before="0" w:after="0" w:line="280" w:lineRule="atLeast"/>
                              <w:ind w:left="604" w:hanging="604"/>
                              <w:rPr>
                                <w:color w:val="373737"/>
                                <w:sz w:val="18"/>
                                <w:szCs w:val="18"/>
                              </w:rPr>
                            </w:pPr>
                            <w:r>
                              <w:rPr>
                                <w:b/>
                                <w:color w:val="F07E31" w:themeColor="accent1"/>
                                <w:sz w:val="18"/>
                              </w:rPr>
                              <w:t>Etapa 1:</w:t>
                            </w:r>
                            <w:r>
                              <w:rPr>
                                <w:color w:val="373737"/>
                                <w:sz w:val="18"/>
                              </w:rPr>
                              <w:t xml:space="preserve"> Obter uma amostra de beneficiários do PDR (p. ex., explorações agrícolas/agricultores/empresas/comunidades/zonas/regiões não agrícolas) numa base de dados disponível (p. ex., RICA) e utilizar o sistema de acompanhamento do PDR como ponto de referência (p. ex., base de dados do organismo pagador). </w:t>
                            </w:r>
                          </w:p>
                          <w:p w:rsidR="0024624B" w:rsidRPr="00AF5661" w:rsidRDefault="0024624B" w:rsidP="005C7C25">
                            <w:pPr>
                              <w:pStyle w:val="Hlistbullet"/>
                              <w:spacing w:before="0" w:after="0" w:line="280" w:lineRule="atLeast"/>
                              <w:ind w:left="604" w:hanging="604"/>
                              <w:rPr>
                                <w:color w:val="373737"/>
                                <w:sz w:val="18"/>
                                <w:szCs w:val="18"/>
                              </w:rPr>
                            </w:pPr>
                            <w:r>
                              <w:rPr>
                                <w:b/>
                                <w:color w:val="F07E31" w:themeColor="accent1"/>
                                <w:sz w:val="18"/>
                              </w:rPr>
                              <w:t>Etapa 2:</w:t>
                            </w:r>
                            <w:r>
                              <w:rPr>
                                <w:color w:val="373737"/>
                                <w:sz w:val="18"/>
                              </w:rPr>
                              <w:t xml:space="preserve"> Selecionar, entre as unidades relevantes incluídas na base de dados, aquelas que, no mesmo período, não receberam apoio das medidas do PDR («não beneficiários»).</w:t>
                            </w:r>
                          </w:p>
                          <w:p w:rsidR="0024624B" w:rsidRPr="00AF5661" w:rsidRDefault="0024624B" w:rsidP="005C7C25">
                            <w:pPr>
                              <w:pStyle w:val="Hlistbullet"/>
                              <w:spacing w:before="0" w:after="0" w:line="280" w:lineRule="atLeast"/>
                              <w:ind w:left="604" w:hanging="604"/>
                              <w:rPr>
                                <w:color w:val="373737"/>
                                <w:sz w:val="18"/>
                                <w:szCs w:val="18"/>
                              </w:rPr>
                            </w:pPr>
                            <w:r>
                              <w:rPr>
                                <w:b/>
                                <w:color w:val="F07E31" w:themeColor="accent1"/>
                                <w:sz w:val="18"/>
                              </w:rPr>
                              <w:t>Etapa 3:</w:t>
                            </w:r>
                            <w:r>
                              <w:rPr>
                                <w:color w:val="373737"/>
                                <w:sz w:val="18"/>
                              </w:rPr>
                              <w:t xml:space="preserve"> No grupo de não beneficiários, efetuar uma pré-seleção das unidades que NÃO satisfazem as condições de elegibilidade do programa (devido a rendimento elevado, dimensão, localização, etc.) e retirá-las da análise. </w:t>
                            </w:r>
                          </w:p>
                          <w:p w:rsidR="0024624B" w:rsidRPr="007008C0" w:rsidRDefault="0024624B" w:rsidP="005C7C25">
                            <w:pPr>
                              <w:pStyle w:val="Hlistbullet"/>
                              <w:spacing w:before="0" w:after="0" w:line="280" w:lineRule="atLeast"/>
                              <w:ind w:left="604" w:hanging="604"/>
                              <w:rPr>
                                <w:color w:val="373737"/>
                                <w:sz w:val="18"/>
                                <w:szCs w:val="18"/>
                              </w:rPr>
                            </w:pPr>
                            <w:r>
                              <w:rPr>
                                <w:b/>
                                <w:color w:val="F07E31" w:themeColor="accent1"/>
                                <w:sz w:val="18"/>
                              </w:rPr>
                              <w:t>Etapa 4:</w:t>
                            </w:r>
                            <w:r>
                              <w:rPr>
                                <w:color w:val="373737"/>
                                <w:sz w:val="18"/>
                              </w:rPr>
                              <w:t xml:space="preserve"> Para todas as unidades de ambos os grupos (beneficiários e não beneficiários), recolher dados sobre as suas principais cara</w:t>
                            </w:r>
                            <w:r w:rsidR="004C7E7F">
                              <w:rPr>
                                <w:color w:val="373737"/>
                                <w:sz w:val="18"/>
                              </w:rPr>
                              <w:t>c</w:t>
                            </w:r>
                            <w:r>
                              <w:rPr>
                                <w:color w:val="373737"/>
                                <w:sz w:val="18"/>
                              </w:rPr>
                              <w:t>terísticas (variáveis) relativos ao ano de 2013 (ou seja, antes do programa). Importa notar que as variáveis incluídas na análise devem afetar tanto a seleção de uma unidade como os indicadores calculados ao nível micro (indicadores de impacto comuns e adicionais). Uma das variáveis propostas (utilizada como uma variável de controlo importante) pode ser: i) o nível do apoio recebido por uma determinada unidade («beneficiário» e «não beneficiário») durante o anterior período de programação 2007-2013, e/ou ii) o nível do apoio recebido por uma determinada unidade («beneficiário» e «não beneficiário») de outras fontes de financiamento público (p. ex., fundos estruturais da UE, Pilar I) no período analisado.</w:t>
                            </w:r>
                          </w:p>
                          <w:p w:rsidR="0024624B" w:rsidRPr="00AF5661" w:rsidRDefault="0024624B" w:rsidP="005C7C25">
                            <w:pPr>
                              <w:pStyle w:val="Hlistbullet"/>
                              <w:spacing w:before="0" w:after="0" w:line="280" w:lineRule="atLeast"/>
                              <w:ind w:left="604" w:hanging="604"/>
                              <w:rPr>
                                <w:color w:val="373737"/>
                                <w:sz w:val="18"/>
                                <w:szCs w:val="18"/>
                              </w:rPr>
                            </w:pPr>
                            <w:r>
                              <w:rPr>
                                <w:b/>
                                <w:color w:val="F07E31" w:themeColor="accent1"/>
                                <w:sz w:val="18"/>
                              </w:rPr>
                              <w:t>Etapa 5:</w:t>
                            </w:r>
                            <w:r>
                              <w:rPr>
                                <w:color w:val="373737"/>
                                <w:sz w:val="18"/>
                              </w:rPr>
                              <w:t xml:space="preserve"> Aplicar técnicas adequadas (p. ex., «emparelhamento») que permitam a identificação, na amostra de «não beneficiários» (ver etapas 2 e 3), de um «grupo de controlo» adequado (alguns dos «não beneficiários» e/ou «beneficiários» serão excluídos da análise devido à inexistência de unidades de controlo adequadas).</w:t>
                            </w:r>
                          </w:p>
                          <w:p w:rsidR="0024624B" w:rsidRPr="0025164E" w:rsidRDefault="0024624B" w:rsidP="005C7C25">
                            <w:pPr>
                              <w:pStyle w:val="Hlistbullet"/>
                              <w:spacing w:before="0" w:after="0" w:line="280" w:lineRule="atLeast"/>
                              <w:ind w:left="604" w:hanging="604"/>
                            </w:pPr>
                            <w:r>
                              <w:rPr>
                                <w:b/>
                                <w:color w:val="F07E31" w:themeColor="accent1"/>
                                <w:sz w:val="18"/>
                              </w:rPr>
                              <w:t>Etapa 6:</w:t>
                            </w:r>
                            <w:r>
                              <w:rPr>
                                <w:color w:val="373737"/>
                                <w:sz w:val="18"/>
                              </w:rPr>
                              <w:t xml:space="preserve"> Controlar estatisticamente a «similaridade» dos dois grupos antes de receberem apoio do programa (p. ex., através da realização de testes estatísticos das covariáveis incluídas na análise). O valor médio de uma unidade no grupo de «beneficiários» não deve diferir significativamente da respetiva unidade no «grupo de controlo».</w:t>
                            </w:r>
                          </w:p>
                          <w:p w:rsidR="0024624B" w:rsidRPr="0025164E" w:rsidRDefault="0024624B" w:rsidP="00735F08">
                            <w:pPr>
                              <w:pStyle w:val="Hlistbullet"/>
                              <w:numPr>
                                <w:ilvl w:val="0"/>
                                <w:numId w:val="0"/>
                              </w:numPr>
                              <w:jc w:val="center"/>
                              <w:rPr>
                                <w:i/>
                                <w:color w:val="F07E31" w:themeColor="accent1"/>
                                <w:sz w:val="18"/>
                                <w:szCs w:val="18"/>
                              </w:rPr>
                            </w:pPr>
                            <w:r>
                              <w:rPr>
                                <w:i/>
                                <w:color w:val="F07E31" w:themeColor="accent1"/>
                                <w:sz w:val="18"/>
                              </w:rPr>
                              <w:t>Estão disponíveis mais informações sobre a constituição de grupos de controlo, técnicas de «emparelhamento», etc., nas</w:t>
                            </w:r>
                            <w:r>
                              <w:rPr>
                                <w:i/>
                                <w:color w:val="F07E31" w:themeColor="accent1"/>
                                <w:sz w:val="18"/>
                                <w:szCs w:val="18"/>
                              </w:rPr>
                              <w:br/>
                            </w:r>
                            <w:r>
                              <w:rPr>
                                <w:i/>
                                <w:color w:val="F07E31" w:themeColor="accent1"/>
                                <w:sz w:val="18"/>
                              </w:rPr>
                              <w:t xml:space="preserve"> </w:t>
                            </w:r>
                            <w:hyperlink r:id="rId44" w:history="1">
                              <w:r>
                                <w:rPr>
                                  <w:rStyle w:val="Hyperlink"/>
                                  <w:i/>
                                  <w:color w:val="F07E31" w:themeColor="accent1"/>
                                  <w:sz w:val="18"/>
                                </w:rPr>
                                <w:t>«Guidelines for ex post evaluation of 2007-2013 RDPs»</w:t>
                              </w:r>
                            </w:hyperlink>
                            <w:r>
                              <w:rPr>
                                <w:rStyle w:val="Hyperlink"/>
                                <w:i/>
                                <w:color w:val="F07E31" w:themeColor="accent1"/>
                                <w:sz w:val="18"/>
                              </w:rPr>
                              <w:t>, capítulo 4</w:t>
                            </w:r>
                          </w:p>
                        </w:txbxContent>
                      </v:textbox>
                      <w10:anchorlock/>
                    </v:shape>
                  </w:pict>
                </mc:Fallback>
              </mc:AlternateContent>
            </w:r>
          </w:p>
        </w:tc>
      </w:tr>
    </w:tbl>
    <w:p w:rsidR="00560A1E" w:rsidRPr="00571D58" w:rsidRDefault="000B213F" w:rsidP="00560A1E">
      <w:pPr>
        <w:pStyle w:val="HStandard"/>
      </w:pPr>
      <w:r>
        <w:rPr>
          <w:b/>
          <w:i/>
          <w:noProof/>
          <w:color w:val="F07E31" w:themeColor="accent1"/>
          <w:lang w:bidi="ar-SA"/>
        </w:rPr>
        <w:lastRenderedPageBreak/>
        <mc:AlternateContent>
          <mc:Choice Requires="wps">
            <w:drawing>
              <wp:inline distT="0" distB="0" distL="0" distR="0" wp14:anchorId="275CFA58" wp14:editId="34FCCF25">
                <wp:extent cx="5731510" cy="8763000"/>
                <wp:effectExtent l="0" t="0" r="21590" b="19050"/>
                <wp:docPr id="90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8763000"/>
                        </a:xfrm>
                        <a:custGeom>
                          <a:avLst/>
                          <a:gdLst>
                            <a:gd name="T0" fmla="*/ 290989 w 5731510"/>
                            <a:gd name="T1" fmla="*/ 0 h 8451850"/>
                            <a:gd name="T2" fmla="*/ 5731510 w 5731510"/>
                            <a:gd name="T3" fmla="*/ 0 h 8451850"/>
                            <a:gd name="T4" fmla="*/ 5731510 w 5731510"/>
                            <a:gd name="T5" fmla="*/ 0 h 8451850"/>
                            <a:gd name="T6" fmla="*/ 5731510 w 5731510"/>
                            <a:gd name="T7" fmla="*/ 8160861 h 8451850"/>
                            <a:gd name="T8" fmla="*/ 5440521 w 5731510"/>
                            <a:gd name="T9" fmla="*/ 8451850 h 8451850"/>
                            <a:gd name="T10" fmla="*/ 0 w 5731510"/>
                            <a:gd name="T11" fmla="*/ 8451850 h 8451850"/>
                            <a:gd name="T12" fmla="*/ 0 w 5731510"/>
                            <a:gd name="T13" fmla="*/ 8451850 h 8451850"/>
                            <a:gd name="T14" fmla="*/ 0 w 5731510"/>
                            <a:gd name="T15" fmla="*/ 290989 h 8451850"/>
                            <a:gd name="T16" fmla="*/ 290989 w 5731510"/>
                            <a:gd name="T17" fmla="*/ 0 h 8451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8451850"/>
                            <a:gd name="T29" fmla="*/ 5731510 w 5731510"/>
                            <a:gd name="T30" fmla="*/ 8451850 h 8451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8451850">
                              <a:moveTo>
                                <a:pt x="290989" y="0"/>
                              </a:moveTo>
                              <a:lnTo>
                                <a:pt x="5731510" y="0"/>
                              </a:lnTo>
                              <a:lnTo>
                                <a:pt x="5731510" y="8160861"/>
                              </a:lnTo>
                              <a:cubicBezTo>
                                <a:pt x="5731510" y="8321570"/>
                                <a:pt x="5601230" y="8451850"/>
                                <a:pt x="5440521" y="8451850"/>
                              </a:cubicBezTo>
                              <a:lnTo>
                                <a:pt x="0" y="8451850"/>
                              </a:lnTo>
                              <a:lnTo>
                                <a:pt x="0" y="290989"/>
                              </a:lnTo>
                              <a:cubicBezTo>
                                <a:pt x="0" y="130280"/>
                                <a:pt x="130280" y="0"/>
                                <a:pt x="290989"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24624B" w:rsidRPr="00DD36A9" w:rsidRDefault="0024624B" w:rsidP="006D4194">
                            <w:pPr>
                              <w:pStyle w:val="HHeading4"/>
                            </w:pPr>
                            <w:r>
                              <w:rPr>
                                <w:noProof/>
                                <w:lang w:bidi="ar-SA"/>
                              </w:rPr>
                              <w:drawing>
                                <wp:inline distT="0" distB="0" distL="0" distR="0" wp14:anchorId="0BCCA784" wp14:editId="454336EA">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GUIA </w:t>
                            </w:r>
                            <w:r>
                              <w:t>RÁPIDO 3: Compromissos na escolha dos métodos de avaliação</w:t>
                            </w:r>
                          </w:p>
                          <w:p w:rsidR="0024624B" w:rsidRDefault="0024624B" w:rsidP="006D4194">
                            <w:pPr>
                              <w:pStyle w:val="HStandard"/>
                              <w:spacing w:after="0"/>
                              <w:rPr>
                                <w:rFonts w:cs="Arial"/>
                                <w:color w:val="373737"/>
                                <w:sz w:val="18"/>
                                <w:szCs w:val="18"/>
                              </w:rPr>
                            </w:pPr>
                            <w:r>
                              <w:rPr>
                                <w:color w:val="373737"/>
                                <w:sz w:val="18"/>
                              </w:rPr>
                              <w:t>Nas avaliações, a indisponibilidade de dados é considerada frequentemente a principal restrição que limita a escolha dos métodos de avaliação. No entanto, a aplicação de técnicas de avaliação mais simples (sem cenário contrafactual) nesses casos dá origem a pontos fracos importantes, no que respeita ao rigor, à credibilidade, à solidez e à validade da metodologia. Por conseguinte, as partes interessadas são incentivadas a ponderar eventuais compromissos entre a exigência de dados e a potencial distorção nos resultados criada por métodos menos rigorosos. Os métodos de avaliação que asseguram uma qualidade mais elevada dos resultados tendem a ser mais exigentes em termos de dados.</w:t>
                            </w:r>
                          </w:p>
                          <w:p w:rsidR="0024624B" w:rsidRPr="006D4194" w:rsidRDefault="0024624B" w:rsidP="006D4194">
                            <w:pPr>
                              <w:pStyle w:val="HStandard"/>
                              <w:spacing w:after="0"/>
                              <w:rPr>
                                <w:rFonts w:cs="Arial"/>
                                <w:color w:val="373737"/>
                                <w:sz w:val="18"/>
                                <w:szCs w:val="18"/>
                              </w:rPr>
                            </w:pPr>
                          </w:p>
                          <w:p w:rsidR="0024624B" w:rsidRPr="009866F7" w:rsidRDefault="0024624B" w:rsidP="006D4194">
                            <w:pPr>
                              <w:spacing w:before="0" w:after="0" w:line="240" w:lineRule="auto"/>
                              <w:rPr>
                                <w:rFonts w:cs="Arial"/>
                                <w:color w:val="373737"/>
                                <w:szCs w:val="18"/>
                                <w:highlight w:val="yellow"/>
                              </w:rPr>
                            </w:pPr>
                            <w:r>
                              <w:rPr>
                                <w:b/>
                              </w:rPr>
                              <w:t>C</w:t>
                            </w:r>
                            <w:r>
                              <w:rPr>
                                <w:b/>
                                <w:color w:val="373737"/>
                              </w:rPr>
                              <w:t>omparação de métodos</w:t>
                            </w:r>
                            <w:r>
                              <w:rPr>
                                <w:color w:val="373737"/>
                              </w:rPr>
                              <w:t xml:space="preserve"> (Legenda: +++++ = a pontuação mais alta; + = a pontuação mais baixa):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24624B" w:rsidTr="0010525B">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24624B" w:rsidRPr="0025164E" w:rsidRDefault="0024624B" w:rsidP="009811C2">
                                  <w:pPr>
                                    <w:jc w:val="center"/>
                                    <w:rPr>
                                      <w:rFonts w:cs="Arial"/>
                                      <w:szCs w:val="18"/>
                                    </w:rPr>
                                  </w:pPr>
                                  <w:r>
                                    <w:t>Método</w:t>
                                  </w:r>
                                </w:p>
                              </w:tc>
                              <w:tc>
                                <w:tcPr>
                                  <w:tcW w:w="1701" w:type="dxa"/>
                                </w:tcPr>
                                <w:p w:rsidR="0024624B" w:rsidRPr="0025164E" w:rsidRDefault="0024624B"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Credibilidade/Rigor, Fiabilidade, etc.</w:t>
                                  </w:r>
                                </w:p>
                              </w:tc>
                              <w:tc>
                                <w:tcPr>
                                  <w:tcW w:w="1701" w:type="dxa"/>
                                </w:tcPr>
                                <w:p w:rsidR="0024624B" w:rsidRPr="0025164E" w:rsidRDefault="0024624B"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Capacidade para reduzir a seleção e outras distorções</w:t>
                                  </w:r>
                                </w:p>
                              </w:tc>
                              <w:tc>
                                <w:tcPr>
                                  <w:tcW w:w="1417" w:type="dxa"/>
                                </w:tcPr>
                                <w:p w:rsidR="0024624B" w:rsidRPr="0025164E" w:rsidRDefault="0024624B"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Qualidade da avaliação</w:t>
                                  </w:r>
                                </w:p>
                              </w:tc>
                              <w:tc>
                                <w:tcPr>
                                  <w:tcW w:w="1418" w:type="dxa"/>
                                </w:tcPr>
                                <w:p w:rsidR="0024624B" w:rsidRPr="0025164E" w:rsidRDefault="0024624B"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Exigência de dados</w:t>
                                  </w:r>
                                </w:p>
                              </w:tc>
                            </w:tr>
                            <w:tr w:rsidR="0024624B" w:rsidTr="0010525B">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24624B" w:rsidRPr="009811C2" w:rsidRDefault="0024624B" w:rsidP="00365997">
                                  <w:pPr>
                                    <w:jc w:val="left"/>
                                    <w:rPr>
                                      <w:rFonts w:cs="Arial"/>
                                      <w:szCs w:val="18"/>
                                    </w:rPr>
                                  </w:pPr>
                                  <w:r>
                                    <w:t>Abordagem experimental</w:t>
                                  </w:r>
                                </w:p>
                              </w:tc>
                              <w:tc>
                                <w:tcPr>
                                  <w:tcW w:w="1701"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24624B" w:rsidTr="0010525B">
                              <w:tc>
                                <w:tcPr>
                                  <w:cnfStyle w:val="001000000000" w:firstRow="0" w:lastRow="0" w:firstColumn="1" w:lastColumn="0" w:oddVBand="0" w:evenVBand="0" w:oddHBand="0" w:evenHBand="0" w:firstRowFirstColumn="0" w:firstRowLastColumn="0" w:lastRowFirstColumn="0" w:lastRowLastColumn="0"/>
                                  <w:tcW w:w="2093" w:type="dxa"/>
                                </w:tcPr>
                                <w:p w:rsidR="0024624B" w:rsidRPr="009811C2" w:rsidRDefault="0024624B" w:rsidP="00365997">
                                  <w:pPr>
                                    <w:jc w:val="left"/>
                                    <w:rPr>
                                      <w:rFonts w:cs="Arial"/>
                                      <w:szCs w:val="18"/>
                                    </w:rPr>
                                  </w:pPr>
                                  <w:r>
                                    <w:t>Abordagens não experimentais</w:t>
                                  </w:r>
                                </w:p>
                              </w:tc>
                              <w:tc>
                                <w:tcPr>
                                  <w:tcW w:w="1701"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24624B" w:rsidTr="0010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24624B" w:rsidRPr="009811C2" w:rsidRDefault="0024624B" w:rsidP="00365997">
                                  <w:pPr>
                                    <w:jc w:val="left"/>
                                    <w:rPr>
                                      <w:rFonts w:cs="Arial"/>
                                      <w:szCs w:val="18"/>
                                    </w:rPr>
                                  </w:pPr>
                                  <w:r>
                                    <w:t>Abordagens de «emparelhamento» (em combinação com DD)</w:t>
                                  </w:r>
                                </w:p>
                              </w:tc>
                              <w:tc>
                                <w:tcPr>
                                  <w:tcW w:w="1701"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24624B" w:rsidTr="0010525B">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24624B" w:rsidRPr="009811C2" w:rsidRDefault="0024624B" w:rsidP="00365997">
                                  <w:pPr>
                                    <w:jc w:val="left"/>
                                    <w:rPr>
                                      <w:rFonts w:cs="Arial"/>
                                      <w:szCs w:val="18"/>
                                    </w:rPr>
                                  </w:pPr>
                                  <w:r>
                                    <w:t>ARD</w:t>
                                  </w:r>
                                </w:p>
                              </w:tc>
                              <w:tc>
                                <w:tcPr>
                                  <w:tcW w:w="1701"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24624B" w:rsidTr="0010525B">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24624B" w:rsidRPr="009811C2" w:rsidRDefault="0024624B" w:rsidP="00365997">
                                  <w:pPr>
                                    <w:jc w:val="left"/>
                                    <w:rPr>
                                      <w:rFonts w:cs="Arial"/>
                                      <w:szCs w:val="18"/>
                                    </w:rPr>
                                  </w:pPr>
                                  <w:r>
                                    <w:t>Método de variáveis instrumentais</w:t>
                                  </w:r>
                                </w:p>
                              </w:tc>
                              <w:tc>
                                <w:tcPr>
                                  <w:tcW w:w="1701"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24624B" w:rsidTr="0010525B">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24624B" w:rsidRPr="009811C2" w:rsidRDefault="0024624B" w:rsidP="00365997">
                                  <w:pPr>
                                    <w:jc w:val="left"/>
                                    <w:rPr>
                                      <w:rFonts w:cs="Arial"/>
                                      <w:szCs w:val="18"/>
                                    </w:rPr>
                                  </w:pPr>
                                  <w:r>
                                    <w:t>Método DD</w:t>
                                  </w:r>
                                </w:p>
                              </w:tc>
                              <w:tc>
                                <w:tcPr>
                                  <w:tcW w:w="1701"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24624B" w:rsidTr="0010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24624B" w:rsidRPr="009811C2" w:rsidRDefault="0024624B" w:rsidP="00365997">
                                  <w:pPr>
                                    <w:jc w:val="left"/>
                                    <w:rPr>
                                      <w:rFonts w:cs="Arial"/>
                                      <w:szCs w:val="18"/>
                                    </w:rPr>
                                  </w:pPr>
                                  <w:r>
                                    <w:t>Comparações com não beneficiários num determinado período de tempo (abordagem mais simples)</w:t>
                                  </w:r>
                                </w:p>
                              </w:tc>
                              <w:tc>
                                <w:tcPr>
                                  <w:tcW w:w="1701"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24624B" w:rsidTr="0010525B">
                              <w:tc>
                                <w:tcPr>
                                  <w:cnfStyle w:val="001000000000" w:firstRow="0" w:lastRow="0" w:firstColumn="1" w:lastColumn="0" w:oddVBand="0" w:evenVBand="0" w:oddHBand="0" w:evenHBand="0" w:firstRowFirstColumn="0" w:firstRowLastColumn="0" w:lastRowFirstColumn="0" w:lastRowLastColumn="0"/>
                                  <w:tcW w:w="2093" w:type="dxa"/>
                                </w:tcPr>
                                <w:p w:rsidR="0024624B" w:rsidRPr="009811C2" w:rsidRDefault="0024624B" w:rsidP="00365997">
                                  <w:pPr>
                                    <w:jc w:val="left"/>
                                    <w:rPr>
                                      <w:rFonts w:cs="Arial"/>
                                      <w:szCs w:val="18"/>
                                    </w:rPr>
                                  </w:pPr>
                                  <w:r>
                                    <w:t>Comparação dos beneficiários do programa antes e depois (abordagem mais simples)</w:t>
                                  </w:r>
                                </w:p>
                              </w:tc>
                              <w:tc>
                                <w:tcPr>
                                  <w:tcW w:w="1701"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24624B" w:rsidTr="0010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24624B" w:rsidRPr="009811C2" w:rsidRDefault="0024624B" w:rsidP="00365997">
                                  <w:pPr>
                                    <w:jc w:val="left"/>
                                    <w:rPr>
                                      <w:rFonts w:cs="Arial"/>
                                      <w:szCs w:val="18"/>
                                    </w:rPr>
                                  </w:pPr>
                                  <w:r>
                                    <w:t>Abordagens qualitativas aplicadas à estimativa dos resultados/impactos do programa</w:t>
                                  </w:r>
                                </w:p>
                              </w:tc>
                              <w:tc>
                                <w:tcPr>
                                  <w:tcW w:w="1701"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24624B" w:rsidRPr="00742E07" w:rsidRDefault="0024624B" w:rsidP="00735F08">
                            <w:pPr>
                              <w:pStyle w:val="HStandard"/>
                              <w:jc w:val="center"/>
                              <w:rPr>
                                <w:i/>
                                <w:color w:val="F07E31" w:themeColor="accent1"/>
                              </w:rPr>
                            </w:pPr>
                            <w:r>
                              <w:rPr>
                                <w:i/>
                                <w:color w:val="F07E31" w:themeColor="accent1"/>
                                <w:sz w:val="18"/>
                              </w:rPr>
                              <w:t xml:space="preserve">Estão disponíveis mais informações sobre os critérios para a seleção de abordagens de avaliação </w:t>
                            </w:r>
                            <w:r>
                              <w:rPr>
                                <w:i/>
                                <w:color w:val="F07E31" w:themeColor="accent1"/>
                                <w:sz w:val="18"/>
                                <w:szCs w:val="18"/>
                              </w:rPr>
                              <w:br/>
                            </w:r>
                            <w:r>
                              <w:rPr>
                                <w:i/>
                                <w:color w:val="F07E31" w:themeColor="accent1"/>
                                <w:sz w:val="18"/>
                              </w:rPr>
                              <w:t xml:space="preserve">nas </w:t>
                            </w:r>
                            <w:hyperlink r:id="rId45">
                              <w:r>
                                <w:rPr>
                                  <w:rStyle w:val="Hyperlink"/>
                                  <w:i/>
                                  <w:color w:val="F07E31" w:themeColor="accent1"/>
                                  <w:sz w:val="18"/>
                                </w:rPr>
                                <w:t>«Guidelines for Ex-post evaluation of 2007-2013 RDPs»</w:t>
                              </w:r>
                            </w:hyperlink>
                            <w:r>
                              <w:rPr>
                                <w:rStyle w:val="Hyperlink"/>
                                <w:i/>
                                <w:color w:val="F07E31" w:themeColor="accent1"/>
                                <w:sz w:val="18"/>
                              </w:rPr>
                              <w:t>,</w:t>
                            </w:r>
                            <w:r>
                              <w:t xml:space="preserve"> </w:t>
                            </w:r>
                            <w:r>
                              <w:rPr>
                                <w:i/>
                                <w:color w:val="F07E31" w:themeColor="accent1"/>
                                <w:sz w:val="18"/>
                              </w:rPr>
                              <w:t>capítulo 4.3.4.2.</w:t>
                            </w:r>
                          </w:p>
                        </w:txbxContent>
                      </wps:txbx>
                      <wps:bodyPr rot="0" vert="horz" wrap="square" lIns="91440" tIns="45720" rIns="91440" bIns="45720" anchor="ctr" anchorCtr="0" upright="1">
                        <a:noAutofit/>
                      </wps:bodyPr>
                    </wps:wsp>
                  </a:graphicData>
                </a:graphic>
              </wp:inline>
            </w:drawing>
          </mc:Choice>
          <mc:Fallback>
            <w:pict>
              <v:shape w14:anchorId="275CFA58" id="AutoShape 66" o:spid="_x0000_s1036" style="width:451.3pt;height:690pt;visibility:visible;mso-wrap-style:square;mso-left-percent:-10001;mso-top-percent:-10001;mso-position-horizontal:absolute;mso-position-horizontal-relative:char;mso-position-vertical:absolute;mso-position-vertical-relative:line;mso-left-percent:-10001;mso-top-percent:-10001;v-text-anchor:middle" coordsize="5731510,845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" adj="-11796480,,5400" path="m290989,l5731510,r,8160861c5731510,8321570,5601230,8451850,5440521,8451850l,8451850,,290989c,130280,130280,,290989,xe" filled="f" strokecolor="#be4a35" strokeweight="2pt">
                <v:stroke joinstyle="miter"/>
                <v:formulas/>
                <v:path arrowok="t" o:connecttype="custom" o:connectlocs="290989,0;5731510,0;5731510,0;5731510,8461298;5440521,8763000;0,8763000;0,8763000;0,301702;290989,0" o:connectangles="0,0,0,0,0,0,0,0,0" textboxrect="0,0,5731510,8451850"/>
                <v:textbox>
                  <w:txbxContent>
                    <w:p w:rsidR="0024624B" w:rsidRPr="00DD36A9" w:rsidRDefault="0024624B" w:rsidP="006D4194">
                      <w:pPr>
                        <w:pStyle w:val="HHeading4"/>
                      </w:pPr>
                      <w:r>
                        <w:rPr>
                          <w:noProof/>
                          <w:lang w:bidi="ar-SA"/>
                        </w:rPr>
                        <w:drawing>
                          <wp:inline distT="0" distB="0" distL="0" distR="0" wp14:anchorId="0BCCA784" wp14:editId="454336EA">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GUIA </w:t>
                      </w:r>
                      <w:r>
                        <w:t>RÁPIDO 3: Compromissos na escolha dos métodos de avaliação</w:t>
                      </w:r>
                    </w:p>
                    <w:p w:rsidR="0024624B" w:rsidRDefault="0024624B" w:rsidP="006D4194">
                      <w:pPr>
                        <w:pStyle w:val="HStandard"/>
                        <w:spacing w:after="0"/>
                        <w:rPr>
                          <w:rFonts w:cs="Arial"/>
                          <w:color w:val="373737"/>
                          <w:sz w:val="18"/>
                          <w:szCs w:val="18"/>
                        </w:rPr>
                      </w:pPr>
                      <w:r>
                        <w:rPr>
                          <w:color w:val="373737"/>
                          <w:sz w:val="18"/>
                        </w:rPr>
                        <w:t>Nas avaliações, a indisponibilidade de dados é considerada frequentemente a principal restrição que limita a escolha dos métodos de avaliação. No entanto, a aplicação de técnicas de avaliação mais simples (sem cenário contrafactual) nesses casos dá origem a pontos fracos importantes, no que respeita ao rigor, à credibilidade, à solidez e à validade da metodologia. Por conseguinte, as partes interessadas são incentivadas a ponderar eventuais compromissos entre a exigência de dados e a potencial distorção nos resultados criada por métodos menos rigorosos. Os métodos de avaliação que asseguram uma qualidade mais elevada dos resultados tendem a ser mais exigentes em termos de dados.</w:t>
                      </w:r>
                    </w:p>
                    <w:p w:rsidR="0024624B" w:rsidRPr="006D4194" w:rsidRDefault="0024624B" w:rsidP="006D4194">
                      <w:pPr>
                        <w:pStyle w:val="HStandard"/>
                        <w:spacing w:after="0"/>
                        <w:rPr>
                          <w:rFonts w:cs="Arial"/>
                          <w:color w:val="373737"/>
                          <w:sz w:val="18"/>
                          <w:szCs w:val="18"/>
                        </w:rPr>
                      </w:pPr>
                    </w:p>
                    <w:p w:rsidR="0024624B" w:rsidRPr="009866F7" w:rsidRDefault="0024624B" w:rsidP="006D4194">
                      <w:pPr>
                        <w:spacing w:before="0" w:after="0" w:line="240" w:lineRule="auto"/>
                        <w:rPr>
                          <w:rFonts w:cs="Arial"/>
                          <w:color w:val="373737"/>
                          <w:szCs w:val="18"/>
                          <w:highlight w:val="yellow"/>
                        </w:rPr>
                      </w:pPr>
                      <w:r>
                        <w:rPr>
                          <w:b/>
                        </w:rPr>
                        <w:t>C</w:t>
                      </w:r>
                      <w:r>
                        <w:rPr>
                          <w:b/>
                          <w:color w:val="373737"/>
                        </w:rPr>
                        <w:t>omparação de métodos</w:t>
                      </w:r>
                      <w:r>
                        <w:rPr>
                          <w:color w:val="373737"/>
                        </w:rPr>
                        <w:t xml:space="preserve"> (Legenda: +++++ = a pontuação mais alta; + = a pontuação mais baixa):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24624B" w:rsidTr="0010525B">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24624B" w:rsidRPr="0025164E" w:rsidRDefault="0024624B" w:rsidP="009811C2">
                            <w:pPr>
                              <w:jc w:val="center"/>
                              <w:rPr>
                                <w:rFonts w:cs="Arial"/>
                                <w:szCs w:val="18"/>
                              </w:rPr>
                            </w:pPr>
                            <w:r>
                              <w:t>Método</w:t>
                            </w:r>
                          </w:p>
                        </w:tc>
                        <w:tc>
                          <w:tcPr>
                            <w:tcW w:w="1701" w:type="dxa"/>
                          </w:tcPr>
                          <w:p w:rsidR="0024624B" w:rsidRPr="0025164E" w:rsidRDefault="0024624B"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Credibilidade/Rigor, Fiabilidade, etc.</w:t>
                            </w:r>
                          </w:p>
                        </w:tc>
                        <w:tc>
                          <w:tcPr>
                            <w:tcW w:w="1701" w:type="dxa"/>
                          </w:tcPr>
                          <w:p w:rsidR="0024624B" w:rsidRPr="0025164E" w:rsidRDefault="0024624B"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Capacidade para reduzir a seleção e outras distorções</w:t>
                            </w:r>
                          </w:p>
                        </w:tc>
                        <w:tc>
                          <w:tcPr>
                            <w:tcW w:w="1417" w:type="dxa"/>
                          </w:tcPr>
                          <w:p w:rsidR="0024624B" w:rsidRPr="0025164E" w:rsidRDefault="0024624B"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Qualidade da avaliação</w:t>
                            </w:r>
                          </w:p>
                        </w:tc>
                        <w:tc>
                          <w:tcPr>
                            <w:tcW w:w="1418" w:type="dxa"/>
                          </w:tcPr>
                          <w:p w:rsidR="0024624B" w:rsidRPr="0025164E" w:rsidRDefault="0024624B"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Exigência de dados</w:t>
                            </w:r>
                          </w:p>
                        </w:tc>
                      </w:tr>
                      <w:tr w:rsidR="0024624B" w:rsidTr="0010525B">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24624B" w:rsidRPr="009811C2" w:rsidRDefault="0024624B" w:rsidP="00365997">
                            <w:pPr>
                              <w:jc w:val="left"/>
                              <w:rPr>
                                <w:rFonts w:cs="Arial"/>
                                <w:szCs w:val="18"/>
                              </w:rPr>
                            </w:pPr>
                            <w:r>
                              <w:t>Abordagem experimental</w:t>
                            </w:r>
                          </w:p>
                        </w:tc>
                        <w:tc>
                          <w:tcPr>
                            <w:tcW w:w="1701"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24624B" w:rsidTr="0010525B">
                        <w:tc>
                          <w:tcPr>
                            <w:cnfStyle w:val="001000000000" w:firstRow="0" w:lastRow="0" w:firstColumn="1" w:lastColumn="0" w:oddVBand="0" w:evenVBand="0" w:oddHBand="0" w:evenHBand="0" w:firstRowFirstColumn="0" w:firstRowLastColumn="0" w:lastRowFirstColumn="0" w:lastRowLastColumn="0"/>
                            <w:tcW w:w="2093" w:type="dxa"/>
                          </w:tcPr>
                          <w:p w:rsidR="0024624B" w:rsidRPr="009811C2" w:rsidRDefault="0024624B" w:rsidP="00365997">
                            <w:pPr>
                              <w:jc w:val="left"/>
                              <w:rPr>
                                <w:rFonts w:cs="Arial"/>
                                <w:szCs w:val="18"/>
                              </w:rPr>
                            </w:pPr>
                            <w:r>
                              <w:t>Abordagens não experimentais</w:t>
                            </w:r>
                          </w:p>
                        </w:tc>
                        <w:tc>
                          <w:tcPr>
                            <w:tcW w:w="1701"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24624B" w:rsidTr="0010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24624B" w:rsidRPr="009811C2" w:rsidRDefault="0024624B" w:rsidP="00365997">
                            <w:pPr>
                              <w:jc w:val="left"/>
                              <w:rPr>
                                <w:rFonts w:cs="Arial"/>
                                <w:szCs w:val="18"/>
                              </w:rPr>
                            </w:pPr>
                            <w:r>
                              <w:t>Abordagens de «emparelhamento» (em combinação com DD)</w:t>
                            </w:r>
                          </w:p>
                        </w:tc>
                        <w:tc>
                          <w:tcPr>
                            <w:tcW w:w="1701"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24624B" w:rsidTr="0010525B">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24624B" w:rsidRPr="009811C2" w:rsidRDefault="0024624B" w:rsidP="00365997">
                            <w:pPr>
                              <w:jc w:val="left"/>
                              <w:rPr>
                                <w:rFonts w:cs="Arial"/>
                                <w:szCs w:val="18"/>
                              </w:rPr>
                            </w:pPr>
                            <w:r>
                              <w:t>ARD</w:t>
                            </w:r>
                          </w:p>
                        </w:tc>
                        <w:tc>
                          <w:tcPr>
                            <w:tcW w:w="1701"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24624B" w:rsidTr="0010525B">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24624B" w:rsidRPr="009811C2" w:rsidRDefault="0024624B" w:rsidP="00365997">
                            <w:pPr>
                              <w:jc w:val="left"/>
                              <w:rPr>
                                <w:rFonts w:cs="Arial"/>
                                <w:szCs w:val="18"/>
                              </w:rPr>
                            </w:pPr>
                            <w:r>
                              <w:t>Método de variáveis instrumentais</w:t>
                            </w:r>
                          </w:p>
                        </w:tc>
                        <w:tc>
                          <w:tcPr>
                            <w:tcW w:w="1701"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24624B" w:rsidTr="0010525B">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24624B" w:rsidRPr="009811C2" w:rsidRDefault="0024624B" w:rsidP="00365997">
                            <w:pPr>
                              <w:jc w:val="left"/>
                              <w:rPr>
                                <w:rFonts w:cs="Arial"/>
                                <w:szCs w:val="18"/>
                              </w:rPr>
                            </w:pPr>
                            <w:r>
                              <w:t>Método DD</w:t>
                            </w:r>
                          </w:p>
                        </w:tc>
                        <w:tc>
                          <w:tcPr>
                            <w:tcW w:w="1701"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24624B" w:rsidTr="0010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24624B" w:rsidRPr="009811C2" w:rsidRDefault="0024624B" w:rsidP="00365997">
                            <w:pPr>
                              <w:jc w:val="left"/>
                              <w:rPr>
                                <w:rFonts w:cs="Arial"/>
                                <w:szCs w:val="18"/>
                              </w:rPr>
                            </w:pPr>
                            <w:r>
                              <w:t>Comparações com não beneficiários num determinado período de tempo (abordagem mais simples)</w:t>
                            </w:r>
                          </w:p>
                        </w:tc>
                        <w:tc>
                          <w:tcPr>
                            <w:tcW w:w="1701"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24624B" w:rsidTr="0010525B">
                        <w:tc>
                          <w:tcPr>
                            <w:cnfStyle w:val="001000000000" w:firstRow="0" w:lastRow="0" w:firstColumn="1" w:lastColumn="0" w:oddVBand="0" w:evenVBand="0" w:oddHBand="0" w:evenHBand="0" w:firstRowFirstColumn="0" w:firstRowLastColumn="0" w:lastRowFirstColumn="0" w:lastRowLastColumn="0"/>
                            <w:tcW w:w="2093" w:type="dxa"/>
                          </w:tcPr>
                          <w:p w:rsidR="0024624B" w:rsidRPr="009811C2" w:rsidRDefault="0024624B" w:rsidP="00365997">
                            <w:pPr>
                              <w:jc w:val="left"/>
                              <w:rPr>
                                <w:rFonts w:cs="Arial"/>
                                <w:szCs w:val="18"/>
                              </w:rPr>
                            </w:pPr>
                            <w:r>
                              <w:t>Comparação dos beneficiários do programa antes e depois (abordagem mais simples)</w:t>
                            </w:r>
                          </w:p>
                        </w:tc>
                        <w:tc>
                          <w:tcPr>
                            <w:tcW w:w="1701"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4624B" w:rsidRPr="00B9614C" w:rsidRDefault="0024624B"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24624B" w:rsidTr="00105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24624B" w:rsidRPr="009811C2" w:rsidRDefault="0024624B" w:rsidP="00365997">
                            <w:pPr>
                              <w:jc w:val="left"/>
                              <w:rPr>
                                <w:rFonts w:cs="Arial"/>
                                <w:szCs w:val="18"/>
                              </w:rPr>
                            </w:pPr>
                            <w:r>
                              <w:t>Abordagens qualitativas aplicadas à estimativa dos resultados/impactos do programa</w:t>
                            </w:r>
                          </w:p>
                        </w:tc>
                        <w:tc>
                          <w:tcPr>
                            <w:tcW w:w="1701"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24624B" w:rsidRPr="00B9614C" w:rsidRDefault="0024624B"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24624B" w:rsidRPr="00742E07" w:rsidRDefault="0024624B" w:rsidP="00735F08">
                      <w:pPr>
                        <w:pStyle w:val="HStandard"/>
                        <w:jc w:val="center"/>
                        <w:rPr>
                          <w:i/>
                          <w:color w:val="F07E31" w:themeColor="accent1"/>
                        </w:rPr>
                      </w:pPr>
                      <w:r>
                        <w:rPr>
                          <w:i/>
                          <w:color w:val="F07E31" w:themeColor="accent1"/>
                          <w:sz w:val="18"/>
                        </w:rPr>
                        <w:t xml:space="preserve">Estão disponíveis mais informações sobre os critérios para a seleção de abordagens de avaliação </w:t>
                      </w:r>
                      <w:r>
                        <w:rPr>
                          <w:i/>
                          <w:color w:val="F07E31" w:themeColor="accent1"/>
                          <w:sz w:val="18"/>
                          <w:szCs w:val="18"/>
                        </w:rPr>
                        <w:br/>
                      </w:r>
                      <w:r>
                        <w:rPr>
                          <w:i/>
                          <w:color w:val="F07E31" w:themeColor="accent1"/>
                          <w:sz w:val="18"/>
                        </w:rPr>
                        <w:t xml:space="preserve">nas </w:t>
                      </w:r>
                      <w:hyperlink r:id="rId46">
                        <w:r>
                          <w:rPr>
                            <w:rStyle w:val="Hyperlink"/>
                            <w:i/>
                            <w:color w:val="F07E31" w:themeColor="accent1"/>
                            <w:sz w:val="18"/>
                          </w:rPr>
                          <w:t>«Guidelines for Ex-post evaluation of 2007-2013 RDPs»</w:t>
                        </w:r>
                      </w:hyperlink>
                      <w:r>
                        <w:rPr>
                          <w:rStyle w:val="Hyperlink"/>
                          <w:i/>
                          <w:color w:val="F07E31" w:themeColor="accent1"/>
                          <w:sz w:val="18"/>
                        </w:rPr>
                        <w:t>,</w:t>
                      </w:r>
                      <w:r>
                        <w:t xml:space="preserve"> </w:t>
                      </w:r>
                      <w:r>
                        <w:rPr>
                          <w:i/>
                          <w:color w:val="F07E31" w:themeColor="accent1"/>
                          <w:sz w:val="18"/>
                        </w:rPr>
                        <w:t>capítulo 4.3.4.2.</w:t>
                      </w:r>
                    </w:p>
                  </w:txbxContent>
                </v:textbox>
                <w10:anchorlock/>
              </v:shape>
            </w:pict>
          </mc:Fallback>
        </mc:AlternateContent>
      </w:r>
    </w:p>
    <w:p w:rsidR="00820050" w:rsidRPr="001C6ACF" w:rsidRDefault="004A3547" w:rsidP="00820050">
      <w:pPr>
        <w:pStyle w:val="HHeading4"/>
      </w:pPr>
      <w:r>
        <w:br w:type="column"/>
      </w:r>
      <w:r>
        <w:lastRenderedPageBreak/>
        <w:t>Avaliação e cálculo do valor líquido dos impactos a nível micro e macro (3.º nível)</w:t>
      </w:r>
    </w:p>
    <w:p w:rsidR="00820050" w:rsidRPr="00863E73" w:rsidRDefault="00820050" w:rsidP="00820050">
      <w:pPr>
        <w:pStyle w:val="HStandard"/>
        <w:rPr>
          <w:rFonts w:cs="Arial"/>
        </w:rPr>
      </w:pPr>
      <w:r>
        <w:t xml:space="preserve">No modelo lógico, é depois utilizado o </w:t>
      </w:r>
      <w:r>
        <w:rPr>
          <w:b/>
        </w:rPr>
        <w:t xml:space="preserve">nível micro ou macro </w:t>
      </w:r>
      <w:r>
        <w:t xml:space="preserve">para aperfeiçoar as opções de avaliação. O fluxograma dos níveis micro e macro conduz o avaliador para métodos que contribuem para uma avaliação coerente dos </w:t>
      </w:r>
      <w:r>
        <w:rPr>
          <w:b/>
        </w:rPr>
        <w:t>impactos líquidos aos níveis micro e macro</w:t>
      </w:r>
      <w:r>
        <w:t>.</w:t>
      </w:r>
      <w:r>
        <w:rPr>
          <w:rStyle w:val="FootnoteReference"/>
          <w:b/>
        </w:rPr>
        <w:footnoteReference w:id="28"/>
      </w:r>
      <w:r>
        <w:t xml:space="preserve"> Para cada um dos possíveis cenários contrafa</w:t>
      </w:r>
      <w:r w:rsidR="004C7E7F">
        <w:t>c</w:t>
      </w:r>
      <w:r>
        <w:t xml:space="preserve">tuais, é criado um modelo lógico individual de nível micro. Em alguns cenários de avaliação, a expansão dos resultados a nível micro constitui a base para a avaliação a nível macro. Noutros cenários de avaliação, as avaliações a nível micro e macro complementam-se entre si, o que exige o controlo da coerência. </w:t>
      </w:r>
    </w:p>
    <w:p w:rsidR="00C545E7" w:rsidRPr="00571D58" w:rsidRDefault="000B213F" w:rsidP="00820050">
      <w:pPr>
        <w:pStyle w:val="HStandard"/>
        <w:spacing w:after="0"/>
        <w:rPr>
          <w:rFonts w:cs="Arial"/>
        </w:rPr>
      </w:pPr>
      <w:r>
        <w:rPr>
          <w:b/>
          <w:i/>
          <w:noProof/>
          <w:color w:val="F07E31" w:themeColor="accent1"/>
          <w:lang w:bidi="ar-SA"/>
        </w:rPr>
        <mc:AlternateContent>
          <mc:Choice Requires="wps">
            <w:drawing>
              <wp:inline distT="0" distB="0" distL="0" distR="0" wp14:anchorId="61A39BBA" wp14:editId="5C9A0DE1">
                <wp:extent cx="5731510" cy="1562100"/>
                <wp:effectExtent l="0" t="0" r="21590" b="19050"/>
                <wp:docPr id="90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562100"/>
                        </a:xfrm>
                        <a:custGeom>
                          <a:avLst/>
                          <a:gdLst>
                            <a:gd name="T0" fmla="*/ 126364 w 5731510"/>
                            <a:gd name="T1" fmla="*/ 0 h 1446971"/>
                            <a:gd name="T2" fmla="*/ 5731510 w 5731510"/>
                            <a:gd name="T3" fmla="*/ 0 h 1446971"/>
                            <a:gd name="T4" fmla="*/ 5731510 w 5731510"/>
                            <a:gd name="T5" fmla="*/ 0 h 1446971"/>
                            <a:gd name="T6" fmla="*/ 5731510 w 5731510"/>
                            <a:gd name="T7" fmla="*/ 1320607 h 1446971"/>
                            <a:gd name="T8" fmla="*/ 5605146 w 5731510"/>
                            <a:gd name="T9" fmla="*/ 1446971 h 1446971"/>
                            <a:gd name="T10" fmla="*/ 0 w 5731510"/>
                            <a:gd name="T11" fmla="*/ 1446971 h 1446971"/>
                            <a:gd name="T12" fmla="*/ 0 w 5731510"/>
                            <a:gd name="T13" fmla="*/ 1446971 h 1446971"/>
                            <a:gd name="T14" fmla="*/ 0 w 5731510"/>
                            <a:gd name="T15" fmla="*/ 126364 h 1446971"/>
                            <a:gd name="T16" fmla="*/ 126364 w 5731510"/>
                            <a:gd name="T17" fmla="*/ 0 h 14469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446971"/>
                            <a:gd name="T29" fmla="*/ 5731510 w 5731510"/>
                            <a:gd name="T30" fmla="*/ 1446971 h 144697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446971">
                              <a:moveTo>
                                <a:pt x="126364" y="0"/>
                              </a:moveTo>
                              <a:lnTo>
                                <a:pt x="5731510" y="0"/>
                              </a:lnTo>
                              <a:lnTo>
                                <a:pt x="5731510" y="1320607"/>
                              </a:lnTo>
                              <a:cubicBezTo>
                                <a:pt x="5731510" y="1390396"/>
                                <a:pt x="5674935" y="1446971"/>
                                <a:pt x="5605146" y="1446971"/>
                              </a:cubicBezTo>
                              <a:lnTo>
                                <a:pt x="0" y="1446971"/>
                              </a:lnTo>
                              <a:lnTo>
                                <a:pt x="0" y="126364"/>
                              </a:lnTo>
                              <a:cubicBezTo>
                                <a:pt x="0" y="56575"/>
                                <a:pt x="56575" y="0"/>
                                <a:pt x="126364"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24624B" w:rsidRPr="00044269" w:rsidRDefault="0024624B" w:rsidP="00EC01C3">
                            <w:pPr>
                              <w:pStyle w:val="HHeading4"/>
                              <w:spacing w:before="0"/>
                              <w:jc w:val="both"/>
                              <w:rPr>
                                <w:b w:val="0"/>
                                <w:i/>
                                <w:color w:val="373737" w:themeColor="text1"/>
                                <w:sz w:val="18"/>
                              </w:rPr>
                            </w:pPr>
                            <w:r>
                              <w:rPr>
                                <w:noProof/>
                                <w:color w:val="373737" w:themeColor="text1"/>
                                <w:lang w:bidi="ar-SA"/>
                              </w:rPr>
                              <w:drawing>
                                <wp:inline distT="0" distB="0" distL="0" distR="0" wp14:anchorId="3E9E7F2E" wp14:editId="6181EF2F">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Os </w:t>
                            </w:r>
                            <w:r>
                              <w:rPr>
                                <w:color w:val="373737" w:themeColor="text1"/>
                              </w:rPr>
                              <w:t>elementos quantitativos devem ser criteriosamente interpretados</w:t>
                            </w:r>
                            <w:r>
                              <w:rPr>
                                <w:rStyle w:val="CommentReference"/>
                                <w:color w:val="373737" w:themeColor="text1"/>
                              </w:rPr>
                              <w:t xml:space="preserve">, </w:t>
                            </w:r>
                            <w:r>
                              <w:rPr>
                                <w:color w:val="373737" w:themeColor="text1"/>
                              </w:rPr>
                              <w:t>com recurso a uma avaliação qualitativa.</w:t>
                            </w:r>
                            <w:r>
                              <w:rPr>
                                <w:b w:val="0"/>
                                <w:color w:val="373737" w:themeColor="text1"/>
                              </w:rPr>
                              <w:t xml:space="preserve"> Além disso, a avaliação qualitativa também pode ajudar a complementar a avaliação quantitativa, tendo em vista: a) a avaliação da representatividade dos dados disponíveis, b) a validação cruzada dos resultados; c) a captação de diferentes dimensões do mesmo fenómeno.</w:t>
                            </w:r>
                          </w:p>
                        </w:txbxContent>
                      </wps:txbx>
                      <wps:bodyPr rot="0" vert="horz" wrap="square" lIns="91440" tIns="45720" rIns="91440" bIns="45720" anchor="ctr" anchorCtr="0" upright="1">
                        <a:noAutofit/>
                      </wps:bodyPr>
                    </wps:wsp>
                  </a:graphicData>
                </a:graphic>
              </wp:inline>
            </w:drawing>
          </mc:Choice>
          <mc:Fallback>
            <w:pict>
              <v:shape w14:anchorId="61A39BBA" id="AutoShape 65" o:spid="_x0000_s1037" style="width:451.3pt;height:123pt;visibility:visible;mso-wrap-style:square;mso-left-percent:-10001;mso-top-percent:-10001;mso-position-horizontal:absolute;mso-position-horizontal-relative:char;mso-position-vertical:absolute;mso-position-vertical-relative:line;mso-left-percent:-10001;mso-top-percent:-10001;v-text-anchor:middle" coordsize="5731510,144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" adj="-11796480,,5400" path="m126364,l5731510,r,1320607c5731510,1390396,5674935,1446971,5605146,1446971l,1446971,,126364c,56575,56575,,126364,xe" filled="f" strokecolor="#be4a35" strokeweight="2pt">
                <v:stroke joinstyle="miter"/>
                <v:formulas/>
                <v:path arrowok="t" o:connecttype="custom" o:connectlocs="126364,0;5731510,0;5731510,0;5731510,1425682;5605146,1562100;0,1562100;0,1562100;0,136418;126364,0" o:connectangles="0,0,0,0,0,0,0,0,0" textboxrect="0,0,5731510,1446971"/>
                <v:textbox>
                  <w:txbxContent>
                    <w:p w:rsidR="0024624B" w:rsidRPr="00044269" w:rsidRDefault="0024624B" w:rsidP="00EC01C3">
                      <w:pPr>
                        <w:pStyle w:val="HHeading4"/>
                        <w:spacing w:before="0"/>
                        <w:jc w:val="both"/>
                        <w:rPr>
                          <w:b w:val="0"/>
                          <w:i/>
                          <w:color w:val="373737" w:themeColor="text1"/>
                          <w:sz w:val="18"/>
                        </w:rPr>
                      </w:pPr>
                      <w:r>
                        <w:rPr>
                          <w:noProof/>
                          <w:color w:val="373737" w:themeColor="text1"/>
                          <w:lang w:bidi="ar-SA"/>
                        </w:rPr>
                        <w:drawing>
                          <wp:inline distT="0" distB="0" distL="0" distR="0" wp14:anchorId="3E9E7F2E" wp14:editId="6181EF2F">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Os </w:t>
                      </w:r>
                      <w:r>
                        <w:rPr>
                          <w:color w:val="373737" w:themeColor="text1"/>
                        </w:rPr>
                        <w:t>elementos quantitativos devem ser criteriosamente interpretados</w:t>
                      </w:r>
                      <w:r>
                        <w:rPr>
                          <w:rStyle w:val="CommentReference"/>
                          <w:color w:val="373737" w:themeColor="text1"/>
                        </w:rPr>
                        <w:t xml:space="preserve">, </w:t>
                      </w:r>
                      <w:r>
                        <w:rPr>
                          <w:color w:val="373737" w:themeColor="text1"/>
                        </w:rPr>
                        <w:t>com recurso a uma avaliação qualitativa.</w:t>
                      </w:r>
                      <w:r>
                        <w:rPr>
                          <w:b w:val="0"/>
                          <w:color w:val="373737" w:themeColor="text1"/>
                        </w:rPr>
                        <w:t xml:space="preserve"> Além disso, a avaliação qualitativa também pode ajudar a complementar a avaliação quantitativa, tendo em vista: a) a avaliação da representatividade dos dados disponíveis, b) a validação cruzada dos resultados; c) a captação de diferentes dimensões do mesmo fenómeno.</w:t>
                      </w:r>
                    </w:p>
                  </w:txbxContent>
                </v:textbox>
                <w10:anchorlock/>
              </v:shape>
            </w:pict>
          </mc:Fallback>
        </mc:AlternateContent>
      </w:r>
    </w:p>
    <w:p w:rsidR="00820050" w:rsidRPr="007645B4" w:rsidRDefault="00820050" w:rsidP="00820050">
      <w:pPr>
        <w:pStyle w:val="HStandard"/>
        <w:spacing w:after="0"/>
        <w:rPr>
          <w:rFonts w:cs="Arial"/>
        </w:rPr>
      </w:pPr>
      <w:r>
        <w:t>A aplicação das etapas da árvore de decisão aos níveis micro e macro ajuda a responder às questões seguintes na elaboração da abordagem de avaliação:</w:t>
      </w:r>
    </w:p>
    <w:p w:rsidR="00820050" w:rsidRPr="001C6ACF" w:rsidRDefault="00820050" w:rsidP="00C42303">
      <w:pPr>
        <w:pStyle w:val="Hlistbullet"/>
      </w:pPr>
      <w:r>
        <w:t>Devo aplicar um método ambiental, setorial (económico agrícola) ou socioeconómico específico para quantificar as alterações nos valores do indicador ou posso utilizar diretamente os valores do indicador nos métodos contrafactuais?</w:t>
      </w:r>
    </w:p>
    <w:p w:rsidR="00820050" w:rsidRPr="001C6ACF" w:rsidRDefault="00820050" w:rsidP="00C42303">
      <w:pPr>
        <w:pStyle w:val="Hlistbullet"/>
      </w:pPr>
      <w:r>
        <w:t>Caso deva ser aplicado um método específico, os dados são adequados para a aplicação de um dos métodos disponíveis para uma avaliação do impacto ambiental, setorial ou socioeconómico?</w:t>
      </w:r>
    </w:p>
    <w:p w:rsidR="00820050" w:rsidRPr="001C6ACF" w:rsidRDefault="00820050" w:rsidP="00C42303">
      <w:pPr>
        <w:pStyle w:val="Hlistbullet"/>
      </w:pPr>
      <w:r>
        <w:t>Devo recolher novos dados primários através de amostragem estatística e qual será o custo dessa recolha?</w:t>
      </w:r>
    </w:p>
    <w:p w:rsidR="00820050" w:rsidRPr="001C6ACF" w:rsidRDefault="00820050" w:rsidP="00C42303">
      <w:pPr>
        <w:pStyle w:val="Hlistbullet"/>
      </w:pPr>
      <w:r>
        <w:t>São necessárias medidas específicas para melhorar a qualidade dos dados de inquéritos/acompanhamento?</w:t>
      </w:r>
    </w:p>
    <w:p w:rsidR="00820050" w:rsidRPr="001C6ACF" w:rsidRDefault="00820050" w:rsidP="00C42303">
      <w:pPr>
        <w:pStyle w:val="Hlistbullet"/>
      </w:pPr>
      <w:r>
        <w:t>Caso não seja possível quantificar as alterações dos valores do indicador ou se o seu custo for muito elevado, que métodos alternativos (qualitativos) existem para avaliar essas alterações dos valores do indicador?</w:t>
      </w:r>
    </w:p>
    <w:p w:rsidR="00B00451" w:rsidRPr="001C6ACF" w:rsidRDefault="00B00451" w:rsidP="003708EA">
      <w:pPr>
        <w:pStyle w:val="Hlistbullet"/>
        <w:numPr>
          <w:ilvl w:val="0"/>
          <w:numId w:val="0"/>
        </w:numPr>
      </w:pPr>
    </w:p>
    <w:p w:rsidR="006D6205" w:rsidRPr="001C6ACF" w:rsidRDefault="006D6205" w:rsidP="003708EA">
      <w:pPr>
        <w:pStyle w:val="Hlistbullet"/>
        <w:numPr>
          <w:ilvl w:val="0"/>
          <w:numId w:val="0"/>
        </w:numPr>
      </w:pPr>
    </w:p>
    <w:p w:rsidR="006D6205" w:rsidRPr="00571D58" w:rsidRDefault="006D6205" w:rsidP="003708EA">
      <w:pPr>
        <w:pStyle w:val="Hlistbullet"/>
        <w:numPr>
          <w:ilvl w:val="0"/>
          <w:numId w:val="0"/>
        </w:numPr>
      </w:pPr>
      <w:r>
        <w:br w:type="column"/>
      </w:r>
      <w:r>
        <w:rPr>
          <w:b/>
          <w:i/>
          <w:noProof/>
          <w:color w:val="F07E31" w:themeColor="accent1"/>
          <w:lang w:bidi="ar-SA"/>
        </w:rPr>
        <w:lastRenderedPageBreak/>
        <mc:AlternateContent>
          <mc:Choice Requires="wps">
            <w:drawing>
              <wp:anchor distT="0" distB="0" distL="114300" distR="114300" simplePos="0" relativeHeight="251734528" behindDoc="1" locked="0" layoutInCell="1" allowOverlap="1" wp14:anchorId="1D134C61">
                <wp:simplePos x="0" y="0"/>
                <wp:positionH relativeFrom="column">
                  <wp:posOffset>0</wp:posOffset>
                </wp:positionH>
                <wp:positionV relativeFrom="paragraph">
                  <wp:posOffset>-390525</wp:posOffset>
                </wp:positionV>
                <wp:extent cx="5931535" cy="9124950"/>
                <wp:effectExtent l="0" t="0" r="12065" b="19050"/>
                <wp:wrapTight wrapText="bothSides">
                  <wp:wrapPolygon edited="0">
                    <wp:start x="1318" y="0"/>
                    <wp:lineTo x="832" y="135"/>
                    <wp:lineTo x="0" y="586"/>
                    <wp:lineTo x="0" y="21600"/>
                    <wp:lineTo x="20326" y="21600"/>
                    <wp:lineTo x="20603" y="21600"/>
                    <wp:lineTo x="21505" y="21059"/>
                    <wp:lineTo x="21575" y="20698"/>
                    <wp:lineTo x="21575" y="0"/>
                    <wp:lineTo x="1318" y="0"/>
                  </wp:wrapPolygon>
                </wp:wrapTight>
                <wp:docPr id="90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1535" cy="9124950"/>
                        </a:xfrm>
                        <a:custGeom>
                          <a:avLst/>
                          <a:gdLst>
                            <a:gd name="T0" fmla="*/ 518013 w 5931673"/>
                            <a:gd name="T1" fmla="*/ 0 h 8670814"/>
                            <a:gd name="T2" fmla="*/ 5931673 w 5931673"/>
                            <a:gd name="T3" fmla="*/ 0 h 8670814"/>
                            <a:gd name="T4" fmla="*/ 5931673 w 5931673"/>
                            <a:gd name="T5" fmla="*/ 0 h 8670814"/>
                            <a:gd name="T6" fmla="*/ 5931673 w 5931673"/>
                            <a:gd name="T7" fmla="*/ 8152801 h 8670814"/>
                            <a:gd name="T8" fmla="*/ 5413660 w 5931673"/>
                            <a:gd name="T9" fmla="*/ 8670814 h 8670814"/>
                            <a:gd name="T10" fmla="*/ 0 w 5931673"/>
                            <a:gd name="T11" fmla="*/ 8670814 h 8670814"/>
                            <a:gd name="T12" fmla="*/ 0 w 5931673"/>
                            <a:gd name="T13" fmla="*/ 8670814 h 8670814"/>
                            <a:gd name="T14" fmla="*/ 0 w 5931673"/>
                            <a:gd name="T15" fmla="*/ 518013 h 8670814"/>
                            <a:gd name="T16" fmla="*/ 518013 w 5931673"/>
                            <a:gd name="T17" fmla="*/ 0 h 8670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931673"/>
                            <a:gd name="T28" fmla="*/ 0 h 8670814"/>
                            <a:gd name="T29" fmla="*/ 5931673 w 5931673"/>
                            <a:gd name="T30" fmla="*/ 8670814 h 8670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931673" h="8670814">
                              <a:moveTo>
                                <a:pt x="518013" y="0"/>
                              </a:moveTo>
                              <a:lnTo>
                                <a:pt x="5931673" y="0"/>
                              </a:lnTo>
                              <a:lnTo>
                                <a:pt x="5931673" y="8152801"/>
                              </a:lnTo>
                              <a:cubicBezTo>
                                <a:pt x="5931673" y="8438892"/>
                                <a:pt x="5699751" y="8670814"/>
                                <a:pt x="5413660" y="8670814"/>
                              </a:cubicBezTo>
                              <a:lnTo>
                                <a:pt x="0" y="8670814"/>
                              </a:lnTo>
                              <a:lnTo>
                                <a:pt x="0" y="518013"/>
                              </a:lnTo>
                              <a:cubicBezTo>
                                <a:pt x="0" y="231922"/>
                                <a:pt x="231922" y="0"/>
                                <a:pt x="518013"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24624B" w:rsidRPr="00DD36A9" w:rsidRDefault="0024624B" w:rsidP="006D6205">
                            <w:pPr>
                              <w:pStyle w:val="HHeading4"/>
                            </w:pPr>
                            <w:r>
                              <w:rPr>
                                <w:noProof/>
                                <w:lang w:bidi="ar-SA"/>
                              </w:rPr>
                              <w:drawing>
                                <wp:inline distT="0" distB="0" distL="0" distR="0" wp14:anchorId="50C1D85B" wp14:editId="379605AF">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GUIA </w:t>
                            </w:r>
                            <w:r>
                              <w:t>RÁPIDO 4: Como deve ser efetuada a avaliação dos efeitos líquidos do PDR? (no que respeita ao 3.º nível)</w:t>
                            </w:r>
                          </w:p>
                          <w:p w:rsidR="0024624B" w:rsidRPr="00553149" w:rsidRDefault="0024624B" w:rsidP="00AC0E3D">
                            <w:pPr>
                              <w:pStyle w:val="HStandard"/>
                              <w:spacing w:after="0"/>
                              <w:rPr>
                                <w:rFonts w:cs="Arial"/>
                                <w:szCs w:val="16"/>
                              </w:rPr>
                            </w:pPr>
                            <w:r>
                              <w:t xml:space="preserve">A avaliação dos efeitos líquidos do programa a um </w:t>
                            </w:r>
                            <w:r>
                              <w:rPr>
                                <w:b/>
                              </w:rPr>
                              <w:t>nível macro ou de uma zona abrangida pelo programa</w:t>
                            </w:r>
                            <w:r>
                              <w:t xml:space="preserve"> com recurso a um método contrafactual pode ser realizada através de duas abordagens principais. A </w:t>
                            </w:r>
                            <w:r>
                              <w:rPr>
                                <w:b/>
                              </w:rPr>
                              <w:t>primeira abordagem</w:t>
                            </w:r>
                            <w:r>
                              <w:t xml:space="preserve"> baseia-se numa microanálise e numa extrapolação dos seus resultados para o nível macro (expansão). A </w:t>
                            </w:r>
                            <w:r>
                              <w:rPr>
                                <w:b/>
                              </w:rPr>
                              <w:t xml:space="preserve">segunda abordagem </w:t>
                            </w:r>
                            <w:r>
                              <w:t xml:space="preserve">utiliza instrumentos analíticos (por exemplo, modelos de </w:t>
                            </w:r>
                            <w:hyperlink r:id="rId47">
                              <w:r>
                                <w:rPr>
                                  <w:rStyle w:val="Hyperlink"/>
                                </w:rPr>
                                <w:t>equilíbrio geral calculável</w:t>
                              </w:r>
                            </w:hyperlink>
                            <w:r>
                              <w:t xml:space="preserve">, de equilíbrio parcial e de econometria espacial ou outras técnicas de modelização) nos quais os parâmetros do modelo correspondente (p. ex., coeficientes de emissão ou produtividade) são estimados por econometria de uma forma </w:t>
                            </w:r>
                            <w:r>
                              <w:rPr>
                                <w:b/>
                              </w:rPr>
                              <w:t>que tem em conta</w:t>
                            </w:r>
                            <w:r>
                              <w:t xml:space="preserve"> as relações causais sólidas, as possíveis distorções na seleção, o caráter endógeno e as dependências geográficas. Esta abordagem inclui igualmente a combinação de uma abordagem descendente («top-down») a nível macro (p. ex., modelos com cobertura nacional ou regional), que avalia os impactos do programa, com uma abordagem ascendente («bottom-up») a nível micro, que avalia os efeitos líquidos de diferentes medidas ou combinações de medidas.</w:t>
                            </w:r>
                          </w:p>
                          <w:p w:rsidR="0024624B" w:rsidRPr="00553149" w:rsidRDefault="0024624B" w:rsidP="00AC0E3D">
                            <w:pPr>
                              <w:pStyle w:val="HStandard"/>
                              <w:spacing w:after="0"/>
                              <w:rPr>
                                <w:rFonts w:cs="Arial"/>
                                <w:szCs w:val="16"/>
                              </w:rPr>
                            </w:pPr>
                          </w:p>
                          <w:p w:rsidR="0024624B" w:rsidRPr="00553149" w:rsidRDefault="0024624B" w:rsidP="00AC0E3D">
                            <w:pPr>
                              <w:pStyle w:val="HStandard"/>
                              <w:spacing w:after="0"/>
                              <w:rPr>
                                <w:rFonts w:cs="Arial"/>
                                <w:szCs w:val="16"/>
                              </w:rPr>
                            </w:pPr>
                            <w:r>
                              <w:t xml:space="preserve">Importa notar que, independentemente da abordagem selecionada, a análise dos efeitos líquidos de um PDR só é possível se existirem dados quantitativos suficientes e se forem aplicadas metodologias avançadas. A eventual utilização de opções mais simples de avaliação quantitativa (p. ex., antes e depois, utilização de controlos não adequados, etc.) pode distorcer significativamente os resultados dos «impactos líquidos» obtidos em ambas as direções (positiva ou negativa). </w:t>
                            </w:r>
                          </w:p>
                          <w:p w:rsidR="0024624B" w:rsidRPr="00553149" w:rsidRDefault="0024624B" w:rsidP="00AC0E3D">
                            <w:pPr>
                              <w:pStyle w:val="HStandard"/>
                              <w:spacing w:after="0"/>
                              <w:rPr>
                                <w:rFonts w:cs="Arial"/>
                                <w:szCs w:val="16"/>
                              </w:rPr>
                            </w:pPr>
                          </w:p>
                          <w:p w:rsidR="0024624B" w:rsidRPr="00502017" w:rsidRDefault="0024624B" w:rsidP="00AC0E3D">
                            <w:pPr>
                              <w:pStyle w:val="HStandard"/>
                              <w:spacing w:after="0"/>
                              <w:rPr>
                                <w:rFonts w:cs="Arial"/>
                                <w:szCs w:val="16"/>
                              </w:rPr>
                            </w:pPr>
                            <w:r>
                              <w:t xml:space="preserve">Uma vez que a </w:t>
                            </w:r>
                            <w:r>
                              <w:rPr>
                                <w:b/>
                              </w:rPr>
                              <w:t>primeira abordagem</w:t>
                            </w:r>
                            <w:r>
                              <w:t xml:space="preserve"> (extrapolação de microanálise para um nível macro da zona abrangida pelo programa) é a mais simples e promissora, descrevemos a seguir as etapas mais importantes. A abordagem consiste em cinco etapas principais aplicáveis aos indicadores de impacto setorial, ambiental e socioeconómico. A diferença fundamental na análise do impacto líquido do PDR realizada nesses três domínios é a definição das unidades nas quais a análise se baseia: por exemplo, explorações agrícolas (empresas) ou regiões administrativas (p. ex., NUTS 4, NUTS 5, etc.) para os indicadores setoriais, parcelas de terreno ou pequenas regiões geográficas (dados geográficos regionais) para os indicadores ambientais, e regiões administrativas (p. ex., NUTS 3, NUTS 4 ou NUTS 5) para os indicadores socioeconómicos. As etapas são as seguintes:</w:t>
                            </w:r>
                          </w:p>
                          <w:p w:rsidR="0024624B" w:rsidRPr="00502017" w:rsidRDefault="0024624B" w:rsidP="00AC0E3D">
                            <w:pPr>
                              <w:pStyle w:val="HStandard"/>
                              <w:spacing w:after="0"/>
                              <w:rPr>
                                <w:rFonts w:cs="Arial"/>
                                <w:szCs w:val="16"/>
                              </w:rPr>
                            </w:pPr>
                          </w:p>
                          <w:p w:rsidR="0024624B" w:rsidRPr="00735F08" w:rsidRDefault="0024624B" w:rsidP="00AC0E3D">
                            <w:pPr>
                              <w:pStyle w:val="Hlistbullet"/>
                              <w:numPr>
                                <w:ilvl w:val="0"/>
                                <w:numId w:val="0"/>
                              </w:numPr>
                              <w:jc w:val="left"/>
                              <w:rPr>
                                <w:szCs w:val="16"/>
                              </w:rPr>
                            </w:pPr>
                            <w:r>
                              <w:rPr>
                                <w:b/>
                                <w:color w:val="F07E31" w:themeColor="accent1"/>
                              </w:rPr>
                              <w:t>Etapa 1:</w:t>
                            </w:r>
                            <w:r>
                              <w:t xml:space="preserve"> Estimar os </w:t>
                            </w:r>
                            <w:r>
                              <w:rPr>
                                <w:b/>
                              </w:rPr>
                              <w:t>efeitos diretos</w:t>
                            </w:r>
                            <w:r>
                              <w:t xml:space="preserve"> do PDR </w:t>
                            </w:r>
                            <w:r>
                              <w:rPr>
                                <w:b/>
                              </w:rPr>
                              <w:t>sobre os beneficiários ao nível micro</w:t>
                            </w:r>
                            <w:r>
                              <w:t>:</w:t>
                            </w:r>
                          </w:p>
                          <w:p w:rsidR="0024624B" w:rsidRPr="00553149" w:rsidRDefault="0024624B" w:rsidP="00EC01C3">
                            <w:pPr>
                              <w:pStyle w:val="HStandard"/>
                              <w:numPr>
                                <w:ilvl w:val="1"/>
                                <w:numId w:val="13"/>
                              </w:numPr>
                              <w:spacing w:after="0"/>
                              <w:ind w:left="924" w:hanging="357"/>
                              <w:rPr>
                                <w:rFonts w:cs="Arial"/>
                                <w:szCs w:val="16"/>
                              </w:rPr>
                            </w:pPr>
                            <w:r>
                              <w:t>Para o grupo de beneficiários e para o grupo de controlo, calcular, ao nível micro, o valor médio dos indicadores de impacto comuns ou adicionais antes do apoio (p. ex., em 2013) e depois do apoio (p. ex., em 2018 ou em 2019).</w:t>
                            </w:r>
                          </w:p>
                          <w:p w:rsidR="0024624B" w:rsidRPr="00553149" w:rsidRDefault="0024624B" w:rsidP="00EC01C3">
                            <w:pPr>
                              <w:pStyle w:val="HStandard"/>
                              <w:numPr>
                                <w:ilvl w:val="1"/>
                                <w:numId w:val="13"/>
                              </w:numPr>
                              <w:spacing w:after="0"/>
                              <w:ind w:left="924" w:hanging="357"/>
                              <w:rPr>
                                <w:rFonts w:cs="Arial"/>
                                <w:szCs w:val="16"/>
                              </w:rPr>
                            </w:pPr>
                            <w:r>
                              <w:t xml:space="preserve">Calcular indicadores políticos específicos (p. ex., efeitos médios do tratamento sobre os dados tratados [ATT]), utilizando os indicadores de impacto comuns ou adicionais pertinentes. Calcular os </w:t>
                            </w:r>
                            <w:r>
                              <w:rPr>
                                <w:b/>
                              </w:rPr>
                              <w:t>efeitos diretos líquidos</w:t>
                            </w:r>
                            <w:r>
                              <w:t xml:space="preserve"> do RDP </w:t>
                            </w:r>
                            <w:r>
                              <w:rPr>
                                <w:b/>
                              </w:rPr>
                              <w:t>sobre os indicadores supramencionados</w:t>
                            </w:r>
                            <w:r>
                              <w:t>, combinando os ATT calculados com o método da diferença nas diferenças.</w:t>
                            </w:r>
                          </w:p>
                          <w:p w:rsidR="0024624B" w:rsidRPr="00553149" w:rsidRDefault="0024624B" w:rsidP="00EC01C3">
                            <w:pPr>
                              <w:pStyle w:val="HStandard"/>
                              <w:numPr>
                                <w:ilvl w:val="1"/>
                                <w:numId w:val="13"/>
                              </w:numPr>
                              <w:spacing w:after="0"/>
                              <w:ind w:left="924" w:hanging="357"/>
                              <w:rPr>
                                <w:rFonts w:cs="Arial"/>
                                <w:szCs w:val="16"/>
                              </w:rPr>
                            </w:pPr>
                            <w:r>
                              <w:t>Realizar uma análise da sensibilidade dos resultados obtidos.</w:t>
                            </w:r>
                          </w:p>
                          <w:p w:rsidR="0024624B" w:rsidRDefault="0024624B" w:rsidP="00AC0E3D">
                            <w:pPr>
                              <w:pStyle w:val="Hlistbullet"/>
                              <w:numPr>
                                <w:ilvl w:val="0"/>
                                <w:numId w:val="0"/>
                              </w:numPr>
                              <w:spacing w:before="0" w:after="120" w:line="280" w:lineRule="atLeast"/>
                              <w:rPr>
                                <w:rFonts w:cs="Arial"/>
                                <w:szCs w:val="16"/>
                              </w:rPr>
                            </w:pPr>
                            <w:r>
                              <w:rPr>
                                <w:b/>
                                <w:color w:val="F07E31" w:themeColor="accent1"/>
                              </w:rPr>
                              <w:t xml:space="preserve">Etapa 2: </w:t>
                            </w:r>
                            <w:r>
                              <w:t xml:space="preserve">Estimar os </w:t>
                            </w:r>
                            <w:r>
                              <w:rPr>
                                <w:b/>
                              </w:rPr>
                              <w:t>efeitos indiretos</w:t>
                            </w:r>
                            <w:r>
                              <w:t xml:space="preserve"> do PDR </w:t>
                            </w:r>
                            <w:r>
                              <w:rPr>
                                <w:b/>
                              </w:rPr>
                              <w:t>sobre os beneficiários ao nível micro</w:t>
                            </w:r>
                            <w:r>
                              <w:t>. De novo, a alteração observada no valor dos indicadores deve ser dividida em alterações devidas ao programa (efeito total das contribuições primárias e secundárias) e alterações devidas a outros fatores.</w:t>
                            </w:r>
                            <w:r>
                              <w:rPr>
                                <w:color w:val="auto"/>
                              </w:rPr>
                              <w:t xml:space="preserve"> </w:t>
                            </w:r>
                            <w:r>
                              <w:t xml:space="preserve">Os efeitos indiretos do programa (p. ex., substituição, deslocação, multiplicador) do PDR devem ser calculados e apresentados separadamente. </w:t>
                            </w:r>
                          </w:p>
                          <w:p w:rsidR="0024624B" w:rsidRPr="00027601" w:rsidRDefault="0024624B" w:rsidP="00027601">
                            <w:pPr>
                              <w:pStyle w:val="Hlistbullet"/>
                              <w:numPr>
                                <w:ilvl w:val="0"/>
                                <w:numId w:val="0"/>
                              </w:numPr>
                              <w:spacing w:before="0" w:after="120" w:line="280" w:lineRule="atLeast"/>
                              <w:rPr>
                                <w:i/>
                                <w:color w:val="F07E31" w:themeColor="accent1"/>
                                <w:sz w:val="16"/>
                                <w:szCs w:val="16"/>
                              </w:rPr>
                            </w:pPr>
                          </w:p>
                        </w:txbxContent>
                      </wps:txbx>
                      <wps:bodyPr rot="0" vert="horz" wrap="square" lIns="91440" tIns="45720" rIns="91440" bIns="45720" anchor="ctr" anchorCtr="0" upright="1">
                        <a:noAutofit/>
                      </wps:bodyPr>
                    </wps:wsp>
                  </a:graphicData>
                </a:graphic>
              </wp:anchor>
            </w:drawing>
          </mc:Choice>
          <mc:Fallback>
            <w:pict>
              <v:shape w14:anchorId="1D134C61" id="AutoShape 64" o:spid="_x0000_s1038" style="position:absolute;left:0;text-align:left;margin-left:0;margin-top:-30.75pt;width:467.05pt;height:718.5pt;z-index:-251581952;visibility:visible;mso-wrap-style:square;mso-wrap-distance-left:9pt;mso-wrap-distance-top:0;mso-wrap-distance-right:9pt;mso-wrap-distance-bottom:0;mso-position-horizontal:absolute;mso-position-horizontal-relative:text;mso-position-vertical:absolute;mso-position-vertical-relative:text;v-text-anchor:middle" coordsize="5931673,8670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" adj="-11796480,,5400" path="m518013,l5931673,r,8152801c5931673,8438892,5699751,8670814,5413660,8670814l,8670814,,518013c,231922,231922,,518013,xe" filled="f" strokecolor="#be4a35" strokeweight="2pt">
                <v:stroke joinstyle="miter"/>
                <v:formulas/>
                <v:path arrowok="t" o:connecttype="custom" o:connectlocs="518001,0;5931535,0;5931535,0;5931535,8579806;5413534,9124950;0,9124950;0,9124950;0,545144;518001,0" o:connectangles="0,0,0,0,0,0,0,0,0" textboxrect="0,0,5931673,8670814"/>
                <v:textbox>
                  <w:txbxContent>
                    <w:p w:rsidR="0024624B" w:rsidRPr="00DD36A9" w:rsidRDefault="0024624B" w:rsidP="006D6205">
                      <w:pPr>
                        <w:pStyle w:val="HHeading4"/>
                      </w:pPr>
                      <w:r>
                        <w:rPr>
                          <w:noProof/>
                          <w:lang w:bidi="ar-SA"/>
                        </w:rPr>
                        <w:drawing>
                          <wp:inline distT="0" distB="0" distL="0" distR="0" wp14:anchorId="50C1D85B" wp14:editId="379605AF">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GUIA </w:t>
                      </w:r>
                      <w:r>
                        <w:t>RÁPIDO 4: Como deve ser efetuada a avaliação dos efeitos líquidos do PDR? (no que respeita ao 3.º nível)</w:t>
                      </w:r>
                    </w:p>
                    <w:p w:rsidR="0024624B" w:rsidRPr="00553149" w:rsidRDefault="0024624B" w:rsidP="00AC0E3D">
                      <w:pPr>
                        <w:pStyle w:val="HStandard"/>
                        <w:spacing w:after="0"/>
                        <w:rPr>
                          <w:rFonts w:cs="Arial"/>
                          <w:szCs w:val="16"/>
                        </w:rPr>
                      </w:pPr>
                      <w:r>
                        <w:t xml:space="preserve">A avaliação dos efeitos líquidos do programa a um </w:t>
                      </w:r>
                      <w:r>
                        <w:rPr>
                          <w:b/>
                        </w:rPr>
                        <w:t>nível macro ou de uma zona abrangida pelo programa</w:t>
                      </w:r>
                      <w:r>
                        <w:t xml:space="preserve"> com recurso a um método contrafactual pode ser realizada através de duas abordagens principais. A </w:t>
                      </w:r>
                      <w:r>
                        <w:rPr>
                          <w:b/>
                        </w:rPr>
                        <w:t>primeira abordagem</w:t>
                      </w:r>
                      <w:r>
                        <w:t xml:space="preserve"> baseia-se numa microanálise e numa extrapolação dos seus resultados para o nível macro (expansão). A </w:t>
                      </w:r>
                      <w:r>
                        <w:rPr>
                          <w:b/>
                        </w:rPr>
                        <w:t xml:space="preserve">segunda abordagem </w:t>
                      </w:r>
                      <w:r>
                        <w:t xml:space="preserve">utiliza instrumentos analíticos (por exemplo, modelos de </w:t>
                      </w:r>
                      <w:hyperlink r:id="rId48">
                        <w:r>
                          <w:rPr>
                            <w:rStyle w:val="Hyperlink"/>
                          </w:rPr>
                          <w:t>equilíbrio geral calculável</w:t>
                        </w:r>
                      </w:hyperlink>
                      <w:r>
                        <w:t xml:space="preserve">, de equilíbrio parcial e de econometria espacial ou outras técnicas de modelização) nos quais os parâmetros do modelo correspondente (p. ex., coeficientes de emissão ou produtividade) são estimados por econometria de uma forma </w:t>
                      </w:r>
                      <w:r>
                        <w:rPr>
                          <w:b/>
                        </w:rPr>
                        <w:t>que tem em conta</w:t>
                      </w:r>
                      <w:r>
                        <w:t xml:space="preserve"> as relações causais sólidas, as possíveis distorções na seleção, o caráter endógeno e as dependências geográficas. Esta abordagem inclui igualmente a combinação de uma abordagem descendente («top-down») a nível macro (p. ex., modelos com cobertura nacional ou regional), que avalia os impactos do programa, com uma abordagem ascendente («bottom-up») a nível micro, que avalia os efeitos líquidos de diferentes medidas ou combinações de medidas.</w:t>
                      </w:r>
                    </w:p>
                    <w:p w:rsidR="0024624B" w:rsidRPr="00553149" w:rsidRDefault="0024624B" w:rsidP="00AC0E3D">
                      <w:pPr>
                        <w:pStyle w:val="HStandard"/>
                        <w:spacing w:after="0"/>
                        <w:rPr>
                          <w:rFonts w:cs="Arial"/>
                          <w:szCs w:val="16"/>
                        </w:rPr>
                      </w:pPr>
                    </w:p>
                    <w:p w:rsidR="0024624B" w:rsidRPr="00553149" w:rsidRDefault="0024624B" w:rsidP="00AC0E3D">
                      <w:pPr>
                        <w:pStyle w:val="HStandard"/>
                        <w:spacing w:after="0"/>
                        <w:rPr>
                          <w:rFonts w:cs="Arial"/>
                          <w:szCs w:val="16"/>
                        </w:rPr>
                      </w:pPr>
                      <w:r>
                        <w:t xml:space="preserve">Importa notar que, independentemente da abordagem selecionada, a análise dos efeitos líquidos de um PDR só é possível se existirem dados quantitativos suficientes e se forem aplicadas metodologias avançadas. A eventual utilização de opções mais simples de avaliação quantitativa (p. ex., antes e depois, utilização de controlos não adequados, etc.) pode distorcer significativamente os resultados dos «impactos líquidos» obtidos em ambas as direções (positiva ou negativa). </w:t>
                      </w:r>
                    </w:p>
                    <w:p w:rsidR="0024624B" w:rsidRPr="00553149" w:rsidRDefault="0024624B" w:rsidP="00AC0E3D">
                      <w:pPr>
                        <w:pStyle w:val="HStandard"/>
                        <w:spacing w:after="0"/>
                        <w:rPr>
                          <w:rFonts w:cs="Arial"/>
                          <w:szCs w:val="16"/>
                        </w:rPr>
                      </w:pPr>
                    </w:p>
                    <w:p w:rsidR="0024624B" w:rsidRPr="00502017" w:rsidRDefault="0024624B" w:rsidP="00AC0E3D">
                      <w:pPr>
                        <w:pStyle w:val="HStandard"/>
                        <w:spacing w:after="0"/>
                        <w:rPr>
                          <w:rFonts w:cs="Arial"/>
                          <w:szCs w:val="16"/>
                        </w:rPr>
                      </w:pPr>
                      <w:r>
                        <w:t xml:space="preserve">Uma vez que a </w:t>
                      </w:r>
                      <w:r>
                        <w:rPr>
                          <w:b/>
                        </w:rPr>
                        <w:t>primeira abordagem</w:t>
                      </w:r>
                      <w:r>
                        <w:t xml:space="preserve"> (extrapolação de microanálise para um nível macro da zona abrangida pelo programa) é a mais simples e promissora, descrevemos a seguir as etapas mais importantes. A abordagem consiste em cinco etapas principais aplicáveis aos indicadores de impacto setorial, ambiental e socioeconómico. A diferença fundamental na análise do impacto líquido do PDR realizada nesses três domínios é a definição das unidades nas quais a análise se baseia: por exemplo, explorações agrícolas (empresas) ou regiões administrativas (p. ex., NUTS 4, NUTS 5, etc.) para os indicadores setoriais, parcelas de terreno ou pequenas regiões geográficas (dados geográficos regionais) para os indicadores ambientais, e regiões administrativas (p. ex., NUTS 3, NUTS 4 ou NUTS 5) para os indicadores socioeconómicos. As etapas são as seguintes:</w:t>
                      </w:r>
                    </w:p>
                    <w:p w:rsidR="0024624B" w:rsidRPr="00502017" w:rsidRDefault="0024624B" w:rsidP="00AC0E3D">
                      <w:pPr>
                        <w:pStyle w:val="HStandard"/>
                        <w:spacing w:after="0"/>
                        <w:rPr>
                          <w:rFonts w:cs="Arial"/>
                          <w:szCs w:val="16"/>
                        </w:rPr>
                      </w:pPr>
                    </w:p>
                    <w:p w:rsidR="0024624B" w:rsidRPr="00735F08" w:rsidRDefault="0024624B" w:rsidP="00AC0E3D">
                      <w:pPr>
                        <w:pStyle w:val="Hlistbullet"/>
                        <w:numPr>
                          <w:ilvl w:val="0"/>
                          <w:numId w:val="0"/>
                        </w:numPr>
                        <w:jc w:val="left"/>
                        <w:rPr>
                          <w:szCs w:val="16"/>
                        </w:rPr>
                      </w:pPr>
                      <w:r>
                        <w:rPr>
                          <w:b/>
                          <w:color w:val="F07E31" w:themeColor="accent1"/>
                        </w:rPr>
                        <w:t>Etapa 1:</w:t>
                      </w:r>
                      <w:r>
                        <w:t xml:space="preserve"> Estimar os </w:t>
                      </w:r>
                      <w:r>
                        <w:rPr>
                          <w:b/>
                        </w:rPr>
                        <w:t>efeitos diretos</w:t>
                      </w:r>
                      <w:r>
                        <w:t xml:space="preserve"> do PDR </w:t>
                      </w:r>
                      <w:r>
                        <w:rPr>
                          <w:b/>
                        </w:rPr>
                        <w:t>sobre os beneficiários ao nível micro</w:t>
                      </w:r>
                      <w:r>
                        <w:t>:</w:t>
                      </w:r>
                    </w:p>
                    <w:p w:rsidR="0024624B" w:rsidRPr="00553149" w:rsidRDefault="0024624B" w:rsidP="00EC01C3">
                      <w:pPr>
                        <w:pStyle w:val="HStandard"/>
                        <w:numPr>
                          <w:ilvl w:val="1"/>
                          <w:numId w:val="13"/>
                        </w:numPr>
                        <w:spacing w:after="0"/>
                        <w:ind w:left="924" w:hanging="357"/>
                        <w:rPr>
                          <w:rFonts w:cs="Arial"/>
                          <w:szCs w:val="16"/>
                        </w:rPr>
                      </w:pPr>
                      <w:r>
                        <w:t>Para o grupo de beneficiários e para o grupo de controlo, calcular, ao nível micro, o valor médio dos indicadores de impacto comuns ou adicionais antes do apoio (p. ex., em 2013) e depois do apoio (p. ex., em 2018 ou em 2019).</w:t>
                      </w:r>
                    </w:p>
                    <w:p w:rsidR="0024624B" w:rsidRPr="00553149" w:rsidRDefault="0024624B" w:rsidP="00EC01C3">
                      <w:pPr>
                        <w:pStyle w:val="HStandard"/>
                        <w:numPr>
                          <w:ilvl w:val="1"/>
                          <w:numId w:val="13"/>
                        </w:numPr>
                        <w:spacing w:after="0"/>
                        <w:ind w:left="924" w:hanging="357"/>
                        <w:rPr>
                          <w:rFonts w:cs="Arial"/>
                          <w:szCs w:val="16"/>
                        </w:rPr>
                      </w:pPr>
                      <w:r>
                        <w:t xml:space="preserve">Calcular indicadores políticos específicos (p. ex., efeitos médios do tratamento sobre os dados tratados [ATT]), utilizando os indicadores de impacto comuns ou adicionais pertinentes. Calcular os </w:t>
                      </w:r>
                      <w:r>
                        <w:rPr>
                          <w:b/>
                        </w:rPr>
                        <w:t>efeitos diretos líquidos</w:t>
                      </w:r>
                      <w:r>
                        <w:t xml:space="preserve"> do RDP </w:t>
                      </w:r>
                      <w:r>
                        <w:rPr>
                          <w:b/>
                        </w:rPr>
                        <w:t>sobre os indicadores supramencionados</w:t>
                      </w:r>
                      <w:r>
                        <w:t>, combinando os ATT calculados com o método da diferença nas diferenças.</w:t>
                      </w:r>
                    </w:p>
                    <w:p w:rsidR="0024624B" w:rsidRPr="00553149" w:rsidRDefault="0024624B" w:rsidP="00EC01C3">
                      <w:pPr>
                        <w:pStyle w:val="HStandard"/>
                        <w:numPr>
                          <w:ilvl w:val="1"/>
                          <w:numId w:val="13"/>
                        </w:numPr>
                        <w:spacing w:after="0"/>
                        <w:ind w:left="924" w:hanging="357"/>
                        <w:rPr>
                          <w:rFonts w:cs="Arial"/>
                          <w:szCs w:val="16"/>
                        </w:rPr>
                      </w:pPr>
                      <w:r>
                        <w:t>Realizar uma análise da sensibilidade dos resultados obtidos.</w:t>
                      </w:r>
                    </w:p>
                    <w:p w:rsidR="0024624B" w:rsidRDefault="0024624B" w:rsidP="00AC0E3D">
                      <w:pPr>
                        <w:pStyle w:val="Hlistbullet"/>
                        <w:numPr>
                          <w:ilvl w:val="0"/>
                          <w:numId w:val="0"/>
                        </w:numPr>
                        <w:spacing w:before="0" w:after="120" w:line="280" w:lineRule="atLeast"/>
                        <w:rPr>
                          <w:rFonts w:cs="Arial"/>
                          <w:szCs w:val="16"/>
                        </w:rPr>
                      </w:pPr>
                      <w:r>
                        <w:rPr>
                          <w:b/>
                          <w:color w:val="F07E31" w:themeColor="accent1"/>
                        </w:rPr>
                        <w:t xml:space="preserve">Etapa 2: </w:t>
                      </w:r>
                      <w:r>
                        <w:t xml:space="preserve">Estimar os </w:t>
                      </w:r>
                      <w:r>
                        <w:rPr>
                          <w:b/>
                        </w:rPr>
                        <w:t>efeitos indiretos</w:t>
                      </w:r>
                      <w:r>
                        <w:t xml:space="preserve"> do PDR </w:t>
                      </w:r>
                      <w:r>
                        <w:rPr>
                          <w:b/>
                        </w:rPr>
                        <w:t>sobre os beneficiários ao nível micro</w:t>
                      </w:r>
                      <w:r>
                        <w:t>. De novo, a alteração observada no valor dos indicadores deve ser dividida em alterações devidas ao programa (efeito total das contribuições primárias e secundárias) e alterações devidas a outros fatores.</w:t>
                      </w:r>
                      <w:r>
                        <w:rPr>
                          <w:color w:val="auto"/>
                        </w:rPr>
                        <w:t xml:space="preserve"> </w:t>
                      </w:r>
                      <w:r>
                        <w:t xml:space="preserve">Os efeitos indiretos do programa (p. ex., substituição, deslocação, multiplicador) do PDR devem ser calculados e apresentados separadamente. </w:t>
                      </w:r>
                    </w:p>
                    <w:p w:rsidR="0024624B" w:rsidRPr="00027601" w:rsidRDefault="0024624B" w:rsidP="00027601">
                      <w:pPr>
                        <w:pStyle w:val="Hlistbullet"/>
                        <w:numPr>
                          <w:ilvl w:val="0"/>
                          <w:numId w:val="0"/>
                        </w:numPr>
                        <w:spacing w:before="0" w:after="120" w:line="280" w:lineRule="atLeast"/>
                        <w:rPr>
                          <w:i/>
                          <w:color w:val="F07E31" w:themeColor="accent1"/>
                          <w:sz w:val="16"/>
                          <w:szCs w:val="16"/>
                        </w:rPr>
                      </w:pPr>
                    </w:p>
                  </w:txbxContent>
                </v:textbox>
                <w10:wrap type="tight"/>
              </v:shape>
            </w:pict>
          </mc:Fallback>
        </mc:AlternateContent>
      </w:r>
    </w:p>
    <w:p w:rsidR="00AC0E3D" w:rsidRPr="00571D58" w:rsidRDefault="00AC0E3D" w:rsidP="000B6372">
      <w:pPr>
        <w:pStyle w:val="HStandard"/>
      </w:pPr>
    </w:p>
    <w:p w:rsidR="00FC012D" w:rsidRPr="00336531" w:rsidRDefault="000B213F" w:rsidP="00FC012D">
      <w:pPr>
        <w:pStyle w:val="HHeading4"/>
      </w:pPr>
      <w:r>
        <w:rPr>
          <w:b w:val="0"/>
          <w:i/>
          <w:noProof/>
          <w:color w:val="F07E31" w:themeColor="accent1"/>
          <w:lang w:bidi="ar-SA"/>
        </w:rPr>
        <mc:AlternateContent>
          <mc:Choice Requires="wps">
            <w:drawing>
              <wp:inline distT="0" distB="0" distL="0" distR="0" wp14:anchorId="470F4C74" wp14:editId="52AF0EB5">
                <wp:extent cx="5731510" cy="5114925"/>
                <wp:effectExtent l="0" t="0" r="21590" b="28575"/>
                <wp:docPr id="90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5114925"/>
                        </a:xfrm>
                        <a:custGeom>
                          <a:avLst/>
                          <a:gdLst>
                            <a:gd name="T0" fmla="*/ 335330 w 5731510"/>
                            <a:gd name="T1" fmla="*/ 0 h 4712335"/>
                            <a:gd name="T2" fmla="*/ 5731510 w 5731510"/>
                            <a:gd name="T3" fmla="*/ 0 h 4712335"/>
                            <a:gd name="T4" fmla="*/ 5731510 w 5731510"/>
                            <a:gd name="T5" fmla="*/ 0 h 4712335"/>
                            <a:gd name="T6" fmla="*/ 5731510 w 5731510"/>
                            <a:gd name="T7" fmla="*/ 4377005 h 4712335"/>
                            <a:gd name="T8" fmla="*/ 5396180 w 5731510"/>
                            <a:gd name="T9" fmla="*/ 4712335 h 4712335"/>
                            <a:gd name="T10" fmla="*/ 0 w 5731510"/>
                            <a:gd name="T11" fmla="*/ 4712335 h 4712335"/>
                            <a:gd name="T12" fmla="*/ 0 w 5731510"/>
                            <a:gd name="T13" fmla="*/ 4712335 h 4712335"/>
                            <a:gd name="T14" fmla="*/ 0 w 5731510"/>
                            <a:gd name="T15" fmla="*/ 335330 h 4712335"/>
                            <a:gd name="T16" fmla="*/ 335330 w 5731510"/>
                            <a:gd name="T17" fmla="*/ 0 h 4712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4712335"/>
                            <a:gd name="T29" fmla="*/ 5731510 w 5731510"/>
                            <a:gd name="T30" fmla="*/ 4712335 h 47123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4712335">
                              <a:moveTo>
                                <a:pt x="335330" y="0"/>
                              </a:moveTo>
                              <a:lnTo>
                                <a:pt x="5731510" y="0"/>
                              </a:lnTo>
                              <a:lnTo>
                                <a:pt x="5731510" y="4377005"/>
                              </a:lnTo>
                              <a:cubicBezTo>
                                <a:pt x="5731510" y="4562203"/>
                                <a:pt x="5581378" y="4712335"/>
                                <a:pt x="5396180" y="4712335"/>
                              </a:cubicBezTo>
                              <a:lnTo>
                                <a:pt x="0" y="4712335"/>
                              </a:lnTo>
                              <a:lnTo>
                                <a:pt x="0" y="335330"/>
                              </a:lnTo>
                              <a:cubicBezTo>
                                <a:pt x="0" y="150132"/>
                                <a:pt x="150132" y="0"/>
                                <a:pt x="335330"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24624B" w:rsidRPr="005945BB" w:rsidRDefault="0024624B" w:rsidP="00AC0E3D">
                            <w:pPr>
                              <w:pStyle w:val="Hlistbullet"/>
                              <w:numPr>
                                <w:ilvl w:val="0"/>
                                <w:numId w:val="0"/>
                              </w:numPr>
                              <w:spacing w:before="0" w:after="120" w:line="280" w:lineRule="atLeast"/>
                              <w:rPr>
                                <w:rFonts w:cs="Arial"/>
                                <w:szCs w:val="16"/>
                              </w:rPr>
                            </w:pPr>
                            <w:r>
                              <w:rPr>
                                <w:b/>
                                <w:color w:val="F07E31" w:themeColor="accent1"/>
                              </w:rPr>
                              <w:t xml:space="preserve">Etapa </w:t>
                            </w:r>
                            <w:r>
                              <w:rPr>
                                <w:b/>
                                <w:color w:val="F07E31" w:themeColor="accent1"/>
                              </w:rPr>
                              <w:t xml:space="preserve">3: </w:t>
                            </w:r>
                            <w:r>
                              <w:t xml:space="preserve">Calcular os </w:t>
                            </w:r>
                            <w:r>
                              <w:rPr>
                                <w:b/>
                              </w:rPr>
                              <w:t>efeitos indiretos</w:t>
                            </w:r>
                            <w:r>
                              <w:t xml:space="preserve"> </w:t>
                            </w:r>
                            <w:r>
                              <w:rPr>
                                <w:b/>
                              </w:rPr>
                              <w:t>sobre os beneficiários ao nível micro</w:t>
                            </w:r>
                            <w:r>
                              <w:t xml:space="preserve">. Neste caso, a alteração observada no valor dos indicadores deve também ser dividida em duas componentes: alterações devidas ao programa (efeito total dos contributos primários e secundários) e alterações devidas a outros fatores. Esta fase refere-se à expectativa de que o apoio obtido pelos beneficiários das medidas da PAC possa produzir efeitos de equilíbrio gerais «esperados/inesperados» (p. ex., efeitos negativos sobre os não beneficiários localizados numa vizinhança próxima dos beneficiários do programa). </w:t>
                            </w:r>
                          </w:p>
                          <w:p w:rsidR="0024624B" w:rsidRPr="005945BB" w:rsidRDefault="0024624B" w:rsidP="00AC0E3D">
                            <w:pPr>
                              <w:pStyle w:val="HStandard"/>
                              <w:rPr>
                                <w:rFonts w:cs="Arial"/>
                                <w:szCs w:val="16"/>
                              </w:rPr>
                            </w:pPr>
                            <w:r>
                              <w:t>Nesta fase da avaliação, é fundamental realizar uma avaliação qualitativa preliminar, uma vez que pode proporcionar uma valiosa perspetiva interna e levar à formulação de importantes questões de avaliação específicas do programa (QAEP) centradas no desempenho do programa, em especial no que respeita aos seus efeitos positivos, negativos, desejados e indesejados sobre os não beneficiários. A utilização de questões de avaliação específicas do programa é opcional, mas, se uma tal questão for formulada, deve ser respondida. Para a realização de uma análise preliminar de sinergias ou de potenciais efeitos transversais negativos, os avaliadores também podem utilizar instrumentos de avaliação qualitativa.</w:t>
                            </w:r>
                          </w:p>
                          <w:p w:rsidR="0024624B" w:rsidRPr="005945BB" w:rsidRDefault="0024624B" w:rsidP="00AC0E3D">
                            <w:pPr>
                              <w:pStyle w:val="Hlistbullet"/>
                              <w:numPr>
                                <w:ilvl w:val="0"/>
                                <w:numId w:val="0"/>
                              </w:numPr>
                              <w:spacing w:before="0" w:after="120" w:line="280" w:lineRule="atLeast"/>
                              <w:rPr>
                                <w:rFonts w:cs="Arial"/>
                                <w:szCs w:val="16"/>
                              </w:rPr>
                            </w:pPr>
                            <w:r>
                              <w:rPr>
                                <w:b/>
                                <w:color w:val="F07E31" w:themeColor="accent1"/>
                              </w:rPr>
                              <w:t xml:space="preserve">Etapa 4: </w:t>
                            </w:r>
                            <w:r>
                              <w:rPr>
                                <w:b/>
                              </w:rPr>
                              <w:t>Agregar os resultados e calcular os efeitos do PDR sobre os indicadores de impacto analisados ao nível macro e na zona de programação.</w:t>
                            </w:r>
                            <w:r>
                              <w:t xml:space="preserve"> Nesta etapa, o avaliador deve calcular os efeitos diretos líquidos do PDR sobre os indicadores de impacto na zona abrangida pelo programa, aplicando técnicas de extrapolação (ou seja, através da multiplicação dos microrresultados médios calculados a um nível micro pelo número de beneficiários/não beneficiários).</w:t>
                            </w:r>
                          </w:p>
                          <w:p w:rsidR="0024624B" w:rsidRPr="005945BB" w:rsidRDefault="0024624B" w:rsidP="00AC0E3D">
                            <w:pPr>
                              <w:pStyle w:val="HStandard"/>
                              <w:rPr>
                                <w:color w:val="auto"/>
                                <w:szCs w:val="16"/>
                              </w:rPr>
                            </w:pPr>
                            <w:r>
                              <w:rPr>
                                <w:b/>
                                <w:color w:val="F07E31" w:themeColor="accent1"/>
                              </w:rPr>
                              <w:t xml:space="preserve">Etapa 5: </w:t>
                            </w:r>
                            <w:r>
                              <w:rPr>
                                <w:b/>
                              </w:rPr>
                              <w:t xml:space="preserve">Aplicar métodos qualitativos </w:t>
                            </w:r>
                            <w:r>
                              <w:t>para o controlo e a verificação dos resultados obtidos (triangulação).</w:t>
                            </w:r>
                          </w:p>
                          <w:p w:rsidR="0024624B" w:rsidRPr="005945BB" w:rsidRDefault="0024624B" w:rsidP="00735F08">
                            <w:pPr>
                              <w:pStyle w:val="Hlistbullet"/>
                              <w:numPr>
                                <w:ilvl w:val="0"/>
                                <w:numId w:val="0"/>
                              </w:numPr>
                              <w:jc w:val="center"/>
                              <w:rPr>
                                <w:i/>
                                <w:color w:val="F07E31" w:themeColor="accent1"/>
                                <w:szCs w:val="18"/>
                              </w:rPr>
                            </w:pPr>
                            <w:r>
                              <w:rPr>
                                <w:i/>
                                <w:color w:val="F07E31" w:themeColor="accent1"/>
                              </w:rPr>
                              <w:t>Mais informações sobre o cálculo do valor líquido dos efeitos do programa nas</w:t>
                            </w:r>
                            <w:r>
                              <w:rPr>
                                <w:i/>
                                <w:color w:val="F07E31" w:themeColor="accent1"/>
                                <w:szCs w:val="18"/>
                              </w:rPr>
                              <w:br/>
                            </w:r>
                            <w:r>
                              <w:rPr>
                                <w:i/>
                                <w:color w:val="F07E31" w:themeColor="accent1"/>
                              </w:rPr>
                              <w:t xml:space="preserve"> </w:t>
                            </w:r>
                            <w:hyperlink r:id="rId49" w:history="1">
                              <w:r>
                                <w:rPr>
                                  <w:rStyle w:val="Hyperlink"/>
                                  <w:i/>
                                  <w:color w:val="F07E31" w:themeColor="accent1"/>
                                </w:rPr>
                                <w:t>«Guidelines for ex post evaluation of 2007-2013 RDPs»</w:t>
                              </w:r>
                            </w:hyperlink>
                            <w:r>
                              <w:rPr>
                                <w:rStyle w:val="Hyperlink"/>
                                <w:i/>
                                <w:color w:val="F07E31" w:themeColor="accent1"/>
                              </w:rPr>
                              <w:t>, capítulo 4.2, bem como sobre o EGC, no capítulo 4.3.3</w:t>
                            </w:r>
                          </w:p>
                        </w:txbxContent>
                      </wps:txbx>
                      <wps:bodyPr rot="0" vert="horz" wrap="square" lIns="91440" tIns="45720" rIns="91440" bIns="45720" anchor="t" anchorCtr="0" upright="1">
                        <a:noAutofit/>
                      </wps:bodyPr>
                    </wps:wsp>
                  </a:graphicData>
                </a:graphic>
              </wp:inline>
            </w:drawing>
          </mc:Choice>
          <mc:Fallback>
            <w:pict>
              <v:shape w14:anchorId="470F4C74" id="AutoShape 63" o:spid="_x0000_s1039" style="width:451.3pt;height:402.75pt;visibility:visible;mso-wrap-style:square;mso-left-percent:-10001;mso-top-percent:-10001;mso-position-horizontal:absolute;mso-position-horizontal-relative:char;mso-position-vertical:absolute;mso-position-vertical-relative:line;mso-left-percent:-10001;mso-top-percent:-10001;v-text-anchor:top" coordsize="5731510,471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" adj="-11796480,,5400" path="m335330,l5731510,r,4377005c5731510,4562203,5581378,4712335,5396180,4712335l,4712335,,335330c,150132,150132,,335330,xe" filled="f" strokecolor="#be4a35" strokeweight="2pt">
                <v:stroke joinstyle="miter"/>
                <v:formulas/>
                <v:path arrowok="t" o:connecttype="custom" o:connectlocs="335330,0;5731510,0;5731510,0;5731510,4750947;5396180,5114925;0,5114925;0,5114925;0,363978;335330,0" o:connectangles="0,0,0,0,0,0,0,0,0" textboxrect="0,0,5731510,4712335"/>
                <v:textbox>
                  <w:txbxContent>
                    <w:p w:rsidR="0024624B" w:rsidRPr="005945BB" w:rsidRDefault="0024624B" w:rsidP="00AC0E3D">
                      <w:pPr>
                        <w:pStyle w:val="Hlistbullet"/>
                        <w:numPr>
                          <w:ilvl w:val="0"/>
                          <w:numId w:val="0"/>
                        </w:numPr>
                        <w:spacing w:before="0" w:after="120" w:line="280" w:lineRule="atLeast"/>
                        <w:rPr>
                          <w:rFonts w:cs="Arial"/>
                          <w:szCs w:val="16"/>
                        </w:rPr>
                      </w:pPr>
                      <w:r>
                        <w:rPr>
                          <w:b/>
                          <w:color w:val="F07E31" w:themeColor="accent1"/>
                        </w:rPr>
                        <w:t xml:space="preserve">Etapa </w:t>
                      </w:r>
                      <w:r>
                        <w:rPr>
                          <w:b/>
                          <w:color w:val="F07E31" w:themeColor="accent1"/>
                        </w:rPr>
                        <w:t xml:space="preserve">3: </w:t>
                      </w:r>
                      <w:r>
                        <w:t xml:space="preserve">Calcular os </w:t>
                      </w:r>
                      <w:r>
                        <w:rPr>
                          <w:b/>
                        </w:rPr>
                        <w:t>efeitos indiretos</w:t>
                      </w:r>
                      <w:r>
                        <w:t xml:space="preserve"> </w:t>
                      </w:r>
                      <w:r>
                        <w:rPr>
                          <w:b/>
                        </w:rPr>
                        <w:t>sobre os beneficiários ao nível micro</w:t>
                      </w:r>
                      <w:r>
                        <w:t xml:space="preserve">. Neste caso, a alteração observada no valor dos indicadores deve também ser dividida em duas componentes: alterações devidas ao programa (efeito total dos contributos primários e secundários) e alterações devidas a outros fatores. Esta fase refere-se à expectativa de que o apoio obtido pelos beneficiários das medidas da PAC possa produzir efeitos de equilíbrio gerais «esperados/inesperados» (p. ex., efeitos negativos sobre os não beneficiários localizados numa vizinhança próxima dos beneficiários do programa). </w:t>
                      </w:r>
                    </w:p>
                    <w:p w:rsidR="0024624B" w:rsidRPr="005945BB" w:rsidRDefault="0024624B" w:rsidP="00AC0E3D">
                      <w:pPr>
                        <w:pStyle w:val="HStandard"/>
                        <w:rPr>
                          <w:rFonts w:cs="Arial"/>
                          <w:szCs w:val="16"/>
                        </w:rPr>
                      </w:pPr>
                      <w:r>
                        <w:t>Nesta fase da avaliação, é fundamental realizar uma avaliação qualitativa preliminar, uma vez que pode proporcionar uma valiosa perspetiva interna e levar à formulação de importantes questões de avaliação específicas do programa (QAEP) centradas no desempenho do programa, em especial no que respeita aos seus efeitos positivos, negativos, desejados e indesejados sobre os não beneficiários. A utilização de questões de avaliação específicas do programa é opcional, mas, se uma tal questão for formulada, deve ser respondida. Para a realização de uma análise preliminar de sinergias ou de potenciais efeitos transversais negativos, os avaliadores também podem utilizar instrumentos de avaliação qualitativa.</w:t>
                      </w:r>
                    </w:p>
                    <w:p w:rsidR="0024624B" w:rsidRPr="005945BB" w:rsidRDefault="0024624B" w:rsidP="00AC0E3D">
                      <w:pPr>
                        <w:pStyle w:val="Hlistbullet"/>
                        <w:numPr>
                          <w:ilvl w:val="0"/>
                          <w:numId w:val="0"/>
                        </w:numPr>
                        <w:spacing w:before="0" w:after="120" w:line="280" w:lineRule="atLeast"/>
                        <w:rPr>
                          <w:rFonts w:cs="Arial"/>
                          <w:szCs w:val="16"/>
                        </w:rPr>
                      </w:pPr>
                      <w:r>
                        <w:rPr>
                          <w:b/>
                          <w:color w:val="F07E31" w:themeColor="accent1"/>
                        </w:rPr>
                        <w:t xml:space="preserve">Etapa 4: </w:t>
                      </w:r>
                      <w:r>
                        <w:rPr>
                          <w:b/>
                        </w:rPr>
                        <w:t>Agregar os resultados e calcular os efeitos do PDR sobre os indicadores de impacto analisados ao nível macro e na zona de programação.</w:t>
                      </w:r>
                      <w:r>
                        <w:t xml:space="preserve"> Nesta etapa, o avaliador deve calcular os efeitos diretos líquidos do PDR sobre os indicadores de impacto na zona abrangida pelo programa, aplicando técnicas de extrapolação (ou seja, através da multiplicação dos microrresultados médios calculados a um nível micro pelo número de beneficiários/não beneficiários).</w:t>
                      </w:r>
                    </w:p>
                    <w:p w:rsidR="0024624B" w:rsidRPr="005945BB" w:rsidRDefault="0024624B" w:rsidP="00AC0E3D">
                      <w:pPr>
                        <w:pStyle w:val="HStandard"/>
                        <w:rPr>
                          <w:color w:val="auto"/>
                          <w:szCs w:val="16"/>
                        </w:rPr>
                      </w:pPr>
                      <w:r>
                        <w:rPr>
                          <w:b/>
                          <w:color w:val="F07E31" w:themeColor="accent1"/>
                        </w:rPr>
                        <w:t xml:space="preserve">Etapa 5: </w:t>
                      </w:r>
                      <w:r>
                        <w:rPr>
                          <w:b/>
                        </w:rPr>
                        <w:t xml:space="preserve">Aplicar métodos qualitativos </w:t>
                      </w:r>
                      <w:r>
                        <w:t>para o controlo e a verificação dos resultados obtidos (triangulação).</w:t>
                      </w:r>
                    </w:p>
                    <w:p w:rsidR="0024624B" w:rsidRPr="005945BB" w:rsidRDefault="0024624B" w:rsidP="00735F08">
                      <w:pPr>
                        <w:pStyle w:val="Hlistbullet"/>
                        <w:numPr>
                          <w:ilvl w:val="0"/>
                          <w:numId w:val="0"/>
                        </w:numPr>
                        <w:jc w:val="center"/>
                        <w:rPr>
                          <w:i/>
                          <w:color w:val="F07E31" w:themeColor="accent1"/>
                          <w:szCs w:val="18"/>
                        </w:rPr>
                      </w:pPr>
                      <w:r>
                        <w:rPr>
                          <w:i/>
                          <w:color w:val="F07E31" w:themeColor="accent1"/>
                        </w:rPr>
                        <w:t>Mais informações sobre o cálculo do valor líquido dos efeitos do programa nas</w:t>
                      </w:r>
                      <w:r>
                        <w:rPr>
                          <w:i/>
                          <w:color w:val="F07E31" w:themeColor="accent1"/>
                          <w:szCs w:val="18"/>
                        </w:rPr>
                        <w:br/>
                      </w:r>
                      <w:r>
                        <w:rPr>
                          <w:i/>
                          <w:color w:val="F07E31" w:themeColor="accent1"/>
                        </w:rPr>
                        <w:t xml:space="preserve"> </w:t>
                      </w:r>
                      <w:hyperlink r:id="rId50" w:history="1">
                        <w:r>
                          <w:rPr>
                            <w:rStyle w:val="Hyperlink"/>
                            <w:i/>
                            <w:color w:val="F07E31" w:themeColor="accent1"/>
                          </w:rPr>
                          <w:t>«Guidelines for ex post evaluation of 2007-2013 RDPs»</w:t>
                        </w:r>
                      </w:hyperlink>
                      <w:r>
                        <w:rPr>
                          <w:rStyle w:val="Hyperlink"/>
                          <w:i/>
                          <w:color w:val="F07E31" w:themeColor="accent1"/>
                        </w:rPr>
                        <w:t>, capítulo 4.2, bem como sobre o EGC, no capítulo 4.3.3</w:t>
                      </w:r>
                    </w:p>
                  </w:txbxContent>
                </v:textbox>
                <w10:anchorlock/>
              </v:shape>
            </w:pict>
          </mc:Fallback>
        </mc:AlternateContent>
      </w:r>
      <w:r>
        <w:br w:type="column"/>
      </w:r>
      <w:r>
        <w:lastRenderedPageBreak/>
        <w:t>Controlo e validação da coerência a nível micro e macro (4.º nível)</w:t>
      </w:r>
    </w:p>
    <w:p w:rsidR="00FC012D" w:rsidRPr="00336531" w:rsidRDefault="000B213F" w:rsidP="00FC012D">
      <w:pPr>
        <w:pStyle w:val="HStandard"/>
        <w:rPr>
          <w:rFonts w:cs="Arial"/>
        </w:rPr>
      </w:pPr>
      <w:r>
        <w:rPr>
          <w:b/>
          <w:i/>
          <w:noProof/>
          <w:color w:val="F07E31" w:themeColor="accent1"/>
          <w:lang w:bidi="ar-SA"/>
        </w:rPr>
        <mc:AlternateContent>
          <mc:Choice Requires="wps">
            <w:drawing>
              <wp:inline distT="0" distB="0" distL="0" distR="0" wp14:anchorId="3BA9EE62" wp14:editId="012AF5C7">
                <wp:extent cx="5731510" cy="1295400"/>
                <wp:effectExtent l="0" t="0" r="21590" b="19050"/>
                <wp:docPr id="89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95400"/>
                        </a:xfrm>
                        <a:custGeom>
                          <a:avLst/>
                          <a:gdLst>
                            <a:gd name="T0" fmla="*/ 106671 w 5731510"/>
                            <a:gd name="T1" fmla="*/ 0 h 1221469"/>
                            <a:gd name="T2" fmla="*/ 5731510 w 5731510"/>
                            <a:gd name="T3" fmla="*/ 0 h 1221469"/>
                            <a:gd name="T4" fmla="*/ 5731510 w 5731510"/>
                            <a:gd name="T5" fmla="*/ 0 h 1221469"/>
                            <a:gd name="T6" fmla="*/ 5731510 w 5731510"/>
                            <a:gd name="T7" fmla="*/ 1114798 h 1221469"/>
                            <a:gd name="T8" fmla="*/ 5624839 w 5731510"/>
                            <a:gd name="T9" fmla="*/ 1221469 h 1221469"/>
                            <a:gd name="T10" fmla="*/ 0 w 5731510"/>
                            <a:gd name="T11" fmla="*/ 1221469 h 1221469"/>
                            <a:gd name="T12" fmla="*/ 0 w 5731510"/>
                            <a:gd name="T13" fmla="*/ 1221469 h 1221469"/>
                            <a:gd name="T14" fmla="*/ 0 w 5731510"/>
                            <a:gd name="T15" fmla="*/ 106671 h 1221469"/>
                            <a:gd name="T16" fmla="*/ 106671 w 5731510"/>
                            <a:gd name="T17" fmla="*/ 0 h 12214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221469"/>
                            <a:gd name="T29" fmla="*/ 5731510 w 5731510"/>
                            <a:gd name="T30" fmla="*/ 1221469 h 122146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221469">
                              <a:moveTo>
                                <a:pt x="106671" y="0"/>
                              </a:moveTo>
                              <a:lnTo>
                                <a:pt x="5731510" y="0"/>
                              </a:lnTo>
                              <a:lnTo>
                                <a:pt x="5731510" y="1114798"/>
                              </a:lnTo>
                              <a:cubicBezTo>
                                <a:pt x="5731510" y="1173711"/>
                                <a:pt x="5683752" y="1221469"/>
                                <a:pt x="5624839" y="1221469"/>
                              </a:cubicBezTo>
                              <a:lnTo>
                                <a:pt x="0" y="1221469"/>
                              </a:lnTo>
                              <a:lnTo>
                                <a:pt x="0" y="106671"/>
                              </a:lnTo>
                              <a:cubicBezTo>
                                <a:pt x="0" y="47758"/>
                                <a:pt x="47758" y="0"/>
                                <a:pt x="106671"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24624B" w:rsidRPr="00044269" w:rsidRDefault="0024624B" w:rsidP="00EC01C3">
                            <w:pPr>
                              <w:pStyle w:val="HHeading4"/>
                              <w:spacing w:before="0"/>
                              <w:jc w:val="both"/>
                              <w:rPr>
                                <w:b w:val="0"/>
                                <w:i/>
                                <w:color w:val="373737" w:themeColor="text1"/>
                                <w:sz w:val="18"/>
                              </w:rPr>
                            </w:pPr>
                            <w:r>
                              <w:rPr>
                                <w:noProof/>
                                <w:color w:val="373737" w:themeColor="text1"/>
                                <w:lang w:bidi="ar-SA"/>
                              </w:rPr>
                              <w:drawing>
                                <wp:inline distT="0" distB="0" distL="0" distR="0" wp14:anchorId="1164D043" wp14:editId="63964AF7">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No </w:t>
                            </w:r>
                            <w:r>
                              <w:rPr>
                                <w:color w:val="373737" w:themeColor="text1"/>
                              </w:rPr>
                              <w:t xml:space="preserve">que respeita à avaliação de impacto, </w:t>
                            </w:r>
                            <w:r>
                              <w:rPr>
                                <w:b w:val="0"/>
                                <w:color w:val="373737" w:themeColor="text1"/>
                              </w:rPr>
                              <w:t>é importante controlar a coerência dos resultados da avaliação a nível micro e macro, com vista à sua validação</w:t>
                            </w:r>
                            <w:r>
                              <w:rPr>
                                <w:color w:val="373737" w:themeColor="text1"/>
                              </w:rPr>
                              <w:t>.</w:t>
                            </w:r>
                            <w:r>
                              <w:rPr>
                                <w:b w:val="0"/>
                                <w:color w:val="373737" w:themeColor="text1"/>
                              </w:rPr>
                              <w:t xml:space="preserve"> A coerência é estabelecida quando as conclusões em ambos os níveis não são contraditórias entre si.</w:t>
                            </w:r>
                          </w:p>
                        </w:txbxContent>
                      </wps:txbx>
                      <wps:bodyPr rot="0" vert="horz" wrap="square" lIns="91440" tIns="45720" rIns="91440" bIns="45720" anchor="ctr" anchorCtr="0" upright="1">
                        <a:noAutofit/>
                      </wps:bodyPr>
                    </wps:wsp>
                  </a:graphicData>
                </a:graphic>
              </wp:inline>
            </w:drawing>
          </mc:Choice>
          <mc:Fallback>
            <w:pict>
              <v:shape w14:anchorId="3BA9EE62" id="AutoShape 62" o:spid="_x0000_s1040" style="width:451.3pt;height:102pt;visibility:visible;mso-wrap-style:square;mso-left-percent:-10001;mso-top-percent:-10001;mso-position-horizontal:absolute;mso-position-horizontal-relative:char;mso-position-vertical:absolute;mso-position-vertical-relative:line;mso-left-percent:-10001;mso-top-percent:-10001;v-text-anchor:middle" coordsize="5731510,12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" adj="-11796480,,5400" path="m106671,l5731510,r,1114798c5731510,1173711,5683752,1221469,5624839,1221469l,1221469,,106671c,47758,47758,,106671,xe" filled="f" strokecolor="#be4a35" strokeweight="2pt">
                <v:stroke joinstyle="miter"/>
                <v:formulas/>
                <v:path arrowok="t" o:connecttype="custom" o:connectlocs="106671,0;5731510,0;5731510,0;5731510,1182273;5624839,1295400;0,1295400;0,1295400;0,113127;106671,0" o:connectangles="0,0,0,0,0,0,0,0,0" textboxrect="0,0,5731510,1221469"/>
                <v:textbox>
                  <w:txbxContent>
                    <w:p w:rsidR="0024624B" w:rsidRPr="00044269" w:rsidRDefault="0024624B" w:rsidP="00EC01C3">
                      <w:pPr>
                        <w:pStyle w:val="HHeading4"/>
                        <w:spacing w:before="0"/>
                        <w:jc w:val="both"/>
                        <w:rPr>
                          <w:b w:val="0"/>
                          <w:i/>
                          <w:color w:val="373737" w:themeColor="text1"/>
                          <w:sz w:val="18"/>
                        </w:rPr>
                      </w:pPr>
                      <w:r>
                        <w:rPr>
                          <w:noProof/>
                          <w:color w:val="373737" w:themeColor="text1"/>
                          <w:lang w:bidi="ar-SA"/>
                        </w:rPr>
                        <w:drawing>
                          <wp:inline distT="0" distB="0" distL="0" distR="0" wp14:anchorId="1164D043" wp14:editId="63964AF7">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No </w:t>
                      </w:r>
                      <w:r>
                        <w:rPr>
                          <w:color w:val="373737" w:themeColor="text1"/>
                        </w:rPr>
                        <w:t xml:space="preserve">que respeita à avaliação de impacto, </w:t>
                      </w:r>
                      <w:r>
                        <w:rPr>
                          <w:b w:val="0"/>
                          <w:color w:val="373737" w:themeColor="text1"/>
                        </w:rPr>
                        <w:t>é importante controlar a coerência dos resultados da avaliação a nível micro e macro, com vista à sua validação</w:t>
                      </w:r>
                      <w:r>
                        <w:rPr>
                          <w:color w:val="373737" w:themeColor="text1"/>
                        </w:rPr>
                        <w:t>.</w:t>
                      </w:r>
                      <w:r>
                        <w:rPr>
                          <w:b w:val="0"/>
                          <w:color w:val="373737" w:themeColor="text1"/>
                        </w:rPr>
                        <w:t xml:space="preserve"> A coerência é estabelecida quando as conclusões em ambos os níveis não são contraditórias entre si.</w:t>
                      </w:r>
                    </w:p>
                  </w:txbxContent>
                </v:textbox>
                <w10:anchorlock/>
              </v:shape>
            </w:pict>
          </mc:Fallback>
        </mc:AlternateContent>
      </w:r>
      <w:r>
        <w:t xml:space="preserve">No caso de uma avaliação quantitativa ascendente, a coerência é assegurada através da expansão dos dados do nível micro para o nível macro. </w:t>
      </w:r>
    </w:p>
    <w:p w:rsidR="00FC012D" w:rsidRPr="001C6ACF" w:rsidRDefault="00FC012D" w:rsidP="001E5FC4">
      <w:pPr>
        <w:spacing w:after="120" w:line="280" w:lineRule="atLeast"/>
        <w:rPr>
          <w:rFonts w:cs="Arial"/>
          <w:color w:val="373737"/>
          <w:sz w:val="20"/>
          <w:szCs w:val="20"/>
        </w:rPr>
      </w:pPr>
      <w:r>
        <w:rPr>
          <w:color w:val="373737" w:themeColor="text1"/>
          <w:sz w:val="20"/>
        </w:rPr>
        <w:t xml:space="preserve">No que respeita aos efeitos </w:t>
      </w:r>
      <w:r>
        <w:rPr>
          <w:i/>
          <w:color w:val="373737" w:themeColor="text1"/>
          <w:sz w:val="20"/>
        </w:rPr>
        <w:t>diretos</w:t>
      </w:r>
      <w:r>
        <w:rPr>
          <w:color w:val="373737" w:themeColor="text1"/>
          <w:sz w:val="20"/>
        </w:rPr>
        <w:t xml:space="preserve"> do programa sobre as unidades apoiadas, os efeitos líquidos diretos do programa calculados através de </w:t>
      </w:r>
      <w:r>
        <w:rPr>
          <w:b/>
          <w:color w:val="373737" w:themeColor="text1"/>
          <w:sz w:val="20"/>
        </w:rPr>
        <w:t>indicadores de resultados</w:t>
      </w:r>
      <w:r>
        <w:rPr>
          <w:color w:val="373737" w:themeColor="text1"/>
          <w:sz w:val="20"/>
        </w:rPr>
        <w:t xml:space="preserve"> devem, em princípio, ser coerentes e apresentar a mesma tendência que os efeitos líquidos do programa calculados através de indicadores de </w:t>
      </w:r>
      <w:r>
        <w:rPr>
          <w:b/>
          <w:color w:val="373737" w:themeColor="text1"/>
          <w:sz w:val="20"/>
        </w:rPr>
        <w:t>impacto</w:t>
      </w:r>
      <w:r>
        <w:rPr>
          <w:color w:val="373737" w:themeColor="text1"/>
          <w:sz w:val="20"/>
        </w:rPr>
        <w:t>. No entanto, dependendo da dimensão e da direção dos efeitos indiretos, os resultado</w:t>
      </w:r>
      <w:r w:rsidR="00AF1A97">
        <w:rPr>
          <w:color w:val="373737" w:themeColor="text1"/>
          <w:sz w:val="20"/>
        </w:rPr>
        <w:t>s</w:t>
      </w:r>
      <w:r>
        <w:rPr>
          <w:color w:val="373737" w:themeColor="text1"/>
          <w:sz w:val="20"/>
        </w:rPr>
        <w:t xml:space="preserve"> a nível macro podem, em princípio, apresentar também uma direção de impacto oposta à dos efeitos a nível micro. Nesses casos, no entanto, as direções opostas dos efeitos devem ser explicadas através de elementos causais e/ou quantificados dos efeitos indiretos. O controlo da coerência dos resultados a nível micro e macro exige um bom conhecimento dos principais fatores que influenciam cada indicador.</w:t>
      </w:r>
    </w:p>
    <w:p w:rsidR="00FC012D" w:rsidRPr="001C6ACF" w:rsidRDefault="00FC012D" w:rsidP="00FC012D">
      <w:pPr>
        <w:pStyle w:val="HStandard"/>
        <w:rPr>
          <w:rFonts w:cs="Arial"/>
        </w:rPr>
      </w:pPr>
      <w:r>
        <w:t xml:space="preserve">No que respeita aos </w:t>
      </w:r>
      <w:r>
        <w:rPr>
          <w:i/>
        </w:rPr>
        <w:t>efeitos indiretos</w:t>
      </w:r>
      <w:r>
        <w:t xml:space="preserve"> sobre as explorações agrícolas apoiadas e não apoiadas, os resultados microeconómicos, após a sua agregação, apenas podem aproximar-se da dimensão de todos os possíveis efeitos indiretos do PDR (incluindo os efeitos calculados através de modelos setoriais). O principal motivo desta aproximação deve-se à natureza complexa da modelização de </w:t>
      </w:r>
      <w:r>
        <w:rPr>
          <w:b/>
        </w:rPr>
        <w:t>todos</w:t>
      </w:r>
      <w:r>
        <w:t xml:space="preserve"> os potenciais efeitos indiretos com os quais as unidades, apoiadas ou não, poderiam, «pelo menos teoricamente», ser confrontadas. </w:t>
      </w:r>
    </w:p>
    <w:p w:rsidR="00FC012D" w:rsidRPr="00571D58" w:rsidRDefault="00FC012D" w:rsidP="00FC012D">
      <w:pPr>
        <w:pStyle w:val="HStandard"/>
        <w:rPr>
          <w:rFonts w:cs="Arial"/>
        </w:rPr>
      </w:pPr>
      <w:r>
        <w:t>A avaliação ascendente, assente na agregação de diferentes fontes de dados com sistemas de medição e terminologia diferentes, pode causar ambiguidade. Um dos principais desafios do controlo da coerência para nos níveis micro e macro é a determinação da causalidade entre as alterações e os impactos medidos ao nível da exploração agrícola ou parcela e as alterações e os impactos para além da alteração dos limites da exploração agrícola (p. ex., ao nível NUTS 3 e do programa).</w:t>
      </w:r>
      <w:r>
        <w:rPr>
          <w:color w:val="373737"/>
        </w:rPr>
        <w:t xml:space="preserve"> Neste contexto, é importante que as unidades de análise e as escalas aplicadas tenham em conta a que escala e nível os efeitos são suscetíveis de ocorrer. A simples aplicação de limites administrativos fixos pode distorcer os resultados. </w:t>
      </w:r>
      <w:r>
        <w:t>Podem ser realizados esforços para aplicar métodos de amostragem de uma forma coerente à escala do terreno, da exploração agrícola e da paisagem, a fim de ter em conta os diferentes tipos de taxonomia estudados e as interações entre as variáveis que descrevem as condições climáticas, topográficas, de utilização dos terrenos, socioeconómicas e dos solos</w:t>
      </w:r>
      <w:r>
        <w:rPr>
          <w:rStyle w:val="FootnoteReference"/>
        </w:rPr>
        <w:footnoteReference w:id="29"/>
      </w:r>
      <w:r>
        <w:t>. A «abordagem ascendente», com uma área de estudo ao nível de uma parcela ou de um terreno, permite a obtenção de resultados mediante a recolha de dados através de inquéritos específicos no local na sequência de protocolos experimentais, bem como a sua extrapolação do nível micro para o nível macro através de sistemas de informação geográfica (SIG), de imagens de satélite ou de análise espacial</w:t>
      </w:r>
      <w:r>
        <w:rPr>
          <w:rStyle w:val="FootnoteReference"/>
        </w:rPr>
        <w:footnoteReference w:id="30"/>
      </w:r>
      <w:r>
        <w:t>.</w:t>
      </w:r>
    </w:p>
    <w:p w:rsidR="00FC012D" w:rsidRPr="00571D58" w:rsidRDefault="00535279" w:rsidP="00FC012D">
      <w:pPr>
        <w:pStyle w:val="HStandard"/>
        <w:rPr>
          <w:rFonts w:cs="Arial"/>
        </w:rPr>
      </w:pPr>
      <w:r>
        <w:br w:type="column"/>
      </w:r>
      <w:r>
        <w:rPr>
          <w:noProof/>
          <w:lang w:bidi="ar-SA"/>
        </w:rPr>
        <w:lastRenderedPageBreak/>
        <mc:AlternateContent>
          <mc:Choice Requires="wps">
            <w:drawing>
              <wp:anchor distT="0" distB="0" distL="114300" distR="114300" simplePos="0" relativeHeight="251673088" behindDoc="0" locked="0" layoutInCell="1" allowOverlap="1" wp14:anchorId="68239467" wp14:editId="631007A2">
                <wp:simplePos x="0" y="0"/>
                <wp:positionH relativeFrom="column">
                  <wp:posOffset>-123825</wp:posOffset>
                </wp:positionH>
                <wp:positionV relativeFrom="paragraph">
                  <wp:posOffset>200025</wp:posOffset>
                </wp:positionV>
                <wp:extent cx="6038850" cy="4943475"/>
                <wp:effectExtent l="0" t="0" r="19050" b="28575"/>
                <wp:wrapNone/>
                <wp:docPr id="898" name="Rectangle: Diagonal Corners Rounde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4943475"/>
                        </a:xfrm>
                        <a:prstGeom prst="round2DiagRect">
                          <a:avLst>
                            <a:gd name="adj1" fmla="val 820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DACDC" id="Rectangle: Diagonal Corners Rounded 15" o:spid="_x0000_s1026" style="position:absolute;margin-left:-9.75pt;margin-top:15.75pt;width:475.5pt;height:389.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494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" path="m405513,l6038850,r,l6038850,4537962v,223959,-181554,405513,-405513,405513l,4943475r,l,405513c,181554,181554,,405513,xe" filled="f" strokecolor="#be4a35 [3205]" strokeweight="2pt">
                <v:path arrowok="t" o:connecttype="custom" o:connectlocs="405513,0;6038850,0;6038850,0;6038850,4537962;5633337,4943475;0,4943475;0,4943475;0,405513;405513,0" o:connectangles="0,0,0,0,0,0,0,0,0"/>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C012D" w:rsidRPr="001C6ACF" w:rsidTr="00FC012D">
        <w:tc>
          <w:tcPr>
            <w:tcW w:w="9016" w:type="dxa"/>
          </w:tcPr>
          <w:p w:rsidR="00FC012D" w:rsidRPr="00336531" w:rsidRDefault="00FC012D" w:rsidP="00EC01C3">
            <w:pPr>
              <w:pStyle w:val="HHeading4"/>
              <w:jc w:val="both"/>
              <w:rPr>
                <w:rFonts w:cs="Arial"/>
              </w:rPr>
            </w:pPr>
            <w:r>
              <w:rPr>
                <w:noProof/>
                <w:color w:val="373737"/>
                <w:lang w:bidi="ar-SA"/>
              </w:rPr>
              <w:drawing>
                <wp:inline distT="0" distB="0" distL="0" distR="0" wp14:anchorId="2043221E" wp14:editId="4A809690">
                  <wp:extent cx="664845" cy="487680"/>
                  <wp:effectExtent l="0" t="0" r="0" b="7620"/>
                  <wp:docPr id="1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GUIA RÁPIDO 5: Como utilizar da melhor forma as abordagens qualitativas?</w:t>
            </w:r>
          </w:p>
        </w:tc>
      </w:tr>
    </w:tbl>
    <w:p w:rsidR="00696B10" w:rsidRDefault="00696B10" w:rsidP="00EC01C3">
      <w:pPr>
        <w:pStyle w:val="HStandard"/>
        <w:spacing w:after="0"/>
        <w:ind w:left="709" w:hanging="709"/>
        <w:rPr>
          <w:rFonts w:cs="Arial"/>
          <w:sz w:val="18"/>
          <w:szCs w:val="18"/>
        </w:rPr>
      </w:pPr>
      <w:r>
        <w:t xml:space="preserve">As </w:t>
      </w:r>
      <w:r>
        <w:rPr>
          <w:b/>
        </w:rPr>
        <w:t>abordagens qualitativas</w:t>
      </w:r>
      <w:r>
        <w:t xml:space="preserve"> podem ser aplicadas com três objetivos:</w:t>
      </w:r>
    </w:p>
    <w:p w:rsidR="00310B39" w:rsidRPr="001C6ACF" w:rsidRDefault="00310B39" w:rsidP="00EC01C3">
      <w:pPr>
        <w:pStyle w:val="HStandard"/>
        <w:spacing w:after="0"/>
        <w:ind w:left="709" w:hanging="709"/>
        <w:rPr>
          <w:rFonts w:cs="Arial"/>
          <w:sz w:val="18"/>
          <w:szCs w:val="18"/>
        </w:rPr>
      </w:pPr>
    </w:p>
    <w:p w:rsidR="00696B10"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Como alternativa aos métodos quantitativos</w:t>
      </w:r>
      <w:r>
        <w:rPr>
          <w:rFonts w:ascii="Arial" w:hAnsi="Arial"/>
          <w:color w:val="373737" w:themeColor="text1"/>
          <w:sz w:val="18"/>
        </w:rPr>
        <w:t xml:space="preserve">, quando os dados são insuficientes. Por exemplo, a avaliação qualitativa baseada na teoria pode ser utilizada para demonstrar como e por que motivo o programa funciona e é expectável que produza os resultados pretendidos. A avaliação baseada na teoria segue as etapas da lógica de intervenção do programa, identificando as relações causais e os mecanismos de alteração que produzem resultados e impactos. As diversas relações na intervenção lógica podem ser analisadas através de vários métodos. As presentes orientações propõem grupos de reflexão (nomeadamente, o método MAIPP) ou entrevistas com partes interessadas/peritos. </w:t>
      </w:r>
    </w:p>
    <w:p w:rsidR="00310B39" w:rsidRPr="00FB6C06" w:rsidRDefault="00310B39" w:rsidP="00EC01C3">
      <w:pPr>
        <w:pStyle w:val="ListParagraph"/>
        <w:autoSpaceDE w:val="0"/>
        <w:autoSpaceDN w:val="0"/>
        <w:adjustRightInd w:val="0"/>
        <w:spacing w:after="0" w:line="280" w:lineRule="atLeast"/>
        <w:ind w:left="426"/>
        <w:jc w:val="both"/>
        <w:rPr>
          <w:rFonts w:ascii="Arial" w:hAnsi="Arial" w:cs="Arial"/>
          <w:color w:val="373737" w:themeColor="text1"/>
          <w:sz w:val="18"/>
          <w:szCs w:val="18"/>
        </w:rPr>
      </w:pPr>
    </w:p>
    <w:p w:rsid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Como complemento da avaliação contrafactual quantitativa</w:t>
      </w:r>
      <w:r>
        <w:rPr>
          <w:rFonts w:ascii="Arial" w:hAnsi="Arial"/>
          <w:color w:val="373737" w:themeColor="text1"/>
          <w:sz w:val="18"/>
        </w:rPr>
        <w:t>, para uma melhor identificação da forma como os impactos foram gerados e por que motivo. Importa notar que a avaliação baseada na teoria não consegue examinar o «impacto líquido» (ou seja, em que medida a alteração observada na zona do programa pode ser imputada ao programa) nem distinguir entre os efeitos do programa e a contribuição de outros fatores.</w:t>
      </w:r>
    </w:p>
    <w:p w:rsidR="00310B39" w:rsidRPr="00310B39" w:rsidRDefault="00310B39" w:rsidP="00EC01C3">
      <w:pPr>
        <w:pStyle w:val="ListParagraph"/>
        <w:jc w:val="both"/>
        <w:rPr>
          <w:rFonts w:ascii="Arial" w:hAnsi="Arial" w:cs="Arial"/>
          <w:color w:val="373737" w:themeColor="text1"/>
          <w:sz w:val="18"/>
          <w:szCs w:val="18"/>
        </w:rPr>
      </w:pPr>
    </w:p>
    <w:p w:rsidR="00696B10" w:rsidRP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No âmbito da triangulação</w:t>
      </w:r>
      <w:r>
        <w:rPr>
          <w:rFonts w:ascii="Arial" w:hAnsi="Arial"/>
          <w:color w:val="373737" w:themeColor="text1"/>
          <w:sz w:val="18"/>
        </w:rPr>
        <w:t>, para validar os resultados dos métodos quantitativos.</w:t>
      </w:r>
    </w:p>
    <w:p w:rsidR="00310B39" w:rsidRPr="001C6ACF" w:rsidRDefault="00310B39" w:rsidP="00310B39">
      <w:pPr>
        <w:pStyle w:val="ListParagraph"/>
        <w:autoSpaceDE w:val="0"/>
        <w:autoSpaceDN w:val="0"/>
        <w:adjustRightInd w:val="0"/>
        <w:spacing w:after="0" w:line="280" w:lineRule="atLeast"/>
        <w:ind w:left="426"/>
        <w:rPr>
          <w:rFonts w:ascii="Arial" w:hAnsi="Arial" w:cs="Arial"/>
          <w:color w:val="373737" w:themeColor="text1"/>
          <w:sz w:val="18"/>
          <w:szCs w:val="18"/>
        </w:rPr>
      </w:pPr>
    </w:p>
    <w:p w:rsidR="0050142E" w:rsidRPr="001C6ACF" w:rsidRDefault="0050142E" w:rsidP="006A6A61">
      <w:pPr>
        <w:pStyle w:val="HStandard"/>
        <w:jc w:val="center"/>
        <w:rPr>
          <w:i/>
          <w:color w:val="F07E31" w:themeColor="accent1"/>
          <w:sz w:val="18"/>
        </w:rPr>
      </w:pPr>
      <w:r>
        <w:rPr>
          <w:i/>
          <w:color w:val="F07E31" w:themeColor="accent1"/>
          <w:sz w:val="18"/>
        </w:rPr>
        <w:t>Mais informações sobre a avaliação baseada na teoria em «</w:t>
      </w:r>
      <w:hyperlink r:id="rId51">
        <w:r>
          <w:rPr>
            <w:rStyle w:val="Hyperlink"/>
            <w:i/>
            <w:sz w:val="18"/>
          </w:rPr>
          <w:t>Investment Support under Rural Development Policy»</w:t>
        </w:r>
      </w:hyperlink>
      <w:r>
        <w:rPr>
          <w:i/>
          <w:color w:val="F07E31" w:themeColor="accent1"/>
          <w:sz w:val="18"/>
        </w:rPr>
        <w:t xml:space="preserve">, capítulo 3.3.4 (CE, 2014), e sobre a forma como os métodos qualitativos podem ser utilizados para recolher dados quantitativos, em </w:t>
      </w:r>
      <w:hyperlink r:id="rId52" w:anchor="v=onepage&amp;amp;q=distinguishing%20between%20types%20of%20data%20and%20methods%20of%20collecting%20them%2C&amp;amp;f=false">
        <w:r>
          <w:rPr>
            <w:rStyle w:val="Hyperlink"/>
            <w:i/>
            <w:sz w:val="18"/>
          </w:rPr>
          <w:t>«Distinguishing Between Types of Data and Methods of Collecting Them</w:t>
        </w:r>
      </w:hyperlink>
      <w:r>
        <w:rPr>
          <w:i/>
          <w:color w:val="F07E31" w:themeColor="accent1"/>
          <w:sz w:val="18"/>
        </w:rPr>
        <w:t xml:space="preserve">» (Hentschel, 1998). </w:t>
      </w:r>
    </w:p>
    <w:p w:rsidR="006D4194" w:rsidRPr="001C6ACF" w:rsidRDefault="006D4194" w:rsidP="006D4194">
      <w:pPr>
        <w:pStyle w:val="HStandard"/>
        <w:rPr>
          <w:sz w:val="22"/>
        </w:rPr>
      </w:pPr>
    </w:p>
    <w:p w:rsidR="00A24D39" w:rsidRPr="001C6ACF" w:rsidRDefault="0095652F" w:rsidP="00B63445">
      <w:pPr>
        <w:pStyle w:val="HHeading3"/>
      </w:pPr>
      <w:r>
        <w:t>Síntese das abordagens de avaliação recomendadas para a avaliação dos indicadores de impacto da PAC</w:t>
      </w:r>
    </w:p>
    <w:p w:rsidR="00186FCF" w:rsidRPr="00336531" w:rsidRDefault="00186FCF" w:rsidP="00186FCF">
      <w:pPr>
        <w:pStyle w:val="HStandard"/>
        <w:rPr>
          <w:rFonts w:cs="Arial"/>
        </w:rPr>
      </w:pPr>
      <w:r>
        <w:t>No período de programação 2014-2020, a avaliação dos impactos do PDR será realizada pela primeira vez em 2019, num momento em que ainda poderão existir lacunas de dados relativos a vários PDR, devido à adesão fraca ou tardia a determinadas medidas, ou poderão faltar dados estatísticos para a avaliação. Uma vez que as lacunas ao nível dos dados dificultam de forma considerável a observação dos impactos do PDR, as presentes orientações sugerem, pelo menos, duas abordagens diferentes para calcular cada um dos indicadores comuns de impacto do Pilar II da PAC:</w:t>
      </w:r>
    </w:p>
    <w:p w:rsidR="00186FCF" w:rsidRPr="00FB6C06" w:rsidRDefault="00186FCF" w:rsidP="00C42303">
      <w:pPr>
        <w:pStyle w:val="Hlistbullet"/>
      </w:pPr>
      <w:r>
        <w:t xml:space="preserve">A </w:t>
      </w:r>
      <w:r>
        <w:rPr>
          <w:b/>
        </w:rPr>
        <w:t>abordagem A</w:t>
      </w:r>
      <w:r>
        <w:t xml:space="preserve"> é um exemplo de uma </w:t>
      </w:r>
      <w:r>
        <w:rPr>
          <w:b/>
        </w:rPr>
        <w:t>abordagem de avaliação numa situação de dados ideal</w:t>
      </w:r>
      <w:r>
        <w:t>.</w:t>
      </w:r>
      <w:r>
        <w:rPr>
          <w:b/>
        </w:rPr>
        <w:t xml:space="preserve"> </w:t>
      </w:r>
      <w:r>
        <w:t xml:space="preserve">Pode ser utilizada em 2019 e/ou pode ser visada na avaliação </w:t>
      </w:r>
      <w:r>
        <w:rPr>
          <w:i/>
        </w:rPr>
        <w:t>ex post</w:t>
      </w:r>
      <w:r>
        <w:t xml:space="preserve">. A abordagem A é mais avançada e mais rigorosa do que a abordagem B. </w:t>
      </w:r>
    </w:p>
    <w:p w:rsidR="00186FCF" w:rsidRPr="001C6ACF" w:rsidRDefault="00186FCF" w:rsidP="00C42303">
      <w:pPr>
        <w:pStyle w:val="Hlistbullet"/>
      </w:pPr>
      <w:r>
        <w:t xml:space="preserve">A </w:t>
      </w:r>
      <w:r>
        <w:rPr>
          <w:b/>
        </w:rPr>
        <w:t>abordagem B</w:t>
      </w:r>
      <w:r>
        <w:t xml:space="preserve"> é um exemplo de uma </w:t>
      </w:r>
      <w:r>
        <w:rPr>
          <w:b/>
        </w:rPr>
        <w:t>abordagem de avaliação alternativa, em caso de lacunas de dados</w:t>
      </w:r>
      <w:r>
        <w:t xml:space="preserve"> (p. ex., causadas por uma lenta adesão ao programa, o que não permite a observação dos impactos do PDR) ou caso outros fatores (recursos, tempo, competências) impeçam a aplicação de uma abordagem mais avançada. A abordagem B contém, muitas vezes, uma componente qualitativa. </w:t>
      </w:r>
    </w:p>
    <w:p w:rsidR="00186FCF" w:rsidRPr="00336531" w:rsidRDefault="00CB3881" w:rsidP="00186FCF">
      <w:pPr>
        <w:pStyle w:val="HStandard"/>
        <w:rPr>
          <w:rFonts w:cs="Arial"/>
        </w:rPr>
      </w:pPr>
      <w:r>
        <w:rPr>
          <w:b/>
        </w:rPr>
        <w:t>Ambas as abordagens, A e B, cumprem as normas de avaliação.</w:t>
      </w:r>
      <w:r>
        <w:t xml:space="preserve"> A abordagem A é definida como a abordagem que permite resultados de avaliação mais sólidos numa situação de dados ideal. </w:t>
      </w:r>
      <w:r>
        <w:lastRenderedPageBreak/>
        <w:t xml:space="preserve">Tendo em conta a situação ao nível dos dados em 2019, admite-se que, para muitos PDR, a abordagem poderá não ser ainda a mais prática (ver: quadros sobre a adequação das abordagens de avaliação propostas nos capítulos 4.1 a 4.7 do anexo técnico). Para cada indicador de impacto, são indicados outros exemplos de métodos de avaliação nas respetivas figuras do modelo lógico. </w:t>
      </w:r>
    </w:p>
    <w:p w:rsidR="0095652F" w:rsidRPr="001C6ACF" w:rsidRDefault="008F39E9" w:rsidP="004C7E7F">
      <w:pPr>
        <w:pStyle w:val="HHeadingtables"/>
        <w:numPr>
          <w:ilvl w:val="0"/>
          <w:numId w:val="0"/>
        </w:numPr>
        <w:ind w:left="360"/>
      </w:pPr>
      <w:r>
        <w:br w:type="column"/>
      </w:r>
      <w:r w:rsidR="004C7E7F">
        <w:lastRenderedPageBreak/>
        <w:t>Quadro 3.</w:t>
      </w:r>
      <w:r w:rsidR="004C7E7F">
        <w:tab/>
      </w:r>
      <w:r>
        <w:t xml:space="preserve">Exemplos das abordagens de avaliação recomendadas para a avaliação dos indicadores de impacto da PAC </w:t>
      </w: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417"/>
        <w:gridCol w:w="1701"/>
        <w:gridCol w:w="1701"/>
        <w:gridCol w:w="1701"/>
        <w:gridCol w:w="1701"/>
      </w:tblGrid>
      <w:tr w:rsidR="00515FD4" w:rsidRPr="001C6ACF" w:rsidTr="005F69E8">
        <w:trPr>
          <w:trHeight w:val="289"/>
          <w:tblHeader/>
        </w:trPr>
        <w:tc>
          <w:tcPr>
            <w:tcW w:w="9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rPr>
            </w:pPr>
            <w:r>
              <w:rPr>
                <w:b/>
                <w:color w:val="FFFFFF" w:themeColor="background1"/>
                <w:sz w:val="16"/>
              </w:rPr>
              <w:t>Código</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sz w:val="16"/>
              </w:rPr>
            </w:pPr>
            <w:r>
              <w:rPr>
                <w:b/>
                <w:color w:val="FFFFFF" w:themeColor="background1"/>
                <w:sz w:val="16"/>
              </w:rPr>
              <w:t>Indicador</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D4934">
            <w:pPr>
              <w:pStyle w:val="HStandard"/>
              <w:spacing w:line="240" w:lineRule="atLeast"/>
              <w:jc w:val="center"/>
              <w:rPr>
                <w:color w:val="FFFFFF" w:themeColor="background1"/>
                <w:sz w:val="16"/>
              </w:rPr>
            </w:pPr>
            <w:r>
              <w:rPr>
                <w:b/>
                <w:color w:val="FFFFFF" w:themeColor="background1"/>
              </w:rPr>
              <w:t>Abordagem A</w:t>
            </w:r>
            <w:r>
              <w:rPr>
                <w:color w:val="FFFFFF" w:themeColor="background1"/>
              </w:rPr>
              <w:t xml:space="preserve"> </w:t>
            </w:r>
            <w:r>
              <w:rPr>
                <w:color w:val="FFFFFF" w:themeColor="background1"/>
                <w:sz w:val="16"/>
              </w:rPr>
              <w:br/>
              <w:t>Exemplo de abordagem numa situação de dados ideal</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9010B">
            <w:pPr>
              <w:pStyle w:val="HStandard"/>
              <w:spacing w:line="240" w:lineRule="atLeast"/>
              <w:jc w:val="center"/>
              <w:rPr>
                <w:color w:val="FFFFFF" w:themeColor="background1"/>
                <w:sz w:val="16"/>
              </w:rPr>
            </w:pPr>
            <w:r>
              <w:rPr>
                <w:b/>
                <w:color w:val="FFFFFF" w:themeColor="background1"/>
              </w:rPr>
              <w:t>Abordagem B</w:t>
            </w:r>
            <w:r>
              <w:rPr>
                <w:color w:val="FFFFFF" w:themeColor="background1"/>
              </w:rPr>
              <w:t xml:space="preserve"> </w:t>
            </w:r>
            <w:r>
              <w:rPr>
                <w:color w:val="FFFFFF" w:themeColor="background1"/>
              </w:rPr>
              <w:br/>
            </w:r>
            <w:r>
              <w:rPr>
                <w:color w:val="FFFFFF" w:themeColor="background1"/>
                <w:sz w:val="16"/>
              </w:rPr>
              <w:t>Exemplo de abordagem alternativa em caso de lacunas de dados</w:t>
            </w:r>
          </w:p>
        </w:tc>
      </w:tr>
      <w:tr w:rsidR="00515FD4" w:rsidRPr="001C6ACF" w:rsidTr="005F69E8">
        <w:trPr>
          <w:trHeight w:val="289"/>
          <w:tblHeader/>
        </w:trPr>
        <w:tc>
          <w:tcPr>
            <w:tcW w:w="9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sz w:val="16"/>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Nível micro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Nível macro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Nível micro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Nível macro</w:t>
            </w:r>
          </w:p>
        </w:tc>
      </w:tr>
      <w:tr w:rsidR="00515FD4" w:rsidRPr="001C6ACF" w:rsidTr="00670F92">
        <w:trPr>
          <w:trHeight w:val="255"/>
        </w:trPr>
        <w:tc>
          <w:tcPr>
            <w:tcW w:w="9209" w:type="dxa"/>
            <w:gridSpan w:val="6"/>
            <w:tcBorders>
              <w:top w:val="single" w:sz="4" w:space="0" w:color="FFFFFF" w:themeColor="background1"/>
            </w:tcBorders>
            <w:shd w:val="clear" w:color="auto" w:fill="BE4A35" w:themeFill="accent2"/>
            <w:hideMark/>
          </w:tcPr>
          <w:p w:rsidR="00515FD4" w:rsidRPr="001C6ACF" w:rsidRDefault="00515FD4" w:rsidP="008D4934">
            <w:pPr>
              <w:pStyle w:val="HStandard"/>
              <w:spacing w:line="240" w:lineRule="atLeast"/>
              <w:rPr>
                <w:b/>
                <w:bCs/>
                <w:color w:val="FFFFFF" w:themeColor="background1"/>
                <w:sz w:val="16"/>
              </w:rPr>
            </w:pPr>
            <w:r>
              <w:rPr>
                <w:b/>
                <w:color w:val="FFFFFF" w:themeColor="background1"/>
                <w:sz w:val="16"/>
              </w:rPr>
              <w:t>Impactos relacionados com o setor</w:t>
            </w:r>
          </w:p>
        </w:tc>
      </w:tr>
      <w:tr w:rsidR="00515FD4" w:rsidRPr="001C6ACF" w:rsidTr="005F69E8">
        <w:trPr>
          <w:trHeight w:val="1193"/>
        </w:trPr>
        <w:tc>
          <w:tcPr>
            <w:tcW w:w="988" w:type="dxa"/>
            <w:tcBorders>
              <w:bottom w:val="single" w:sz="4" w:space="0" w:color="808080" w:themeColor="background1" w:themeShade="80"/>
              <w:right w:val="nil"/>
            </w:tcBorders>
            <w:hideMark/>
          </w:tcPr>
          <w:p w:rsidR="00515FD4" w:rsidRPr="00571D58" w:rsidRDefault="00515FD4" w:rsidP="00887886">
            <w:pPr>
              <w:pStyle w:val="HStandard"/>
              <w:jc w:val="center"/>
              <w:rPr>
                <w:b/>
                <w:bCs/>
                <w:color w:val="BE4A35" w:themeColor="accent2"/>
              </w:rPr>
            </w:pPr>
            <w:r>
              <w:rPr>
                <w:b/>
                <w:bCs/>
                <w:noProof/>
                <w:color w:val="BE4A35" w:themeColor="accent2"/>
                <w:lang w:bidi="ar-SA"/>
              </w:rPr>
              <w:drawing>
                <wp:anchor distT="0" distB="0" distL="114300" distR="114300" simplePos="0" relativeHeight="251713024" behindDoc="1" locked="0" layoutInCell="1" allowOverlap="1" wp14:anchorId="421CFEF5" wp14:editId="6D6DE560">
                  <wp:simplePos x="0" y="0"/>
                  <wp:positionH relativeFrom="column">
                    <wp:posOffset>-233</wp:posOffset>
                  </wp:positionH>
                  <wp:positionV relativeFrom="paragraph">
                    <wp:posOffset>185115</wp:posOffset>
                  </wp:positionV>
                  <wp:extent cx="489585" cy="489585"/>
                  <wp:effectExtent l="0" t="0" r="0" b="5715"/>
                  <wp:wrapTight wrapText="bothSides">
                    <wp:wrapPolygon edited="0">
                      <wp:start x="5043" y="0"/>
                      <wp:lineTo x="2521" y="2521"/>
                      <wp:lineTo x="840" y="8405"/>
                      <wp:lineTo x="1681" y="15969"/>
                      <wp:lineTo x="5883" y="21012"/>
                      <wp:lineTo x="8405" y="21012"/>
                      <wp:lineTo x="14288" y="21012"/>
                      <wp:lineTo x="15128" y="21012"/>
                      <wp:lineTo x="18490" y="13447"/>
                      <wp:lineTo x="19331" y="10926"/>
                      <wp:lineTo x="17650" y="3362"/>
                      <wp:lineTo x="14288" y="0"/>
                      <wp:lineTo x="504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0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I.01</w:t>
            </w:r>
          </w:p>
        </w:tc>
        <w:tc>
          <w:tcPr>
            <w:tcW w:w="1417" w:type="dxa"/>
            <w:tcBorders>
              <w:left w:val="nil"/>
              <w:bottom w:val="single" w:sz="4" w:space="0" w:color="808080" w:themeColor="background1" w:themeShade="80"/>
            </w:tcBorders>
            <w:vAlign w:val="center"/>
            <w:hideMark/>
          </w:tcPr>
          <w:p w:rsidR="00515FD4" w:rsidRPr="00FB6C06" w:rsidRDefault="00515FD4" w:rsidP="007B323D">
            <w:pPr>
              <w:pStyle w:val="HStandard"/>
              <w:spacing w:after="0"/>
              <w:jc w:val="left"/>
              <w:rPr>
                <w:b/>
                <w:color w:val="BE4A35" w:themeColor="accent2"/>
                <w:sz w:val="16"/>
                <w:szCs w:val="18"/>
              </w:rPr>
            </w:pPr>
            <w:r>
              <w:rPr>
                <w:b/>
                <w:color w:val="BE4A35" w:themeColor="accent2"/>
                <w:sz w:val="16"/>
              </w:rPr>
              <w:t>Rendimento empresarial agrícola</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Combinações de métodos de emparelhamento da propensão com o método da diferença nas diferenças (PSM-DD)</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 xml:space="preserve">Abordagens ascendentes que expandem os resultados a nível micro </w:t>
            </w:r>
            <w:r>
              <w:rPr>
                <w:sz w:val="16"/>
                <w:szCs w:val="18"/>
              </w:rPr>
              <w:br/>
            </w:r>
            <w:r>
              <w:rPr>
                <w:sz w:val="16"/>
                <w:szCs w:val="18"/>
              </w:rPr>
              <w:br/>
            </w:r>
            <w:r>
              <w:rPr>
                <w:sz w:val="16"/>
              </w:rPr>
              <w:t>Aplicação de um modelo setorial</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Abordagem de regressão descontínua (ARD)</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Abordagens ascendentes que expandem os resultados a nível micro</w:t>
            </w:r>
          </w:p>
        </w:tc>
      </w:tr>
      <w:tr w:rsidR="00515FD4" w:rsidRPr="001C6ACF" w:rsidTr="005F69E8">
        <w:trPr>
          <w:trHeight w:val="1167"/>
        </w:trPr>
        <w:tc>
          <w:tcPr>
            <w:tcW w:w="988" w:type="dxa"/>
            <w:tcBorders>
              <w:right w:val="nil"/>
            </w:tcBorders>
            <w:hideMark/>
          </w:tcPr>
          <w:p w:rsidR="00515FD4" w:rsidRPr="00336531" w:rsidRDefault="008D4934" w:rsidP="008D4934">
            <w:pPr>
              <w:pStyle w:val="HStandard"/>
              <w:jc w:val="center"/>
              <w:rPr>
                <w:b/>
                <w:bCs/>
                <w:color w:val="BE4A35" w:themeColor="accent2"/>
              </w:rPr>
            </w:pPr>
            <w:r>
              <w:rPr>
                <w:b/>
                <w:bCs/>
                <w:noProof/>
                <w:color w:val="BE4A35" w:themeColor="accent2"/>
                <w:lang w:bidi="ar-SA"/>
              </w:rPr>
              <w:drawing>
                <wp:anchor distT="0" distB="0" distL="114300" distR="114300" simplePos="0" relativeHeight="251727360" behindDoc="0" locked="0" layoutInCell="1" allowOverlap="1" wp14:anchorId="2C05950E" wp14:editId="6D33F341">
                  <wp:simplePos x="0" y="0"/>
                  <wp:positionH relativeFrom="column">
                    <wp:posOffset>31750</wp:posOffset>
                  </wp:positionH>
                  <wp:positionV relativeFrom="paragraph">
                    <wp:posOffset>215394</wp:posOffset>
                  </wp:positionV>
                  <wp:extent cx="489600" cy="489600"/>
                  <wp:effectExtent l="0" t="0" r="571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0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BE4A35" w:themeColor="accent2"/>
              </w:rPr>
              <w:t>I.02</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Rendimento dos fatores agrícolas</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5F69E8">
        <w:trPr>
          <w:trHeight w:val="1163"/>
        </w:trPr>
        <w:tc>
          <w:tcPr>
            <w:tcW w:w="988" w:type="dxa"/>
            <w:tcBorders>
              <w:right w:val="nil"/>
            </w:tcBorders>
            <w:hideMark/>
          </w:tcPr>
          <w:p w:rsidR="00515FD4" w:rsidRPr="00571D58" w:rsidRDefault="00515FD4" w:rsidP="004A2D39">
            <w:pPr>
              <w:pStyle w:val="HStandard"/>
              <w:jc w:val="center"/>
              <w:rPr>
                <w:b/>
                <w:bCs/>
                <w:color w:val="BE4A35" w:themeColor="accent2"/>
              </w:rPr>
            </w:pPr>
            <w:r>
              <w:rPr>
                <w:b/>
                <w:bCs/>
                <w:noProof/>
                <w:color w:val="BE4A35" w:themeColor="accent2"/>
                <w:lang w:bidi="ar-SA"/>
              </w:rPr>
              <w:drawing>
                <wp:anchor distT="0" distB="0" distL="114300" distR="114300" simplePos="0" relativeHeight="251712000" behindDoc="1" locked="0" layoutInCell="1" allowOverlap="1" wp14:anchorId="7D07F527" wp14:editId="3554D2C7">
                  <wp:simplePos x="0" y="0"/>
                  <wp:positionH relativeFrom="column">
                    <wp:posOffset>63428</wp:posOffset>
                  </wp:positionH>
                  <wp:positionV relativeFrom="paragraph">
                    <wp:posOffset>215900</wp:posOffset>
                  </wp:positionV>
                  <wp:extent cx="489585" cy="489585"/>
                  <wp:effectExtent l="0" t="0" r="0" b="5715"/>
                  <wp:wrapTight wrapText="bothSides">
                    <wp:wrapPolygon edited="0">
                      <wp:start x="6724" y="0"/>
                      <wp:lineTo x="5043" y="2521"/>
                      <wp:lineTo x="2521" y="14288"/>
                      <wp:lineTo x="5883" y="21012"/>
                      <wp:lineTo x="15128" y="21012"/>
                      <wp:lineTo x="18490" y="12607"/>
                      <wp:lineTo x="15969" y="2521"/>
                      <wp:lineTo x="14288" y="0"/>
                      <wp:lineTo x="672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03.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I.03</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Produtividade total dos fatores na agricultura</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670F92">
        <w:trPr>
          <w:trHeight w:val="255"/>
        </w:trPr>
        <w:tc>
          <w:tcPr>
            <w:tcW w:w="9209" w:type="dxa"/>
            <w:gridSpan w:val="6"/>
            <w:shd w:val="clear" w:color="auto" w:fill="57825E" w:themeFill="accent4"/>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Impactos ambientais</w:t>
            </w:r>
          </w:p>
        </w:tc>
      </w:tr>
      <w:tr w:rsidR="00515FD4" w:rsidRPr="001C6ACF" w:rsidTr="005F69E8">
        <w:trPr>
          <w:trHeight w:val="1068"/>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bidi="ar-SA"/>
              </w:rPr>
              <w:drawing>
                <wp:anchor distT="0" distB="0" distL="114300" distR="114300" simplePos="0" relativeHeight="251714048" behindDoc="1" locked="0" layoutInCell="1" allowOverlap="1" wp14:anchorId="1226EEA4" wp14:editId="7A9DD4F4">
                  <wp:simplePos x="0" y="0"/>
                  <wp:positionH relativeFrom="column">
                    <wp:posOffset>63572</wp:posOffset>
                  </wp:positionH>
                  <wp:positionV relativeFrom="paragraph">
                    <wp:posOffset>202983</wp:posOffset>
                  </wp:positionV>
                  <wp:extent cx="489585" cy="489585"/>
                  <wp:effectExtent l="0" t="0" r="5715" b="0"/>
                  <wp:wrapTight wrapText="bothSides">
                    <wp:wrapPolygon edited="0">
                      <wp:start x="10086" y="1681"/>
                      <wp:lineTo x="0" y="10926"/>
                      <wp:lineTo x="0" y="19331"/>
                      <wp:lineTo x="21012" y="19331"/>
                      <wp:lineTo x="21012" y="9245"/>
                      <wp:lineTo x="17650" y="1681"/>
                      <wp:lineTo x="10086" y="16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0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I.07</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 xml:space="preserve">Emissões com origem na agricultura </w:t>
            </w:r>
          </w:p>
        </w:tc>
        <w:tc>
          <w:tcPr>
            <w:tcW w:w="1701" w:type="dxa"/>
            <w:vAlign w:val="center"/>
            <w:hideMark/>
          </w:tcPr>
          <w:p w:rsidR="00515FD4" w:rsidRPr="007645B4" w:rsidRDefault="00BB68D4" w:rsidP="007008C0">
            <w:pPr>
              <w:pStyle w:val="HStandard"/>
              <w:spacing w:line="240" w:lineRule="auto"/>
              <w:jc w:val="center"/>
              <w:rPr>
                <w:rFonts w:cs="Arial"/>
                <w:sz w:val="16"/>
                <w:szCs w:val="18"/>
              </w:rPr>
            </w:pPr>
            <w:r>
              <w:rPr>
                <w:sz w:val="16"/>
              </w:rPr>
              <w:t>Técnicas de regressão e de emparelhamento</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Emparelhamento generalizado da propensão (GPSM), utilizando NUTS 3 ou outros dados geográficos</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Nenhuma</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Comparações </w:t>
            </w:r>
            <w:r>
              <w:rPr>
                <w:rFonts w:cs="Arial"/>
                <w:sz w:val="16"/>
                <w:szCs w:val="18"/>
              </w:rPr>
              <w:br/>
            </w:r>
            <w:r>
              <w:rPr>
                <w:sz w:val="16"/>
              </w:rPr>
              <w:t>de base mais simples (incluindo métodos qualitativos)</w:t>
            </w:r>
          </w:p>
        </w:tc>
      </w:tr>
      <w:tr w:rsidR="00515FD4" w:rsidRPr="001C6ACF" w:rsidTr="005F69E8">
        <w:trPr>
          <w:trHeight w:val="630"/>
        </w:trPr>
        <w:tc>
          <w:tcPr>
            <w:tcW w:w="988" w:type="dxa"/>
            <w:tcBorders>
              <w:right w:val="nil"/>
            </w:tcBorders>
            <w:hideMark/>
          </w:tcPr>
          <w:p w:rsidR="00515FD4" w:rsidRPr="00571D58" w:rsidRDefault="008D4934" w:rsidP="000F570B">
            <w:pPr>
              <w:pStyle w:val="HStandard"/>
              <w:jc w:val="center"/>
              <w:rPr>
                <w:b/>
                <w:bCs/>
                <w:color w:val="57825E" w:themeColor="accent4"/>
              </w:rPr>
            </w:pPr>
            <w:r>
              <w:rPr>
                <w:b/>
                <w:bCs/>
                <w:noProof/>
                <w:color w:val="57825E" w:themeColor="accent4"/>
                <w:lang w:bidi="ar-SA"/>
              </w:rPr>
              <w:drawing>
                <wp:anchor distT="0" distB="0" distL="114300" distR="114300" simplePos="0" relativeHeight="251710976" behindDoc="1" locked="0" layoutInCell="1" allowOverlap="1" wp14:anchorId="13FF8A81" wp14:editId="4D714610">
                  <wp:simplePos x="0" y="0"/>
                  <wp:positionH relativeFrom="column">
                    <wp:posOffset>34290</wp:posOffset>
                  </wp:positionH>
                  <wp:positionV relativeFrom="paragraph">
                    <wp:posOffset>215136</wp:posOffset>
                  </wp:positionV>
                  <wp:extent cx="489585" cy="489585"/>
                  <wp:effectExtent l="0" t="0" r="5715" b="5715"/>
                  <wp:wrapTight wrapText="bothSides">
                    <wp:wrapPolygon edited="0">
                      <wp:start x="14288" y="0"/>
                      <wp:lineTo x="0" y="5883"/>
                      <wp:lineTo x="0" y="8405"/>
                      <wp:lineTo x="8405" y="13447"/>
                      <wp:lineTo x="13447" y="21012"/>
                      <wp:lineTo x="14288" y="21012"/>
                      <wp:lineTo x="18490" y="21012"/>
                      <wp:lineTo x="15969" y="13447"/>
                      <wp:lineTo x="21012" y="3362"/>
                      <wp:lineTo x="21012" y="0"/>
                      <wp:lineTo x="18490" y="0"/>
                      <wp:lineTo x="1428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0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I.08</w:t>
            </w:r>
          </w:p>
        </w:tc>
        <w:tc>
          <w:tcPr>
            <w:tcW w:w="1417" w:type="dxa"/>
            <w:tcBorders>
              <w:left w:val="nil"/>
            </w:tcBorders>
            <w:vAlign w:val="center"/>
            <w:hideMark/>
          </w:tcPr>
          <w:p w:rsidR="00515FD4" w:rsidRPr="00FB6C06" w:rsidRDefault="00515FD4" w:rsidP="00670F92">
            <w:pPr>
              <w:pStyle w:val="HStandard"/>
              <w:jc w:val="left"/>
              <w:rPr>
                <w:rFonts w:cs="Arial"/>
                <w:b/>
                <w:color w:val="57825E" w:themeColor="accent4"/>
                <w:sz w:val="16"/>
                <w:szCs w:val="18"/>
              </w:rPr>
            </w:pPr>
            <w:r>
              <w:rPr>
                <w:b/>
                <w:color w:val="57825E" w:themeColor="accent4"/>
                <w:sz w:val="16"/>
              </w:rPr>
              <w:t>Indicador relativo às aves das terras agrícolas</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Emparelhamento da propensão (PSM) e diferença nas diferenças (DD)</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Emparelhamento da propensão (PSM) e diferença nas diferenças (DD)</w:t>
            </w:r>
          </w:p>
          <w:p w:rsidR="00515FD4" w:rsidRPr="001C6ACF" w:rsidRDefault="00515FD4" w:rsidP="007008C0">
            <w:pPr>
              <w:pStyle w:val="HStandard"/>
              <w:spacing w:line="240" w:lineRule="auto"/>
              <w:jc w:val="center"/>
              <w:rPr>
                <w:rFonts w:cs="Arial"/>
                <w:sz w:val="16"/>
                <w:szCs w:val="18"/>
              </w:rPr>
            </w:pPr>
            <w:r>
              <w:rPr>
                <w:sz w:val="16"/>
              </w:rPr>
              <w:t>Modelos de econometria espacial em zonas biogeográficas</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Análise estatística de comparações par a par </w:t>
            </w:r>
            <w:r>
              <w:rPr>
                <w:i/>
                <w:sz w:val="16"/>
              </w:rPr>
              <w:t>ad hoc</w:t>
            </w:r>
            <w:r>
              <w:rPr>
                <w:sz w:val="16"/>
              </w:rPr>
              <w:t xml:space="preserve"> ou grupos de comparação múltiplos, utilizando o método DD, acompanhada por avaliações qualitativas</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Abordagens ascendentes que expandem os resultados do nível micro, acompanhadas por avaliações qualitativas</w:t>
            </w:r>
          </w:p>
        </w:tc>
      </w:tr>
      <w:tr w:rsidR="00515FD4" w:rsidRPr="001C6ACF" w:rsidTr="005F69E8">
        <w:trPr>
          <w:trHeight w:val="1083"/>
        </w:trPr>
        <w:tc>
          <w:tcPr>
            <w:tcW w:w="988" w:type="dxa"/>
            <w:tcBorders>
              <w:right w:val="nil"/>
            </w:tcBorders>
            <w:hideMark/>
          </w:tcPr>
          <w:p w:rsidR="00515FD4" w:rsidRPr="00571D58" w:rsidRDefault="00515FD4" w:rsidP="004A2D39">
            <w:pPr>
              <w:pStyle w:val="HStandard"/>
              <w:jc w:val="center"/>
              <w:rPr>
                <w:b/>
                <w:bCs/>
                <w:color w:val="57825E" w:themeColor="accent4"/>
              </w:rPr>
            </w:pPr>
            <w:r>
              <w:rPr>
                <w:b/>
                <w:bCs/>
                <w:noProof/>
                <w:color w:val="57825E" w:themeColor="accent4"/>
                <w:lang w:bidi="ar-SA"/>
              </w:rPr>
              <w:drawing>
                <wp:anchor distT="0" distB="0" distL="114300" distR="114300" simplePos="0" relativeHeight="251709952" behindDoc="1" locked="0" layoutInCell="1" allowOverlap="1" wp14:anchorId="0D99AD6E" wp14:editId="5B9F11BA">
                  <wp:simplePos x="0" y="0"/>
                  <wp:positionH relativeFrom="column">
                    <wp:posOffset>63500</wp:posOffset>
                  </wp:positionH>
                  <wp:positionV relativeFrom="paragraph">
                    <wp:posOffset>183627</wp:posOffset>
                  </wp:positionV>
                  <wp:extent cx="489585" cy="489585"/>
                  <wp:effectExtent l="0" t="0" r="5715" b="5715"/>
                  <wp:wrapTight wrapText="bothSides">
                    <wp:wrapPolygon edited="0">
                      <wp:start x="840" y="0"/>
                      <wp:lineTo x="0" y="5043"/>
                      <wp:lineTo x="0" y="18490"/>
                      <wp:lineTo x="14288" y="21012"/>
                      <wp:lineTo x="17650" y="21012"/>
                      <wp:lineTo x="21012" y="15969"/>
                      <wp:lineTo x="21012" y="1681"/>
                      <wp:lineTo x="6724" y="0"/>
                      <wp:lineTo x="84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09.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I.09</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Sistemas agrícolas de elevado valor natural</w:t>
            </w: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r>
      <w:tr w:rsidR="00273775" w:rsidRPr="001C6ACF" w:rsidTr="005F69E8">
        <w:trPr>
          <w:trHeight w:val="1082"/>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bidi="ar-SA"/>
              </w:rPr>
              <w:drawing>
                <wp:anchor distT="0" distB="0" distL="114300" distR="114300" simplePos="0" relativeHeight="251722240" behindDoc="1" locked="0" layoutInCell="1" allowOverlap="1" wp14:anchorId="0077F254" wp14:editId="14982742">
                  <wp:simplePos x="0" y="0"/>
                  <wp:positionH relativeFrom="column">
                    <wp:posOffset>63572</wp:posOffset>
                  </wp:positionH>
                  <wp:positionV relativeFrom="paragraph">
                    <wp:posOffset>208481</wp:posOffset>
                  </wp:positionV>
                  <wp:extent cx="489585" cy="489585"/>
                  <wp:effectExtent l="0" t="0" r="5715" b="5715"/>
                  <wp:wrapTight wrapText="bothSides">
                    <wp:wrapPolygon edited="0">
                      <wp:start x="6724" y="0"/>
                      <wp:lineTo x="0" y="3362"/>
                      <wp:lineTo x="0" y="14288"/>
                      <wp:lineTo x="13447" y="21012"/>
                      <wp:lineTo x="14288" y="21012"/>
                      <wp:lineTo x="21012" y="21012"/>
                      <wp:lineTo x="21012" y="13447"/>
                      <wp:lineTo x="20171" y="7564"/>
                      <wp:lineTo x="15128" y="0"/>
                      <wp:lineTo x="6724"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10.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I.10</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Captação de água na agricultura </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Técnicas de regressão e de emparelhamento para os indicadores I.10, I.11-1 e, dependendo da disponibilidade de dados, para o indicador I.11-2</w:t>
            </w:r>
            <w:r>
              <w:rPr>
                <w:rFonts w:cs="Arial"/>
                <w:sz w:val="16"/>
                <w:szCs w:val="18"/>
              </w:rPr>
              <w:br/>
            </w:r>
            <w:r>
              <w:rPr>
                <w:sz w:val="16"/>
              </w:rPr>
              <w:t>Simulação de um «estudo de caso» de uma região hidrográfica ou da sua subunidade, apenas para o indicador I.11-2</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 xml:space="preserve">Emparelhamento generalizado da propensão (GPSM) </w:t>
            </w:r>
            <w:r>
              <w:rPr>
                <w:rFonts w:cs="Arial"/>
                <w:sz w:val="16"/>
                <w:szCs w:val="18"/>
              </w:rPr>
              <w:br/>
            </w:r>
            <w:r>
              <w:rPr>
                <w:rFonts w:cs="Arial"/>
                <w:sz w:val="16"/>
                <w:szCs w:val="18"/>
              </w:rPr>
              <w:br/>
            </w:r>
            <w:r>
              <w:rPr>
                <w:sz w:val="16"/>
              </w:rPr>
              <w:t>Métodos de econometria espacial</w:t>
            </w:r>
          </w:p>
        </w:tc>
        <w:tc>
          <w:tcPr>
            <w:tcW w:w="1701" w:type="dxa"/>
            <w:vMerge w:val="restart"/>
            <w:vAlign w:val="center"/>
            <w:hideMark/>
          </w:tcPr>
          <w:p w:rsidR="00273775" w:rsidRPr="001C6ACF" w:rsidRDefault="00B9614C" w:rsidP="007008C0">
            <w:pPr>
              <w:pStyle w:val="HStandard"/>
              <w:spacing w:line="240" w:lineRule="auto"/>
              <w:jc w:val="center"/>
              <w:rPr>
                <w:rFonts w:cs="Arial"/>
                <w:sz w:val="16"/>
                <w:szCs w:val="18"/>
              </w:rPr>
            </w:pPr>
            <w:r>
              <w:rPr>
                <w:sz w:val="16"/>
              </w:rPr>
              <w:t>Métodos qualitativos</w:t>
            </w:r>
          </w:p>
        </w:tc>
        <w:tc>
          <w:tcPr>
            <w:tcW w:w="1701" w:type="dxa"/>
            <w:vMerge w:val="restart"/>
            <w:vAlign w:val="center"/>
          </w:tcPr>
          <w:p w:rsidR="00273775" w:rsidRPr="001C6ACF" w:rsidRDefault="001043CE" w:rsidP="007008C0">
            <w:pPr>
              <w:pStyle w:val="HStandard"/>
              <w:spacing w:line="240" w:lineRule="auto"/>
              <w:jc w:val="center"/>
              <w:rPr>
                <w:rFonts w:cs="Arial"/>
                <w:sz w:val="16"/>
                <w:szCs w:val="18"/>
              </w:rPr>
            </w:pPr>
            <w:r>
              <w:rPr>
                <w:sz w:val="16"/>
              </w:rPr>
              <w:t>Comparações de grupo mais simples, apoiadas por métodos qualitativos</w:t>
            </w:r>
          </w:p>
        </w:tc>
      </w:tr>
      <w:tr w:rsidR="00273775" w:rsidRPr="001C6ACF" w:rsidTr="005F69E8">
        <w:trPr>
          <w:trHeight w:val="984"/>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bidi="ar-SA"/>
              </w:rPr>
              <w:drawing>
                <wp:anchor distT="0" distB="0" distL="114300" distR="114300" simplePos="0" relativeHeight="251721216" behindDoc="1" locked="0" layoutInCell="1" allowOverlap="1" wp14:anchorId="2C26BEEF" wp14:editId="65779F64">
                  <wp:simplePos x="0" y="0"/>
                  <wp:positionH relativeFrom="column">
                    <wp:posOffset>60960</wp:posOffset>
                  </wp:positionH>
                  <wp:positionV relativeFrom="paragraph">
                    <wp:posOffset>213360</wp:posOffset>
                  </wp:positionV>
                  <wp:extent cx="489585" cy="489585"/>
                  <wp:effectExtent l="0" t="0" r="5715" b="5715"/>
                  <wp:wrapTight wrapText="bothSides">
                    <wp:wrapPolygon edited="0">
                      <wp:start x="5043" y="0"/>
                      <wp:lineTo x="0" y="3362"/>
                      <wp:lineTo x="0" y="17650"/>
                      <wp:lineTo x="5043" y="21012"/>
                      <wp:lineTo x="15969" y="21012"/>
                      <wp:lineTo x="21012" y="17650"/>
                      <wp:lineTo x="21012" y="3362"/>
                      <wp:lineTo x="15969" y="0"/>
                      <wp:lineTo x="5043"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1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I.11</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Qualidade da água </w:t>
            </w: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tcPr>
          <w:p w:rsidR="00273775" w:rsidRPr="001C6ACF" w:rsidRDefault="00273775" w:rsidP="007008C0">
            <w:pPr>
              <w:pStyle w:val="HStandard"/>
              <w:spacing w:line="240" w:lineRule="auto"/>
              <w:jc w:val="center"/>
              <w:rPr>
                <w:rFonts w:cs="Arial"/>
                <w:sz w:val="16"/>
                <w:szCs w:val="18"/>
              </w:rPr>
            </w:pPr>
          </w:p>
        </w:tc>
      </w:tr>
      <w:tr w:rsidR="00515FD4" w:rsidRPr="001C6ACF" w:rsidTr="005F69E8">
        <w:trPr>
          <w:trHeight w:val="1214"/>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bidi="ar-SA"/>
              </w:rPr>
              <w:lastRenderedPageBreak/>
              <w:drawing>
                <wp:anchor distT="0" distB="0" distL="114300" distR="114300" simplePos="0" relativeHeight="251715072" behindDoc="1" locked="0" layoutInCell="1" allowOverlap="1" wp14:anchorId="392AA93D" wp14:editId="34AB6C84">
                  <wp:simplePos x="0" y="0"/>
                  <wp:positionH relativeFrom="column">
                    <wp:posOffset>33944</wp:posOffset>
                  </wp:positionH>
                  <wp:positionV relativeFrom="paragraph">
                    <wp:posOffset>247650</wp:posOffset>
                  </wp:positionV>
                  <wp:extent cx="489585" cy="489585"/>
                  <wp:effectExtent l="0" t="0" r="5715" b="5715"/>
                  <wp:wrapTight wrapText="bothSides">
                    <wp:wrapPolygon edited="0">
                      <wp:start x="4202" y="0"/>
                      <wp:lineTo x="0" y="840"/>
                      <wp:lineTo x="0" y="21012"/>
                      <wp:lineTo x="21012" y="21012"/>
                      <wp:lineTo x="21012" y="840"/>
                      <wp:lineTo x="16809" y="0"/>
                      <wp:lineTo x="420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1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I.12</w:t>
            </w:r>
          </w:p>
        </w:tc>
        <w:tc>
          <w:tcPr>
            <w:tcW w:w="1417" w:type="dxa"/>
            <w:tcBorders>
              <w:left w:val="nil"/>
            </w:tcBorders>
            <w:vAlign w:val="center"/>
            <w:hideMark/>
          </w:tcPr>
          <w:p w:rsidR="00515FD4" w:rsidRPr="00336531" w:rsidRDefault="00515FD4" w:rsidP="001B04F9">
            <w:pPr>
              <w:pStyle w:val="HStandard"/>
              <w:jc w:val="left"/>
              <w:rPr>
                <w:rFonts w:cs="Arial"/>
                <w:b/>
                <w:color w:val="57825E" w:themeColor="accent4"/>
                <w:sz w:val="16"/>
                <w:szCs w:val="18"/>
              </w:rPr>
            </w:pPr>
            <w:r>
              <w:rPr>
                <w:b/>
                <w:color w:val="57825E" w:themeColor="accent4"/>
                <w:sz w:val="16"/>
              </w:rPr>
              <w:t xml:space="preserve">Matéria orgânica do solo em terras aráveis </w:t>
            </w:r>
          </w:p>
        </w:tc>
        <w:tc>
          <w:tcPr>
            <w:tcW w:w="1701" w:type="dxa"/>
            <w:vAlign w:val="center"/>
            <w:hideMark/>
          </w:tcPr>
          <w:p w:rsidR="00515FD4" w:rsidRPr="001C6ACF" w:rsidRDefault="00FF2060" w:rsidP="007008C0">
            <w:pPr>
              <w:pStyle w:val="HStandard"/>
              <w:spacing w:line="240" w:lineRule="auto"/>
              <w:jc w:val="center"/>
              <w:rPr>
                <w:rFonts w:cs="Arial"/>
                <w:sz w:val="16"/>
                <w:szCs w:val="18"/>
              </w:rPr>
            </w:pPr>
            <w:r>
              <w:rPr>
                <w:sz w:val="16"/>
              </w:rPr>
              <w:t>Avaliação de matérias orgânicas do solo (MOS) a uma profundidade de 0 a 60 cm do solo</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Nenhuma</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Avaliação MOS </w:t>
            </w:r>
            <w:r>
              <w:rPr>
                <w:rFonts w:cs="Arial"/>
                <w:sz w:val="16"/>
                <w:szCs w:val="18"/>
              </w:rPr>
              <w:br/>
            </w:r>
            <w:r>
              <w:rPr>
                <w:sz w:val="16"/>
              </w:rPr>
              <w:t>com base em programas de vigilância dos solos</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Avaliação MOS com recurso </w:t>
            </w:r>
            <w:r>
              <w:rPr>
                <w:rFonts w:cs="Arial"/>
                <w:sz w:val="16"/>
                <w:szCs w:val="18"/>
              </w:rPr>
              <w:br/>
            </w:r>
            <w:r>
              <w:rPr>
                <w:sz w:val="16"/>
              </w:rPr>
              <w:t>à base de dados LUCAS</w:t>
            </w:r>
          </w:p>
        </w:tc>
      </w:tr>
      <w:tr w:rsidR="00515FD4" w:rsidRPr="001C6ACF" w:rsidTr="006A4FC1">
        <w:trPr>
          <w:trHeight w:val="43"/>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bidi="ar-SA"/>
              </w:rPr>
              <w:drawing>
                <wp:anchor distT="0" distB="0" distL="114300" distR="114300" simplePos="0" relativeHeight="251716096" behindDoc="1" locked="0" layoutInCell="1" allowOverlap="1" wp14:anchorId="2F6ED840" wp14:editId="4A6ACFFD">
                  <wp:simplePos x="0" y="0"/>
                  <wp:positionH relativeFrom="column">
                    <wp:posOffset>62881</wp:posOffset>
                  </wp:positionH>
                  <wp:positionV relativeFrom="paragraph">
                    <wp:posOffset>198321</wp:posOffset>
                  </wp:positionV>
                  <wp:extent cx="489585" cy="489585"/>
                  <wp:effectExtent l="0" t="0" r="5715" b="5715"/>
                  <wp:wrapTight wrapText="bothSides">
                    <wp:wrapPolygon edited="0">
                      <wp:start x="4202" y="0"/>
                      <wp:lineTo x="0" y="0"/>
                      <wp:lineTo x="0" y="21012"/>
                      <wp:lineTo x="21012" y="21012"/>
                      <wp:lineTo x="21012" y="12607"/>
                      <wp:lineTo x="15969" y="0"/>
                      <wp:lineTo x="42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3.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I.13</w:t>
            </w:r>
          </w:p>
        </w:tc>
        <w:tc>
          <w:tcPr>
            <w:tcW w:w="1417" w:type="dxa"/>
            <w:tcBorders>
              <w:left w:val="nil"/>
            </w:tcBorders>
            <w:vAlign w:val="center"/>
            <w:hideMark/>
          </w:tcPr>
          <w:p w:rsidR="006E3A77" w:rsidRPr="00FB6C06" w:rsidRDefault="00515FD4" w:rsidP="001B04F9">
            <w:pPr>
              <w:pStyle w:val="HStandard"/>
              <w:jc w:val="left"/>
              <w:rPr>
                <w:rFonts w:cs="Arial"/>
                <w:b/>
                <w:color w:val="57825E" w:themeColor="accent4"/>
                <w:sz w:val="16"/>
                <w:szCs w:val="18"/>
              </w:rPr>
            </w:pPr>
            <w:r>
              <w:rPr>
                <w:b/>
                <w:color w:val="57825E" w:themeColor="accent4"/>
                <w:sz w:val="16"/>
              </w:rPr>
              <w:t>Erosão dos solos pela água</w:t>
            </w:r>
          </w:p>
        </w:tc>
        <w:tc>
          <w:tcPr>
            <w:tcW w:w="1701" w:type="dxa"/>
            <w:vAlign w:val="center"/>
            <w:hideMark/>
          </w:tcPr>
          <w:p w:rsidR="00515FD4" w:rsidRPr="00863E73" w:rsidRDefault="00BB68D4" w:rsidP="007008C0">
            <w:pPr>
              <w:pStyle w:val="NormalWeb"/>
              <w:jc w:val="center"/>
              <w:rPr>
                <w:rFonts w:ascii="Arial" w:hAnsi="Arial" w:cs="Arial"/>
                <w:color w:val="373737" w:themeColor="text1"/>
                <w:sz w:val="16"/>
                <w:szCs w:val="18"/>
              </w:rPr>
            </w:pPr>
            <w:r>
              <w:rPr>
                <w:rFonts w:ascii="Arial" w:hAnsi="Arial"/>
                <w:color w:val="373737" w:themeColor="text1"/>
                <w:sz w:val="16"/>
              </w:rPr>
              <w:t>Técnicas de avaliação baseadas em dados estatísticos</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Econometria espacial GPSM apoiada por DD</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Comparações de base mais simples ou de grupo dinâmico</w:t>
            </w:r>
          </w:p>
        </w:tc>
        <w:tc>
          <w:tcPr>
            <w:tcW w:w="1701" w:type="dxa"/>
            <w:vAlign w:val="center"/>
            <w:hideMark/>
          </w:tcPr>
          <w:p w:rsidR="00B52E11" w:rsidRPr="001C6ACF" w:rsidRDefault="00515FD4" w:rsidP="007008C0">
            <w:pPr>
              <w:pStyle w:val="HStandard"/>
              <w:spacing w:line="240" w:lineRule="auto"/>
              <w:jc w:val="center"/>
              <w:rPr>
                <w:rFonts w:cs="Arial"/>
                <w:sz w:val="16"/>
                <w:szCs w:val="18"/>
              </w:rPr>
            </w:pPr>
            <w:r>
              <w:rPr>
                <w:sz w:val="16"/>
              </w:rPr>
              <w:t>Avaliação quantitativa mais simples entre unidades espaciais e uma média nacional</w:t>
            </w:r>
          </w:p>
          <w:p w:rsidR="00735F08" w:rsidRPr="001C6ACF" w:rsidRDefault="00735F08" w:rsidP="007008C0">
            <w:pPr>
              <w:pStyle w:val="HStandard"/>
              <w:spacing w:line="240" w:lineRule="auto"/>
              <w:jc w:val="center"/>
              <w:rPr>
                <w:rFonts w:cs="Arial"/>
                <w:sz w:val="16"/>
                <w:szCs w:val="18"/>
              </w:rPr>
            </w:pPr>
          </w:p>
        </w:tc>
      </w:tr>
      <w:tr w:rsidR="00515FD4" w:rsidRPr="001C6ACF" w:rsidTr="00670F92">
        <w:trPr>
          <w:trHeight w:val="255"/>
        </w:trPr>
        <w:tc>
          <w:tcPr>
            <w:tcW w:w="9209" w:type="dxa"/>
            <w:gridSpan w:val="6"/>
            <w:tcBorders>
              <w:top w:val="single" w:sz="4" w:space="0" w:color="FFFFFF" w:themeColor="background1"/>
            </w:tcBorders>
            <w:shd w:val="clear" w:color="auto" w:fill="59638E" w:themeFill="accent3"/>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Impactos socioeconómicos</w:t>
            </w:r>
          </w:p>
        </w:tc>
      </w:tr>
      <w:tr w:rsidR="00515FD4" w:rsidRPr="001C6ACF" w:rsidTr="005F69E8">
        <w:trPr>
          <w:trHeight w:val="1189"/>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bidi="ar-SA"/>
              </w:rPr>
              <w:drawing>
                <wp:anchor distT="0" distB="0" distL="114300" distR="114300" simplePos="0" relativeHeight="251717120" behindDoc="1" locked="0" layoutInCell="1" allowOverlap="1" wp14:anchorId="7EB9F459" wp14:editId="3EDFF990">
                  <wp:simplePos x="0" y="0"/>
                  <wp:positionH relativeFrom="column">
                    <wp:posOffset>11414</wp:posOffset>
                  </wp:positionH>
                  <wp:positionV relativeFrom="paragraph">
                    <wp:posOffset>184351</wp:posOffset>
                  </wp:positionV>
                  <wp:extent cx="489585" cy="489585"/>
                  <wp:effectExtent l="0" t="0" r="5715" b="5715"/>
                  <wp:wrapTight wrapText="bothSides">
                    <wp:wrapPolygon edited="0">
                      <wp:start x="2521" y="0"/>
                      <wp:lineTo x="0" y="7564"/>
                      <wp:lineTo x="0" y="21012"/>
                      <wp:lineTo x="20171" y="21012"/>
                      <wp:lineTo x="21012" y="15969"/>
                      <wp:lineTo x="21012" y="13447"/>
                      <wp:lineTo x="9245" y="0"/>
                      <wp:lineTo x="2521" y="0"/>
                    </wp:wrapPolygon>
                  </wp:wrapTight>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14.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9638E" w:themeColor="accent3"/>
              </w:rPr>
              <w:t>I.14</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Taxa de emprego rural </w:t>
            </w:r>
          </w:p>
        </w:tc>
        <w:tc>
          <w:tcPr>
            <w:tcW w:w="1701" w:type="dxa"/>
            <w:vMerge w:val="restart"/>
            <w:vAlign w:val="center"/>
            <w:hideMark/>
          </w:tcPr>
          <w:p w:rsidR="00515FD4" w:rsidRPr="00FB6C06" w:rsidRDefault="00515FD4" w:rsidP="007008C0">
            <w:pPr>
              <w:pStyle w:val="HStandard"/>
              <w:spacing w:line="240" w:lineRule="auto"/>
              <w:jc w:val="center"/>
              <w:rPr>
                <w:sz w:val="16"/>
                <w:szCs w:val="18"/>
              </w:rPr>
            </w:pPr>
            <w:r>
              <w:rPr>
                <w:sz w:val="16"/>
              </w:rPr>
              <w:t>Nenhuma</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 xml:space="preserve">Modelo recursivo dinâmico do equilíbrio geral calculável </w:t>
            </w:r>
            <w:r>
              <w:rPr>
                <w:sz w:val="16"/>
                <w:szCs w:val="18"/>
              </w:rPr>
              <w:br/>
            </w:r>
            <w:r>
              <w:rPr>
                <w:sz w:val="16"/>
                <w:szCs w:val="18"/>
              </w:rPr>
              <w:br/>
            </w:r>
            <w:r>
              <w:rPr>
                <w:sz w:val="16"/>
              </w:rPr>
              <w:t>Emparelhamento da propensão (PSM) e emparelhamento generalizado da propensão (GPSM)</w:t>
            </w:r>
          </w:p>
        </w:tc>
        <w:tc>
          <w:tcPr>
            <w:tcW w:w="1701" w:type="dxa"/>
            <w:vMerge w:val="restart"/>
            <w:noWrap/>
            <w:vAlign w:val="center"/>
            <w:hideMark/>
          </w:tcPr>
          <w:p w:rsidR="00515FD4" w:rsidRPr="001C6ACF" w:rsidRDefault="00515FD4" w:rsidP="007008C0">
            <w:pPr>
              <w:pStyle w:val="HStandard"/>
              <w:spacing w:line="240" w:lineRule="auto"/>
              <w:jc w:val="center"/>
              <w:rPr>
                <w:sz w:val="16"/>
                <w:szCs w:val="18"/>
              </w:rPr>
            </w:pPr>
            <w:r>
              <w:rPr>
                <w:sz w:val="16"/>
              </w:rPr>
              <w:t>Nenhuma</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Análise de entradas-saídas</w:t>
            </w:r>
          </w:p>
          <w:p w:rsidR="00186FCF" w:rsidRPr="001C6ACF" w:rsidRDefault="00186FCF" w:rsidP="007008C0">
            <w:pPr>
              <w:pStyle w:val="HStandard"/>
              <w:spacing w:line="240" w:lineRule="auto"/>
              <w:jc w:val="center"/>
              <w:rPr>
                <w:sz w:val="16"/>
                <w:szCs w:val="18"/>
              </w:rPr>
            </w:pPr>
            <w:r>
              <w:rPr>
                <w:sz w:val="16"/>
              </w:rPr>
              <w:t>(apoiada por análise quantitativa)</w:t>
            </w:r>
          </w:p>
        </w:tc>
      </w:tr>
      <w:tr w:rsidR="00515FD4" w:rsidRPr="001C6ACF" w:rsidTr="005F69E8">
        <w:trPr>
          <w:trHeight w:val="1405"/>
        </w:trPr>
        <w:tc>
          <w:tcPr>
            <w:tcW w:w="988" w:type="dxa"/>
            <w:tcBorders>
              <w:right w:val="nil"/>
            </w:tcBorders>
            <w:hideMark/>
          </w:tcPr>
          <w:p w:rsidR="00515FD4" w:rsidRPr="00571D58" w:rsidRDefault="00515FD4" w:rsidP="00B91C1E">
            <w:pPr>
              <w:pStyle w:val="HStandard"/>
              <w:jc w:val="center"/>
              <w:rPr>
                <w:b/>
                <w:bCs/>
                <w:color w:val="59638E" w:themeColor="accent3"/>
              </w:rPr>
            </w:pPr>
            <w:r>
              <w:rPr>
                <w:b/>
                <w:color w:val="59638E" w:themeColor="accent3"/>
              </w:rPr>
              <w:t>I.15</w:t>
            </w:r>
            <w:r>
              <w:rPr>
                <w:b/>
                <w:bCs/>
                <w:noProof/>
                <w:color w:val="59638E" w:themeColor="accent3"/>
                <w:lang w:bidi="ar-SA"/>
              </w:rPr>
              <w:drawing>
                <wp:inline distT="0" distB="0" distL="0" distR="0" wp14:anchorId="3175CD46" wp14:editId="0F50C69B">
                  <wp:extent cx="490220" cy="4902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feeding_Blu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inline>
              </w:drawing>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Grau de pobreza rural</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r w:rsidR="00515FD4" w:rsidRPr="001C6ACF" w:rsidTr="005F69E8">
        <w:trPr>
          <w:trHeight w:val="1413"/>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bidi="ar-SA"/>
              </w:rPr>
              <w:drawing>
                <wp:anchor distT="0" distB="0" distL="114300" distR="114300" simplePos="0" relativeHeight="251719168" behindDoc="1" locked="0" layoutInCell="1" allowOverlap="1" wp14:anchorId="28DFE96C" wp14:editId="310AA828">
                  <wp:simplePos x="0" y="0"/>
                  <wp:positionH relativeFrom="column">
                    <wp:posOffset>63500</wp:posOffset>
                  </wp:positionH>
                  <wp:positionV relativeFrom="paragraph">
                    <wp:posOffset>224139</wp:posOffset>
                  </wp:positionV>
                  <wp:extent cx="489600" cy="489600"/>
                  <wp:effectExtent l="0" t="0" r="5715" b="5715"/>
                  <wp:wrapTight wrapText="bothSides">
                    <wp:wrapPolygon edited="0">
                      <wp:start x="0" y="0"/>
                      <wp:lineTo x="0" y="21012"/>
                      <wp:lineTo x="21012" y="21012"/>
                      <wp:lineTo x="21012" y="0"/>
                      <wp:lineTo x="0" y="0"/>
                    </wp:wrapPolygon>
                  </wp:wrapTight>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007-nail.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59638E" w:themeColor="accent3"/>
              </w:rPr>
              <w:t>I.16</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PIB </w:t>
            </w:r>
            <w:r>
              <w:rPr>
                <w:b/>
                <w:i/>
                <w:color w:val="59638E" w:themeColor="accent3"/>
                <w:sz w:val="16"/>
              </w:rPr>
              <w:t>per capita</w:t>
            </w:r>
            <w:r>
              <w:rPr>
                <w:b/>
                <w:color w:val="59638E" w:themeColor="accent3"/>
                <w:sz w:val="16"/>
              </w:rPr>
              <w:t xml:space="preserve"> rural </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bl>
    <w:p w:rsidR="00186FCF" w:rsidRPr="001C6ACF" w:rsidRDefault="00186FCF" w:rsidP="00186FCF">
      <w:pPr>
        <w:pStyle w:val="HStandard"/>
        <w:rPr>
          <w:rFonts w:cs="Arial"/>
        </w:rPr>
      </w:pPr>
    </w:p>
    <w:p w:rsidR="00186FCF" w:rsidRPr="001C6ACF" w:rsidRDefault="00186FCF" w:rsidP="00186FCF">
      <w:pPr>
        <w:pStyle w:val="HStandard"/>
        <w:rPr>
          <w:rFonts w:cs="Arial"/>
        </w:rPr>
      </w:pPr>
      <w:r>
        <w:t xml:space="preserve">O quadro acima apresenta, para cada indicador de impacto do Pilar II da PAC, uma síntese das abordagens de avaliação recomendadas para a avaliação a nível micro e macro, as quais são descritas em pormenor nos capítulos 2.2 a 2.9 das presentes orientações, bem como no anexo técnico. </w:t>
      </w:r>
    </w:p>
    <w:p w:rsidR="00186FCF" w:rsidRPr="001C6ACF" w:rsidRDefault="00186FCF"/>
    <w:p w:rsidR="008D4934" w:rsidRPr="00571D58" w:rsidRDefault="000B213F" w:rsidP="00B34DDC">
      <w:pPr>
        <w:pStyle w:val="HStandard"/>
        <w:jc w:val="center"/>
      </w:pPr>
      <w:bookmarkStart w:id="0" w:name="_GoBack"/>
      <w:r>
        <w:rPr>
          <w:b/>
          <w:i/>
          <w:noProof/>
          <w:color w:val="F07E31" w:themeColor="accent1"/>
          <w:lang w:bidi="ar-SA"/>
        </w:rPr>
        <w:lastRenderedPageBreak/>
        <mc:AlternateContent>
          <mc:Choice Requires="wps">
            <w:drawing>
              <wp:inline distT="0" distB="0" distL="0" distR="0" wp14:anchorId="00E1CACC" wp14:editId="17E0884F">
                <wp:extent cx="5819775" cy="2695575"/>
                <wp:effectExtent l="0" t="0" r="28575" b="28575"/>
                <wp:docPr id="89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775" cy="2695575"/>
                        </a:xfrm>
                        <a:custGeom>
                          <a:avLst/>
                          <a:gdLst>
                            <a:gd name="T0" fmla="*/ 157545 w 5819775"/>
                            <a:gd name="T1" fmla="*/ 0 h 1804016"/>
                            <a:gd name="T2" fmla="*/ 5819775 w 5819775"/>
                            <a:gd name="T3" fmla="*/ 0 h 1804016"/>
                            <a:gd name="T4" fmla="*/ 5819775 w 5819775"/>
                            <a:gd name="T5" fmla="*/ 0 h 1804016"/>
                            <a:gd name="T6" fmla="*/ 5819775 w 5819775"/>
                            <a:gd name="T7" fmla="*/ 1646471 h 1804016"/>
                            <a:gd name="T8" fmla="*/ 5662230 w 5819775"/>
                            <a:gd name="T9" fmla="*/ 1804016 h 1804016"/>
                            <a:gd name="T10" fmla="*/ 0 w 5819775"/>
                            <a:gd name="T11" fmla="*/ 1804016 h 1804016"/>
                            <a:gd name="T12" fmla="*/ 0 w 5819775"/>
                            <a:gd name="T13" fmla="*/ 1804016 h 1804016"/>
                            <a:gd name="T14" fmla="*/ 0 w 5819775"/>
                            <a:gd name="T15" fmla="*/ 157545 h 1804016"/>
                            <a:gd name="T16" fmla="*/ 157545 w 5819775"/>
                            <a:gd name="T17" fmla="*/ 0 h 18040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19775"/>
                            <a:gd name="T28" fmla="*/ 0 h 1804016"/>
                            <a:gd name="T29" fmla="*/ 5819775 w 5819775"/>
                            <a:gd name="T30" fmla="*/ 1804016 h 18040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19775" h="1804016">
                              <a:moveTo>
                                <a:pt x="157545" y="0"/>
                              </a:moveTo>
                              <a:lnTo>
                                <a:pt x="5819775" y="0"/>
                              </a:lnTo>
                              <a:lnTo>
                                <a:pt x="5819775" y="1646471"/>
                              </a:lnTo>
                              <a:cubicBezTo>
                                <a:pt x="5819775" y="1733481"/>
                                <a:pt x="5749240" y="1804016"/>
                                <a:pt x="5662230" y="1804016"/>
                              </a:cubicBezTo>
                              <a:lnTo>
                                <a:pt x="0" y="1804016"/>
                              </a:lnTo>
                              <a:lnTo>
                                <a:pt x="0" y="157545"/>
                              </a:lnTo>
                              <a:cubicBezTo>
                                <a:pt x="0" y="70535"/>
                                <a:pt x="70535" y="0"/>
                                <a:pt x="157545"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24624B" w:rsidRPr="00D43E45" w:rsidRDefault="0024624B" w:rsidP="00EC01C3">
                            <w:pPr>
                              <w:pStyle w:val="HHeading4"/>
                              <w:spacing w:before="0"/>
                              <w:jc w:val="both"/>
                              <w:rPr>
                                <w:rFonts w:cs="Arial"/>
                                <w:b w:val="0"/>
                                <w:color w:val="373737" w:themeColor="text1"/>
                              </w:rPr>
                            </w:pPr>
                            <w:r>
                              <w:rPr>
                                <w:noProof/>
                                <w:color w:val="373737" w:themeColor="text1"/>
                                <w:lang w:bidi="ar-SA"/>
                              </w:rPr>
                              <w:drawing>
                                <wp:inline distT="0" distB="0" distL="0" distR="0" wp14:anchorId="17C6E184" wp14:editId="43C63B2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As </w:t>
                            </w:r>
                            <w:r>
                              <w:rPr>
                                <w:color w:val="373737" w:themeColor="text1"/>
                              </w:rPr>
                              <w:t xml:space="preserve">abordagens de avaliação </w:t>
                            </w:r>
                            <w:r>
                              <w:rPr>
                                <w:b w:val="0"/>
                                <w:color w:val="373737" w:themeColor="text1"/>
                              </w:rPr>
                              <w:t xml:space="preserve">descritas nas presentes orientações são exemplos de possíveis opções, mas existem outras. Os avaliadores podem optar por outras abordagens para avaliar os impactos do PDR, tendo em consideração a melhor opção para a recolha de elementos sólidos, mas respeitando também a </w:t>
                            </w:r>
                            <w:r>
                              <w:rPr>
                                <w:color w:val="373737" w:themeColor="text1"/>
                              </w:rPr>
                              <w:t>situação específica do PDR</w:t>
                            </w:r>
                            <w:r>
                              <w:rPr>
                                <w:b w:val="0"/>
                                <w:color w:val="373737" w:themeColor="text1"/>
                              </w:rPr>
                              <w:t xml:space="preserve"> no que respeita:</w:t>
                            </w:r>
                          </w:p>
                          <w:p w:rsidR="0024624B" w:rsidRPr="00D43E45" w:rsidRDefault="0024624B" w:rsidP="00EC01C3">
                            <w:pPr>
                              <w:pStyle w:val="Hlistbullet"/>
                              <w:rPr>
                                <w:i/>
                                <w:sz w:val="18"/>
                              </w:rPr>
                            </w:pPr>
                            <w:r>
                              <w:t xml:space="preserve">à dimensão do PDR, </w:t>
                            </w:r>
                          </w:p>
                          <w:p w:rsidR="0024624B" w:rsidRPr="00D43E45" w:rsidRDefault="0024624B" w:rsidP="00EC01C3">
                            <w:pPr>
                              <w:pStyle w:val="Hlistbullet"/>
                              <w:rPr>
                                <w:i/>
                                <w:sz w:val="18"/>
                              </w:rPr>
                            </w:pPr>
                            <w:r>
                              <w:t xml:space="preserve">à adesão ao PDR, </w:t>
                            </w:r>
                          </w:p>
                          <w:p w:rsidR="0024624B" w:rsidRPr="00D43E45" w:rsidRDefault="0024624B" w:rsidP="00EC01C3">
                            <w:pPr>
                              <w:pStyle w:val="Hlistbullet"/>
                              <w:rPr>
                                <w:i/>
                                <w:sz w:val="18"/>
                              </w:rPr>
                            </w:pPr>
                            <w:r>
                              <w:t>à disponibilidade e qualidade dos dados para a avaliação.</w:t>
                            </w:r>
                          </w:p>
                          <w:p w:rsidR="0024624B" w:rsidRPr="00E53246" w:rsidRDefault="0024624B" w:rsidP="00EC01C3">
                            <w:pPr>
                              <w:pStyle w:val="HHeading4"/>
                              <w:spacing w:before="0"/>
                              <w:jc w:val="both"/>
                              <w:rPr>
                                <w:b w:val="0"/>
                                <w:color w:val="373737" w:themeColor="text1"/>
                              </w:rPr>
                            </w:pPr>
                            <w:r>
                              <w:rPr>
                                <w:b w:val="0"/>
                                <w:color w:val="373737" w:themeColor="text1"/>
                              </w:rPr>
                              <w:t>Os modelos lógicos apresentados nas presentes orientações devem constituir instrumentos úteis para os avaliadores identificarem possíveis opções de avaliação num determinado contexto real.</w:t>
                            </w:r>
                          </w:p>
                        </w:txbxContent>
                      </wps:txbx>
                      <wps:bodyPr rot="0" vert="horz" wrap="square" lIns="91440" tIns="45720" rIns="91440" bIns="45720" anchor="ctr" anchorCtr="0" upright="1">
                        <a:noAutofit/>
                      </wps:bodyPr>
                    </wps:wsp>
                  </a:graphicData>
                </a:graphic>
              </wp:inline>
            </w:drawing>
          </mc:Choice>
          <mc:Fallback>
            <w:pict>
              <v:shape w14:anchorId="00E1CACC" id="AutoShape 61" o:spid="_x0000_s1041" style="width:458.25pt;height:212.25pt;visibility:visible;mso-wrap-style:square;mso-left-percent:-10001;mso-top-percent:-10001;mso-position-horizontal:absolute;mso-position-horizontal-relative:char;mso-position-vertical:absolute;mso-position-vertical-relative:line;mso-left-percent:-10001;mso-top-percent:-10001;v-text-anchor:middle" coordsize="5819775,1804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" adj="-11796480,,5400" path="m157545,l5819775,r,1646471c5819775,1733481,5749240,1804016,5662230,1804016l,1804016,,157545c,70535,70535,,157545,xe" filled="f" strokecolor="#be4a35" strokeweight="2pt">
                <v:stroke joinstyle="miter"/>
                <v:formulas/>
                <v:path arrowok="t" o:connecttype="custom" o:connectlocs="157545,0;5819775,0;5819775,0;5819775,2460170;5662230,2695575;0,2695575;0,2695575;0,235405;157545,0" o:connectangles="0,0,0,0,0,0,0,0,0" textboxrect="0,0,5819775,1804016"/>
                <v:textbox>
                  <w:txbxContent>
                    <w:p w:rsidR="0024624B" w:rsidRPr="00D43E45" w:rsidRDefault="0024624B" w:rsidP="00EC01C3">
                      <w:pPr>
                        <w:pStyle w:val="HHeading4"/>
                        <w:spacing w:before="0"/>
                        <w:jc w:val="both"/>
                        <w:rPr>
                          <w:rFonts w:cs="Arial"/>
                          <w:b w:val="0"/>
                          <w:color w:val="373737" w:themeColor="text1"/>
                        </w:rPr>
                      </w:pPr>
                      <w:r>
                        <w:rPr>
                          <w:noProof/>
                          <w:color w:val="373737" w:themeColor="text1"/>
                          <w:lang w:bidi="ar-SA"/>
                        </w:rPr>
                        <w:drawing>
                          <wp:inline distT="0" distB="0" distL="0" distR="0" wp14:anchorId="17C6E184" wp14:editId="43C63B2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As </w:t>
                      </w:r>
                      <w:r>
                        <w:rPr>
                          <w:color w:val="373737" w:themeColor="text1"/>
                        </w:rPr>
                        <w:t xml:space="preserve">abordagens de avaliação </w:t>
                      </w:r>
                      <w:r>
                        <w:rPr>
                          <w:b w:val="0"/>
                          <w:color w:val="373737" w:themeColor="text1"/>
                        </w:rPr>
                        <w:t xml:space="preserve">descritas nas presentes orientações são exemplos de possíveis opções, mas existem outras. Os avaliadores podem optar por outras abordagens para avaliar os impactos do PDR, tendo em consideração a melhor opção para a recolha de elementos sólidos, mas respeitando também a </w:t>
                      </w:r>
                      <w:r>
                        <w:rPr>
                          <w:color w:val="373737" w:themeColor="text1"/>
                        </w:rPr>
                        <w:t>situação específica do PDR</w:t>
                      </w:r>
                      <w:r>
                        <w:rPr>
                          <w:b w:val="0"/>
                          <w:color w:val="373737" w:themeColor="text1"/>
                        </w:rPr>
                        <w:t xml:space="preserve"> no que respeita:</w:t>
                      </w:r>
                    </w:p>
                    <w:p w:rsidR="0024624B" w:rsidRPr="00D43E45" w:rsidRDefault="0024624B" w:rsidP="00EC01C3">
                      <w:pPr>
                        <w:pStyle w:val="Hlistbullet"/>
                        <w:rPr>
                          <w:i/>
                          <w:sz w:val="18"/>
                        </w:rPr>
                      </w:pPr>
                      <w:r>
                        <w:t xml:space="preserve">à dimensão do PDR, </w:t>
                      </w:r>
                    </w:p>
                    <w:p w:rsidR="0024624B" w:rsidRPr="00D43E45" w:rsidRDefault="0024624B" w:rsidP="00EC01C3">
                      <w:pPr>
                        <w:pStyle w:val="Hlistbullet"/>
                        <w:rPr>
                          <w:i/>
                          <w:sz w:val="18"/>
                        </w:rPr>
                      </w:pPr>
                      <w:r>
                        <w:t xml:space="preserve">à adesão ao PDR, </w:t>
                      </w:r>
                    </w:p>
                    <w:p w:rsidR="0024624B" w:rsidRPr="00D43E45" w:rsidRDefault="0024624B" w:rsidP="00EC01C3">
                      <w:pPr>
                        <w:pStyle w:val="Hlistbullet"/>
                        <w:rPr>
                          <w:i/>
                          <w:sz w:val="18"/>
                        </w:rPr>
                      </w:pPr>
                      <w:r>
                        <w:t>à disponibilidade e qualidade dos dados para a avaliação.</w:t>
                      </w:r>
                    </w:p>
                    <w:p w:rsidR="0024624B" w:rsidRPr="00E53246" w:rsidRDefault="0024624B" w:rsidP="00EC01C3">
                      <w:pPr>
                        <w:pStyle w:val="HHeading4"/>
                        <w:spacing w:before="0"/>
                        <w:jc w:val="both"/>
                        <w:rPr>
                          <w:b w:val="0"/>
                          <w:color w:val="373737" w:themeColor="text1"/>
                        </w:rPr>
                      </w:pPr>
                      <w:r>
                        <w:rPr>
                          <w:b w:val="0"/>
                          <w:color w:val="373737" w:themeColor="text1"/>
                        </w:rPr>
                        <w:t>Os modelos lógicos apresentados nas presentes orientações devem constituir instrumentos úteis para os avaliadores identificarem possíveis opções de avaliação num determinado contexto real.</w:t>
                      </w:r>
                    </w:p>
                  </w:txbxContent>
                </v:textbox>
                <w10:anchorlock/>
              </v:shape>
            </w:pict>
          </mc:Fallback>
        </mc:AlternateContent>
      </w:r>
      <w:bookmarkEnd w:id="0"/>
    </w:p>
    <w:p w:rsidR="003F30B5" w:rsidRDefault="003F30B5">
      <w:pPr>
        <w:spacing w:before="0" w:after="0" w:line="240" w:lineRule="auto"/>
        <w:jc w:val="left"/>
        <w:rPr>
          <w:color w:val="373737" w:themeColor="text1"/>
          <w:sz w:val="20"/>
          <w:szCs w:val="20"/>
        </w:rPr>
      </w:pPr>
    </w:p>
    <w:sectPr w:rsidR="003F30B5" w:rsidSect="005F79DE">
      <w:headerReference w:type="default" r:id="rId66"/>
      <w:pgSz w:w="11906" w:h="16838" w:code="9"/>
      <w:pgMar w:top="1440" w:right="1440" w:bottom="1134" w:left="1440"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5561" w:rsidRDefault="00365561">
      <w:pPr>
        <w:spacing w:before="0" w:after="0" w:line="240" w:lineRule="auto"/>
      </w:pPr>
      <w:r>
        <w:separator/>
      </w:r>
    </w:p>
  </w:endnote>
  <w:endnote w:type="continuationSeparator" w:id="0">
    <w:p w:rsidR="00365561" w:rsidRDefault="0036556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427707"/>
      <w:docPartObj>
        <w:docPartGallery w:val="Page Numbers (Bottom of Page)"/>
        <w:docPartUnique/>
      </w:docPartObj>
    </w:sdtPr>
    <w:sdtEndPr>
      <w:rPr>
        <w:noProof/>
      </w:rPr>
    </w:sdtEndPr>
    <w:sdtContent>
      <w:p w:rsidR="0024624B" w:rsidRDefault="0024624B">
        <w:pPr>
          <w:pStyle w:val="Footer"/>
        </w:pPr>
        <w:r>
          <w:fldChar w:fldCharType="begin"/>
        </w:r>
        <w:r>
          <w:instrText xml:space="preserve"> PAGE   \* MERGEFORMAT </w:instrText>
        </w:r>
        <w:r>
          <w:fldChar w:fldCharType="separate"/>
        </w:r>
        <w:r w:rsidR="00AF1A97">
          <w:rPr>
            <w:noProof/>
          </w:rPr>
          <w:t>1</w:t>
        </w:r>
        <w:r>
          <w:rPr>
            <w:noProof/>
          </w:rPr>
          <w:fldChar w:fldCharType="end"/>
        </w:r>
      </w:p>
    </w:sdtContent>
  </w:sdt>
  <w:p w:rsidR="0024624B" w:rsidRDefault="002462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624B" w:rsidRDefault="0024624B">
    <w:pPr>
      <w:pStyle w:val="Footer"/>
    </w:pPr>
  </w:p>
  <w:p w:rsidR="0024624B" w:rsidRDefault="002462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635045"/>
      <w:docPartObj>
        <w:docPartGallery w:val="Page Numbers (Bottom of Page)"/>
        <w:docPartUnique/>
      </w:docPartObj>
    </w:sdtPr>
    <w:sdtEndPr>
      <w:rPr>
        <w:noProof/>
      </w:rPr>
    </w:sdtEndPr>
    <w:sdtContent>
      <w:p w:rsidR="0024624B" w:rsidRDefault="0024624B">
        <w:pPr>
          <w:pStyle w:val="Footer"/>
        </w:pPr>
        <w:r>
          <w:fldChar w:fldCharType="begin"/>
        </w:r>
        <w:r>
          <w:instrText xml:space="preserve"> PAGE   \* MERGEFORMAT </w:instrText>
        </w:r>
        <w:r>
          <w:fldChar w:fldCharType="separate"/>
        </w:r>
        <w:r w:rsidR="00AF1A97">
          <w:rPr>
            <w:noProof/>
          </w:rPr>
          <w:t>30</w:t>
        </w:r>
        <w:r>
          <w:rPr>
            <w:noProof/>
          </w:rPr>
          <w:fldChar w:fldCharType="end"/>
        </w:r>
      </w:p>
    </w:sdtContent>
  </w:sdt>
  <w:p w:rsidR="0024624B" w:rsidRDefault="002462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787632"/>
      <w:docPartObj>
        <w:docPartGallery w:val="Page Numbers (Bottom of Page)"/>
        <w:docPartUnique/>
      </w:docPartObj>
    </w:sdtPr>
    <w:sdtEndPr>
      <w:rPr>
        <w:noProof/>
      </w:rPr>
    </w:sdtEndPr>
    <w:sdtContent>
      <w:p w:rsidR="0024624B" w:rsidRDefault="0024624B">
        <w:pPr>
          <w:pStyle w:val="Footer"/>
        </w:pPr>
        <w:r>
          <w:fldChar w:fldCharType="begin"/>
        </w:r>
        <w:r>
          <w:instrText xml:space="preserve"> PAGE   \* MERGEFORMAT </w:instrText>
        </w:r>
        <w:r>
          <w:fldChar w:fldCharType="separate"/>
        </w:r>
        <w:r w:rsidR="00AF1A97">
          <w:rPr>
            <w:noProof/>
          </w:rPr>
          <w:t>1</w:t>
        </w:r>
        <w:r>
          <w:rPr>
            <w:noProof/>
          </w:rPr>
          <w:fldChar w:fldCharType="end"/>
        </w:r>
      </w:p>
    </w:sdtContent>
  </w:sdt>
  <w:p w:rsidR="0024624B" w:rsidRDefault="002462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5561" w:rsidRPr="005B2AAC" w:rsidRDefault="00365561">
      <w:pPr>
        <w:spacing w:before="0" w:after="0" w:line="240" w:lineRule="auto"/>
        <w:rPr>
          <w:color w:val="F07E31" w:themeColor="accent1"/>
        </w:rPr>
      </w:pPr>
      <w:r w:rsidRPr="005B2AAC">
        <w:rPr>
          <w:color w:val="F07E31" w:themeColor="accent1"/>
        </w:rPr>
        <w:separator/>
      </w:r>
    </w:p>
  </w:footnote>
  <w:footnote w:type="continuationSeparator" w:id="0">
    <w:p w:rsidR="00365561" w:rsidRDefault="00365561">
      <w:pPr>
        <w:spacing w:before="0" w:after="0" w:line="240" w:lineRule="auto"/>
      </w:pPr>
      <w:r>
        <w:continuationSeparator/>
      </w:r>
    </w:p>
  </w:footnote>
  <w:footnote w:id="1">
    <w:p w:rsidR="0024624B" w:rsidRPr="003563F4" w:rsidRDefault="0024624B">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Artigo 54º e artigo 56.º, n.º 3, do Regulamento (UE) n.º 1303/2013.</w:t>
      </w:r>
    </w:p>
  </w:footnote>
  <w:footnote w:id="2">
    <w:p w:rsidR="0024624B" w:rsidRPr="00E53246" w:rsidRDefault="0024624B" w:rsidP="00CD63F6">
      <w:pPr>
        <w:pStyle w:val="FootnoteText"/>
      </w:pPr>
      <w:r>
        <w:rPr>
          <w:rStyle w:val="FootnoteReference"/>
          <w:color w:val="878787" w:themeColor="text2" w:themeTint="99"/>
        </w:rPr>
        <w:footnoteRef/>
      </w:r>
      <w:r>
        <w:rPr>
          <w:color w:val="878787" w:themeColor="text2" w:themeTint="99"/>
        </w:rPr>
        <w:t xml:space="preserve"> Anexo VII </w:t>
      </w:r>
      <w:r>
        <w:rPr>
          <w:color w:val="878787" w:themeColor="text2" w:themeTint="99"/>
        </w:rPr>
        <w:t>do Regulamento (UE) n.º 808/2014.</w:t>
      </w:r>
    </w:p>
  </w:footnote>
  <w:footnote w:id="3">
    <w:p w:rsidR="0024624B" w:rsidRPr="003563F4" w:rsidRDefault="0024624B" w:rsidP="001C2076">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r>
        <w:t xml:space="preserve">Artigo </w:t>
      </w:r>
      <w:r>
        <w:t xml:space="preserve">75.º do </w:t>
      </w:r>
      <w:r w:rsidR="00365561">
        <w:fldChar w:fldCharType="begin"/>
      </w:r>
      <w:r w:rsidR="00365561">
        <w:instrText xml:space="preserve"> HYPERLINK "http://eur-lex.europa.eu/legal-content/pt/ALL/?uri=CELEX:32013R1305" \h </w:instrText>
      </w:r>
      <w:r w:rsidR="00365561">
        <w:fldChar w:fldCharType="separate"/>
      </w:r>
      <w:r>
        <w:rPr>
          <w:color w:val="878787" w:themeColor="text2" w:themeTint="99"/>
        </w:rPr>
        <w:t>Regulamento (UE) n.º 1305/2013</w:t>
      </w:r>
      <w:r w:rsidR="00365561">
        <w:rPr>
          <w:color w:val="878787" w:themeColor="text2" w:themeTint="99"/>
        </w:rPr>
        <w:fldChar w:fldCharType="end"/>
      </w:r>
      <w:r>
        <w:t>.</w:t>
      </w:r>
    </w:p>
  </w:footnote>
  <w:footnote w:id="4">
    <w:p w:rsidR="0024624B" w:rsidRPr="003563F4" w:rsidRDefault="0024624B" w:rsidP="00BA41C1">
      <w:pPr>
        <w:pStyle w:val="FootnoteText"/>
        <w:rPr>
          <w:color w:val="878787" w:themeColor="text2" w:themeTint="99"/>
        </w:rPr>
      </w:pPr>
      <w:r>
        <w:rPr>
          <w:color w:val="878787" w:themeColor="text2" w:themeTint="99"/>
          <w:vertAlign w:val="superscript"/>
        </w:rPr>
        <w:footnoteRef/>
      </w:r>
      <w:r>
        <w:rPr>
          <w:color w:val="878787" w:themeColor="text2" w:themeTint="99"/>
          <w:vertAlign w:val="superscript"/>
        </w:rPr>
        <w:t xml:space="preserve"> </w:t>
      </w:r>
      <w:hyperlink r:id="rId1">
        <w:r>
          <w:rPr>
            <w:rStyle w:val="Hyperlink"/>
            <w:color w:val="878787" w:themeColor="text2" w:themeTint="99"/>
            <w:sz w:val="16"/>
            <w:u w:val="none"/>
          </w:rPr>
          <w:t>Orientações «</w:t>
        </w:r>
        <w:r>
          <w:rPr>
            <w:rStyle w:val="Hyperlink"/>
            <w:i/>
            <w:color w:val="878787" w:themeColor="text2" w:themeTint="99"/>
            <w:sz w:val="16"/>
            <w:u w:val="none"/>
          </w:rPr>
          <w:t>Establishing and implementing the Evaluation Plan of 2014- 2020 RDPs</w:t>
        </w:r>
        <w:r>
          <w:rPr>
            <w:rStyle w:val="Hyperlink"/>
            <w:color w:val="878787" w:themeColor="text2" w:themeTint="99"/>
            <w:sz w:val="16"/>
            <w:u w:val="none"/>
          </w:rPr>
          <w:t xml:space="preserve">» (Elaborar e aplicar o plano de avaliação dos PDR 2014-2020). </w:t>
        </w:r>
      </w:hyperlink>
    </w:p>
  </w:footnote>
  <w:footnote w:id="5">
    <w:p w:rsidR="0024624B" w:rsidRPr="003563F4" w:rsidRDefault="0024624B" w:rsidP="00BA41C1">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hyperlink r:id="rId2">
        <w:r>
          <w:rPr>
            <w:rStyle w:val="Hyperlink"/>
            <w:color w:val="878787" w:themeColor="text2" w:themeTint="99"/>
            <w:sz w:val="16"/>
            <w:u w:val="none"/>
          </w:rPr>
          <w:t xml:space="preserve">Regulamento </w:t>
        </w:r>
        <w:r>
          <w:rPr>
            <w:rStyle w:val="Hyperlink"/>
            <w:color w:val="878787" w:themeColor="text2" w:themeTint="99"/>
            <w:sz w:val="16"/>
            <w:u w:val="none"/>
          </w:rPr>
          <w:t>de Execução (UE) n.º 808/2014 da Comissão, anexo I, ponto 9, e anexo VII, ponto 7</w:t>
        </w:r>
      </w:hyperlink>
      <w:r>
        <w:rPr>
          <w:rStyle w:val="Hyperlink"/>
          <w:color w:val="878787" w:themeColor="text2" w:themeTint="99"/>
          <w:sz w:val="16"/>
          <w:u w:val="none"/>
        </w:rPr>
        <w:t>.</w:t>
      </w:r>
    </w:p>
  </w:footnote>
  <w:footnote w:id="6">
    <w:p w:rsidR="0024624B" w:rsidRPr="003563F4" w:rsidRDefault="0024624B" w:rsidP="000D3DB8">
      <w:pPr>
        <w:pStyle w:val="FootnoteText"/>
        <w:ind w:left="142" w:hanging="142"/>
        <w:rPr>
          <w:color w:val="878787" w:themeColor="text2" w:themeTint="99"/>
        </w:rPr>
      </w:pPr>
      <w:r>
        <w:rPr>
          <w:i/>
          <w:color w:val="878787" w:themeColor="text2" w:themeTint="99"/>
          <w:vertAlign w:val="superscript"/>
        </w:rPr>
        <w:footnoteRef/>
      </w:r>
      <w:r>
        <w:rPr>
          <w:color w:val="878787" w:themeColor="text2" w:themeTint="99"/>
          <w:vertAlign w:val="superscript"/>
        </w:rPr>
        <w:t xml:space="preserve"> </w:t>
      </w:r>
      <w:r>
        <w:t>O Serviço Europeu de Assistência na Avaliação resumiu as conclusões dos RAE apresentados em 2017 no documento «</w:t>
      </w:r>
      <w:r w:rsidR="00365561">
        <w:fldChar w:fldCharType="begin"/>
      </w:r>
      <w:r w:rsidR="00365561">
        <w:instrText xml:space="preserve"> HYPERLINK "https://enrd.ec.europa.eu/evaluation/publications/summary-report-synthesis-evaluation-components-2017-enhanced-air-chapter-7_en" \h </w:instrText>
      </w:r>
      <w:r w:rsidR="00365561">
        <w:fldChar w:fldCharType="separate"/>
      </w:r>
      <w:r>
        <w:rPr>
          <w:i/>
          <w:color w:val="878787" w:themeColor="text2" w:themeTint="99"/>
        </w:rPr>
        <w:t>Summary Report Synthesis of the Evaluation Components of the 2017 Enhanced AIR</w:t>
      </w:r>
      <w:r>
        <w:rPr>
          <w:color w:val="878787" w:themeColor="text2" w:themeTint="99"/>
        </w:rPr>
        <w:t xml:space="preserve">: </w:t>
      </w:r>
      <w:r>
        <w:rPr>
          <w:i/>
          <w:color w:val="878787" w:themeColor="text2" w:themeTint="99"/>
        </w:rPr>
        <w:t>Chapter 7</w:t>
      </w:r>
      <w:r w:rsidR="00365561">
        <w:rPr>
          <w:i/>
          <w:color w:val="878787" w:themeColor="text2" w:themeTint="99"/>
        </w:rPr>
        <w:fldChar w:fldCharType="end"/>
      </w:r>
      <w:r>
        <w:t>» (Relatório de síntese dos elementos de avaliação do RAE melhorado de 2017: capítulo 7)</w:t>
      </w:r>
      <w:r>
        <w:rPr>
          <w:color w:val="878787" w:themeColor="text2" w:themeTint="99"/>
        </w:rPr>
        <w:t>.</w:t>
      </w:r>
    </w:p>
  </w:footnote>
  <w:footnote w:id="7">
    <w:p w:rsidR="0024624B" w:rsidRPr="00E53246" w:rsidRDefault="0024624B">
      <w:pPr>
        <w:pStyle w:val="FootnoteText"/>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Anexo VII do Regulamento (UE) n.º 808/2014.</w:t>
      </w:r>
    </w:p>
  </w:footnote>
  <w:footnote w:id="8">
    <w:p w:rsidR="0024624B" w:rsidRPr="003563F4" w:rsidRDefault="0024624B" w:rsidP="00BA41C1">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hyperlink r:id="rId3">
        <w:r>
          <w:rPr>
            <w:color w:val="878787" w:themeColor="text2" w:themeTint="99"/>
          </w:rPr>
          <w:t xml:space="preserve">Artigos </w:t>
        </w:r>
        <w:r>
          <w:rPr>
            <w:color w:val="878787" w:themeColor="text2" w:themeTint="99"/>
          </w:rPr>
          <w:t>67.º a 79º do Regulamento (UE) n.º 1305/2013</w:t>
        </w:r>
      </w:hyperlink>
      <w:r>
        <w:rPr>
          <w:color w:val="878787" w:themeColor="text2" w:themeTint="99"/>
        </w:rPr>
        <w:t xml:space="preserve">, </w:t>
      </w:r>
      <w:hyperlink r:id="rId4">
        <w:r>
          <w:rPr>
            <w:color w:val="878787" w:themeColor="text2" w:themeTint="99"/>
          </w:rPr>
          <w:t>artigo 110.º do regulamento (UE) n.º 1306/2013,</w:t>
        </w:r>
      </w:hyperlink>
      <w:r>
        <w:rPr>
          <w:color w:val="878787" w:themeColor="text2" w:themeTint="99"/>
        </w:rPr>
        <w:t xml:space="preserve"> </w:t>
      </w:r>
      <w:hyperlink r:id="rId5">
        <w:r>
          <w:rPr>
            <w:color w:val="878787" w:themeColor="text2" w:themeTint="99"/>
          </w:rPr>
          <w:t>artigo 1.º, alínea a), e anexo I do Regulamento (UE) n.º 834/2014</w:t>
        </w:r>
      </w:hyperlink>
      <w:r>
        <w:rPr>
          <w:color w:val="878787" w:themeColor="text2" w:themeTint="99"/>
        </w:rPr>
        <w:t xml:space="preserve">, </w:t>
      </w:r>
      <w:hyperlink r:id="rId6">
        <w:r>
          <w:rPr>
            <w:color w:val="878787" w:themeColor="text2" w:themeTint="99"/>
          </w:rPr>
          <w:t>e artigo 14.º e anexos IV, V, VI e VII, do Regulamento (UE) n.º 808/2014</w:t>
        </w:r>
      </w:hyperlink>
      <w:r>
        <w:rPr>
          <w:color w:val="878787" w:themeColor="text2" w:themeTint="99"/>
        </w:rPr>
        <w:t>.</w:t>
      </w:r>
    </w:p>
  </w:footnote>
  <w:footnote w:id="9">
    <w:p w:rsidR="0024624B" w:rsidRPr="003563F4" w:rsidRDefault="0024624B"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r>
        <w:rPr>
          <w:color w:val="878787" w:themeColor="text2" w:themeTint="99"/>
        </w:rPr>
        <w:t>Artigo 54.º do Regulamento (UE) n.º 1303/2013.</w:t>
      </w:r>
    </w:p>
  </w:footnote>
  <w:footnote w:id="10">
    <w:p w:rsidR="0024624B" w:rsidRPr="003563F4" w:rsidRDefault="0024624B"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Artigo </w:t>
      </w:r>
      <w:r>
        <w:rPr>
          <w:color w:val="878787" w:themeColor="text2" w:themeTint="99"/>
        </w:rPr>
        <w:t>56.º do Regulamento (UE) n.º 1303/2013.</w:t>
      </w:r>
    </w:p>
  </w:footnote>
  <w:footnote w:id="11">
    <w:p w:rsidR="0024624B" w:rsidRPr="003563F4" w:rsidRDefault="0024624B"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Artigo </w:t>
      </w:r>
      <w:r>
        <w:rPr>
          <w:color w:val="878787" w:themeColor="text2" w:themeTint="99"/>
        </w:rPr>
        <w:t>110º do Regulamento (UE) n.º 1306/2013.</w:t>
      </w:r>
    </w:p>
  </w:footnote>
  <w:footnote w:id="12">
    <w:p w:rsidR="0024624B" w:rsidRPr="003563F4" w:rsidRDefault="0024624B"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Artigo </w:t>
      </w:r>
      <w:r>
        <w:rPr>
          <w:color w:val="878787" w:themeColor="text2" w:themeTint="99"/>
        </w:rPr>
        <w:t>110.º, n.</w:t>
      </w:r>
      <w:r>
        <w:rPr>
          <w:color w:val="878787" w:themeColor="text2" w:themeTint="99"/>
          <w:vertAlign w:val="superscript"/>
        </w:rPr>
        <w:t>os</w:t>
      </w:r>
      <w:r>
        <w:rPr>
          <w:color w:val="878787" w:themeColor="text2" w:themeTint="99"/>
        </w:rPr>
        <w:t> 3 e 4 do Regulamento (UE) n.º 1306/2013.</w:t>
      </w:r>
    </w:p>
  </w:footnote>
  <w:footnote w:id="13">
    <w:p w:rsidR="0024624B" w:rsidRPr="003563F4" w:rsidRDefault="0024624B"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Artigos </w:t>
      </w:r>
      <w:r>
        <w:rPr>
          <w:color w:val="878787" w:themeColor="text2" w:themeTint="99"/>
        </w:rPr>
        <w:t>67.º e 68.º do Regulamento (UE) n.º 1305/2013.</w:t>
      </w:r>
    </w:p>
  </w:footnote>
  <w:footnote w:id="14">
    <w:p w:rsidR="0024624B" w:rsidRPr="00E53246" w:rsidRDefault="0024624B" w:rsidP="001C2076">
      <w:pPr>
        <w:pStyle w:val="FootnoteText"/>
      </w:pPr>
      <w:r>
        <w:rPr>
          <w:rStyle w:val="FootnoteReference"/>
          <w:color w:val="878787" w:themeColor="text2" w:themeTint="99"/>
        </w:rPr>
        <w:footnoteRef/>
      </w:r>
      <w:r>
        <w:rPr>
          <w:color w:val="878787" w:themeColor="text2" w:themeTint="99"/>
        </w:rPr>
        <w:t xml:space="preserve"> </w:t>
      </w:r>
      <w:r>
        <w:rPr>
          <w:color w:val="878787" w:themeColor="text2" w:themeTint="99"/>
        </w:rPr>
        <w:t>Artigo 69.º do Regulamento (UE) n.º 1305/2013.</w:t>
      </w:r>
    </w:p>
  </w:footnote>
  <w:footnote w:id="15">
    <w:p w:rsidR="0024624B" w:rsidRPr="005408F7" w:rsidRDefault="0024624B" w:rsidP="00693C0D">
      <w:pPr>
        <w:pStyle w:val="FootnoteText"/>
        <w:rPr>
          <w:color w:val="878787" w:themeColor="text2" w:themeTint="99"/>
          <w:lang w:val="en-US"/>
        </w:rPr>
      </w:pPr>
      <w:r>
        <w:rPr>
          <w:rStyle w:val="FootnoteReference"/>
          <w:i w:val="0"/>
          <w:color w:val="878787" w:themeColor="text2" w:themeTint="99"/>
          <w:position w:val="0"/>
        </w:rPr>
        <w:footnoteRef/>
      </w:r>
      <w:r w:rsidRPr="005408F7">
        <w:rPr>
          <w:color w:val="878787" w:themeColor="text2" w:themeTint="99"/>
          <w:lang w:val="en-US"/>
        </w:rPr>
        <w:t xml:space="preserve"> </w:t>
      </w:r>
      <w:hyperlink r:id="rId7">
        <w:r w:rsidRPr="005408F7">
          <w:rPr>
            <w:color w:val="878787" w:themeColor="text2" w:themeTint="99"/>
            <w:lang w:val="en-US"/>
          </w:rPr>
          <w:t xml:space="preserve"> «</w:t>
        </w:r>
        <w:r w:rsidRPr="005408F7">
          <w:rPr>
            <w:i/>
            <w:color w:val="878787" w:themeColor="text2" w:themeTint="99"/>
            <w:lang w:val="en-US"/>
          </w:rPr>
          <w:t>Technical Handbook on the Monitoring and Evaluation of the Common Agriculture Policy 2014-2020</w:t>
        </w:r>
        <w:r w:rsidRPr="005408F7">
          <w:rPr>
            <w:color w:val="878787" w:themeColor="text2" w:themeTint="99"/>
            <w:lang w:val="en-US"/>
          </w:rPr>
          <w:t xml:space="preserve">», </w:t>
        </w:r>
        <w:proofErr w:type="spellStart"/>
        <w:r w:rsidRPr="005408F7">
          <w:rPr>
            <w:color w:val="878787" w:themeColor="text2" w:themeTint="99"/>
            <w:lang w:val="en-US"/>
          </w:rPr>
          <w:t>Comissão</w:t>
        </w:r>
        <w:proofErr w:type="spellEnd"/>
        <w:r w:rsidRPr="005408F7">
          <w:rPr>
            <w:color w:val="878787" w:themeColor="text2" w:themeTint="99"/>
            <w:lang w:val="en-US"/>
          </w:rPr>
          <w:t xml:space="preserve"> </w:t>
        </w:r>
        <w:proofErr w:type="spellStart"/>
        <w:r w:rsidRPr="005408F7">
          <w:rPr>
            <w:color w:val="878787" w:themeColor="text2" w:themeTint="99"/>
            <w:lang w:val="en-US"/>
          </w:rPr>
          <w:t>Europeia</w:t>
        </w:r>
        <w:proofErr w:type="spellEnd"/>
        <w:r w:rsidRPr="005408F7">
          <w:rPr>
            <w:color w:val="878787" w:themeColor="text2" w:themeTint="99"/>
            <w:lang w:val="en-US"/>
          </w:rPr>
          <w:t xml:space="preserve">, </w:t>
        </w:r>
        <w:proofErr w:type="spellStart"/>
        <w:r w:rsidRPr="005408F7">
          <w:rPr>
            <w:color w:val="878787" w:themeColor="text2" w:themeTint="99"/>
            <w:lang w:val="en-US"/>
          </w:rPr>
          <w:t>julho</w:t>
        </w:r>
        <w:proofErr w:type="spellEnd"/>
        <w:r w:rsidRPr="005408F7">
          <w:rPr>
            <w:color w:val="878787" w:themeColor="text2" w:themeTint="99"/>
            <w:lang w:val="en-US"/>
          </w:rPr>
          <w:t xml:space="preserve"> de 2017</w:t>
        </w:r>
      </w:hyperlink>
      <w:r w:rsidRPr="005408F7">
        <w:rPr>
          <w:rStyle w:val="Hyperlink"/>
          <w:color w:val="878787" w:themeColor="text2" w:themeTint="99"/>
          <w:sz w:val="16"/>
          <w:u w:val="none"/>
          <w:lang w:val="en-US"/>
        </w:rPr>
        <w:t>.</w:t>
      </w:r>
    </w:p>
  </w:footnote>
  <w:footnote w:id="16">
    <w:p w:rsidR="0024624B" w:rsidRPr="003563F4" w:rsidRDefault="0024624B"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r>
        <w:rPr>
          <w:color w:val="878787" w:themeColor="text2" w:themeTint="99"/>
        </w:rPr>
        <w:t>Artigo 14.º do Regulamento (UE) n.º 808/2014.</w:t>
      </w:r>
    </w:p>
  </w:footnote>
  <w:footnote w:id="17">
    <w:p w:rsidR="0024624B" w:rsidRPr="003563F4" w:rsidRDefault="0024624B"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Anexo IV </w:t>
      </w:r>
      <w:r>
        <w:rPr>
          <w:color w:val="878787" w:themeColor="text2" w:themeTint="99"/>
        </w:rPr>
        <w:t>do Regulamento (UE) n.º 808/2014.</w:t>
      </w:r>
    </w:p>
  </w:footnote>
  <w:footnote w:id="18">
    <w:p w:rsidR="0024624B" w:rsidRPr="003563F4" w:rsidRDefault="0024624B"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Anexo V </w:t>
      </w:r>
      <w:r>
        <w:rPr>
          <w:color w:val="878787" w:themeColor="text2" w:themeTint="99"/>
        </w:rPr>
        <w:t>do Regulamento (UE) n.º 808/2014.</w:t>
      </w:r>
    </w:p>
  </w:footnote>
  <w:footnote w:id="19">
    <w:p w:rsidR="0024624B" w:rsidRPr="003563F4" w:rsidRDefault="0024624B"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Anexo VII, </w:t>
      </w:r>
      <w:r>
        <w:rPr>
          <w:color w:val="878787" w:themeColor="text2" w:themeTint="99"/>
        </w:rPr>
        <w:t>ponto 2, do Regulamento (UE) n.º 808/2014.</w:t>
      </w:r>
    </w:p>
  </w:footnote>
  <w:footnote w:id="20">
    <w:p w:rsidR="0024624B" w:rsidRPr="003563F4" w:rsidRDefault="0024624B"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Anexo I, </w:t>
      </w:r>
      <w:r>
        <w:rPr>
          <w:color w:val="878787" w:themeColor="text2" w:themeTint="99"/>
        </w:rPr>
        <w:t>parte 1, ponto 9, do Regulamento (UE) n.º 808/2014.</w:t>
      </w:r>
    </w:p>
  </w:footnote>
  <w:footnote w:id="21">
    <w:p w:rsidR="0024624B" w:rsidRPr="003563F4" w:rsidRDefault="0024624B"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Anexo VII, </w:t>
      </w:r>
      <w:r>
        <w:rPr>
          <w:color w:val="878787" w:themeColor="text2" w:themeTint="99"/>
        </w:rPr>
        <w:t>ponto 7, do Regulamento (UE) n.º 808/2014.</w:t>
      </w:r>
    </w:p>
  </w:footnote>
  <w:footnote w:id="22">
    <w:p w:rsidR="0024624B" w:rsidRPr="00E53246" w:rsidRDefault="0024624B" w:rsidP="00FC0340">
      <w:pPr>
        <w:pStyle w:val="FootnoteText"/>
      </w:pPr>
      <w:r>
        <w:rPr>
          <w:rStyle w:val="FootnoteReference"/>
          <w:color w:val="878787" w:themeColor="text2" w:themeTint="99"/>
        </w:rPr>
        <w:footnoteRef/>
      </w:r>
      <w:r>
        <w:rPr>
          <w:color w:val="878787" w:themeColor="text2" w:themeTint="99"/>
        </w:rPr>
        <w:t xml:space="preserve"> Anexo VI </w:t>
      </w:r>
      <w:r>
        <w:rPr>
          <w:color w:val="878787" w:themeColor="text2" w:themeTint="99"/>
        </w:rPr>
        <w:t>do Regulamento (UE) n.º 808/2014.</w:t>
      </w:r>
    </w:p>
  </w:footnote>
  <w:footnote w:id="23">
    <w:p w:rsidR="0024624B" w:rsidRPr="005408F7" w:rsidRDefault="0024624B">
      <w:pPr>
        <w:pStyle w:val="FootnoteText"/>
        <w:rPr>
          <w:lang w:val="en-US"/>
        </w:rPr>
      </w:pPr>
      <w:r>
        <w:rPr>
          <w:rStyle w:val="FootnoteReference"/>
          <w:color w:val="878787" w:themeColor="text2" w:themeTint="99"/>
        </w:rPr>
        <w:footnoteRef/>
      </w:r>
      <w:r w:rsidRPr="005408F7">
        <w:rPr>
          <w:color w:val="878787" w:themeColor="text2" w:themeTint="99"/>
          <w:lang w:val="en-US"/>
        </w:rPr>
        <w:t xml:space="preserve"> </w:t>
      </w:r>
      <w:hyperlink r:id="rId8">
        <w:r w:rsidRPr="005408F7">
          <w:rPr>
            <w:color w:val="878787" w:themeColor="text2" w:themeTint="99"/>
            <w:lang w:val="en-US"/>
          </w:rPr>
          <w:t xml:space="preserve"> «</w:t>
        </w:r>
        <w:r w:rsidRPr="005408F7">
          <w:rPr>
            <w:i/>
            <w:color w:val="878787" w:themeColor="text2" w:themeTint="99"/>
            <w:lang w:val="en-US"/>
          </w:rPr>
          <w:t>Technical Handbook on the Monitoring and Evaluation of the Common Agriculture Policy 2014-2020»</w:t>
        </w:r>
        <w:r w:rsidRPr="005408F7">
          <w:rPr>
            <w:color w:val="878787" w:themeColor="text2" w:themeTint="99"/>
            <w:lang w:val="en-US"/>
          </w:rPr>
          <w:t xml:space="preserve">, </w:t>
        </w:r>
        <w:proofErr w:type="spellStart"/>
        <w:r w:rsidRPr="005408F7">
          <w:rPr>
            <w:color w:val="878787" w:themeColor="text2" w:themeTint="99"/>
            <w:lang w:val="en-US"/>
          </w:rPr>
          <w:t>Comissão</w:t>
        </w:r>
        <w:proofErr w:type="spellEnd"/>
        <w:r w:rsidRPr="005408F7">
          <w:rPr>
            <w:color w:val="878787" w:themeColor="text2" w:themeTint="99"/>
            <w:lang w:val="en-US"/>
          </w:rPr>
          <w:t xml:space="preserve"> </w:t>
        </w:r>
        <w:proofErr w:type="spellStart"/>
        <w:r w:rsidRPr="005408F7">
          <w:rPr>
            <w:color w:val="878787" w:themeColor="text2" w:themeTint="99"/>
            <w:lang w:val="en-US"/>
          </w:rPr>
          <w:t>Europeia</w:t>
        </w:r>
        <w:proofErr w:type="spellEnd"/>
        <w:r w:rsidRPr="005408F7">
          <w:rPr>
            <w:color w:val="878787" w:themeColor="text2" w:themeTint="99"/>
            <w:lang w:val="en-US"/>
          </w:rPr>
          <w:t xml:space="preserve">, </w:t>
        </w:r>
        <w:proofErr w:type="spellStart"/>
        <w:r w:rsidRPr="005408F7">
          <w:rPr>
            <w:color w:val="878787" w:themeColor="text2" w:themeTint="99"/>
            <w:lang w:val="en-US"/>
          </w:rPr>
          <w:t>julho</w:t>
        </w:r>
        <w:proofErr w:type="spellEnd"/>
        <w:r w:rsidRPr="005408F7">
          <w:rPr>
            <w:color w:val="878787" w:themeColor="text2" w:themeTint="99"/>
            <w:lang w:val="en-US"/>
          </w:rPr>
          <w:t xml:space="preserve"> de 2017</w:t>
        </w:r>
      </w:hyperlink>
      <w:r w:rsidRPr="005408F7">
        <w:rPr>
          <w:rStyle w:val="Hyperlink"/>
          <w:color w:val="878787" w:themeColor="text2" w:themeTint="99"/>
          <w:sz w:val="16"/>
          <w:u w:val="none"/>
          <w:lang w:val="en-US"/>
        </w:rPr>
        <w:t>.</w:t>
      </w:r>
    </w:p>
  </w:footnote>
  <w:footnote w:id="24">
    <w:p w:rsidR="0024624B" w:rsidRPr="000D3DB8" w:rsidRDefault="0024624B" w:rsidP="00176032">
      <w:pPr>
        <w:pStyle w:val="FootnoteText"/>
        <w:rPr>
          <w:rStyle w:val="Hyperlink"/>
          <w:sz w:val="16"/>
          <w:szCs w:val="16"/>
        </w:rPr>
      </w:pPr>
      <w:r>
        <w:rPr>
          <w:rStyle w:val="FootnoteReference"/>
          <w:color w:val="878787" w:themeColor="text2" w:themeTint="99"/>
        </w:rPr>
        <w:footnoteRef/>
      </w:r>
      <w:r>
        <w:rPr>
          <w:color w:val="878787" w:themeColor="text2" w:themeTint="99"/>
        </w:rPr>
        <w:t xml:space="preserve"> </w:t>
      </w:r>
      <w:r>
        <w:t>Estão disponíveis mais informações sobre o ciclo de avaliação nas orientações</w:t>
      </w:r>
      <w:r>
        <w:rPr>
          <w:color w:val="878787" w:themeColor="text2" w:themeTint="99"/>
        </w:rPr>
        <w:t xml:space="preserve"> «</w:t>
      </w:r>
      <w:hyperlink r:id="rId9">
        <w:r>
          <w:rPr>
            <w:rStyle w:val="Hyperlink"/>
            <w:i/>
            <w:sz w:val="16"/>
          </w:rPr>
          <w:t>Assessment of RDP results:</w:t>
        </w:r>
        <w:r>
          <w:rPr>
            <w:rStyle w:val="Hyperlink"/>
            <w:sz w:val="16"/>
          </w:rPr>
          <w:t xml:space="preserve"> </w:t>
        </w:r>
        <w:r>
          <w:rPr>
            <w:rStyle w:val="Hyperlink"/>
            <w:i/>
            <w:sz w:val="16"/>
          </w:rPr>
          <w:t>how to prepare for reporting on evaluation in 2017</w:t>
        </w:r>
      </w:hyperlink>
      <w:r>
        <w:t>».</w:t>
      </w:r>
    </w:p>
  </w:footnote>
  <w:footnote w:id="25">
    <w:p w:rsidR="0024624B" w:rsidRPr="00E53246" w:rsidRDefault="0024624B" w:rsidP="000D3DB8">
      <w:pPr>
        <w:pStyle w:val="FootnoteText"/>
      </w:pPr>
      <w:r>
        <w:rPr>
          <w:rStyle w:val="FootnoteReference"/>
          <w:color w:val="878787" w:themeColor="text2" w:themeTint="99"/>
        </w:rPr>
        <w:footnoteRef/>
      </w:r>
      <w:r>
        <w:t xml:space="preserve"> </w:t>
      </w:r>
      <w:r>
        <w:t>AG – Autoridade de gestão, CA – Comité de acompanhamento, AP – Organismo pagador, UAv – Unidade de avaliação, GDA – Grupo diretor de avaliação, Av – Avaliadores, FD – Fornecedores de dados, O – Outros.</w:t>
      </w:r>
    </w:p>
  </w:footnote>
  <w:footnote w:id="26">
    <w:p w:rsidR="0024624B" w:rsidRPr="00274AB7" w:rsidRDefault="0024624B">
      <w:pPr>
        <w:pStyle w:val="FootnoteText"/>
      </w:pPr>
      <w:r>
        <w:rPr>
          <w:rStyle w:val="FootnoteReference"/>
          <w:color w:val="878787" w:themeColor="text2" w:themeTint="99"/>
        </w:rPr>
        <w:footnoteRef/>
      </w:r>
      <w:r>
        <w:rPr>
          <w:color w:val="878787" w:themeColor="text2" w:themeTint="99"/>
        </w:rPr>
        <w:t xml:space="preserve"> </w:t>
      </w:r>
      <w:r>
        <w:rPr>
          <w:color w:val="878787" w:themeColor="text2" w:themeTint="99"/>
        </w:rPr>
        <w:t>O projeto ENVIEVAL foi um projeto de colaboração a nível europeu (acordo de subvenção n.º 312071), financiado pelo Sétimo Programa-Quadro de Investigação, Desenvolvimento Tecnológico e Demonstração, entre janeiro de 2013 e dezembro de 2015.</w:t>
      </w:r>
    </w:p>
  </w:footnote>
  <w:footnote w:id="27">
    <w:p w:rsidR="0024624B" w:rsidRPr="005408F7" w:rsidRDefault="0024624B">
      <w:pPr>
        <w:pStyle w:val="FootnoteText"/>
        <w:rPr>
          <w:lang w:val="en-US"/>
        </w:rPr>
      </w:pPr>
      <w:r>
        <w:rPr>
          <w:rStyle w:val="FootnoteReference"/>
          <w:color w:val="878787" w:themeColor="text2" w:themeTint="99"/>
        </w:rPr>
        <w:footnoteRef/>
      </w:r>
      <w:r w:rsidRPr="005408F7">
        <w:rPr>
          <w:lang w:val="en-US"/>
        </w:rPr>
        <w:t xml:space="preserve"> «</w:t>
      </w:r>
      <w:r w:rsidRPr="005408F7">
        <w:rPr>
          <w:i/>
          <w:lang w:val="en-US"/>
        </w:rPr>
        <w:t>Methodological Handbook for the evaluation of environmental impacts of RDPs:</w:t>
      </w:r>
      <w:r w:rsidRPr="005408F7">
        <w:rPr>
          <w:lang w:val="en-US"/>
        </w:rPr>
        <w:t xml:space="preserve"> </w:t>
      </w:r>
      <w:r w:rsidRPr="005408F7">
        <w:rPr>
          <w:i/>
          <w:lang w:val="en-US"/>
        </w:rPr>
        <w:t xml:space="preserve">Report </w:t>
      </w:r>
      <w:proofErr w:type="spellStart"/>
      <w:r w:rsidRPr="005408F7">
        <w:rPr>
          <w:i/>
          <w:lang w:val="en-US"/>
        </w:rPr>
        <w:t>D9.5</w:t>
      </w:r>
      <w:proofErr w:type="spellEnd"/>
      <w:r w:rsidRPr="005408F7">
        <w:rPr>
          <w:i/>
          <w:lang w:val="en-US"/>
        </w:rPr>
        <w:t xml:space="preserve">», </w:t>
      </w:r>
      <w:proofErr w:type="spellStart"/>
      <w:r w:rsidRPr="005408F7">
        <w:rPr>
          <w:lang w:val="en-US"/>
        </w:rPr>
        <w:t>projeto</w:t>
      </w:r>
      <w:proofErr w:type="spellEnd"/>
      <w:r w:rsidRPr="005408F7">
        <w:rPr>
          <w:lang w:val="en-US"/>
        </w:rPr>
        <w:t xml:space="preserve"> </w:t>
      </w:r>
      <w:proofErr w:type="spellStart"/>
      <w:r w:rsidRPr="005408F7">
        <w:rPr>
          <w:lang w:val="en-US"/>
        </w:rPr>
        <w:t>ENVIEVAL</w:t>
      </w:r>
      <w:proofErr w:type="spellEnd"/>
      <w:r w:rsidRPr="005408F7">
        <w:rPr>
          <w:lang w:val="en-US"/>
        </w:rPr>
        <w:t xml:space="preserve"> (</w:t>
      </w:r>
      <w:proofErr w:type="spellStart"/>
      <w:r w:rsidRPr="005408F7">
        <w:rPr>
          <w:lang w:val="en-US"/>
        </w:rPr>
        <w:t>acordo</w:t>
      </w:r>
      <w:proofErr w:type="spellEnd"/>
      <w:r w:rsidRPr="005408F7">
        <w:rPr>
          <w:lang w:val="en-US"/>
        </w:rPr>
        <w:t xml:space="preserve"> de </w:t>
      </w:r>
      <w:proofErr w:type="spellStart"/>
      <w:r w:rsidRPr="005408F7">
        <w:rPr>
          <w:lang w:val="en-US"/>
        </w:rPr>
        <w:t>subvenção</w:t>
      </w:r>
      <w:proofErr w:type="spellEnd"/>
      <w:r w:rsidRPr="005408F7">
        <w:rPr>
          <w:lang w:val="en-US"/>
        </w:rPr>
        <w:t xml:space="preserve"> n.º 312071</w:t>
      </w:r>
      <w:r w:rsidRPr="005408F7">
        <w:rPr>
          <w:i/>
          <w:lang w:val="en-US"/>
        </w:rPr>
        <w:t>).</w:t>
      </w:r>
      <w:r w:rsidRPr="005408F7">
        <w:rPr>
          <w:lang w:val="en-US"/>
        </w:rPr>
        <w:t xml:space="preserve"> </w:t>
      </w:r>
      <w:proofErr w:type="spellStart"/>
      <w:r w:rsidRPr="005408F7">
        <w:rPr>
          <w:lang w:val="en-US"/>
        </w:rPr>
        <w:t>Bruxelas</w:t>
      </w:r>
      <w:proofErr w:type="spellEnd"/>
      <w:r w:rsidRPr="005408F7">
        <w:rPr>
          <w:lang w:val="en-US"/>
        </w:rPr>
        <w:t xml:space="preserve">: </w:t>
      </w:r>
      <w:proofErr w:type="spellStart"/>
      <w:r w:rsidRPr="005408F7">
        <w:rPr>
          <w:lang w:val="en-US"/>
        </w:rPr>
        <w:t>Comissão</w:t>
      </w:r>
      <w:proofErr w:type="spellEnd"/>
      <w:r w:rsidRPr="005408F7">
        <w:rPr>
          <w:lang w:val="en-US"/>
        </w:rPr>
        <w:t xml:space="preserve"> </w:t>
      </w:r>
      <w:proofErr w:type="spellStart"/>
      <w:r w:rsidRPr="005408F7">
        <w:rPr>
          <w:lang w:val="en-US"/>
        </w:rPr>
        <w:t>Europeia</w:t>
      </w:r>
      <w:proofErr w:type="spellEnd"/>
      <w:r w:rsidRPr="005408F7">
        <w:rPr>
          <w:lang w:val="en-US"/>
        </w:rPr>
        <w:t xml:space="preserve">, </w:t>
      </w:r>
      <w:proofErr w:type="spellStart"/>
      <w:r w:rsidRPr="005408F7">
        <w:rPr>
          <w:lang w:val="en-US"/>
        </w:rPr>
        <w:t>Morkvenas</w:t>
      </w:r>
      <w:proofErr w:type="spellEnd"/>
      <w:r w:rsidRPr="005408F7">
        <w:rPr>
          <w:lang w:val="en-US"/>
        </w:rPr>
        <w:t xml:space="preserve"> Z, </w:t>
      </w:r>
      <w:proofErr w:type="spellStart"/>
      <w:r w:rsidRPr="005408F7">
        <w:rPr>
          <w:lang w:val="en-US"/>
        </w:rPr>
        <w:t>Navickas</w:t>
      </w:r>
      <w:proofErr w:type="spellEnd"/>
      <w:r w:rsidRPr="005408F7">
        <w:rPr>
          <w:lang w:val="en-US"/>
        </w:rPr>
        <w:t xml:space="preserve"> K, </w:t>
      </w:r>
      <w:proofErr w:type="spellStart"/>
      <w:r w:rsidRPr="005408F7">
        <w:rPr>
          <w:lang w:val="en-US"/>
        </w:rPr>
        <w:t>Gulbinas</w:t>
      </w:r>
      <w:proofErr w:type="spellEnd"/>
      <w:r w:rsidRPr="005408F7">
        <w:rPr>
          <w:lang w:val="en-US"/>
        </w:rPr>
        <w:t xml:space="preserve"> J, </w:t>
      </w:r>
      <w:proofErr w:type="spellStart"/>
      <w:r w:rsidRPr="005408F7">
        <w:rPr>
          <w:lang w:val="en-US"/>
        </w:rPr>
        <w:t>Jefanovas</w:t>
      </w:r>
      <w:proofErr w:type="spellEnd"/>
      <w:r w:rsidRPr="005408F7">
        <w:rPr>
          <w:lang w:val="en-US"/>
        </w:rPr>
        <w:t xml:space="preserve"> A, Schwarz G, Wolff A, </w:t>
      </w:r>
      <w:proofErr w:type="spellStart"/>
      <w:r w:rsidRPr="005408F7">
        <w:rPr>
          <w:lang w:val="en-US"/>
        </w:rPr>
        <w:t>Offermann</w:t>
      </w:r>
      <w:proofErr w:type="spellEnd"/>
      <w:r w:rsidRPr="005408F7">
        <w:rPr>
          <w:lang w:val="en-US"/>
        </w:rPr>
        <w:t xml:space="preserve"> F, </w:t>
      </w:r>
      <w:proofErr w:type="spellStart"/>
      <w:r w:rsidRPr="005408F7">
        <w:rPr>
          <w:lang w:val="en-US"/>
        </w:rPr>
        <w:t>Osterburg</w:t>
      </w:r>
      <w:proofErr w:type="spellEnd"/>
      <w:r w:rsidRPr="005408F7">
        <w:rPr>
          <w:lang w:val="en-US"/>
        </w:rPr>
        <w:t xml:space="preserve"> B, </w:t>
      </w:r>
      <w:proofErr w:type="spellStart"/>
      <w:r w:rsidRPr="005408F7">
        <w:rPr>
          <w:lang w:val="en-US"/>
        </w:rPr>
        <w:t>Aalders</w:t>
      </w:r>
      <w:proofErr w:type="spellEnd"/>
      <w:r w:rsidRPr="005408F7">
        <w:rPr>
          <w:lang w:val="en-US"/>
        </w:rPr>
        <w:t xml:space="preserve"> I, Miller D, Morrice J, Vlahos G, </w:t>
      </w:r>
      <w:proofErr w:type="spellStart"/>
      <w:r w:rsidRPr="005408F7">
        <w:rPr>
          <w:lang w:val="en-US"/>
        </w:rPr>
        <w:t>Smyrniotopoulou</w:t>
      </w:r>
      <w:proofErr w:type="spellEnd"/>
      <w:r w:rsidRPr="005408F7">
        <w:rPr>
          <w:lang w:val="en-US"/>
        </w:rPr>
        <w:t xml:space="preserve"> A, </w:t>
      </w:r>
      <w:proofErr w:type="spellStart"/>
      <w:r w:rsidRPr="005408F7">
        <w:rPr>
          <w:lang w:val="en-US"/>
        </w:rPr>
        <w:t>Artell</w:t>
      </w:r>
      <w:proofErr w:type="spellEnd"/>
      <w:r w:rsidRPr="005408F7">
        <w:rPr>
          <w:lang w:val="en-US"/>
        </w:rPr>
        <w:t xml:space="preserve"> J, </w:t>
      </w:r>
      <w:proofErr w:type="spellStart"/>
      <w:r w:rsidRPr="005408F7">
        <w:rPr>
          <w:lang w:val="en-US"/>
        </w:rPr>
        <w:t>Aakkula</w:t>
      </w:r>
      <w:proofErr w:type="spellEnd"/>
      <w:r w:rsidRPr="005408F7">
        <w:rPr>
          <w:lang w:val="en-US"/>
        </w:rPr>
        <w:t xml:space="preserve"> J, </w:t>
      </w:r>
      <w:proofErr w:type="spellStart"/>
      <w:r w:rsidRPr="005408F7">
        <w:rPr>
          <w:lang w:val="en-US"/>
        </w:rPr>
        <w:t>Toikkanen</w:t>
      </w:r>
      <w:proofErr w:type="spellEnd"/>
      <w:r w:rsidRPr="005408F7">
        <w:rPr>
          <w:lang w:val="en-US"/>
        </w:rPr>
        <w:t xml:space="preserve"> H, </w:t>
      </w:r>
      <w:proofErr w:type="spellStart"/>
      <w:r w:rsidRPr="005408F7">
        <w:rPr>
          <w:lang w:val="en-US"/>
        </w:rPr>
        <w:t>Povellato</w:t>
      </w:r>
      <w:proofErr w:type="spellEnd"/>
      <w:r w:rsidRPr="005408F7">
        <w:rPr>
          <w:lang w:val="en-US"/>
        </w:rPr>
        <w:t xml:space="preserve"> A, </w:t>
      </w:r>
      <w:proofErr w:type="spellStart"/>
      <w:r w:rsidRPr="005408F7">
        <w:rPr>
          <w:lang w:val="en-US"/>
        </w:rPr>
        <w:t>Longhitano</w:t>
      </w:r>
      <w:proofErr w:type="spellEnd"/>
      <w:r w:rsidRPr="005408F7">
        <w:rPr>
          <w:lang w:val="en-US"/>
        </w:rPr>
        <w:t xml:space="preserve"> D, </w:t>
      </w:r>
      <w:proofErr w:type="spellStart"/>
      <w:r w:rsidRPr="005408F7">
        <w:rPr>
          <w:lang w:val="en-US"/>
        </w:rPr>
        <w:t>Lasorella</w:t>
      </w:r>
      <w:proofErr w:type="spellEnd"/>
      <w:r w:rsidRPr="005408F7">
        <w:rPr>
          <w:lang w:val="en-US"/>
        </w:rPr>
        <w:t xml:space="preserve"> V, </w:t>
      </w:r>
      <w:proofErr w:type="spellStart"/>
      <w:r w:rsidRPr="005408F7">
        <w:rPr>
          <w:lang w:val="en-US"/>
        </w:rPr>
        <w:t>Balazs</w:t>
      </w:r>
      <w:proofErr w:type="spellEnd"/>
      <w:r w:rsidRPr="005408F7">
        <w:rPr>
          <w:lang w:val="en-US"/>
        </w:rPr>
        <w:t xml:space="preserve"> K, </w:t>
      </w:r>
      <w:r w:rsidRPr="005408F7">
        <w:rPr>
          <w:i/>
          <w:lang w:val="en-US"/>
        </w:rPr>
        <w:t>et al</w:t>
      </w:r>
      <w:r w:rsidRPr="005408F7">
        <w:rPr>
          <w:lang w:val="en-US"/>
        </w:rPr>
        <w:t xml:space="preserve"> (2015), p 152.</w:t>
      </w:r>
    </w:p>
  </w:footnote>
  <w:footnote w:id="28">
    <w:p w:rsidR="0024624B" w:rsidRPr="00E53246" w:rsidRDefault="0024624B" w:rsidP="00820050">
      <w:pPr>
        <w:pStyle w:val="FootnoteText"/>
      </w:pPr>
      <w:r>
        <w:rPr>
          <w:rStyle w:val="FootnoteReference"/>
          <w:color w:val="878787" w:themeColor="text2" w:themeTint="99"/>
        </w:rPr>
        <w:footnoteRef/>
      </w:r>
      <w:r>
        <w:rPr>
          <w:color w:val="878787" w:themeColor="text2" w:themeTint="99"/>
        </w:rPr>
        <w:t xml:space="preserve"> </w:t>
      </w:r>
      <w:r>
        <w:t>As etapas a seguir na avaliação líquida dos impactos do PDR são descritas pormenorizadamente nas «</w:t>
      </w:r>
      <w:hyperlink r:id="rId10">
        <w:r>
          <w:rPr>
            <w:rStyle w:val="Hyperlink"/>
            <w:i/>
            <w:sz w:val="16"/>
          </w:rPr>
          <w:t>Guidelines for the ex post evaluation of 2007-2013 RDPs</w:t>
        </w:r>
      </w:hyperlink>
      <w:r>
        <w:t>», nomeadamente nos capítulos 4.2.3 e 4.2.4.</w:t>
      </w:r>
    </w:p>
  </w:footnote>
  <w:footnote w:id="29">
    <w:p w:rsidR="0024624B" w:rsidRPr="00586D0B" w:rsidRDefault="0024624B" w:rsidP="00B9614C">
      <w:pPr>
        <w:pStyle w:val="FootnoteText"/>
      </w:pPr>
      <w:r>
        <w:rPr>
          <w:rStyle w:val="FootnoteReference"/>
          <w:color w:val="878787" w:themeColor="text2" w:themeTint="99"/>
        </w:rPr>
        <w:footnoteRef/>
      </w:r>
      <w:r w:rsidRPr="00586D0B">
        <w:t xml:space="preserve"> Para </w:t>
      </w:r>
      <w:r w:rsidRPr="00586D0B">
        <w:t>mais informações, consultar: «</w:t>
      </w:r>
      <w:r w:rsidRPr="00586D0B">
        <w:rPr>
          <w:i/>
        </w:rPr>
        <w:t>Landscape-moderated biodiversity effects of agri-environmental management:</w:t>
      </w:r>
      <w:r w:rsidRPr="00586D0B">
        <w:t xml:space="preserve"> </w:t>
      </w:r>
      <w:r w:rsidRPr="00586D0B">
        <w:rPr>
          <w:i/>
        </w:rPr>
        <w:t>a meta-analysis», Proceedings.</w:t>
      </w:r>
      <w:r w:rsidRPr="00586D0B">
        <w:t xml:space="preserve"> </w:t>
      </w:r>
      <w:r w:rsidRPr="00586D0B">
        <w:rPr>
          <w:i/>
        </w:rPr>
        <w:t>Biological sciences / The Royal Society, 278(1713):</w:t>
      </w:r>
      <w:r w:rsidRPr="00586D0B">
        <w:t xml:space="preserve"> </w:t>
      </w:r>
      <w:r w:rsidRPr="00586D0B">
        <w:rPr>
          <w:i/>
        </w:rPr>
        <w:t>1894–1902, Batáry P, Báldi A, Kleijn D, Tscharntke T, (2011).</w:t>
      </w:r>
      <w:r w:rsidRPr="00586D0B">
        <w:t xml:space="preserve"> </w:t>
      </w:r>
    </w:p>
  </w:footnote>
  <w:footnote w:id="30">
    <w:p w:rsidR="0024624B" w:rsidRPr="00586D0B" w:rsidRDefault="0024624B" w:rsidP="00FC012D">
      <w:pPr>
        <w:pStyle w:val="FootnoteText"/>
      </w:pPr>
      <w:r>
        <w:rPr>
          <w:rStyle w:val="FootnoteReference"/>
          <w:color w:val="878787" w:themeColor="text2" w:themeTint="99"/>
        </w:rPr>
        <w:footnoteRef/>
      </w:r>
      <w:r w:rsidRPr="00586D0B">
        <w:rPr>
          <w:color w:val="878787" w:themeColor="text2" w:themeTint="99"/>
        </w:rPr>
        <w:t xml:space="preserve"> </w:t>
      </w:r>
      <w:r w:rsidRPr="00586D0B">
        <w:t xml:space="preserve">Para </w:t>
      </w:r>
      <w:r w:rsidRPr="00586D0B">
        <w:t>mais informações, consultar: «</w:t>
      </w:r>
      <w:r w:rsidRPr="00586D0B">
        <w:rPr>
          <w:i/>
        </w:rPr>
        <w:t>Organic farming at local and landscape scales benefits plant diversity», Ecography 33(3):</w:t>
      </w:r>
      <w:r w:rsidRPr="00586D0B">
        <w:t xml:space="preserve"> </w:t>
      </w:r>
      <w:r w:rsidRPr="00586D0B">
        <w:rPr>
          <w:i/>
        </w:rPr>
        <w:t>514- 522, Rundlöf M, Edlund M, Smith HG, (2009).</w:t>
      </w:r>
      <w:r w:rsidRPr="00586D0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624B" w:rsidRPr="00E4509B" w:rsidRDefault="0024624B" w:rsidP="008D52EA">
    <w:pPr>
      <w:pStyle w:val="Header"/>
    </w:pPr>
    <w:r>
      <w:tab/>
    </w:r>
    <w:r>
      <w:t>Parte I – Quais as informações sobre a avaliação que devem ser comunicadas no relatório anual de execução (RAE) de 2019?</w:t>
    </w:r>
  </w:p>
  <w:p w:rsidR="0024624B" w:rsidRPr="002C3379" w:rsidRDefault="0024624B" w:rsidP="00E450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624B" w:rsidRDefault="0024624B" w:rsidP="000412E5">
    <w:pPr>
      <w:pStyle w:val="Header"/>
      <w:tabs>
        <w:tab w:val="clear" w:pos="9072"/>
        <w:tab w:val="right" w:pos="14175"/>
      </w:tabs>
    </w:pPr>
    <w:r>
      <w:tab/>
      <w:t xml:space="preserve">Parte </w:t>
    </w:r>
    <w:r>
      <w:t>III – Fichas para responder às QAC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700E3"/>
    <w:multiLevelType w:val="hybridMultilevel"/>
    <w:tmpl w:val="4C805968"/>
    <w:lvl w:ilvl="0" w:tplc="12F6D094">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7E1094"/>
    <w:multiLevelType w:val="multilevel"/>
    <w:tmpl w:val="9552195C"/>
    <w:lvl w:ilvl="0">
      <w:start w:val="1"/>
      <w:numFmt w:val="decimal"/>
      <w:pStyle w:val="Subtitle"/>
      <w:lvlText w:val="Table %1"/>
      <w:lvlJc w:val="left"/>
      <w:pPr>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F342A9"/>
    <w:multiLevelType w:val="hybridMultilevel"/>
    <w:tmpl w:val="F04C2544"/>
    <w:lvl w:ilvl="0" w:tplc="8C24ADFE">
      <w:start w:val="1"/>
      <w:numFmt w:val="decimal"/>
      <w:lvlText w:val="%1."/>
      <w:lvlJc w:val="left"/>
      <w:pPr>
        <w:ind w:left="720" w:hanging="360"/>
      </w:pPr>
      <w:rPr>
        <w:rFonts w:hint="default"/>
        <w:u w:val="single"/>
      </w:rPr>
    </w:lvl>
    <w:lvl w:ilvl="1" w:tplc="041B0019">
      <w:start w:val="1"/>
      <w:numFmt w:val="lowerLetter"/>
      <w:lvlText w:val="%2."/>
      <w:lvlJc w:val="left"/>
      <w:pPr>
        <w:ind w:left="1440" w:hanging="360"/>
      </w:pPr>
    </w:lvl>
    <w:lvl w:ilvl="2" w:tplc="F7D8BF0E">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CB28B3"/>
    <w:multiLevelType w:val="hybridMultilevel"/>
    <w:tmpl w:val="4A3C5D2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7"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57825E"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373737"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27FC8"/>
    <w:multiLevelType w:val="hybridMultilevel"/>
    <w:tmpl w:val="FA02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A4DA5"/>
    <w:multiLevelType w:val="multilevel"/>
    <w:tmpl w:val="0E4CF658"/>
    <w:styleLink w:v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13FF8"/>
    <w:multiLevelType w:val="hybridMultilevel"/>
    <w:tmpl w:val="B9964EBC"/>
    <w:lvl w:ilvl="0" w:tplc="041B0001">
      <w:start w:val="1"/>
      <w:numFmt w:val="bullet"/>
      <w:lvlText w:val=""/>
      <w:lvlJc w:val="left"/>
      <w:pPr>
        <w:ind w:left="775" w:hanging="360"/>
      </w:pPr>
      <w:rPr>
        <w:rFonts w:ascii="Symbol" w:hAnsi="Symbol" w:hint="default"/>
      </w:rPr>
    </w:lvl>
    <w:lvl w:ilvl="1" w:tplc="041B0003" w:tentative="1">
      <w:start w:val="1"/>
      <w:numFmt w:val="bullet"/>
      <w:lvlText w:val="o"/>
      <w:lvlJc w:val="left"/>
      <w:pPr>
        <w:ind w:left="1495" w:hanging="360"/>
      </w:pPr>
      <w:rPr>
        <w:rFonts w:ascii="Courier New" w:hAnsi="Courier New" w:cs="Courier New" w:hint="default"/>
      </w:rPr>
    </w:lvl>
    <w:lvl w:ilvl="2" w:tplc="041B0005" w:tentative="1">
      <w:start w:val="1"/>
      <w:numFmt w:val="bullet"/>
      <w:lvlText w:val=""/>
      <w:lvlJc w:val="left"/>
      <w:pPr>
        <w:ind w:left="2215" w:hanging="360"/>
      </w:pPr>
      <w:rPr>
        <w:rFonts w:ascii="Wingdings" w:hAnsi="Wingdings" w:hint="default"/>
      </w:rPr>
    </w:lvl>
    <w:lvl w:ilvl="3" w:tplc="041B0001" w:tentative="1">
      <w:start w:val="1"/>
      <w:numFmt w:val="bullet"/>
      <w:lvlText w:val=""/>
      <w:lvlJc w:val="left"/>
      <w:pPr>
        <w:ind w:left="2935" w:hanging="360"/>
      </w:pPr>
      <w:rPr>
        <w:rFonts w:ascii="Symbol" w:hAnsi="Symbol" w:hint="default"/>
      </w:rPr>
    </w:lvl>
    <w:lvl w:ilvl="4" w:tplc="041B0003" w:tentative="1">
      <w:start w:val="1"/>
      <w:numFmt w:val="bullet"/>
      <w:lvlText w:val="o"/>
      <w:lvlJc w:val="left"/>
      <w:pPr>
        <w:ind w:left="3655" w:hanging="360"/>
      </w:pPr>
      <w:rPr>
        <w:rFonts w:ascii="Courier New" w:hAnsi="Courier New" w:cs="Courier New" w:hint="default"/>
      </w:rPr>
    </w:lvl>
    <w:lvl w:ilvl="5" w:tplc="041B0005" w:tentative="1">
      <w:start w:val="1"/>
      <w:numFmt w:val="bullet"/>
      <w:lvlText w:val=""/>
      <w:lvlJc w:val="left"/>
      <w:pPr>
        <w:ind w:left="4375" w:hanging="360"/>
      </w:pPr>
      <w:rPr>
        <w:rFonts w:ascii="Wingdings" w:hAnsi="Wingdings" w:hint="default"/>
      </w:rPr>
    </w:lvl>
    <w:lvl w:ilvl="6" w:tplc="041B0001" w:tentative="1">
      <w:start w:val="1"/>
      <w:numFmt w:val="bullet"/>
      <w:lvlText w:val=""/>
      <w:lvlJc w:val="left"/>
      <w:pPr>
        <w:ind w:left="5095" w:hanging="360"/>
      </w:pPr>
      <w:rPr>
        <w:rFonts w:ascii="Symbol" w:hAnsi="Symbol" w:hint="default"/>
      </w:rPr>
    </w:lvl>
    <w:lvl w:ilvl="7" w:tplc="041B0003" w:tentative="1">
      <w:start w:val="1"/>
      <w:numFmt w:val="bullet"/>
      <w:lvlText w:val="o"/>
      <w:lvlJc w:val="left"/>
      <w:pPr>
        <w:ind w:left="5815" w:hanging="360"/>
      </w:pPr>
      <w:rPr>
        <w:rFonts w:ascii="Courier New" w:hAnsi="Courier New" w:cs="Courier New" w:hint="default"/>
      </w:rPr>
    </w:lvl>
    <w:lvl w:ilvl="8" w:tplc="041B0005" w:tentative="1">
      <w:start w:val="1"/>
      <w:numFmt w:val="bullet"/>
      <w:lvlText w:val=""/>
      <w:lvlJc w:val="left"/>
      <w:pPr>
        <w:ind w:left="6535" w:hanging="360"/>
      </w:pPr>
      <w:rPr>
        <w:rFonts w:ascii="Wingdings" w:hAnsi="Wingdings" w:hint="default"/>
      </w:rPr>
    </w:lvl>
  </w:abstractNum>
  <w:abstractNum w:abstractNumId="12" w15:restartNumberingAfterBreak="0">
    <w:nsid w:val="310547BD"/>
    <w:multiLevelType w:val="hybridMultilevel"/>
    <w:tmpl w:val="70BAE8C6"/>
    <w:lvl w:ilvl="0" w:tplc="7264BFF4">
      <w:start w:val="1"/>
      <w:numFmt w:val="decimal"/>
      <w:pStyle w:val="HHeadingfigures"/>
      <w:lvlText w:val="Figure %1."/>
      <w:lvlJc w:val="left"/>
      <w:pPr>
        <w:tabs>
          <w:tab w:val="num" w:pos="964"/>
        </w:tabs>
        <w:ind w:left="964" w:hanging="964"/>
      </w:pPr>
      <w:rPr>
        <w:rFonts w:hint="default"/>
        <w:b/>
        <w:bCs w:val="0"/>
        <w:i w:val="0"/>
        <w:iCs w:val="0"/>
        <w:caps w:val="0"/>
        <w:smallCaps w:val="0"/>
        <w:strike w:val="0"/>
        <w:dstrike w:val="0"/>
        <w:noProof w:val="0"/>
        <w:vanish w:val="0"/>
        <w:color w:val="373737" w:themeColor="tex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BC6932"/>
    <w:multiLevelType w:val="hybridMultilevel"/>
    <w:tmpl w:val="BBBE01C4"/>
    <w:lvl w:ilvl="0" w:tplc="91608FB0">
      <w:start w:val="1"/>
      <w:numFmt w:val="bullet"/>
      <w:pStyle w:val="Hlistbullet"/>
      <w:lvlText w:val=""/>
      <w:lvlJc w:val="left"/>
      <w:pPr>
        <w:ind w:left="928" w:hanging="360"/>
      </w:pPr>
      <w:rPr>
        <w:rFonts w:ascii="Symbol" w:hAnsi="Symbol"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677474"/>
    <w:multiLevelType w:val="hybridMultilevel"/>
    <w:tmpl w:val="9DC6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53EAC4D6"/>
    <w:lvl w:ilvl="0" w:tplc="E8C0D4C0">
      <w:start w:val="1"/>
      <w:numFmt w:val="decimal"/>
      <w:pStyle w:val="HHeadingtables"/>
      <w:lvlText w:val="Table %1."/>
      <w:lvlJc w:val="left"/>
      <w:pPr>
        <w:ind w:left="360" w:hanging="360"/>
      </w:pPr>
      <w:rPr>
        <w:specVanish w:val="0"/>
      </w:rPr>
    </w:lvl>
    <w:lvl w:ilvl="1" w:tplc="04070019" w:tentative="1">
      <w:start w:val="1"/>
      <w:numFmt w:val="lowerLetter"/>
      <w:lvlText w:val="%2."/>
      <w:lvlJc w:val="left"/>
      <w:pPr>
        <w:ind w:left="-829" w:hanging="360"/>
      </w:pPr>
    </w:lvl>
    <w:lvl w:ilvl="2" w:tplc="0407001B" w:tentative="1">
      <w:start w:val="1"/>
      <w:numFmt w:val="lowerRoman"/>
      <w:lvlText w:val="%3."/>
      <w:lvlJc w:val="right"/>
      <w:pPr>
        <w:ind w:left="-109" w:hanging="180"/>
      </w:pPr>
    </w:lvl>
    <w:lvl w:ilvl="3" w:tplc="0407000F" w:tentative="1">
      <w:start w:val="1"/>
      <w:numFmt w:val="decimal"/>
      <w:lvlText w:val="%4."/>
      <w:lvlJc w:val="left"/>
      <w:pPr>
        <w:ind w:left="611" w:hanging="360"/>
      </w:pPr>
    </w:lvl>
    <w:lvl w:ilvl="4" w:tplc="04070019" w:tentative="1">
      <w:start w:val="1"/>
      <w:numFmt w:val="lowerLetter"/>
      <w:lvlText w:val="%5."/>
      <w:lvlJc w:val="left"/>
      <w:pPr>
        <w:ind w:left="1331" w:hanging="360"/>
      </w:pPr>
    </w:lvl>
    <w:lvl w:ilvl="5" w:tplc="0407001B" w:tentative="1">
      <w:start w:val="1"/>
      <w:numFmt w:val="lowerRoman"/>
      <w:lvlText w:val="%6."/>
      <w:lvlJc w:val="right"/>
      <w:pPr>
        <w:ind w:left="2051" w:hanging="180"/>
      </w:pPr>
    </w:lvl>
    <w:lvl w:ilvl="6" w:tplc="0407000F" w:tentative="1">
      <w:start w:val="1"/>
      <w:numFmt w:val="decimal"/>
      <w:lvlText w:val="%7."/>
      <w:lvlJc w:val="left"/>
      <w:pPr>
        <w:ind w:left="2771" w:hanging="360"/>
      </w:pPr>
    </w:lvl>
    <w:lvl w:ilvl="7" w:tplc="04070019" w:tentative="1">
      <w:start w:val="1"/>
      <w:numFmt w:val="lowerLetter"/>
      <w:lvlText w:val="%8."/>
      <w:lvlJc w:val="left"/>
      <w:pPr>
        <w:ind w:left="3491" w:hanging="360"/>
      </w:pPr>
    </w:lvl>
    <w:lvl w:ilvl="8" w:tplc="0407001B" w:tentative="1">
      <w:start w:val="1"/>
      <w:numFmt w:val="lowerRoman"/>
      <w:lvlText w:val="%9."/>
      <w:lvlJc w:val="right"/>
      <w:pPr>
        <w:ind w:left="4211" w:hanging="180"/>
      </w:pPr>
    </w:lvl>
  </w:abstractNum>
  <w:abstractNum w:abstractNumId="16" w15:restartNumberingAfterBreak="0">
    <w:nsid w:val="446B7352"/>
    <w:multiLevelType w:val="hybridMultilevel"/>
    <w:tmpl w:val="E758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F8294A"/>
    <w:multiLevelType w:val="hybridMultilevel"/>
    <w:tmpl w:val="A61044DA"/>
    <w:lvl w:ilvl="0" w:tplc="C1BE37B8">
      <w:start w:val="1"/>
      <w:numFmt w:val="lowerLetter"/>
      <w:pStyle w:val="Hlistabc"/>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C663347"/>
    <w:multiLevelType w:val="hybridMultilevel"/>
    <w:tmpl w:val="BEE86F04"/>
    <w:lvl w:ilvl="0" w:tplc="EAF66E3A">
      <w:start w:val="1"/>
      <w:numFmt w:val="bullet"/>
      <w:pStyle w:val="Hlistbullet2"/>
      <w:lvlText w:val="o"/>
      <w:lvlJc w:val="left"/>
      <w:pPr>
        <w:ind w:left="720" w:hanging="360"/>
      </w:pPr>
      <w:rPr>
        <w:rFonts w:ascii="Courier New" w:hAnsi="Courier New" w:hint="default"/>
        <w:color w:val="F07E31"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933F93"/>
    <w:multiLevelType w:val="hybridMultilevel"/>
    <w:tmpl w:val="3EFCB27A"/>
    <w:lvl w:ilvl="0" w:tplc="0809000F">
      <w:start w:val="1"/>
      <w:numFmt w:val="decimal"/>
      <w:lvlText w:val="%1."/>
      <w:lvlJc w:val="left"/>
      <w:pPr>
        <w:ind w:left="928" w:hanging="360"/>
      </w:pPr>
      <w:rPr>
        <w:rFonts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E973CF"/>
    <w:multiLevelType w:val="hybridMultilevel"/>
    <w:tmpl w:val="471E9ED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3FC3597"/>
    <w:multiLevelType w:val="hybridMultilevel"/>
    <w:tmpl w:val="33407086"/>
    <w:lvl w:ilvl="0" w:tplc="041B000F">
      <w:start w:val="1"/>
      <w:numFmt w:val="decimal"/>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2" w15:restartNumberingAfterBreak="0">
    <w:nsid w:val="66691E4D"/>
    <w:multiLevelType w:val="hybridMultilevel"/>
    <w:tmpl w:val="4FC82400"/>
    <w:lvl w:ilvl="0" w:tplc="663C7372">
      <w:numFmt w:val="bullet"/>
      <w:lvlText w:val=""/>
      <w:lvlJc w:val="left"/>
      <w:pPr>
        <w:ind w:left="720" w:hanging="360"/>
      </w:pPr>
      <w:rPr>
        <w:rFonts w:ascii="Wingdings 3" w:eastAsia="Times New Roman" w:hAnsi="Wingdings 3" w:cs="Times New Roman" w:hint="default"/>
        <w:color w:val="F07E3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14428"/>
    <w:multiLevelType w:val="hybridMultilevel"/>
    <w:tmpl w:val="ED0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C72A78"/>
    <w:multiLevelType w:val="hybridMultilevel"/>
    <w:tmpl w:val="0A80453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5" w15:restartNumberingAfterBreak="0">
    <w:nsid w:val="6C4D270F"/>
    <w:multiLevelType w:val="hybridMultilevel"/>
    <w:tmpl w:val="5B761532"/>
    <w:lvl w:ilvl="0" w:tplc="C0A2A0CC">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8090001">
      <w:start w:val="1"/>
      <w:numFmt w:val="bullet"/>
      <w:lvlText w:val=""/>
      <w:lvlJc w:val="left"/>
      <w:pPr>
        <w:ind w:left="1457" w:hanging="180"/>
      </w:pPr>
      <w:rPr>
        <w:rFonts w:ascii="Symbol" w:hAnsi="Symbol" w:hint="default"/>
        <w:color w:val="F07E31" w:themeColor="accen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B3440"/>
    <w:multiLevelType w:val="hybridMultilevel"/>
    <w:tmpl w:val="D624ACF8"/>
    <w:lvl w:ilvl="0" w:tplc="3BC8D07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D15F02"/>
    <w:multiLevelType w:val="hybridMultilevel"/>
    <w:tmpl w:val="3374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16E6D"/>
    <w:multiLevelType w:val="hybridMultilevel"/>
    <w:tmpl w:val="1970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5D33D3"/>
    <w:multiLevelType w:val="multilevel"/>
    <w:tmpl w:val="EC66BD28"/>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146"/>
        </w:tabs>
        <w:ind w:left="426"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0" w15:restartNumberingAfterBreak="0">
    <w:nsid w:val="7E752836"/>
    <w:multiLevelType w:val="hybridMultilevel"/>
    <w:tmpl w:val="EA7050F0"/>
    <w:lvl w:ilvl="0" w:tplc="7A1AAC92">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7"/>
  </w:num>
  <w:num w:numId="4">
    <w:abstractNumId w:val="8"/>
  </w:num>
  <w:num w:numId="5">
    <w:abstractNumId w:val="30"/>
  </w:num>
  <w:num w:numId="6">
    <w:abstractNumId w:val="29"/>
  </w:num>
  <w:num w:numId="7">
    <w:abstractNumId w:val="15"/>
  </w:num>
  <w:num w:numId="8">
    <w:abstractNumId w:val="12"/>
  </w:num>
  <w:num w:numId="9">
    <w:abstractNumId w:val="3"/>
  </w:num>
  <w:num w:numId="10">
    <w:abstractNumId w:val="0"/>
  </w:num>
  <w:num w:numId="11">
    <w:abstractNumId w:val="7"/>
  </w:num>
  <w:num w:numId="12">
    <w:abstractNumId w:val="18"/>
  </w:num>
  <w:num w:numId="13">
    <w:abstractNumId w:val="4"/>
  </w:num>
  <w:num w:numId="14">
    <w:abstractNumId w:val="17"/>
    <w:lvlOverride w:ilvl="0">
      <w:startOverride w:val="1"/>
    </w:lvlOverride>
  </w:num>
  <w:num w:numId="15">
    <w:abstractNumId w:val="10"/>
  </w:num>
  <w:num w:numId="16">
    <w:abstractNumId w:val="1"/>
  </w:num>
  <w:num w:numId="17">
    <w:abstractNumId w:val="26"/>
  </w:num>
  <w:num w:numId="18">
    <w:abstractNumId w:val="25"/>
  </w:num>
  <w:num w:numId="19">
    <w:abstractNumId w:val="2"/>
  </w:num>
  <w:num w:numId="20">
    <w:abstractNumId w:val="5"/>
  </w:num>
  <w:num w:numId="21">
    <w:abstractNumId w:val="20"/>
  </w:num>
  <w:num w:numId="22">
    <w:abstractNumId w:val="12"/>
  </w:num>
  <w:num w:numId="23">
    <w:abstractNumId w:val="22"/>
  </w:num>
  <w:num w:numId="24">
    <w:abstractNumId w:val="21"/>
  </w:num>
  <w:num w:numId="25">
    <w:abstractNumId w:val="19"/>
  </w:num>
  <w:num w:numId="26">
    <w:abstractNumId w:val="9"/>
  </w:num>
  <w:num w:numId="27">
    <w:abstractNumId w:val="28"/>
  </w:num>
  <w:num w:numId="28">
    <w:abstractNumId w:val="23"/>
  </w:num>
  <w:num w:numId="29">
    <w:abstractNumId w:val="24"/>
  </w:num>
  <w:num w:numId="30">
    <w:abstractNumId w:val="27"/>
  </w:num>
  <w:num w:numId="31">
    <w:abstractNumId w:val="16"/>
  </w:num>
  <w:num w:numId="32">
    <w:abstractNumId w:val="14"/>
  </w:num>
  <w:num w:numId="33">
    <w:abstractNumId w:val="13"/>
  </w:num>
  <w:num w:numId="3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WTEMPLATE_ORANGE_2017"/>
  </w:docVars>
  <w:rsids>
    <w:rsidRoot w:val="00CD63F6"/>
    <w:rsid w:val="0000007B"/>
    <w:rsid w:val="000001D4"/>
    <w:rsid w:val="0000104B"/>
    <w:rsid w:val="00002482"/>
    <w:rsid w:val="000026A3"/>
    <w:rsid w:val="00002A15"/>
    <w:rsid w:val="00002FFD"/>
    <w:rsid w:val="00003C64"/>
    <w:rsid w:val="00004E4F"/>
    <w:rsid w:val="000068EF"/>
    <w:rsid w:val="00006B47"/>
    <w:rsid w:val="00010136"/>
    <w:rsid w:val="00010901"/>
    <w:rsid w:val="00010981"/>
    <w:rsid w:val="00010A66"/>
    <w:rsid w:val="00010B08"/>
    <w:rsid w:val="00011CD6"/>
    <w:rsid w:val="00011DC7"/>
    <w:rsid w:val="0001214D"/>
    <w:rsid w:val="000128D8"/>
    <w:rsid w:val="00012BA4"/>
    <w:rsid w:val="00012F22"/>
    <w:rsid w:val="00013C3D"/>
    <w:rsid w:val="0001428E"/>
    <w:rsid w:val="000142AB"/>
    <w:rsid w:val="00015D95"/>
    <w:rsid w:val="00016061"/>
    <w:rsid w:val="00016C49"/>
    <w:rsid w:val="00017C34"/>
    <w:rsid w:val="000200FC"/>
    <w:rsid w:val="0002085D"/>
    <w:rsid w:val="0002086B"/>
    <w:rsid w:val="00021325"/>
    <w:rsid w:val="0002177B"/>
    <w:rsid w:val="0002182E"/>
    <w:rsid w:val="0002341F"/>
    <w:rsid w:val="00023F16"/>
    <w:rsid w:val="0002477B"/>
    <w:rsid w:val="00025015"/>
    <w:rsid w:val="00025148"/>
    <w:rsid w:val="00025E70"/>
    <w:rsid w:val="000266E6"/>
    <w:rsid w:val="00026F9F"/>
    <w:rsid w:val="0002704D"/>
    <w:rsid w:val="0002732C"/>
    <w:rsid w:val="00027601"/>
    <w:rsid w:val="00031E67"/>
    <w:rsid w:val="0003232A"/>
    <w:rsid w:val="000325AF"/>
    <w:rsid w:val="00032732"/>
    <w:rsid w:val="000330AD"/>
    <w:rsid w:val="0003333B"/>
    <w:rsid w:val="00033ACC"/>
    <w:rsid w:val="00033B15"/>
    <w:rsid w:val="0003500B"/>
    <w:rsid w:val="0003605E"/>
    <w:rsid w:val="00041200"/>
    <w:rsid w:val="000412E5"/>
    <w:rsid w:val="00041A27"/>
    <w:rsid w:val="000420F9"/>
    <w:rsid w:val="0004231E"/>
    <w:rsid w:val="00043C2A"/>
    <w:rsid w:val="00044397"/>
    <w:rsid w:val="00044CBB"/>
    <w:rsid w:val="00045382"/>
    <w:rsid w:val="000457A0"/>
    <w:rsid w:val="0004609A"/>
    <w:rsid w:val="00047532"/>
    <w:rsid w:val="00047872"/>
    <w:rsid w:val="000506E2"/>
    <w:rsid w:val="00050912"/>
    <w:rsid w:val="00050D72"/>
    <w:rsid w:val="00050EA9"/>
    <w:rsid w:val="00051E23"/>
    <w:rsid w:val="00051EEE"/>
    <w:rsid w:val="0005260E"/>
    <w:rsid w:val="00052870"/>
    <w:rsid w:val="0005382D"/>
    <w:rsid w:val="00054C75"/>
    <w:rsid w:val="00055507"/>
    <w:rsid w:val="000561D6"/>
    <w:rsid w:val="000574E7"/>
    <w:rsid w:val="00057D3C"/>
    <w:rsid w:val="000601FF"/>
    <w:rsid w:val="00060339"/>
    <w:rsid w:val="00060AFC"/>
    <w:rsid w:val="00061150"/>
    <w:rsid w:val="00061838"/>
    <w:rsid w:val="000624B0"/>
    <w:rsid w:val="00062CD2"/>
    <w:rsid w:val="00063251"/>
    <w:rsid w:val="00063276"/>
    <w:rsid w:val="00063B79"/>
    <w:rsid w:val="000650BF"/>
    <w:rsid w:val="000670A3"/>
    <w:rsid w:val="00067C10"/>
    <w:rsid w:val="00070475"/>
    <w:rsid w:val="0007056A"/>
    <w:rsid w:val="0007095D"/>
    <w:rsid w:val="00072032"/>
    <w:rsid w:val="0007283B"/>
    <w:rsid w:val="00074916"/>
    <w:rsid w:val="00074F33"/>
    <w:rsid w:val="0007598A"/>
    <w:rsid w:val="00075CA3"/>
    <w:rsid w:val="00076652"/>
    <w:rsid w:val="00076C57"/>
    <w:rsid w:val="000771E1"/>
    <w:rsid w:val="0007726F"/>
    <w:rsid w:val="00077AF9"/>
    <w:rsid w:val="000804B0"/>
    <w:rsid w:val="00081280"/>
    <w:rsid w:val="00081736"/>
    <w:rsid w:val="000833CD"/>
    <w:rsid w:val="000836F2"/>
    <w:rsid w:val="00083705"/>
    <w:rsid w:val="0008418C"/>
    <w:rsid w:val="0008437E"/>
    <w:rsid w:val="00084915"/>
    <w:rsid w:val="00084CD6"/>
    <w:rsid w:val="00084EBA"/>
    <w:rsid w:val="000852E7"/>
    <w:rsid w:val="000856AA"/>
    <w:rsid w:val="00085EAA"/>
    <w:rsid w:val="00087412"/>
    <w:rsid w:val="00087931"/>
    <w:rsid w:val="00087ABB"/>
    <w:rsid w:val="00087F85"/>
    <w:rsid w:val="00090ACF"/>
    <w:rsid w:val="0009119D"/>
    <w:rsid w:val="00092C7D"/>
    <w:rsid w:val="000936B3"/>
    <w:rsid w:val="00093CBB"/>
    <w:rsid w:val="00096C99"/>
    <w:rsid w:val="00096E8E"/>
    <w:rsid w:val="0009736F"/>
    <w:rsid w:val="00097A53"/>
    <w:rsid w:val="000A1917"/>
    <w:rsid w:val="000A2A5A"/>
    <w:rsid w:val="000A3F19"/>
    <w:rsid w:val="000A428E"/>
    <w:rsid w:val="000A4670"/>
    <w:rsid w:val="000A49DA"/>
    <w:rsid w:val="000A4B75"/>
    <w:rsid w:val="000A4C92"/>
    <w:rsid w:val="000A6EDF"/>
    <w:rsid w:val="000A72D0"/>
    <w:rsid w:val="000A7970"/>
    <w:rsid w:val="000A7E25"/>
    <w:rsid w:val="000B00DB"/>
    <w:rsid w:val="000B0B8B"/>
    <w:rsid w:val="000B1405"/>
    <w:rsid w:val="000B213F"/>
    <w:rsid w:val="000B2933"/>
    <w:rsid w:val="000B2A17"/>
    <w:rsid w:val="000B30FF"/>
    <w:rsid w:val="000B3BF2"/>
    <w:rsid w:val="000B3D31"/>
    <w:rsid w:val="000B434D"/>
    <w:rsid w:val="000B4920"/>
    <w:rsid w:val="000B4B84"/>
    <w:rsid w:val="000B567F"/>
    <w:rsid w:val="000B5726"/>
    <w:rsid w:val="000B5C67"/>
    <w:rsid w:val="000B5E5F"/>
    <w:rsid w:val="000B62C2"/>
    <w:rsid w:val="000B6372"/>
    <w:rsid w:val="000B7376"/>
    <w:rsid w:val="000C0BB1"/>
    <w:rsid w:val="000C2540"/>
    <w:rsid w:val="000C2567"/>
    <w:rsid w:val="000C3B60"/>
    <w:rsid w:val="000C3D9D"/>
    <w:rsid w:val="000C43F0"/>
    <w:rsid w:val="000C4695"/>
    <w:rsid w:val="000C499A"/>
    <w:rsid w:val="000C49F1"/>
    <w:rsid w:val="000C5796"/>
    <w:rsid w:val="000C5F42"/>
    <w:rsid w:val="000C65CB"/>
    <w:rsid w:val="000C6873"/>
    <w:rsid w:val="000C6FAB"/>
    <w:rsid w:val="000C7C56"/>
    <w:rsid w:val="000D01D5"/>
    <w:rsid w:val="000D07C2"/>
    <w:rsid w:val="000D1414"/>
    <w:rsid w:val="000D1B19"/>
    <w:rsid w:val="000D251E"/>
    <w:rsid w:val="000D3DB8"/>
    <w:rsid w:val="000D476B"/>
    <w:rsid w:val="000D57BD"/>
    <w:rsid w:val="000D5A8C"/>
    <w:rsid w:val="000D6488"/>
    <w:rsid w:val="000D6757"/>
    <w:rsid w:val="000D7A58"/>
    <w:rsid w:val="000D7AB8"/>
    <w:rsid w:val="000D7F4E"/>
    <w:rsid w:val="000E0A0A"/>
    <w:rsid w:val="000E223C"/>
    <w:rsid w:val="000E3057"/>
    <w:rsid w:val="000E31A7"/>
    <w:rsid w:val="000E375A"/>
    <w:rsid w:val="000E420E"/>
    <w:rsid w:val="000E436F"/>
    <w:rsid w:val="000E5513"/>
    <w:rsid w:val="000E6F6F"/>
    <w:rsid w:val="000E787D"/>
    <w:rsid w:val="000E7F1D"/>
    <w:rsid w:val="000F0463"/>
    <w:rsid w:val="000F07C1"/>
    <w:rsid w:val="000F086F"/>
    <w:rsid w:val="000F1DDC"/>
    <w:rsid w:val="000F3028"/>
    <w:rsid w:val="000F4BEA"/>
    <w:rsid w:val="000F4F4F"/>
    <w:rsid w:val="000F5315"/>
    <w:rsid w:val="000F570B"/>
    <w:rsid w:val="000F5CC2"/>
    <w:rsid w:val="000F5E15"/>
    <w:rsid w:val="000F77F0"/>
    <w:rsid w:val="000F7876"/>
    <w:rsid w:val="00100A1E"/>
    <w:rsid w:val="00100B02"/>
    <w:rsid w:val="0010132E"/>
    <w:rsid w:val="001018C4"/>
    <w:rsid w:val="001018DD"/>
    <w:rsid w:val="001028FE"/>
    <w:rsid w:val="00102C05"/>
    <w:rsid w:val="00102C6A"/>
    <w:rsid w:val="00103E79"/>
    <w:rsid w:val="001040A8"/>
    <w:rsid w:val="001040F8"/>
    <w:rsid w:val="001043CE"/>
    <w:rsid w:val="0010525B"/>
    <w:rsid w:val="001061CD"/>
    <w:rsid w:val="00106C0A"/>
    <w:rsid w:val="00113A37"/>
    <w:rsid w:val="00113F8C"/>
    <w:rsid w:val="00115ED4"/>
    <w:rsid w:val="0011661B"/>
    <w:rsid w:val="00116912"/>
    <w:rsid w:val="00116A79"/>
    <w:rsid w:val="00116CCB"/>
    <w:rsid w:val="001170FF"/>
    <w:rsid w:val="001174CF"/>
    <w:rsid w:val="00117E78"/>
    <w:rsid w:val="00120BAA"/>
    <w:rsid w:val="00120EA9"/>
    <w:rsid w:val="00121696"/>
    <w:rsid w:val="00122285"/>
    <w:rsid w:val="00123367"/>
    <w:rsid w:val="001247FE"/>
    <w:rsid w:val="00125341"/>
    <w:rsid w:val="00126224"/>
    <w:rsid w:val="00131592"/>
    <w:rsid w:val="001315A5"/>
    <w:rsid w:val="001316FD"/>
    <w:rsid w:val="0013249F"/>
    <w:rsid w:val="00132E89"/>
    <w:rsid w:val="0013332D"/>
    <w:rsid w:val="00133C0C"/>
    <w:rsid w:val="00134E3F"/>
    <w:rsid w:val="00134F6F"/>
    <w:rsid w:val="001355C4"/>
    <w:rsid w:val="00135778"/>
    <w:rsid w:val="00135951"/>
    <w:rsid w:val="00135B4A"/>
    <w:rsid w:val="0013678F"/>
    <w:rsid w:val="001367B9"/>
    <w:rsid w:val="00136C15"/>
    <w:rsid w:val="00137201"/>
    <w:rsid w:val="00137828"/>
    <w:rsid w:val="00140380"/>
    <w:rsid w:val="0014085A"/>
    <w:rsid w:val="00140A22"/>
    <w:rsid w:val="00140F4E"/>
    <w:rsid w:val="00141199"/>
    <w:rsid w:val="0014235A"/>
    <w:rsid w:val="00143D51"/>
    <w:rsid w:val="00144841"/>
    <w:rsid w:val="00146C75"/>
    <w:rsid w:val="00150D5B"/>
    <w:rsid w:val="00150E9E"/>
    <w:rsid w:val="00151F61"/>
    <w:rsid w:val="0015205D"/>
    <w:rsid w:val="001524F2"/>
    <w:rsid w:val="0015333B"/>
    <w:rsid w:val="00154C43"/>
    <w:rsid w:val="00156B10"/>
    <w:rsid w:val="0015708F"/>
    <w:rsid w:val="00157A50"/>
    <w:rsid w:val="00157DA4"/>
    <w:rsid w:val="00160E60"/>
    <w:rsid w:val="00161851"/>
    <w:rsid w:val="00162193"/>
    <w:rsid w:val="0016310E"/>
    <w:rsid w:val="001631F8"/>
    <w:rsid w:val="00164401"/>
    <w:rsid w:val="00164E60"/>
    <w:rsid w:val="00170920"/>
    <w:rsid w:val="00171AB2"/>
    <w:rsid w:val="00172554"/>
    <w:rsid w:val="00173923"/>
    <w:rsid w:val="00174DB8"/>
    <w:rsid w:val="00175DAE"/>
    <w:rsid w:val="00176032"/>
    <w:rsid w:val="0017622B"/>
    <w:rsid w:val="00176555"/>
    <w:rsid w:val="001773C8"/>
    <w:rsid w:val="00180B7A"/>
    <w:rsid w:val="001814C1"/>
    <w:rsid w:val="0018197E"/>
    <w:rsid w:val="00182991"/>
    <w:rsid w:val="00183503"/>
    <w:rsid w:val="00183988"/>
    <w:rsid w:val="00183DEC"/>
    <w:rsid w:val="00183FE7"/>
    <w:rsid w:val="00184AD2"/>
    <w:rsid w:val="0018534D"/>
    <w:rsid w:val="001854A1"/>
    <w:rsid w:val="001856B4"/>
    <w:rsid w:val="00185910"/>
    <w:rsid w:val="00185B1D"/>
    <w:rsid w:val="001862E5"/>
    <w:rsid w:val="00186543"/>
    <w:rsid w:val="00186A1A"/>
    <w:rsid w:val="00186FCF"/>
    <w:rsid w:val="00187445"/>
    <w:rsid w:val="00187945"/>
    <w:rsid w:val="00187DD0"/>
    <w:rsid w:val="001900F6"/>
    <w:rsid w:val="00190D63"/>
    <w:rsid w:val="00190F9A"/>
    <w:rsid w:val="00191106"/>
    <w:rsid w:val="00191253"/>
    <w:rsid w:val="00192333"/>
    <w:rsid w:val="00194978"/>
    <w:rsid w:val="00194BE6"/>
    <w:rsid w:val="0019588B"/>
    <w:rsid w:val="0019599B"/>
    <w:rsid w:val="001962E1"/>
    <w:rsid w:val="00196C94"/>
    <w:rsid w:val="00196DF6"/>
    <w:rsid w:val="00197783"/>
    <w:rsid w:val="00197E1C"/>
    <w:rsid w:val="001A088C"/>
    <w:rsid w:val="001A12ED"/>
    <w:rsid w:val="001A1ABF"/>
    <w:rsid w:val="001A2395"/>
    <w:rsid w:val="001A2E63"/>
    <w:rsid w:val="001A2EC3"/>
    <w:rsid w:val="001A3195"/>
    <w:rsid w:val="001A36F4"/>
    <w:rsid w:val="001A3B8C"/>
    <w:rsid w:val="001A424D"/>
    <w:rsid w:val="001A4A92"/>
    <w:rsid w:val="001A51C8"/>
    <w:rsid w:val="001B04F9"/>
    <w:rsid w:val="001B0B03"/>
    <w:rsid w:val="001B0E2D"/>
    <w:rsid w:val="001B1731"/>
    <w:rsid w:val="001B1831"/>
    <w:rsid w:val="001B1DC6"/>
    <w:rsid w:val="001B2DB2"/>
    <w:rsid w:val="001B383F"/>
    <w:rsid w:val="001B42E2"/>
    <w:rsid w:val="001B53E3"/>
    <w:rsid w:val="001B5B15"/>
    <w:rsid w:val="001B5F5A"/>
    <w:rsid w:val="001B62AB"/>
    <w:rsid w:val="001B6888"/>
    <w:rsid w:val="001B6B1D"/>
    <w:rsid w:val="001B70AC"/>
    <w:rsid w:val="001B749E"/>
    <w:rsid w:val="001C10A8"/>
    <w:rsid w:val="001C159A"/>
    <w:rsid w:val="001C2076"/>
    <w:rsid w:val="001C2A72"/>
    <w:rsid w:val="001C31EB"/>
    <w:rsid w:val="001C4CA3"/>
    <w:rsid w:val="001C4D03"/>
    <w:rsid w:val="001C4E09"/>
    <w:rsid w:val="001C4F2E"/>
    <w:rsid w:val="001C6679"/>
    <w:rsid w:val="001C6ACF"/>
    <w:rsid w:val="001C704F"/>
    <w:rsid w:val="001C71BC"/>
    <w:rsid w:val="001C763B"/>
    <w:rsid w:val="001C7730"/>
    <w:rsid w:val="001D0014"/>
    <w:rsid w:val="001D1659"/>
    <w:rsid w:val="001D32F7"/>
    <w:rsid w:val="001D4EDE"/>
    <w:rsid w:val="001D5984"/>
    <w:rsid w:val="001D5A8C"/>
    <w:rsid w:val="001D644A"/>
    <w:rsid w:val="001D6736"/>
    <w:rsid w:val="001D74AA"/>
    <w:rsid w:val="001E0DCE"/>
    <w:rsid w:val="001E17B2"/>
    <w:rsid w:val="001E1E51"/>
    <w:rsid w:val="001E24F4"/>
    <w:rsid w:val="001E36C8"/>
    <w:rsid w:val="001E51CE"/>
    <w:rsid w:val="001E5FC4"/>
    <w:rsid w:val="001F126C"/>
    <w:rsid w:val="001F1A2D"/>
    <w:rsid w:val="001F1DD1"/>
    <w:rsid w:val="001F25E0"/>
    <w:rsid w:val="001F485E"/>
    <w:rsid w:val="001F4DFD"/>
    <w:rsid w:val="001F52E4"/>
    <w:rsid w:val="001F5F53"/>
    <w:rsid w:val="001F6320"/>
    <w:rsid w:val="001F6572"/>
    <w:rsid w:val="001F7942"/>
    <w:rsid w:val="001F7B17"/>
    <w:rsid w:val="002000FD"/>
    <w:rsid w:val="00200679"/>
    <w:rsid w:val="0020196C"/>
    <w:rsid w:val="002047BF"/>
    <w:rsid w:val="0020488A"/>
    <w:rsid w:val="0020546C"/>
    <w:rsid w:val="00206921"/>
    <w:rsid w:val="00207FC1"/>
    <w:rsid w:val="00211573"/>
    <w:rsid w:val="002118E2"/>
    <w:rsid w:val="0021206F"/>
    <w:rsid w:val="00212EFF"/>
    <w:rsid w:val="002132F1"/>
    <w:rsid w:val="00213571"/>
    <w:rsid w:val="00213D26"/>
    <w:rsid w:val="00214324"/>
    <w:rsid w:val="00214FBE"/>
    <w:rsid w:val="00217482"/>
    <w:rsid w:val="0021750E"/>
    <w:rsid w:val="00217A65"/>
    <w:rsid w:val="00217C27"/>
    <w:rsid w:val="002208C7"/>
    <w:rsid w:val="00220B99"/>
    <w:rsid w:val="00220D70"/>
    <w:rsid w:val="00221159"/>
    <w:rsid w:val="002212DB"/>
    <w:rsid w:val="0022256C"/>
    <w:rsid w:val="002227D4"/>
    <w:rsid w:val="00223B64"/>
    <w:rsid w:val="00224BEB"/>
    <w:rsid w:val="0022630A"/>
    <w:rsid w:val="00226826"/>
    <w:rsid w:val="00227C57"/>
    <w:rsid w:val="00231360"/>
    <w:rsid w:val="00231C9C"/>
    <w:rsid w:val="002331B4"/>
    <w:rsid w:val="00233DA6"/>
    <w:rsid w:val="00235026"/>
    <w:rsid w:val="00235402"/>
    <w:rsid w:val="00235C84"/>
    <w:rsid w:val="002419CA"/>
    <w:rsid w:val="002426BA"/>
    <w:rsid w:val="00244620"/>
    <w:rsid w:val="0024624B"/>
    <w:rsid w:val="0024762A"/>
    <w:rsid w:val="002479D6"/>
    <w:rsid w:val="00247F5A"/>
    <w:rsid w:val="002506A5"/>
    <w:rsid w:val="00250C24"/>
    <w:rsid w:val="0025123F"/>
    <w:rsid w:val="0025164E"/>
    <w:rsid w:val="002520A7"/>
    <w:rsid w:val="00252E56"/>
    <w:rsid w:val="002535D9"/>
    <w:rsid w:val="002553C6"/>
    <w:rsid w:val="00255E6A"/>
    <w:rsid w:val="00256636"/>
    <w:rsid w:val="002573E7"/>
    <w:rsid w:val="00260D48"/>
    <w:rsid w:val="00261A45"/>
    <w:rsid w:val="00263267"/>
    <w:rsid w:val="002643D5"/>
    <w:rsid w:val="00264C41"/>
    <w:rsid w:val="0026686F"/>
    <w:rsid w:val="0026726B"/>
    <w:rsid w:val="00267555"/>
    <w:rsid w:val="002709BC"/>
    <w:rsid w:val="0027196C"/>
    <w:rsid w:val="0027225E"/>
    <w:rsid w:val="00272AD5"/>
    <w:rsid w:val="00272E24"/>
    <w:rsid w:val="002730B0"/>
    <w:rsid w:val="00273775"/>
    <w:rsid w:val="0027414F"/>
    <w:rsid w:val="00274AB7"/>
    <w:rsid w:val="00274FF5"/>
    <w:rsid w:val="002751CF"/>
    <w:rsid w:val="00275616"/>
    <w:rsid w:val="00275838"/>
    <w:rsid w:val="002762F1"/>
    <w:rsid w:val="00276DE0"/>
    <w:rsid w:val="00276E62"/>
    <w:rsid w:val="00277A78"/>
    <w:rsid w:val="00280163"/>
    <w:rsid w:val="00280314"/>
    <w:rsid w:val="002807CD"/>
    <w:rsid w:val="002807DC"/>
    <w:rsid w:val="002808E9"/>
    <w:rsid w:val="00281058"/>
    <w:rsid w:val="00281530"/>
    <w:rsid w:val="002826E2"/>
    <w:rsid w:val="002829E5"/>
    <w:rsid w:val="00282BE1"/>
    <w:rsid w:val="00284356"/>
    <w:rsid w:val="00285170"/>
    <w:rsid w:val="0028553B"/>
    <w:rsid w:val="002865CA"/>
    <w:rsid w:val="00287179"/>
    <w:rsid w:val="002904B1"/>
    <w:rsid w:val="002909D3"/>
    <w:rsid w:val="00294410"/>
    <w:rsid w:val="0029590F"/>
    <w:rsid w:val="002963CB"/>
    <w:rsid w:val="00296609"/>
    <w:rsid w:val="002A0062"/>
    <w:rsid w:val="002A09A3"/>
    <w:rsid w:val="002A0D72"/>
    <w:rsid w:val="002A164E"/>
    <w:rsid w:val="002A16B7"/>
    <w:rsid w:val="002A2B60"/>
    <w:rsid w:val="002A2CB4"/>
    <w:rsid w:val="002A326C"/>
    <w:rsid w:val="002A37A1"/>
    <w:rsid w:val="002A42D8"/>
    <w:rsid w:val="002A48A4"/>
    <w:rsid w:val="002A4913"/>
    <w:rsid w:val="002A535A"/>
    <w:rsid w:val="002A6107"/>
    <w:rsid w:val="002A67B2"/>
    <w:rsid w:val="002A72C5"/>
    <w:rsid w:val="002B13CC"/>
    <w:rsid w:val="002B2700"/>
    <w:rsid w:val="002B2AAB"/>
    <w:rsid w:val="002B2E53"/>
    <w:rsid w:val="002B3E82"/>
    <w:rsid w:val="002B4474"/>
    <w:rsid w:val="002B6205"/>
    <w:rsid w:val="002B62FD"/>
    <w:rsid w:val="002B680E"/>
    <w:rsid w:val="002C0CD1"/>
    <w:rsid w:val="002C0D68"/>
    <w:rsid w:val="002C1A6B"/>
    <w:rsid w:val="002C1B75"/>
    <w:rsid w:val="002C1EAB"/>
    <w:rsid w:val="002C3379"/>
    <w:rsid w:val="002C3BA0"/>
    <w:rsid w:val="002C57D4"/>
    <w:rsid w:val="002C5A13"/>
    <w:rsid w:val="002C60AE"/>
    <w:rsid w:val="002C6565"/>
    <w:rsid w:val="002D2801"/>
    <w:rsid w:val="002D2EB0"/>
    <w:rsid w:val="002D4AB7"/>
    <w:rsid w:val="002D4C66"/>
    <w:rsid w:val="002D6124"/>
    <w:rsid w:val="002D6766"/>
    <w:rsid w:val="002D74F7"/>
    <w:rsid w:val="002D778C"/>
    <w:rsid w:val="002E08CE"/>
    <w:rsid w:val="002E0F7E"/>
    <w:rsid w:val="002E13D1"/>
    <w:rsid w:val="002E14FE"/>
    <w:rsid w:val="002E1759"/>
    <w:rsid w:val="002E1E69"/>
    <w:rsid w:val="002E20C6"/>
    <w:rsid w:val="002E27EE"/>
    <w:rsid w:val="002E3224"/>
    <w:rsid w:val="002E3569"/>
    <w:rsid w:val="002E46A5"/>
    <w:rsid w:val="002E49D1"/>
    <w:rsid w:val="002E5877"/>
    <w:rsid w:val="002E5EA6"/>
    <w:rsid w:val="002E6C3C"/>
    <w:rsid w:val="002E709A"/>
    <w:rsid w:val="002E7109"/>
    <w:rsid w:val="002E7348"/>
    <w:rsid w:val="002F172A"/>
    <w:rsid w:val="002F3E31"/>
    <w:rsid w:val="002F4800"/>
    <w:rsid w:val="002F5537"/>
    <w:rsid w:val="002F6F83"/>
    <w:rsid w:val="002F7855"/>
    <w:rsid w:val="003005E4"/>
    <w:rsid w:val="00300A0C"/>
    <w:rsid w:val="00300C4A"/>
    <w:rsid w:val="00301751"/>
    <w:rsid w:val="00301CBD"/>
    <w:rsid w:val="003030C5"/>
    <w:rsid w:val="003039E0"/>
    <w:rsid w:val="00304630"/>
    <w:rsid w:val="003047C9"/>
    <w:rsid w:val="00304E6A"/>
    <w:rsid w:val="0030598E"/>
    <w:rsid w:val="00306F55"/>
    <w:rsid w:val="00307FDF"/>
    <w:rsid w:val="00310961"/>
    <w:rsid w:val="00310B39"/>
    <w:rsid w:val="00310EEB"/>
    <w:rsid w:val="00312415"/>
    <w:rsid w:val="0031268C"/>
    <w:rsid w:val="00313290"/>
    <w:rsid w:val="00313561"/>
    <w:rsid w:val="00314452"/>
    <w:rsid w:val="003146E6"/>
    <w:rsid w:val="0031628C"/>
    <w:rsid w:val="00317BC3"/>
    <w:rsid w:val="00320592"/>
    <w:rsid w:val="00320E03"/>
    <w:rsid w:val="0032154C"/>
    <w:rsid w:val="00321FB3"/>
    <w:rsid w:val="0032242C"/>
    <w:rsid w:val="0032258B"/>
    <w:rsid w:val="003234A8"/>
    <w:rsid w:val="0032386B"/>
    <w:rsid w:val="00325734"/>
    <w:rsid w:val="003262F1"/>
    <w:rsid w:val="00326630"/>
    <w:rsid w:val="003304E5"/>
    <w:rsid w:val="003304F7"/>
    <w:rsid w:val="003308AB"/>
    <w:rsid w:val="003322CE"/>
    <w:rsid w:val="0033248F"/>
    <w:rsid w:val="00332915"/>
    <w:rsid w:val="003334FB"/>
    <w:rsid w:val="00333D04"/>
    <w:rsid w:val="003342D8"/>
    <w:rsid w:val="003360F6"/>
    <w:rsid w:val="00336531"/>
    <w:rsid w:val="00336F23"/>
    <w:rsid w:val="0034132F"/>
    <w:rsid w:val="00341AC1"/>
    <w:rsid w:val="00342A8A"/>
    <w:rsid w:val="00342B5A"/>
    <w:rsid w:val="003433D2"/>
    <w:rsid w:val="003444BB"/>
    <w:rsid w:val="0034673C"/>
    <w:rsid w:val="00346A39"/>
    <w:rsid w:val="00350695"/>
    <w:rsid w:val="003506D4"/>
    <w:rsid w:val="00351B7E"/>
    <w:rsid w:val="003526FE"/>
    <w:rsid w:val="00352B28"/>
    <w:rsid w:val="00354817"/>
    <w:rsid w:val="003563F4"/>
    <w:rsid w:val="00357222"/>
    <w:rsid w:val="003604BB"/>
    <w:rsid w:val="00360775"/>
    <w:rsid w:val="00360800"/>
    <w:rsid w:val="003609A4"/>
    <w:rsid w:val="00362CC6"/>
    <w:rsid w:val="00362D7C"/>
    <w:rsid w:val="00362F04"/>
    <w:rsid w:val="0036326E"/>
    <w:rsid w:val="003646A8"/>
    <w:rsid w:val="0036483B"/>
    <w:rsid w:val="00364BFD"/>
    <w:rsid w:val="00364E0B"/>
    <w:rsid w:val="0036520B"/>
    <w:rsid w:val="00365561"/>
    <w:rsid w:val="00365997"/>
    <w:rsid w:val="003667BE"/>
    <w:rsid w:val="0036731C"/>
    <w:rsid w:val="003708EA"/>
    <w:rsid w:val="0037178D"/>
    <w:rsid w:val="003718F4"/>
    <w:rsid w:val="0037198A"/>
    <w:rsid w:val="00371D33"/>
    <w:rsid w:val="00372358"/>
    <w:rsid w:val="00372C7C"/>
    <w:rsid w:val="00372F8A"/>
    <w:rsid w:val="00373455"/>
    <w:rsid w:val="00373586"/>
    <w:rsid w:val="003742AF"/>
    <w:rsid w:val="003744E0"/>
    <w:rsid w:val="00374906"/>
    <w:rsid w:val="0037516F"/>
    <w:rsid w:val="0037519D"/>
    <w:rsid w:val="003754A1"/>
    <w:rsid w:val="00375DBD"/>
    <w:rsid w:val="00376861"/>
    <w:rsid w:val="003819D9"/>
    <w:rsid w:val="00383CF1"/>
    <w:rsid w:val="00386332"/>
    <w:rsid w:val="003865B0"/>
    <w:rsid w:val="00386750"/>
    <w:rsid w:val="00386E14"/>
    <w:rsid w:val="00386F36"/>
    <w:rsid w:val="0039118F"/>
    <w:rsid w:val="00391ECD"/>
    <w:rsid w:val="0039265F"/>
    <w:rsid w:val="003928D8"/>
    <w:rsid w:val="0039390F"/>
    <w:rsid w:val="00393D5C"/>
    <w:rsid w:val="00393ED7"/>
    <w:rsid w:val="0039432F"/>
    <w:rsid w:val="0039455E"/>
    <w:rsid w:val="00394B3E"/>
    <w:rsid w:val="00395B45"/>
    <w:rsid w:val="00397169"/>
    <w:rsid w:val="003A110E"/>
    <w:rsid w:val="003A1F60"/>
    <w:rsid w:val="003A2E83"/>
    <w:rsid w:val="003A2FDD"/>
    <w:rsid w:val="003A379A"/>
    <w:rsid w:val="003A3B66"/>
    <w:rsid w:val="003A3C55"/>
    <w:rsid w:val="003A49FD"/>
    <w:rsid w:val="003A4B15"/>
    <w:rsid w:val="003A5175"/>
    <w:rsid w:val="003A53D8"/>
    <w:rsid w:val="003A5C74"/>
    <w:rsid w:val="003A6298"/>
    <w:rsid w:val="003A6F22"/>
    <w:rsid w:val="003A6F67"/>
    <w:rsid w:val="003B2309"/>
    <w:rsid w:val="003B25C7"/>
    <w:rsid w:val="003B26C5"/>
    <w:rsid w:val="003B2A7B"/>
    <w:rsid w:val="003B2FA7"/>
    <w:rsid w:val="003B2FE5"/>
    <w:rsid w:val="003B357E"/>
    <w:rsid w:val="003B3CE9"/>
    <w:rsid w:val="003B3F22"/>
    <w:rsid w:val="003B4CB5"/>
    <w:rsid w:val="003B5787"/>
    <w:rsid w:val="003B6354"/>
    <w:rsid w:val="003B6B53"/>
    <w:rsid w:val="003B6E52"/>
    <w:rsid w:val="003B7B0F"/>
    <w:rsid w:val="003B7F5F"/>
    <w:rsid w:val="003C0D75"/>
    <w:rsid w:val="003C0F40"/>
    <w:rsid w:val="003C1C67"/>
    <w:rsid w:val="003C228A"/>
    <w:rsid w:val="003C2430"/>
    <w:rsid w:val="003C28C3"/>
    <w:rsid w:val="003C33F0"/>
    <w:rsid w:val="003C4B2B"/>
    <w:rsid w:val="003C4F13"/>
    <w:rsid w:val="003C5026"/>
    <w:rsid w:val="003C5FCE"/>
    <w:rsid w:val="003C6475"/>
    <w:rsid w:val="003D070A"/>
    <w:rsid w:val="003D1461"/>
    <w:rsid w:val="003D200A"/>
    <w:rsid w:val="003D3565"/>
    <w:rsid w:val="003D40C3"/>
    <w:rsid w:val="003D5AB8"/>
    <w:rsid w:val="003D6A06"/>
    <w:rsid w:val="003D7A70"/>
    <w:rsid w:val="003D7AFB"/>
    <w:rsid w:val="003E0E6A"/>
    <w:rsid w:val="003E2691"/>
    <w:rsid w:val="003E5C3B"/>
    <w:rsid w:val="003F08B4"/>
    <w:rsid w:val="003F106A"/>
    <w:rsid w:val="003F117D"/>
    <w:rsid w:val="003F1454"/>
    <w:rsid w:val="003F1536"/>
    <w:rsid w:val="003F1EA5"/>
    <w:rsid w:val="003F30B5"/>
    <w:rsid w:val="003F3926"/>
    <w:rsid w:val="003F3E89"/>
    <w:rsid w:val="003F40E6"/>
    <w:rsid w:val="003F4AB9"/>
    <w:rsid w:val="003F4B4E"/>
    <w:rsid w:val="003F4E33"/>
    <w:rsid w:val="003F501D"/>
    <w:rsid w:val="003F5C2B"/>
    <w:rsid w:val="003F601B"/>
    <w:rsid w:val="003F61FF"/>
    <w:rsid w:val="003F6950"/>
    <w:rsid w:val="003F7DB2"/>
    <w:rsid w:val="00400A77"/>
    <w:rsid w:val="0040345E"/>
    <w:rsid w:val="00403E15"/>
    <w:rsid w:val="00404040"/>
    <w:rsid w:val="00404FC6"/>
    <w:rsid w:val="00406364"/>
    <w:rsid w:val="004067FF"/>
    <w:rsid w:val="00407ED8"/>
    <w:rsid w:val="0041033D"/>
    <w:rsid w:val="00410580"/>
    <w:rsid w:val="00411F48"/>
    <w:rsid w:val="00413AE5"/>
    <w:rsid w:val="00413BDA"/>
    <w:rsid w:val="00414AD9"/>
    <w:rsid w:val="0041616A"/>
    <w:rsid w:val="00416466"/>
    <w:rsid w:val="004173FB"/>
    <w:rsid w:val="0041795F"/>
    <w:rsid w:val="00421009"/>
    <w:rsid w:val="00421D80"/>
    <w:rsid w:val="00421DB0"/>
    <w:rsid w:val="00422EA8"/>
    <w:rsid w:val="00423424"/>
    <w:rsid w:val="00423A3A"/>
    <w:rsid w:val="00424BAF"/>
    <w:rsid w:val="00425D88"/>
    <w:rsid w:val="00426861"/>
    <w:rsid w:val="00426AED"/>
    <w:rsid w:val="00430AB4"/>
    <w:rsid w:val="00430DE3"/>
    <w:rsid w:val="004323A7"/>
    <w:rsid w:val="00432D50"/>
    <w:rsid w:val="00433112"/>
    <w:rsid w:val="004335B0"/>
    <w:rsid w:val="004345FA"/>
    <w:rsid w:val="00434BEF"/>
    <w:rsid w:val="0043501C"/>
    <w:rsid w:val="00435E8D"/>
    <w:rsid w:val="00435F02"/>
    <w:rsid w:val="00437273"/>
    <w:rsid w:val="00437B5C"/>
    <w:rsid w:val="0044050B"/>
    <w:rsid w:val="00441DEC"/>
    <w:rsid w:val="00443640"/>
    <w:rsid w:val="00443659"/>
    <w:rsid w:val="004439B8"/>
    <w:rsid w:val="004453B3"/>
    <w:rsid w:val="0044617D"/>
    <w:rsid w:val="004461C7"/>
    <w:rsid w:val="00446502"/>
    <w:rsid w:val="00446E89"/>
    <w:rsid w:val="0044721B"/>
    <w:rsid w:val="004473A6"/>
    <w:rsid w:val="004474CE"/>
    <w:rsid w:val="00447D01"/>
    <w:rsid w:val="00447E5C"/>
    <w:rsid w:val="00450EE6"/>
    <w:rsid w:val="00452515"/>
    <w:rsid w:val="004527EE"/>
    <w:rsid w:val="00452E3F"/>
    <w:rsid w:val="00454A07"/>
    <w:rsid w:val="00456C47"/>
    <w:rsid w:val="0046042F"/>
    <w:rsid w:val="00461FB0"/>
    <w:rsid w:val="00462B63"/>
    <w:rsid w:val="00463DC8"/>
    <w:rsid w:val="00463F10"/>
    <w:rsid w:val="0046410C"/>
    <w:rsid w:val="004649DE"/>
    <w:rsid w:val="00465025"/>
    <w:rsid w:val="00465153"/>
    <w:rsid w:val="004651E1"/>
    <w:rsid w:val="00465864"/>
    <w:rsid w:val="00466142"/>
    <w:rsid w:val="00466223"/>
    <w:rsid w:val="0046767D"/>
    <w:rsid w:val="00467BFC"/>
    <w:rsid w:val="004705CC"/>
    <w:rsid w:val="0047118A"/>
    <w:rsid w:val="00471DAE"/>
    <w:rsid w:val="00471F90"/>
    <w:rsid w:val="004755EF"/>
    <w:rsid w:val="00475EC5"/>
    <w:rsid w:val="00476117"/>
    <w:rsid w:val="004773BB"/>
    <w:rsid w:val="00477420"/>
    <w:rsid w:val="004777C4"/>
    <w:rsid w:val="00477FF9"/>
    <w:rsid w:val="004812F7"/>
    <w:rsid w:val="00481C2E"/>
    <w:rsid w:val="00482ABA"/>
    <w:rsid w:val="00483660"/>
    <w:rsid w:val="00483B02"/>
    <w:rsid w:val="00483FCD"/>
    <w:rsid w:val="00484705"/>
    <w:rsid w:val="00484D72"/>
    <w:rsid w:val="004865BD"/>
    <w:rsid w:val="0048695C"/>
    <w:rsid w:val="0048782B"/>
    <w:rsid w:val="00491794"/>
    <w:rsid w:val="00491B60"/>
    <w:rsid w:val="004925DA"/>
    <w:rsid w:val="00492C4D"/>
    <w:rsid w:val="00492FAE"/>
    <w:rsid w:val="004934E9"/>
    <w:rsid w:val="0049483C"/>
    <w:rsid w:val="00495BF0"/>
    <w:rsid w:val="004965AA"/>
    <w:rsid w:val="0049661F"/>
    <w:rsid w:val="00496FDC"/>
    <w:rsid w:val="00497784"/>
    <w:rsid w:val="00497CFD"/>
    <w:rsid w:val="004A0AB3"/>
    <w:rsid w:val="004A132E"/>
    <w:rsid w:val="004A16E0"/>
    <w:rsid w:val="004A24A5"/>
    <w:rsid w:val="004A2960"/>
    <w:rsid w:val="004A2D39"/>
    <w:rsid w:val="004A33E5"/>
    <w:rsid w:val="004A3547"/>
    <w:rsid w:val="004A3955"/>
    <w:rsid w:val="004A4352"/>
    <w:rsid w:val="004A43E8"/>
    <w:rsid w:val="004A5414"/>
    <w:rsid w:val="004A7896"/>
    <w:rsid w:val="004B10DA"/>
    <w:rsid w:val="004B1636"/>
    <w:rsid w:val="004B222D"/>
    <w:rsid w:val="004B2840"/>
    <w:rsid w:val="004B348E"/>
    <w:rsid w:val="004B4061"/>
    <w:rsid w:val="004B42AD"/>
    <w:rsid w:val="004B44AA"/>
    <w:rsid w:val="004B5DE7"/>
    <w:rsid w:val="004B6A60"/>
    <w:rsid w:val="004B77E4"/>
    <w:rsid w:val="004B7A61"/>
    <w:rsid w:val="004C06A1"/>
    <w:rsid w:val="004C08F8"/>
    <w:rsid w:val="004C1E98"/>
    <w:rsid w:val="004C3C30"/>
    <w:rsid w:val="004C44CE"/>
    <w:rsid w:val="004C4A52"/>
    <w:rsid w:val="004C4B4D"/>
    <w:rsid w:val="004C4F4C"/>
    <w:rsid w:val="004C59A4"/>
    <w:rsid w:val="004C5ACF"/>
    <w:rsid w:val="004C6EF8"/>
    <w:rsid w:val="004C6FF6"/>
    <w:rsid w:val="004C7653"/>
    <w:rsid w:val="004C7E7F"/>
    <w:rsid w:val="004D0BAE"/>
    <w:rsid w:val="004D1723"/>
    <w:rsid w:val="004D2906"/>
    <w:rsid w:val="004D2B11"/>
    <w:rsid w:val="004D3447"/>
    <w:rsid w:val="004D4FF6"/>
    <w:rsid w:val="004D5689"/>
    <w:rsid w:val="004D5692"/>
    <w:rsid w:val="004D57FE"/>
    <w:rsid w:val="004D5C1F"/>
    <w:rsid w:val="004D6AC1"/>
    <w:rsid w:val="004D6E73"/>
    <w:rsid w:val="004D7345"/>
    <w:rsid w:val="004D79F3"/>
    <w:rsid w:val="004D7BB6"/>
    <w:rsid w:val="004E0319"/>
    <w:rsid w:val="004E0648"/>
    <w:rsid w:val="004E0724"/>
    <w:rsid w:val="004E091D"/>
    <w:rsid w:val="004E0985"/>
    <w:rsid w:val="004E19D7"/>
    <w:rsid w:val="004E29DD"/>
    <w:rsid w:val="004E3A6F"/>
    <w:rsid w:val="004E4636"/>
    <w:rsid w:val="004E527B"/>
    <w:rsid w:val="004E664A"/>
    <w:rsid w:val="004E7EDC"/>
    <w:rsid w:val="004F0150"/>
    <w:rsid w:val="004F0929"/>
    <w:rsid w:val="004F0BF4"/>
    <w:rsid w:val="004F10F5"/>
    <w:rsid w:val="004F1819"/>
    <w:rsid w:val="004F1D6E"/>
    <w:rsid w:val="004F2ED8"/>
    <w:rsid w:val="004F314E"/>
    <w:rsid w:val="004F322E"/>
    <w:rsid w:val="004F349E"/>
    <w:rsid w:val="004F365B"/>
    <w:rsid w:val="004F3B5C"/>
    <w:rsid w:val="004F4B67"/>
    <w:rsid w:val="004F4FDD"/>
    <w:rsid w:val="004F51AF"/>
    <w:rsid w:val="004F5BAA"/>
    <w:rsid w:val="004F6370"/>
    <w:rsid w:val="004F69B8"/>
    <w:rsid w:val="004F7020"/>
    <w:rsid w:val="004F7306"/>
    <w:rsid w:val="0050142E"/>
    <w:rsid w:val="0050158A"/>
    <w:rsid w:val="00501D64"/>
    <w:rsid w:val="00502017"/>
    <w:rsid w:val="00502B3F"/>
    <w:rsid w:val="00502C9E"/>
    <w:rsid w:val="00503332"/>
    <w:rsid w:val="00503F73"/>
    <w:rsid w:val="00503F99"/>
    <w:rsid w:val="005104CA"/>
    <w:rsid w:val="00510C28"/>
    <w:rsid w:val="005117EB"/>
    <w:rsid w:val="00512350"/>
    <w:rsid w:val="005138A3"/>
    <w:rsid w:val="00514A9F"/>
    <w:rsid w:val="00514AB5"/>
    <w:rsid w:val="00514D77"/>
    <w:rsid w:val="005158CE"/>
    <w:rsid w:val="00515ED6"/>
    <w:rsid w:val="00515FD4"/>
    <w:rsid w:val="00516483"/>
    <w:rsid w:val="005165F1"/>
    <w:rsid w:val="005166DD"/>
    <w:rsid w:val="005166F3"/>
    <w:rsid w:val="0051724E"/>
    <w:rsid w:val="005173D1"/>
    <w:rsid w:val="00517FEC"/>
    <w:rsid w:val="00520687"/>
    <w:rsid w:val="0052084B"/>
    <w:rsid w:val="00520B9D"/>
    <w:rsid w:val="00521895"/>
    <w:rsid w:val="005223AB"/>
    <w:rsid w:val="00522ECF"/>
    <w:rsid w:val="005239C9"/>
    <w:rsid w:val="005247AD"/>
    <w:rsid w:val="00524CF2"/>
    <w:rsid w:val="005255CD"/>
    <w:rsid w:val="00527888"/>
    <w:rsid w:val="00531500"/>
    <w:rsid w:val="00533757"/>
    <w:rsid w:val="00533777"/>
    <w:rsid w:val="00534340"/>
    <w:rsid w:val="00535279"/>
    <w:rsid w:val="00535481"/>
    <w:rsid w:val="005356E4"/>
    <w:rsid w:val="00536141"/>
    <w:rsid w:val="00536AFE"/>
    <w:rsid w:val="0053733F"/>
    <w:rsid w:val="00537B0D"/>
    <w:rsid w:val="00537EBC"/>
    <w:rsid w:val="005408F7"/>
    <w:rsid w:val="00542440"/>
    <w:rsid w:val="00542EEC"/>
    <w:rsid w:val="00543013"/>
    <w:rsid w:val="0054567B"/>
    <w:rsid w:val="00545A56"/>
    <w:rsid w:val="00546E33"/>
    <w:rsid w:val="00547BB4"/>
    <w:rsid w:val="00550332"/>
    <w:rsid w:val="005507A6"/>
    <w:rsid w:val="0055345A"/>
    <w:rsid w:val="00553915"/>
    <w:rsid w:val="005546D1"/>
    <w:rsid w:val="00554A32"/>
    <w:rsid w:val="00555210"/>
    <w:rsid w:val="00555AA1"/>
    <w:rsid w:val="00555DA7"/>
    <w:rsid w:val="00556469"/>
    <w:rsid w:val="0055677E"/>
    <w:rsid w:val="00556A9A"/>
    <w:rsid w:val="00560A1E"/>
    <w:rsid w:val="00560DF5"/>
    <w:rsid w:val="00560ECF"/>
    <w:rsid w:val="0056161A"/>
    <w:rsid w:val="0056232B"/>
    <w:rsid w:val="0056274E"/>
    <w:rsid w:val="00562E1A"/>
    <w:rsid w:val="00562F2A"/>
    <w:rsid w:val="00563906"/>
    <w:rsid w:val="005641D5"/>
    <w:rsid w:val="005645FD"/>
    <w:rsid w:val="00564F7D"/>
    <w:rsid w:val="005650CE"/>
    <w:rsid w:val="00565101"/>
    <w:rsid w:val="005662B6"/>
    <w:rsid w:val="00571A15"/>
    <w:rsid w:val="00571D58"/>
    <w:rsid w:val="00571F7C"/>
    <w:rsid w:val="00572283"/>
    <w:rsid w:val="005733DB"/>
    <w:rsid w:val="00573780"/>
    <w:rsid w:val="00573DB8"/>
    <w:rsid w:val="00574AC5"/>
    <w:rsid w:val="00574BCD"/>
    <w:rsid w:val="00574CEA"/>
    <w:rsid w:val="005759B5"/>
    <w:rsid w:val="00576309"/>
    <w:rsid w:val="005766B3"/>
    <w:rsid w:val="00576C0B"/>
    <w:rsid w:val="00576CDF"/>
    <w:rsid w:val="0058036D"/>
    <w:rsid w:val="00581384"/>
    <w:rsid w:val="0058178E"/>
    <w:rsid w:val="00581970"/>
    <w:rsid w:val="00583DFB"/>
    <w:rsid w:val="00583F78"/>
    <w:rsid w:val="005840C7"/>
    <w:rsid w:val="00584712"/>
    <w:rsid w:val="00584CA5"/>
    <w:rsid w:val="005851EE"/>
    <w:rsid w:val="00585A51"/>
    <w:rsid w:val="00586808"/>
    <w:rsid w:val="00586D0B"/>
    <w:rsid w:val="00587E5C"/>
    <w:rsid w:val="0059176B"/>
    <w:rsid w:val="005931FB"/>
    <w:rsid w:val="005934AE"/>
    <w:rsid w:val="00593F3E"/>
    <w:rsid w:val="00594B8F"/>
    <w:rsid w:val="00595217"/>
    <w:rsid w:val="0059799F"/>
    <w:rsid w:val="005A048F"/>
    <w:rsid w:val="005A0806"/>
    <w:rsid w:val="005A0A03"/>
    <w:rsid w:val="005A0E07"/>
    <w:rsid w:val="005A1134"/>
    <w:rsid w:val="005A3078"/>
    <w:rsid w:val="005A45B5"/>
    <w:rsid w:val="005A56B7"/>
    <w:rsid w:val="005A71F2"/>
    <w:rsid w:val="005B08CA"/>
    <w:rsid w:val="005B1955"/>
    <w:rsid w:val="005B1DA4"/>
    <w:rsid w:val="005B24FC"/>
    <w:rsid w:val="005B2AAC"/>
    <w:rsid w:val="005B2BFA"/>
    <w:rsid w:val="005B2C04"/>
    <w:rsid w:val="005B3F06"/>
    <w:rsid w:val="005B450F"/>
    <w:rsid w:val="005B4B85"/>
    <w:rsid w:val="005B5382"/>
    <w:rsid w:val="005B59F7"/>
    <w:rsid w:val="005B6876"/>
    <w:rsid w:val="005B71CC"/>
    <w:rsid w:val="005B75BD"/>
    <w:rsid w:val="005C022E"/>
    <w:rsid w:val="005C053E"/>
    <w:rsid w:val="005C0884"/>
    <w:rsid w:val="005C0B4D"/>
    <w:rsid w:val="005C17CE"/>
    <w:rsid w:val="005C1A92"/>
    <w:rsid w:val="005C3975"/>
    <w:rsid w:val="005C3E53"/>
    <w:rsid w:val="005C69CB"/>
    <w:rsid w:val="005C7C25"/>
    <w:rsid w:val="005D10AC"/>
    <w:rsid w:val="005D1419"/>
    <w:rsid w:val="005D20AA"/>
    <w:rsid w:val="005D2B7D"/>
    <w:rsid w:val="005D2F03"/>
    <w:rsid w:val="005D4437"/>
    <w:rsid w:val="005D50B8"/>
    <w:rsid w:val="005D575A"/>
    <w:rsid w:val="005D6100"/>
    <w:rsid w:val="005D64BE"/>
    <w:rsid w:val="005D68DC"/>
    <w:rsid w:val="005D719C"/>
    <w:rsid w:val="005E020E"/>
    <w:rsid w:val="005E0C8C"/>
    <w:rsid w:val="005E2953"/>
    <w:rsid w:val="005E2E87"/>
    <w:rsid w:val="005E2F7E"/>
    <w:rsid w:val="005E5238"/>
    <w:rsid w:val="005E56B0"/>
    <w:rsid w:val="005E7C4C"/>
    <w:rsid w:val="005F08B4"/>
    <w:rsid w:val="005F0BBB"/>
    <w:rsid w:val="005F125E"/>
    <w:rsid w:val="005F2572"/>
    <w:rsid w:val="005F296B"/>
    <w:rsid w:val="005F2B24"/>
    <w:rsid w:val="005F3260"/>
    <w:rsid w:val="005F4D75"/>
    <w:rsid w:val="005F600D"/>
    <w:rsid w:val="005F69E8"/>
    <w:rsid w:val="005F79DE"/>
    <w:rsid w:val="005F7E77"/>
    <w:rsid w:val="006007AE"/>
    <w:rsid w:val="00601615"/>
    <w:rsid w:val="00602346"/>
    <w:rsid w:val="00604D86"/>
    <w:rsid w:val="00604FC3"/>
    <w:rsid w:val="00605FBB"/>
    <w:rsid w:val="00606451"/>
    <w:rsid w:val="00606A41"/>
    <w:rsid w:val="00606DCB"/>
    <w:rsid w:val="00610036"/>
    <w:rsid w:val="00610A53"/>
    <w:rsid w:val="00610B5D"/>
    <w:rsid w:val="006111A3"/>
    <w:rsid w:val="00611A8A"/>
    <w:rsid w:val="006121F1"/>
    <w:rsid w:val="006123FE"/>
    <w:rsid w:val="00613C42"/>
    <w:rsid w:val="0061464F"/>
    <w:rsid w:val="00615E37"/>
    <w:rsid w:val="00620EFB"/>
    <w:rsid w:val="006219F7"/>
    <w:rsid w:val="00623751"/>
    <w:rsid w:val="00623CD7"/>
    <w:rsid w:val="006242C0"/>
    <w:rsid w:val="006242EF"/>
    <w:rsid w:val="00624ACE"/>
    <w:rsid w:val="00625658"/>
    <w:rsid w:val="00627378"/>
    <w:rsid w:val="00627ED3"/>
    <w:rsid w:val="0063100F"/>
    <w:rsid w:val="0063147F"/>
    <w:rsid w:val="0063201E"/>
    <w:rsid w:val="006335B8"/>
    <w:rsid w:val="006338F0"/>
    <w:rsid w:val="00634E9E"/>
    <w:rsid w:val="006358AC"/>
    <w:rsid w:val="006367A0"/>
    <w:rsid w:val="006379C4"/>
    <w:rsid w:val="0064109D"/>
    <w:rsid w:val="006412F3"/>
    <w:rsid w:val="0064136A"/>
    <w:rsid w:val="006421D1"/>
    <w:rsid w:val="00643528"/>
    <w:rsid w:val="006435F1"/>
    <w:rsid w:val="00643DCA"/>
    <w:rsid w:val="0064454A"/>
    <w:rsid w:val="00644B98"/>
    <w:rsid w:val="00646138"/>
    <w:rsid w:val="00647342"/>
    <w:rsid w:val="00647794"/>
    <w:rsid w:val="00647A13"/>
    <w:rsid w:val="00647EBC"/>
    <w:rsid w:val="006506D3"/>
    <w:rsid w:val="00650B4A"/>
    <w:rsid w:val="0065163C"/>
    <w:rsid w:val="006517A3"/>
    <w:rsid w:val="0065190E"/>
    <w:rsid w:val="00651C71"/>
    <w:rsid w:val="00651F5D"/>
    <w:rsid w:val="006521A8"/>
    <w:rsid w:val="00652E3C"/>
    <w:rsid w:val="00653F28"/>
    <w:rsid w:val="00654012"/>
    <w:rsid w:val="0065437A"/>
    <w:rsid w:val="00654617"/>
    <w:rsid w:val="00654806"/>
    <w:rsid w:val="0065484D"/>
    <w:rsid w:val="00654C8B"/>
    <w:rsid w:val="0065552B"/>
    <w:rsid w:val="00655B49"/>
    <w:rsid w:val="00656704"/>
    <w:rsid w:val="0065744E"/>
    <w:rsid w:val="00657CF0"/>
    <w:rsid w:val="0066121C"/>
    <w:rsid w:val="00662213"/>
    <w:rsid w:val="00662F9C"/>
    <w:rsid w:val="006634F6"/>
    <w:rsid w:val="00664D61"/>
    <w:rsid w:val="00665257"/>
    <w:rsid w:val="0066538B"/>
    <w:rsid w:val="00665508"/>
    <w:rsid w:val="006661B0"/>
    <w:rsid w:val="0066699D"/>
    <w:rsid w:val="00667A91"/>
    <w:rsid w:val="0067064D"/>
    <w:rsid w:val="00670F92"/>
    <w:rsid w:val="00671656"/>
    <w:rsid w:val="00671C08"/>
    <w:rsid w:val="00671EFB"/>
    <w:rsid w:val="00672205"/>
    <w:rsid w:val="006737B0"/>
    <w:rsid w:val="00673B14"/>
    <w:rsid w:val="00673C4B"/>
    <w:rsid w:val="0067602C"/>
    <w:rsid w:val="00676768"/>
    <w:rsid w:val="006768AF"/>
    <w:rsid w:val="00676E1E"/>
    <w:rsid w:val="00676E2A"/>
    <w:rsid w:val="00676ED9"/>
    <w:rsid w:val="00677337"/>
    <w:rsid w:val="0068328E"/>
    <w:rsid w:val="00683ACB"/>
    <w:rsid w:val="00683B09"/>
    <w:rsid w:val="00684343"/>
    <w:rsid w:val="00684545"/>
    <w:rsid w:val="006846E4"/>
    <w:rsid w:val="00684AD4"/>
    <w:rsid w:val="00685C36"/>
    <w:rsid w:val="0068669F"/>
    <w:rsid w:val="00690954"/>
    <w:rsid w:val="00691113"/>
    <w:rsid w:val="006931AA"/>
    <w:rsid w:val="00693C0D"/>
    <w:rsid w:val="00695596"/>
    <w:rsid w:val="00695607"/>
    <w:rsid w:val="0069580E"/>
    <w:rsid w:val="00695BC6"/>
    <w:rsid w:val="00696B10"/>
    <w:rsid w:val="006A01AD"/>
    <w:rsid w:val="006A10A9"/>
    <w:rsid w:val="006A172F"/>
    <w:rsid w:val="006A32A7"/>
    <w:rsid w:val="006A3698"/>
    <w:rsid w:val="006A43C7"/>
    <w:rsid w:val="006A4BE4"/>
    <w:rsid w:val="006A4EF3"/>
    <w:rsid w:val="006A4FC1"/>
    <w:rsid w:val="006A5898"/>
    <w:rsid w:val="006A5F8D"/>
    <w:rsid w:val="006A6A61"/>
    <w:rsid w:val="006A770C"/>
    <w:rsid w:val="006A7EA5"/>
    <w:rsid w:val="006B0613"/>
    <w:rsid w:val="006B1712"/>
    <w:rsid w:val="006B1C2A"/>
    <w:rsid w:val="006B1E90"/>
    <w:rsid w:val="006B2F4C"/>
    <w:rsid w:val="006B2FFD"/>
    <w:rsid w:val="006B34F5"/>
    <w:rsid w:val="006B3651"/>
    <w:rsid w:val="006B4096"/>
    <w:rsid w:val="006B44E5"/>
    <w:rsid w:val="006B57C4"/>
    <w:rsid w:val="006B580F"/>
    <w:rsid w:val="006B5811"/>
    <w:rsid w:val="006B5C40"/>
    <w:rsid w:val="006B5CA2"/>
    <w:rsid w:val="006B61A8"/>
    <w:rsid w:val="006B623D"/>
    <w:rsid w:val="006B670E"/>
    <w:rsid w:val="006C1066"/>
    <w:rsid w:val="006C2E4F"/>
    <w:rsid w:val="006C3DD0"/>
    <w:rsid w:val="006C4F64"/>
    <w:rsid w:val="006C5178"/>
    <w:rsid w:val="006C533E"/>
    <w:rsid w:val="006C55AE"/>
    <w:rsid w:val="006C61B5"/>
    <w:rsid w:val="006C6762"/>
    <w:rsid w:val="006C695D"/>
    <w:rsid w:val="006C6F6B"/>
    <w:rsid w:val="006C7541"/>
    <w:rsid w:val="006C76B1"/>
    <w:rsid w:val="006D095D"/>
    <w:rsid w:val="006D33F1"/>
    <w:rsid w:val="006D4194"/>
    <w:rsid w:val="006D432C"/>
    <w:rsid w:val="006D43D4"/>
    <w:rsid w:val="006D4D90"/>
    <w:rsid w:val="006D5994"/>
    <w:rsid w:val="006D5DBE"/>
    <w:rsid w:val="006D5F02"/>
    <w:rsid w:val="006D6205"/>
    <w:rsid w:val="006D68BE"/>
    <w:rsid w:val="006D69A0"/>
    <w:rsid w:val="006D7ED3"/>
    <w:rsid w:val="006E2C24"/>
    <w:rsid w:val="006E34B1"/>
    <w:rsid w:val="006E3A77"/>
    <w:rsid w:val="006E5419"/>
    <w:rsid w:val="006E58A5"/>
    <w:rsid w:val="006E632E"/>
    <w:rsid w:val="006E651D"/>
    <w:rsid w:val="006E6649"/>
    <w:rsid w:val="006E71C3"/>
    <w:rsid w:val="006F00ED"/>
    <w:rsid w:val="006F01A9"/>
    <w:rsid w:val="006F0275"/>
    <w:rsid w:val="006F2EA7"/>
    <w:rsid w:val="006F3265"/>
    <w:rsid w:val="006F3E0A"/>
    <w:rsid w:val="006F4379"/>
    <w:rsid w:val="006F4A44"/>
    <w:rsid w:val="006F4D07"/>
    <w:rsid w:val="006F53A6"/>
    <w:rsid w:val="006F5D7B"/>
    <w:rsid w:val="006F62E2"/>
    <w:rsid w:val="006F6C7B"/>
    <w:rsid w:val="006F6FED"/>
    <w:rsid w:val="006F725C"/>
    <w:rsid w:val="006F7B85"/>
    <w:rsid w:val="006F7D30"/>
    <w:rsid w:val="006F7D93"/>
    <w:rsid w:val="00700012"/>
    <w:rsid w:val="007008C0"/>
    <w:rsid w:val="007008F8"/>
    <w:rsid w:val="00702686"/>
    <w:rsid w:val="00702AF0"/>
    <w:rsid w:val="00702C11"/>
    <w:rsid w:val="00702CBD"/>
    <w:rsid w:val="00702F4A"/>
    <w:rsid w:val="0070379D"/>
    <w:rsid w:val="0070385E"/>
    <w:rsid w:val="007038B3"/>
    <w:rsid w:val="00703CC0"/>
    <w:rsid w:val="00703FB7"/>
    <w:rsid w:val="00704161"/>
    <w:rsid w:val="007050D6"/>
    <w:rsid w:val="00705460"/>
    <w:rsid w:val="0070605E"/>
    <w:rsid w:val="00706487"/>
    <w:rsid w:val="00707145"/>
    <w:rsid w:val="0070747B"/>
    <w:rsid w:val="0071094A"/>
    <w:rsid w:val="0071097D"/>
    <w:rsid w:val="00710BFC"/>
    <w:rsid w:val="007110D0"/>
    <w:rsid w:val="00711A15"/>
    <w:rsid w:val="00711CF4"/>
    <w:rsid w:val="00713381"/>
    <w:rsid w:val="0071392E"/>
    <w:rsid w:val="00713AC3"/>
    <w:rsid w:val="007151E9"/>
    <w:rsid w:val="00715344"/>
    <w:rsid w:val="007165A2"/>
    <w:rsid w:val="00721DFD"/>
    <w:rsid w:val="00722FAD"/>
    <w:rsid w:val="00724332"/>
    <w:rsid w:val="00724B11"/>
    <w:rsid w:val="00724F65"/>
    <w:rsid w:val="00726C16"/>
    <w:rsid w:val="00726D43"/>
    <w:rsid w:val="007279B5"/>
    <w:rsid w:val="00727DDF"/>
    <w:rsid w:val="00731055"/>
    <w:rsid w:val="007316DC"/>
    <w:rsid w:val="0073197F"/>
    <w:rsid w:val="007339D3"/>
    <w:rsid w:val="00735F08"/>
    <w:rsid w:val="00735F2E"/>
    <w:rsid w:val="00735FEC"/>
    <w:rsid w:val="00736592"/>
    <w:rsid w:val="007375DC"/>
    <w:rsid w:val="00740973"/>
    <w:rsid w:val="00740E6F"/>
    <w:rsid w:val="0074191D"/>
    <w:rsid w:val="00741BFB"/>
    <w:rsid w:val="007421C8"/>
    <w:rsid w:val="007429E1"/>
    <w:rsid w:val="00742A43"/>
    <w:rsid w:val="00742D7A"/>
    <w:rsid w:val="00742E07"/>
    <w:rsid w:val="00743486"/>
    <w:rsid w:val="007434AB"/>
    <w:rsid w:val="007436A3"/>
    <w:rsid w:val="0074378F"/>
    <w:rsid w:val="007447D6"/>
    <w:rsid w:val="00744BAA"/>
    <w:rsid w:val="007452B3"/>
    <w:rsid w:val="00745B35"/>
    <w:rsid w:val="00747422"/>
    <w:rsid w:val="007477FD"/>
    <w:rsid w:val="007500A0"/>
    <w:rsid w:val="007512DA"/>
    <w:rsid w:val="00751824"/>
    <w:rsid w:val="00752FC6"/>
    <w:rsid w:val="007533F4"/>
    <w:rsid w:val="00753F39"/>
    <w:rsid w:val="0075510D"/>
    <w:rsid w:val="00755399"/>
    <w:rsid w:val="0075632C"/>
    <w:rsid w:val="0075637A"/>
    <w:rsid w:val="00756CDE"/>
    <w:rsid w:val="00756E9C"/>
    <w:rsid w:val="007575BF"/>
    <w:rsid w:val="007622B7"/>
    <w:rsid w:val="007624DE"/>
    <w:rsid w:val="0076284B"/>
    <w:rsid w:val="00762EF8"/>
    <w:rsid w:val="007634F7"/>
    <w:rsid w:val="00763B96"/>
    <w:rsid w:val="007644D1"/>
    <w:rsid w:val="007645B4"/>
    <w:rsid w:val="0076495A"/>
    <w:rsid w:val="0076613C"/>
    <w:rsid w:val="00766FA7"/>
    <w:rsid w:val="00767AF2"/>
    <w:rsid w:val="00770C7B"/>
    <w:rsid w:val="007710CE"/>
    <w:rsid w:val="00771E72"/>
    <w:rsid w:val="007725AF"/>
    <w:rsid w:val="00773056"/>
    <w:rsid w:val="007733E2"/>
    <w:rsid w:val="00773686"/>
    <w:rsid w:val="00774C1B"/>
    <w:rsid w:val="00774D15"/>
    <w:rsid w:val="00775F22"/>
    <w:rsid w:val="00782F62"/>
    <w:rsid w:val="00783798"/>
    <w:rsid w:val="00783B41"/>
    <w:rsid w:val="0078536C"/>
    <w:rsid w:val="007877F9"/>
    <w:rsid w:val="00790D8A"/>
    <w:rsid w:val="0079257D"/>
    <w:rsid w:val="00792E92"/>
    <w:rsid w:val="007935BE"/>
    <w:rsid w:val="00795D6E"/>
    <w:rsid w:val="00796464"/>
    <w:rsid w:val="00796F84"/>
    <w:rsid w:val="00797264"/>
    <w:rsid w:val="007A0961"/>
    <w:rsid w:val="007A0D59"/>
    <w:rsid w:val="007A14E2"/>
    <w:rsid w:val="007A2D1B"/>
    <w:rsid w:val="007A3053"/>
    <w:rsid w:val="007A38DA"/>
    <w:rsid w:val="007A462B"/>
    <w:rsid w:val="007A476A"/>
    <w:rsid w:val="007A5B50"/>
    <w:rsid w:val="007A7B3D"/>
    <w:rsid w:val="007B0646"/>
    <w:rsid w:val="007B1063"/>
    <w:rsid w:val="007B16A0"/>
    <w:rsid w:val="007B3004"/>
    <w:rsid w:val="007B323D"/>
    <w:rsid w:val="007B324B"/>
    <w:rsid w:val="007B3459"/>
    <w:rsid w:val="007B3943"/>
    <w:rsid w:val="007B3A43"/>
    <w:rsid w:val="007B3F8A"/>
    <w:rsid w:val="007B4B9E"/>
    <w:rsid w:val="007B6219"/>
    <w:rsid w:val="007B649C"/>
    <w:rsid w:val="007B68EC"/>
    <w:rsid w:val="007B6CE0"/>
    <w:rsid w:val="007B6D28"/>
    <w:rsid w:val="007B7117"/>
    <w:rsid w:val="007B736C"/>
    <w:rsid w:val="007B7505"/>
    <w:rsid w:val="007B7C9D"/>
    <w:rsid w:val="007C05B3"/>
    <w:rsid w:val="007C05D7"/>
    <w:rsid w:val="007C078B"/>
    <w:rsid w:val="007C18CD"/>
    <w:rsid w:val="007C2102"/>
    <w:rsid w:val="007C2542"/>
    <w:rsid w:val="007C2B67"/>
    <w:rsid w:val="007C34CA"/>
    <w:rsid w:val="007C52B9"/>
    <w:rsid w:val="007C6797"/>
    <w:rsid w:val="007C6889"/>
    <w:rsid w:val="007C6D6B"/>
    <w:rsid w:val="007C720D"/>
    <w:rsid w:val="007D0989"/>
    <w:rsid w:val="007D1462"/>
    <w:rsid w:val="007D1C1A"/>
    <w:rsid w:val="007D2A5B"/>
    <w:rsid w:val="007D2D54"/>
    <w:rsid w:val="007D3D53"/>
    <w:rsid w:val="007D4483"/>
    <w:rsid w:val="007D4491"/>
    <w:rsid w:val="007D61F5"/>
    <w:rsid w:val="007D69F2"/>
    <w:rsid w:val="007E07DC"/>
    <w:rsid w:val="007E13DC"/>
    <w:rsid w:val="007E290F"/>
    <w:rsid w:val="007E3721"/>
    <w:rsid w:val="007E3872"/>
    <w:rsid w:val="007E3E26"/>
    <w:rsid w:val="007E43FA"/>
    <w:rsid w:val="007E4498"/>
    <w:rsid w:val="007E49CF"/>
    <w:rsid w:val="007E4B02"/>
    <w:rsid w:val="007E4F4D"/>
    <w:rsid w:val="007E5C04"/>
    <w:rsid w:val="007E6A14"/>
    <w:rsid w:val="007E7041"/>
    <w:rsid w:val="007E7777"/>
    <w:rsid w:val="007E7EF2"/>
    <w:rsid w:val="007F0985"/>
    <w:rsid w:val="007F12F3"/>
    <w:rsid w:val="007F1351"/>
    <w:rsid w:val="007F2C45"/>
    <w:rsid w:val="007F3054"/>
    <w:rsid w:val="007F39FE"/>
    <w:rsid w:val="007F3E39"/>
    <w:rsid w:val="007F4B2F"/>
    <w:rsid w:val="007F534C"/>
    <w:rsid w:val="007F581C"/>
    <w:rsid w:val="007F74D3"/>
    <w:rsid w:val="007F7915"/>
    <w:rsid w:val="00800238"/>
    <w:rsid w:val="00800928"/>
    <w:rsid w:val="00801FF1"/>
    <w:rsid w:val="00802368"/>
    <w:rsid w:val="008023B9"/>
    <w:rsid w:val="0080249A"/>
    <w:rsid w:val="00803687"/>
    <w:rsid w:val="00803D07"/>
    <w:rsid w:val="00803EED"/>
    <w:rsid w:val="00804913"/>
    <w:rsid w:val="00804EBE"/>
    <w:rsid w:val="00806A70"/>
    <w:rsid w:val="00806D92"/>
    <w:rsid w:val="00806E20"/>
    <w:rsid w:val="00806FAE"/>
    <w:rsid w:val="0080710F"/>
    <w:rsid w:val="00810B79"/>
    <w:rsid w:val="00810ED5"/>
    <w:rsid w:val="00810F54"/>
    <w:rsid w:val="00811E12"/>
    <w:rsid w:val="00811EF1"/>
    <w:rsid w:val="00812032"/>
    <w:rsid w:val="00812980"/>
    <w:rsid w:val="00812A5C"/>
    <w:rsid w:val="00813263"/>
    <w:rsid w:val="00814217"/>
    <w:rsid w:val="00814592"/>
    <w:rsid w:val="00814FCA"/>
    <w:rsid w:val="0081522B"/>
    <w:rsid w:val="00816043"/>
    <w:rsid w:val="008160E4"/>
    <w:rsid w:val="0081613A"/>
    <w:rsid w:val="008163CB"/>
    <w:rsid w:val="0081669B"/>
    <w:rsid w:val="00816EFC"/>
    <w:rsid w:val="008170B0"/>
    <w:rsid w:val="00817237"/>
    <w:rsid w:val="00820050"/>
    <w:rsid w:val="00820BFF"/>
    <w:rsid w:val="00821B60"/>
    <w:rsid w:val="00822DD4"/>
    <w:rsid w:val="00823352"/>
    <w:rsid w:val="00823607"/>
    <w:rsid w:val="0082371D"/>
    <w:rsid w:val="00823B14"/>
    <w:rsid w:val="00824489"/>
    <w:rsid w:val="00826293"/>
    <w:rsid w:val="0082797C"/>
    <w:rsid w:val="0083003D"/>
    <w:rsid w:val="00831B83"/>
    <w:rsid w:val="0083220B"/>
    <w:rsid w:val="00832880"/>
    <w:rsid w:val="00835497"/>
    <w:rsid w:val="008358D0"/>
    <w:rsid w:val="00836018"/>
    <w:rsid w:val="00840293"/>
    <w:rsid w:val="008403AC"/>
    <w:rsid w:val="00840478"/>
    <w:rsid w:val="00840779"/>
    <w:rsid w:val="00841958"/>
    <w:rsid w:val="00841F4D"/>
    <w:rsid w:val="0084215A"/>
    <w:rsid w:val="00843741"/>
    <w:rsid w:val="0084500E"/>
    <w:rsid w:val="0084519A"/>
    <w:rsid w:val="008454CC"/>
    <w:rsid w:val="00845742"/>
    <w:rsid w:val="00845BF4"/>
    <w:rsid w:val="00846A8C"/>
    <w:rsid w:val="00846D60"/>
    <w:rsid w:val="0084723F"/>
    <w:rsid w:val="008475AE"/>
    <w:rsid w:val="00847885"/>
    <w:rsid w:val="00850F78"/>
    <w:rsid w:val="00851B76"/>
    <w:rsid w:val="0085319F"/>
    <w:rsid w:val="008540CD"/>
    <w:rsid w:val="008547B5"/>
    <w:rsid w:val="008549B5"/>
    <w:rsid w:val="0085514C"/>
    <w:rsid w:val="008554F6"/>
    <w:rsid w:val="00855A8B"/>
    <w:rsid w:val="0085646F"/>
    <w:rsid w:val="00857789"/>
    <w:rsid w:val="00857AD5"/>
    <w:rsid w:val="0086075C"/>
    <w:rsid w:val="00860B72"/>
    <w:rsid w:val="00861000"/>
    <w:rsid w:val="0086165F"/>
    <w:rsid w:val="00861EDD"/>
    <w:rsid w:val="0086323E"/>
    <w:rsid w:val="00863E73"/>
    <w:rsid w:val="008645E4"/>
    <w:rsid w:val="00865CE8"/>
    <w:rsid w:val="008678CA"/>
    <w:rsid w:val="008700AC"/>
    <w:rsid w:val="00870C1B"/>
    <w:rsid w:val="00871756"/>
    <w:rsid w:val="008717E9"/>
    <w:rsid w:val="008725AE"/>
    <w:rsid w:val="0087374D"/>
    <w:rsid w:val="00873986"/>
    <w:rsid w:val="00874EF5"/>
    <w:rsid w:val="00875DF2"/>
    <w:rsid w:val="00876A9D"/>
    <w:rsid w:val="008773FA"/>
    <w:rsid w:val="00877BB8"/>
    <w:rsid w:val="00877EBC"/>
    <w:rsid w:val="00881422"/>
    <w:rsid w:val="0088157D"/>
    <w:rsid w:val="008816EC"/>
    <w:rsid w:val="00881C17"/>
    <w:rsid w:val="00882E85"/>
    <w:rsid w:val="00882F10"/>
    <w:rsid w:val="0088319B"/>
    <w:rsid w:val="00883275"/>
    <w:rsid w:val="00885AF0"/>
    <w:rsid w:val="008867A0"/>
    <w:rsid w:val="00887886"/>
    <w:rsid w:val="0089010B"/>
    <w:rsid w:val="00890A86"/>
    <w:rsid w:val="00891A93"/>
    <w:rsid w:val="00891C37"/>
    <w:rsid w:val="008926FB"/>
    <w:rsid w:val="00893C8A"/>
    <w:rsid w:val="00894165"/>
    <w:rsid w:val="008948E7"/>
    <w:rsid w:val="00894E4B"/>
    <w:rsid w:val="008967E1"/>
    <w:rsid w:val="0089697A"/>
    <w:rsid w:val="00897CED"/>
    <w:rsid w:val="00897ED5"/>
    <w:rsid w:val="00897F87"/>
    <w:rsid w:val="008A2110"/>
    <w:rsid w:val="008A21A5"/>
    <w:rsid w:val="008A3914"/>
    <w:rsid w:val="008A4C61"/>
    <w:rsid w:val="008A4D52"/>
    <w:rsid w:val="008A4EEC"/>
    <w:rsid w:val="008A59FC"/>
    <w:rsid w:val="008A5F03"/>
    <w:rsid w:val="008A5FF8"/>
    <w:rsid w:val="008A76D6"/>
    <w:rsid w:val="008B138B"/>
    <w:rsid w:val="008B13F7"/>
    <w:rsid w:val="008B316E"/>
    <w:rsid w:val="008B47C1"/>
    <w:rsid w:val="008B5BD5"/>
    <w:rsid w:val="008B5BF9"/>
    <w:rsid w:val="008B6121"/>
    <w:rsid w:val="008B66E3"/>
    <w:rsid w:val="008B67BF"/>
    <w:rsid w:val="008B6859"/>
    <w:rsid w:val="008B6E5C"/>
    <w:rsid w:val="008B7031"/>
    <w:rsid w:val="008B7331"/>
    <w:rsid w:val="008B75E1"/>
    <w:rsid w:val="008C185C"/>
    <w:rsid w:val="008C2595"/>
    <w:rsid w:val="008C3EB7"/>
    <w:rsid w:val="008C48AD"/>
    <w:rsid w:val="008C5541"/>
    <w:rsid w:val="008C71C8"/>
    <w:rsid w:val="008C7A75"/>
    <w:rsid w:val="008D011F"/>
    <w:rsid w:val="008D0703"/>
    <w:rsid w:val="008D2F75"/>
    <w:rsid w:val="008D31B4"/>
    <w:rsid w:val="008D4934"/>
    <w:rsid w:val="008D49FB"/>
    <w:rsid w:val="008D52EA"/>
    <w:rsid w:val="008D5C27"/>
    <w:rsid w:val="008D6245"/>
    <w:rsid w:val="008D6426"/>
    <w:rsid w:val="008D6D21"/>
    <w:rsid w:val="008D78B4"/>
    <w:rsid w:val="008D7C0C"/>
    <w:rsid w:val="008E0406"/>
    <w:rsid w:val="008E07ED"/>
    <w:rsid w:val="008E0A31"/>
    <w:rsid w:val="008E1F2E"/>
    <w:rsid w:val="008E34F5"/>
    <w:rsid w:val="008E3509"/>
    <w:rsid w:val="008E3909"/>
    <w:rsid w:val="008E391E"/>
    <w:rsid w:val="008E39C2"/>
    <w:rsid w:val="008E3ACB"/>
    <w:rsid w:val="008E4340"/>
    <w:rsid w:val="008E4D61"/>
    <w:rsid w:val="008E4E31"/>
    <w:rsid w:val="008E5031"/>
    <w:rsid w:val="008E579E"/>
    <w:rsid w:val="008E60E0"/>
    <w:rsid w:val="008E62F6"/>
    <w:rsid w:val="008E6964"/>
    <w:rsid w:val="008E728A"/>
    <w:rsid w:val="008E76DE"/>
    <w:rsid w:val="008F01D6"/>
    <w:rsid w:val="008F1018"/>
    <w:rsid w:val="008F11CC"/>
    <w:rsid w:val="008F19BD"/>
    <w:rsid w:val="008F24F3"/>
    <w:rsid w:val="008F2A21"/>
    <w:rsid w:val="008F39E9"/>
    <w:rsid w:val="008F4482"/>
    <w:rsid w:val="008F55BD"/>
    <w:rsid w:val="008F63FC"/>
    <w:rsid w:val="008F664A"/>
    <w:rsid w:val="008F76E5"/>
    <w:rsid w:val="00901829"/>
    <w:rsid w:val="00901C55"/>
    <w:rsid w:val="00902B4C"/>
    <w:rsid w:val="00902F20"/>
    <w:rsid w:val="00903793"/>
    <w:rsid w:val="00903D92"/>
    <w:rsid w:val="009042D7"/>
    <w:rsid w:val="00905C30"/>
    <w:rsid w:val="0090648B"/>
    <w:rsid w:val="00906DAF"/>
    <w:rsid w:val="009076EE"/>
    <w:rsid w:val="00907E11"/>
    <w:rsid w:val="00910016"/>
    <w:rsid w:val="00911A16"/>
    <w:rsid w:val="00912337"/>
    <w:rsid w:val="00912CB0"/>
    <w:rsid w:val="00913068"/>
    <w:rsid w:val="00913101"/>
    <w:rsid w:val="009132CA"/>
    <w:rsid w:val="00913B0C"/>
    <w:rsid w:val="00913E07"/>
    <w:rsid w:val="0091414C"/>
    <w:rsid w:val="00914228"/>
    <w:rsid w:val="009147FE"/>
    <w:rsid w:val="00915531"/>
    <w:rsid w:val="00915B09"/>
    <w:rsid w:val="00915C4A"/>
    <w:rsid w:val="0091793B"/>
    <w:rsid w:val="00921603"/>
    <w:rsid w:val="009217AC"/>
    <w:rsid w:val="009217DB"/>
    <w:rsid w:val="00921B80"/>
    <w:rsid w:val="00923B78"/>
    <w:rsid w:val="0092477D"/>
    <w:rsid w:val="009249E9"/>
    <w:rsid w:val="00926467"/>
    <w:rsid w:val="00926E34"/>
    <w:rsid w:val="009270F6"/>
    <w:rsid w:val="00932C3E"/>
    <w:rsid w:val="00933009"/>
    <w:rsid w:val="00934FAE"/>
    <w:rsid w:val="00935496"/>
    <w:rsid w:val="009407AE"/>
    <w:rsid w:val="00940FD6"/>
    <w:rsid w:val="00941201"/>
    <w:rsid w:val="00941D2D"/>
    <w:rsid w:val="00946215"/>
    <w:rsid w:val="0095134D"/>
    <w:rsid w:val="009516DF"/>
    <w:rsid w:val="00951C79"/>
    <w:rsid w:val="0095356C"/>
    <w:rsid w:val="009543F6"/>
    <w:rsid w:val="0095480A"/>
    <w:rsid w:val="009553A7"/>
    <w:rsid w:val="0095652F"/>
    <w:rsid w:val="00956A0F"/>
    <w:rsid w:val="00962025"/>
    <w:rsid w:val="009642AA"/>
    <w:rsid w:val="009643A7"/>
    <w:rsid w:val="00964B93"/>
    <w:rsid w:val="00964EB7"/>
    <w:rsid w:val="009651E5"/>
    <w:rsid w:val="009662CA"/>
    <w:rsid w:val="0096656C"/>
    <w:rsid w:val="0096761D"/>
    <w:rsid w:val="00970698"/>
    <w:rsid w:val="009706EF"/>
    <w:rsid w:val="00970742"/>
    <w:rsid w:val="00970854"/>
    <w:rsid w:val="009709B6"/>
    <w:rsid w:val="00970A15"/>
    <w:rsid w:val="00973453"/>
    <w:rsid w:val="00973F37"/>
    <w:rsid w:val="00974278"/>
    <w:rsid w:val="00974946"/>
    <w:rsid w:val="00974BAC"/>
    <w:rsid w:val="009753AC"/>
    <w:rsid w:val="00975829"/>
    <w:rsid w:val="00975A45"/>
    <w:rsid w:val="00976690"/>
    <w:rsid w:val="00976923"/>
    <w:rsid w:val="0097763A"/>
    <w:rsid w:val="00977EEB"/>
    <w:rsid w:val="009803C5"/>
    <w:rsid w:val="009811C2"/>
    <w:rsid w:val="00982077"/>
    <w:rsid w:val="00982113"/>
    <w:rsid w:val="00983481"/>
    <w:rsid w:val="009835A7"/>
    <w:rsid w:val="00983F14"/>
    <w:rsid w:val="009863C8"/>
    <w:rsid w:val="009864F8"/>
    <w:rsid w:val="009866F7"/>
    <w:rsid w:val="00990290"/>
    <w:rsid w:val="009906F1"/>
    <w:rsid w:val="00993D47"/>
    <w:rsid w:val="00994E30"/>
    <w:rsid w:val="0099610E"/>
    <w:rsid w:val="00996C12"/>
    <w:rsid w:val="0099721E"/>
    <w:rsid w:val="0099756D"/>
    <w:rsid w:val="00997D4A"/>
    <w:rsid w:val="009A06B0"/>
    <w:rsid w:val="009A09FB"/>
    <w:rsid w:val="009A0BAC"/>
    <w:rsid w:val="009A1AB8"/>
    <w:rsid w:val="009A1C91"/>
    <w:rsid w:val="009A238C"/>
    <w:rsid w:val="009A29AB"/>
    <w:rsid w:val="009A29FE"/>
    <w:rsid w:val="009A2F79"/>
    <w:rsid w:val="009A3275"/>
    <w:rsid w:val="009A3C58"/>
    <w:rsid w:val="009A470E"/>
    <w:rsid w:val="009A60C8"/>
    <w:rsid w:val="009A74E8"/>
    <w:rsid w:val="009A7929"/>
    <w:rsid w:val="009A7B12"/>
    <w:rsid w:val="009B016B"/>
    <w:rsid w:val="009B0B1E"/>
    <w:rsid w:val="009B0E44"/>
    <w:rsid w:val="009B1843"/>
    <w:rsid w:val="009B22D1"/>
    <w:rsid w:val="009B2B9B"/>
    <w:rsid w:val="009B2BE5"/>
    <w:rsid w:val="009B2C0E"/>
    <w:rsid w:val="009B37D9"/>
    <w:rsid w:val="009B3E91"/>
    <w:rsid w:val="009B4489"/>
    <w:rsid w:val="009B4B57"/>
    <w:rsid w:val="009B4DE2"/>
    <w:rsid w:val="009B4E37"/>
    <w:rsid w:val="009B51BC"/>
    <w:rsid w:val="009B5325"/>
    <w:rsid w:val="009B6DCB"/>
    <w:rsid w:val="009B7558"/>
    <w:rsid w:val="009C15ED"/>
    <w:rsid w:val="009C197E"/>
    <w:rsid w:val="009C2207"/>
    <w:rsid w:val="009C23A6"/>
    <w:rsid w:val="009C25E3"/>
    <w:rsid w:val="009C3857"/>
    <w:rsid w:val="009C4DC3"/>
    <w:rsid w:val="009C4FEC"/>
    <w:rsid w:val="009C587D"/>
    <w:rsid w:val="009C6325"/>
    <w:rsid w:val="009C7073"/>
    <w:rsid w:val="009D0CA7"/>
    <w:rsid w:val="009D0DE7"/>
    <w:rsid w:val="009D196A"/>
    <w:rsid w:val="009D1A4C"/>
    <w:rsid w:val="009D22EB"/>
    <w:rsid w:val="009D24BA"/>
    <w:rsid w:val="009D264C"/>
    <w:rsid w:val="009D6CC8"/>
    <w:rsid w:val="009E0B6E"/>
    <w:rsid w:val="009E0DA1"/>
    <w:rsid w:val="009E1262"/>
    <w:rsid w:val="009E19FB"/>
    <w:rsid w:val="009E1AE9"/>
    <w:rsid w:val="009E209A"/>
    <w:rsid w:val="009E4FFA"/>
    <w:rsid w:val="009E68C2"/>
    <w:rsid w:val="009F2D87"/>
    <w:rsid w:val="009F3146"/>
    <w:rsid w:val="009F38AF"/>
    <w:rsid w:val="009F4965"/>
    <w:rsid w:val="009F4B4A"/>
    <w:rsid w:val="009F5116"/>
    <w:rsid w:val="009F68F2"/>
    <w:rsid w:val="009F77FD"/>
    <w:rsid w:val="009F7952"/>
    <w:rsid w:val="00A0022A"/>
    <w:rsid w:val="00A003C5"/>
    <w:rsid w:val="00A00CF4"/>
    <w:rsid w:val="00A00EFF"/>
    <w:rsid w:val="00A01303"/>
    <w:rsid w:val="00A01A6C"/>
    <w:rsid w:val="00A01D40"/>
    <w:rsid w:val="00A0497F"/>
    <w:rsid w:val="00A05DFF"/>
    <w:rsid w:val="00A06287"/>
    <w:rsid w:val="00A063EE"/>
    <w:rsid w:val="00A07FF6"/>
    <w:rsid w:val="00A10F62"/>
    <w:rsid w:val="00A11DC0"/>
    <w:rsid w:val="00A13491"/>
    <w:rsid w:val="00A136C8"/>
    <w:rsid w:val="00A17B7D"/>
    <w:rsid w:val="00A20A24"/>
    <w:rsid w:val="00A21A87"/>
    <w:rsid w:val="00A222EC"/>
    <w:rsid w:val="00A228A7"/>
    <w:rsid w:val="00A23F87"/>
    <w:rsid w:val="00A24369"/>
    <w:rsid w:val="00A24D39"/>
    <w:rsid w:val="00A257DF"/>
    <w:rsid w:val="00A258ED"/>
    <w:rsid w:val="00A25D5A"/>
    <w:rsid w:val="00A27090"/>
    <w:rsid w:val="00A27406"/>
    <w:rsid w:val="00A276EE"/>
    <w:rsid w:val="00A30F51"/>
    <w:rsid w:val="00A315D9"/>
    <w:rsid w:val="00A31A25"/>
    <w:rsid w:val="00A31CB7"/>
    <w:rsid w:val="00A3244E"/>
    <w:rsid w:val="00A33444"/>
    <w:rsid w:val="00A334B5"/>
    <w:rsid w:val="00A33E5F"/>
    <w:rsid w:val="00A35031"/>
    <w:rsid w:val="00A35839"/>
    <w:rsid w:val="00A36606"/>
    <w:rsid w:val="00A3675E"/>
    <w:rsid w:val="00A3756D"/>
    <w:rsid w:val="00A40754"/>
    <w:rsid w:val="00A407D9"/>
    <w:rsid w:val="00A41C7D"/>
    <w:rsid w:val="00A42339"/>
    <w:rsid w:val="00A468DF"/>
    <w:rsid w:val="00A5011E"/>
    <w:rsid w:val="00A52C4B"/>
    <w:rsid w:val="00A5327A"/>
    <w:rsid w:val="00A53DBE"/>
    <w:rsid w:val="00A54255"/>
    <w:rsid w:val="00A54780"/>
    <w:rsid w:val="00A54CC1"/>
    <w:rsid w:val="00A55006"/>
    <w:rsid w:val="00A558D6"/>
    <w:rsid w:val="00A55F6C"/>
    <w:rsid w:val="00A56BD4"/>
    <w:rsid w:val="00A571DF"/>
    <w:rsid w:val="00A6140F"/>
    <w:rsid w:val="00A61D57"/>
    <w:rsid w:val="00A629E1"/>
    <w:rsid w:val="00A63EB7"/>
    <w:rsid w:val="00A646E1"/>
    <w:rsid w:val="00A64991"/>
    <w:rsid w:val="00A65886"/>
    <w:rsid w:val="00A66146"/>
    <w:rsid w:val="00A6697D"/>
    <w:rsid w:val="00A67FA6"/>
    <w:rsid w:val="00A70778"/>
    <w:rsid w:val="00A70EBE"/>
    <w:rsid w:val="00A70F01"/>
    <w:rsid w:val="00A716B1"/>
    <w:rsid w:val="00A71B66"/>
    <w:rsid w:val="00A72C66"/>
    <w:rsid w:val="00A72DBD"/>
    <w:rsid w:val="00A73007"/>
    <w:rsid w:val="00A735AE"/>
    <w:rsid w:val="00A7389C"/>
    <w:rsid w:val="00A743E3"/>
    <w:rsid w:val="00A746BC"/>
    <w:rsid w:val="00A749E9"/>
    <w:rsid w:val="00A7573B"/>
    <w:rsid w:val="00A75E50"/>
    <w:rsid w:val="00A77FC8"/>
    <w:rsid w:val="00A81207"/>
    <w:rsid w:val="00A82180"/>
    <w:rsid w:val="00A82477"/>
    <w:rsid w:val="00A82E49"/>
    <w:rsid w:val="00A83837"/>
    <w:rsid w:val="00A83B80"/>
    <w:rsid w:val="00A84ADE"/>
    <w:rsid w:val="00A860E0"/>
    <w:rsid w:val="00A868F9"/>
    <w:rsid w:val="00A86F4F"/>
    <w:rsid w:val="00A8715C"/>
    <w:rsid w:val="00A87AC0"/>
    <w:rsid w:val="00A90103"/>
    <w:rsid w:val="00A903FC"/>
    <w:rsid w:val="00A90442"/>
    <w:rsid w:val="00A90ECB"/>
    <w:rsid w:val="00A91063"/>
    <w:rsid w:val="00A91BF8"/>
    <w:rsid w:val="00A92120"/>
    <w:rsid w:val="00A92AF5"/>
    <w:rsid w:val="00A94A1F"/>
    <w:rsid w:val="00A96133"/>
    <w:rsid w:val="00A9627E"/>
    <w:rsid w:val="00A962B9"/>
    <w:rsid w:val="00A9656F"/>
    <w:rsid w:val="00A968DA"/>
    <w:rsid w:val="00A96A87"/>
    <w:rsid w:val="00A9701C"/>
    <w:rsid w:val="00A975B5"/>
    <w:rsid w:val="00A97AB1"/>
    <w:rsid w:val="00AA00ED"/>
    <w:rsid w:val="00AA137E"/>
    <w:rsid w:val="00AA13B2"/>
    <w:rsid w:val="00AA14A5"/>
    <w:rsid w:val="00AA158B"/>
    <w:rsid w:val="00AA1D51"/>
    <w:rsid w:val="00AA2612"/>
    <w:rsid w:val="00AA2F84"/>
    <w:rsid w:val="00AA3A22"/>
    <w:rsid w:val="00AA5150"/>
    <w:rsid w:val="00AA75D2"/>
    <w:rsid w:val="00AB0051"/>
    <w:rsid w:val="00AB071D"/>
    <w:rsid w:val="00AB1231"/>
    <w:rsid w:val="00AB1834"/>
    <w:rsid w:val="00AB3450"/>
    <w:rsid w:val="00AB38AA"/>
    <w:rsid w:val="00AB3BA1"/>
    <w:rsid w:val="00AB3C43"/>
    <w:rsid w:val="00AB3FA1"/>
    <w:rsid w:val="00AB49EF"/>
    <w:rsid w:val="00AB5390"/>
    <w:rsid w:val="00AB59D1"/>
    <w:rsid w:val="00AB5C44"/>
    <w:rsid w:val="00AB5DD3"/>
    <w:rsid w:val="00AB7D82"/>
    <w:rsid w:val="00AC08AC"/>
    <w:rsid w:val="00AC0C2B"/>
    <w:rsid w:val="00AC0E3D"/>
    <w:rsid w:val="00AC1EBF"/>
    <w:rsid w:val="00AC3C7B"/>
    <w:rsid w:val="00AC6A80"/>
    <w:rsid w:val="00AC6B09"/>
    <w:rsid w:val="00AC75B8"/>
    <w:rsid w:val="00AD1743"/>
    <w:rsid w:val="00AD223B"/>
    <w:rsid w:val="00AD2675"/>
    <w:rsid w:val="00AD328A"/>
    <w:rsid w:val="00AD38D8"/>
    <w:rsid w:val="00AD4AAF"/>
    <w:rsid w:val="00AD4C39"/>
    <w:rsid w:val="00AD4D6E"/>
    <w:rsid w:val="00AD4DC6"/>
    <w:rsid w:val="00AD5402"/>
    <w:rsid w:val="00AD66CB"/>
    <w:rsid w:val="00AD7143"/>
    <w:rsid w:val="00AD7D6D"/>
    <w:rsid w:val="00AD7D8E"/>
    <w:rsid w:val="00AE1B08"/>
    <w:rsid w:val="00AE1EE4"/>
    <w:rsid w:val="00AE216A"/>
    <w:rsid w:val="00AE2329"/>
    <w:rsid w:val="00AE35E8"/>
    <w:rsid w:val="00AE3EC4"/>
    <w:rsid w:val="00AE4C09"/>
    <w:rsid w:val="00AE56D8"/>
    <w:rsid w:val="00AE5851"/>
    <w:rsid w:val="00AE58AC"/>
    <w:rsid w:val="00AE596C"/>
    <w:rsid w:val="00AE5E3B"/>
    <w:rsid w:val="00AE624B"/>
    <w:rsid w:val="00AE7080"/>
    <w:rsid w:val="00AE7E7B"/>
    <w:rsid w:val="00AF1A97"/>
    <w:rsid w:val="00AF1EDE"/>
    <w:rsid w:val="00AF1FE8"/>
    <w:rsid w:val="00AF261D"/>
    <w:rsid w:val="00AF30BE"/>
    <w:rsid w:val="00AF3932"/>
    <w:rsid w:val="00AF3F78"/>
    <w:rsid w:val="00AF522C"/>
    <w:rsid w:val="00AF5661"/>
    <w:rsid w:val="00AF5927"/>
    <w:rsid w:val="00AF5B55"/>
    <w:rsid w:val="00AF6C6E"/>
    <w:rsid w:val="00AF6ED9"/>
    <w:rsid w:val="00AF6F00"/>
    <w:rsid w:val="00AF7190"/>
    <w:rsid w:val="00AF7D53"/>
    <w:rsid w:val="00B00451"/>
    <w:rsid w:val="00B013D7"/>
    <w:rsid w:val="00B02A70"/>
    <w:rsid w:val="00B030D7"/>
    <w:rsid w:val="00B03628"/>
    <w:rsid w:val="00B03933"/>
    <w:rsid w:val="00B066B9"/>
    <w:rsid w:val="00B0678D"/>
    <w:rsid w:val="00B067D5"/>
    <w:rsid w:val="00B07C72"/>
    <w:rsid w:val="00B101DF"/>
    <w:rsid w:val="00B11423"/>
    <w:rsid w:val="00B11721"/>
    <w:rsid w:val="00B11985"/>
    <w:rsid w:val="00B11AC8"/>
    <w:rsid w:val="00B130E3"/>
    <w:rsid w:val="00B134A0"/>
    <w:rsid w:val="00B13FF1"/>
    <w:rsid w:val="00B14756"/>
    <w:rsid w:val="00B1476E"/>
    <w:rsid w:val="00B147CC"/>
    <w:rsid w:val="00B14D8F"/>
    <w:rsid w:val="00B169CD"/>
    <w:rsid w:val="00B178EE"/>
    <w:rsid w:val="00B17CA3"/>
    <w:rsid w:val="00B17DCA"/>
    <w:rsid w:val="00B21618"/>
    <w:rsid w:val="00B21F48"/>
    <w:rsid w:val="00B22ACC"/>
    <w:rsid w:val="00B23107"/>
    <w:rsid w:val="00B23247"/>
    <w:rsid w:val="00B23750"/>
    <w:rsid w:val="00B24B39"/>
    <w:rsid w:val="00B25279"/>
    <w:rsid w:val="00B25390"/>
    <w:rsid w:val="00B254AC"/>
    <w:rsid w:val="00B25E40"/>
    <w:rsid w:val="00B25EB4"/>
    <w:rsid w:val="00B26038"/>
    <w:rsid w:val="00B26120"/>
    <w:rsid w:val="00B26B15"/>
    <w:rsid w:val="00B26CDF"/>
    <w:rsid w:val="00B26EC5"/>
    <w:rsid w:val="00B278DA"/>
    <w:rsid w:val="00B279DC"/>
    <w:rsid w:val="00B30948"/>
    <w:rsid w:val="00B315D2"/>
    <w:rsid w:val="00B335E5"/>
    <w:rsid w:val="00B34317"/>
    <w:rsid w:val="00B34830"/>
    <w:rsid w:val="00B34DDC"/>
    <w:rsid w:val="00B34E34"/>
    <w:rsid w:val="00B352F9"/>
    <w:rsid w:val="00B35826"/>
    <w:rsid w:val="00B35D61"/>
    <w:rsid w:val="00B377DB"/>
    <w:rsid w:val="00B37B0C"/>
    <w:rsid w:val="00B4036A"/>
    <w:rsid w:val="00B40D28"/>
    <w:rsid w:val="00B416C1"/>
    <w:rsid w:val="00B41B94"/>
    <w:rsid w:val="00B41C5F"/>
    <w:rsid w:val="00B41D0D"/>
    <w:rsid w:val="00B42D5D"/>
    <w:rsid w:val="00B43788"/>
    <w:rsid w:val="00B437C1"/>
    <w:rsid w:val="00B4418B"/>
    <w:rsid w:val="00B44440"/>
    <w:rsid w:val="00B45176"/>
    <w:rsid w:val="00B46A90"/>
    <w:rsid w:val="00B46B16"/>
    <w:rsid w:val="00B474B6"/>
    <w:rsid w:val="00B4757A"/>
    <w:rsid w:val="00B50856"/>
    <w:rsid w:val="00B51C23"/>
    <w:rsid w:val="00B52943"/>
    <w:rsid w:val="00B52E11"/>
    <w:rsid w:val="00B53833"/>
    <w:rsid w:val="00B55AF2"/>
    <w:rsid w:val="00B601C8"/>
    <w:rsid w:val="00B60630"/>
    <w:rsid w:val="00B6077D"/>
    <w:rsid w:val="00B60D77"/>
    <w:rsid w:val="00B613A4"/>
    <w:rsid w:val="00B62AB3"/>
    <w:rsid w:val="00B62D0F"/>
    <w:rsid w:val="00B63445"/>
    <w:rsid w:val="00B639A0"/>
    <w:rsid w:val="00B6403A"/>
    <w:rsid w:val="00B64CAF"/>
    <w:rsid w:val="00B65410"/>
    <w:rsid w:val="00B6629E"/>
    <w:rsid w:val="00B66885"/>
    <w:rsid w:val="00B66EEC"/>
    <w:rsid w:val="00B67307"/>
    <w:rsid w:val="00B676C9"/>
    <w:rsid w:val="00B67E19"/>
    <w:rsid w:val="00B707D2"/>
    <w:rsid w:val="00B70B5B"/>
    <w:rsid w:val="00B70BBA"/>
    <w:rsid w:val="00B70E25"/>
    <w:rsid w:val="00B710BA"/>
    <w:rsid w:val="00B718C8"/>
    <w:rsid w:val="00B718EA"/>
    <w:rsid w:val="00B71F2D"/>
    <w:rsid w:val="00B72BF7"/>
    <w:rsid w:val="00B72DBE"/>
    <w:rsid w:val="00B7623B"/>
    <w:rsid w:val="00B7634D"/>
    <w:rsid w:val="00B77675"/>
    <w:rsid w:val="00B777AC"/>
    <w:rsid w:val="00B818F0"/>
    <w:rsid w:val="00B81D2A"/>
    <w:rsid w:val="00B81EB9"/>
    <w:rsid w:val="00B82233"/>
    <w:rsid w:val="00B82C81"/>
    <w:rsid w:val="00B8326C"/>
    <w:rsid w:val="00B8359B"/>
    <w:rsid w:val="00B83DAB"/>
    <w:rsid w:val="00B8452B"/>
    <w:rsid w:val="00B84C45"/>
    <w:rsid w:val="00B84C71"/>
    <w:rsid w:val="00B84DCD"/>
    <w:rsid w:val="00B86A38"/>
    <w:rsid w:val="00B86C6A"/>
    <w:rsid w:val="00B86E9F"/>
    <w:rsid w:val="00B87E22"/>
    <w:rsid w:val="00B900E9"/>
    <w:rsid w:val="00B909DE"/>
    <w:rsid w:val="00B90FAC"/>
    <w:rsid w:val="00B910A4"/>
    <w:rsid w:val="00B915E6"/>
    <w:rsid w:val="00B917FC"/>
    <w:rsid w:val="00B91C1E"/>
    <w:rsid w:val="00B9390E"/>
    <w:rsid w:val="00B95349"/>
    <w:rsid w:val="00B9544C"/>
    <w:rsid w:val="00B9614C"/>
    <w:rsid w:val="00B9615E"/>
    <w:rsid w:val="00B9631F"/>
    <w:rsid w:val="00B9664F"/>
    <w:rsid w:val="00B96C21"/>
    <w:rsid w:val="00B978D8"/>
    <w:rsid w:val="00B97E47"/>
    <w:rsid w:val="00B97EA1"/>
    <w:rsid w:val="00BA00CB"/>
    <w:rsid w:val="00BA0267"/>
    <w:rsid w:val="00BA09E3"/>
    <w:rsid w:val="00BA11D3"/>
    <w:rsid w:val="00BA126D"/>
    <w:rsid w:val="00BA1544"/>
    <w:rsid w:val="00BA279F"/>
    <w:rsid w:val="00BA33B0"/>
    <w:rsid w:val="00BA3438"/>
    <w:rsid w:val="00BA37B3"/>
    <w:rsid w:val="00BA38A5"/>
    <w:rsid w:val="00BA3F91"/>
    <w:rsid w:val="00BA4119"/>
    <w:rsid w:val="00BA41C1"/>
    <w:rsid w:val="00BA5817"/>
    <w:rsid w:val="00BA59B8"/>
    <w:rsid w:val="00BA5F33"/>
    <w:rsid w:val="00BA6176"/>
    <w:rsid w:val="00BA66FC"/>
    <w:rsid w:val="00BA70D6"/>
    <w:rsid w:val="00BA770B"/>
    <w:rsid w:val="00BA7729"/>
    <w:rsid w:val="00BA7957"/>
    <w:rsid w:val="00BB067A"/>
    <w:rsid w:val="00BB1949"/>
    <w:rsid w:val="00BB1975"/>
    <w:rsid w:val="00BB21C0"/>
    <w:rsid w:val="00BB2D74"/>
    <w:rsid w:val="00BB339B"/>
    <w:rsid w:val="00BB38D2"/>
    <w:rsid w:val="00BB3C3B"/>
    <w:rsid w:val="00BB65CC"/>
    <w:rsid w:val="00BB68D4"/>
    <w:rsid w:val="00BB6B80"/>
    <w:rsid w:val="00BB6E28"/>
    <w:rsid w:val="00BB7221"/>
    <w:rsid w:val="00BB7A4E"/>
    <w:rsid w:val="00BC02B3"/>
    <w:rsid w:val="00BC03B8"/>
    <w:rsid w:val="00BC0D93"/>
    <w:rsid w:val="00BC23F1"/>
    <w:rsid w:val="00BC288F"/>
    <w:rsid w:val="00BC290D"/>
    <w:rsid w:val="00BC2DF4"/>
    <w:rsid w:val="00BC2EB8"/>
    <w:rsid w:val="00BC3BF6"/>
    <w:rsid w:val="00BC3C52"/>
    <w:rsid w:val="00BC5638"/>
    <w:rsid w:val="00BC631C"/>
    <w:rsid w:val="00BD09F4"/>
    <w:rsid w:val="00BD0CC5"/>
    <w:rsid w:val="00BD11CD"/>
    <w:rsid w:val="00BD11F8"/>
    <w:rsid w:val="00BD1253"/>
    <w:rsid w:val="00BD14E1"/>
    <w:rsid w:val="00BD16E8"/>
    <w:rsid w:val="00BD5F58"/>
    <w:rsid w:val="00BD63B3"/>
    <w:rsid w:val="00BD6F71"/>
    <w:rsid w:val="00BD7C99"/>
    <w:rsid w:val="00BE127B"/>
    <w:rsid w:val="00BE1545"/>
    <w:rsid w:val="00BE154E"/>
    <w:rsid w:val="00BE19D0"/>
    <w:rsid w:val="00BE1C8B"/>
    <w:rsid w:val="00BE24D1"/>
    <w:rsid w:val="00BE2630"/>
    <w:rsid w:val="00BE3115"/>
    <w:rsid w:val="00BE3378"/>
    <w:rsid w:val="00BE34DE"/>
    <w:rsid w:val="00BE44D5"/>
    <w:rsid w:val="00BE49CF"/>
    <w:rsid w:val="00BE5754"/>
    <w:rsid w:val="00BE6057"/>
    <w:rsid w:val="00BE6B62"/>
    <w:rsid w:val="00BE7366"/>
    <w:rsid w:val="00BE7C1D"/>
    <w:rsid w:val="00BF1B96"/>
    <w:rsid w:val="00BF23E9"/>
    <w:rsid w:val="00BF257B"/>
    <w:rsid w:val="00BF2796"/>
    <w:rsid w:val="00BF420E"/>
    <w:rsid w:val="00BF497E"/>
    <w:rsid w:val="00BF4B43"/>
    <w:rsid w:val="00BF4E4E"/>
    <w:rsid w:val="00BF5158"/>
    <w:rsid w:val="00BF629F"/>
    <w:rsid w:val="00BF64F6"/>
    <w:rsid w:val="00BF6798"/>
    <w:rsid w:val="00BF67BA"/>
    <w:rsid w:val="00BF7A9C"/>
    <w:rsid w:val="00C00076"/>
    <w:rsid w:val="00C0037D"/>
    <w:rsid w:val="00C008A4"/>
    <w:rsid w:val="00C031EB"/>
    <w:rsid w:val="00C036FD"/>
    <w:rsid w:val="00C03900"/>
    <w:rsid w:val="00C04203"/>
    <w:rsid w:val="00C04647"/>
    <w:rsid w:val="00C0663E"/>
    <w:rsid w:val="00C06953"/>
    <w:rsid w:val="00C10A77"/>
    <w:rsid w:val="00C1162C"/>
    <w:rsid w:val="00C11C29"/>
    <w:rsid w:val="00C1242D"/>
    <w:rsid w:val="00C12C15"/>
    <w:rsid w:val="00C12FE0"/>
    <w:rsid w:val="00C132D2"/>
    <w:rsid w:val="00C1477E"/>
    <w:rsid w:val="00C15A0D"/>
    <w:rsid w:val="00C15D11"/>
    <w:rsid w:val="00C168E0"/>
    <w:rsid w:val="00C16EB2"/>
    <w:rsid w:val="00C202D0"/>
    <w:rsid w:val="00C20814"/>
    <w:rsid w:val="00C208C8"/>
    <w:rsid w:val="00C20BE3"/>
    <w:rsid w:val="00C20CE4"/>
    <w:rsid w:val="00C2119B"/>
    <w:rsid w:val="00C21A1D"/>
    <w:rsid w:val="00C230B9"/>
    <w:rsid w:val="00C23154"/>
    <w:rsid w:val="00C2385E"/>
    <w:rsid w:val="00C23BD0"/>
    <w:rsid w:val="00C24083"/>
    <w:rsid w:val="00C248DB"/>
    <w:rsid w:val="00C24E94"/>
    <w:rsid w:val="00C30ECE"/>
    <w:rsid w:val="00C318E3"/>
    <w:rsid w:val="00C31B43"/>
    <w:rsid w:val="00C32AB4"/>
    <w:rsid w:val="00C332EC"/>
    <w:rsid w:val="00C3344B"/>
    <w:rsid w:val="00C34581"/>
    <w:rsid w:val="00C34981"/>
    <w:rsid w:val="00C35DC3"/>
    <w:rsid w:val="00C36C67"/>
    <w:rsid w:val="00C374D0"/>
    <w:rsid w:val="00C37F99"/>
    <w:rsid w:val="00C41521"/>
    <w:rsid w:val="00C4168D"/>
    <w:rsid w:val="00C41960"/>
    <w:rsid w:val="00C42303"/>
    <w:rsid w:val="00C43994"/>
    <w:rsid w:val="00C44748"/>
    <w:rsid w:val="00C4588A"/>
    <w:rsid w:val="00C4666E"/>
    <w:rsid w:val="00C47542"/>
    <w:rsid w:val="00C501F9"/>
    <w:rsid w:val="00C5083D"/>
    <w:rsid w:val="00C50D65"/>
    <w:rsid w:val="00C51747"/>
    <w:rsid w:val="00C5205A"/>
    <w:rsid w:val="00C5308A"/>
    <w:rsid w:val="00C545E7"/>
    <w:rsid w:val="00C55297"/>
    <w:rsid w:val="00C55C1C"/>
    <w:rsid w:val="00C56861"/>
    <w:rsid w:val="00C579BA"/>
    <w:rsid w:val="00C57B89"/>
    <w:rsid w:val="00C60AC1"/>
    <w:rsid w:val="00C60BB4"/>
    <w:rsid w:val="00C60D45"/>
    <w:rsid w:val="00C6195C"/>
    <w:rsid w:val="00C619DC"/>
    <w:rsid w:val="00C62304"/>
    <w:rsid w:val="00C62F80"/>
    <w:rsid w:val="00C63CFC"/>
    <w:rsid w:val="00C640EB"/>
    <w:rsid w:val="00C64376"/>
    <w:rsid w:val="00C6446B"/>
    <w:rsid w:val="00C64CE0"/>
    <w:rsid w:val="00C65525"/>
    <w:rsid w:val="00C66265"/>
    <w:rsid w:val="00C663C5"/>
    <w:rsid w:val="00C6655E"/>
    <w:rsid w:val="00C67211"/>
    <w:rsid w:val="00C67D97"/>
    <w:rsid w:val="00C702ED"/>
    <w:rsid w:val="00C70D1B"/>
    <w:rsid w:val="00C70EF6"/>
    <w:rsid w:val="00C7120E"/>
    <w:rsid w:val="00C7248A"/>
    <w:rsid w:val="00C744FC"/>
    <w:rsid w:val="00C74760"/>
    <w:rsid w:val="00C74837"/>
    <w:rsid w:val="00C76126"/>
    <w:rsid w:val="00C774F1"/>
    <w:rsid w:val="00C77C51"/>
    <w:rsid w:val="00C77F74"/>
    <w:rsid w:val="00C81B31"/>
    <w:rsid w:val="00C8205A"/>
    <w:rsid w:val="00C825E0"/>
    <w:rsid w:val="00C83559"/>
    <w:rsid w:val="00C83E26"/>
    <w:rsid w:val="00C85DA9"/>
    <w:rsid w:val="00C87083"/>
    <w:rsid w:val="00C87859"/>
    <w:rsid w:val="00C87D0C"/>
    <w:rsid w:val="00C9096C"/>
    <w:rsid w:val="00C90F3B"/>
    <w:rsid w:val="00C91303"/>
    <w:rsid w:val="00C915FE"/>
    <w:rsid w:val="00C91D15"/>
    <w:rsid w:val="00C927E7"/>
    <w:rsid w:val="00C92983"/>
    <w:rsid w:val="00C9311D"/>
    <w:rsid w:val="00C93310"/>
    <w:rsid w:val="00C941A8"/>
    <w:rsid w:val="00C944CF"/>
    <w:rsid w:val="00C9469B"/>
    <w:rsid w:val="00CA0528"/>
    <w:rsid w:val="00CA132B"/>
    <w:rsid w:val="00CA1C02"/>
    <w:rsid w:val="00CA1C21"/>
    <w:rsid w:val="00CA4F82"/>
    <w:rsid w:val="00CA5046"/>
    <w:rsid w:val="00CA66FD"/>
    <w:rsid w:val="00CB1537"/>
    <w:rsid w:val="00CB1E9F"/>
    <w:rsid w:val="00CB20AA"/>
    <w:rsid w:val="00CB20E7"/>
    <w:rsid w:val="00CB2FA8"/>
    <w:rsid w:val="00CB3290"/>
    <w:rsid w:val="00CB32D6"/>
    <w:rsid w:val="00CB36B5"/>
    <w:rsid w:val="00CB3881"/>
    <w:rsid w:val="00CB3CC9"/>
    <w:rsid w:val="00CB437A"/>
    <w:rsid w:val="00CB47F8"/>
    <w:rsid w:val="00CB6F46"/>
    <w:rsid w:val="00CB75E2"/>
    <w:rsid w:val="00CC00DA"/>
    <w:rsid w:val="00CC0D13"/>
    <w:rsid w:val="00CC1A78"/>
    <w:rsid w:val="00CC1E1C"/>
    <w:rsid w:val="00CC251A"/>
    <w:rsid w:val="00CC2F0B"/>
    <w:rsid w:val="00CC31BF"/>
    <w:rsid w:val="00CC34AB"/>
    <w:rsid w:val="00CC3828"/>
    <w:rsid w:val="00CC3A55"/>
    <w:rsid w:val="00CC3B2A"/>
    <w:rsid w:val="00CC507A"/>
    <w:rsid w:val="00CC5104"/>
    <w:rsid w:val="00CC6613"/>
    <w:rsid w:val="00CC6A57"/>
    <w:rsid w:val="00CC6C1D"/>
    <w:rsid w:val="00CC6C63"/>
    <w:rsid w:val="00CC78DE"/>
    <w:rsid w:val="00CD000C"/>
    <w:rsid w:val="00CD061B"/>
    <w:rsid w:val="00CD0800"/>
    <w:rsid w:val="00CD10A5"/>
    <w:rsid w:val="00CD134F"/>
    <w:rsid w:val="00CD1A2B"/>
    <w:rsid w:val="00CD220A"/>
    <w:rsid w:val="00CD39FF"/>
    <w:rsid w:val="00CD4276"/>
    <w:rsid w:val="00CD43ED"/>
    <w:rsid w:val="00CD5037"/>
    <w:rsid w:val="00CD6209"/>
    <w:rsid w:val="00CD63F6"/>
    <w:rsid w:val="00CD67A7"/>
    <w:rsid w:val="00CD6969"/>
    <w:rsid w:val="00CD6A87"/>
    <w:rsid w:val="00CD6C4E"/>
    <w:rsid w:val="00CD71A7"/>
    <w:rsid w:val="00CD74AA"/>
    <w:rsid w:val="00CE03B8"/>
    <w:rsid w:val="00CE0F6B"/>
    <w:rsid w:val="00CE1774"/>
    <w:rsid w:val="00CE4F6B"/>
    <w:rsid w:val="00CE51C5"/>
    <w:rsid w:val="00CE53B8"/>
    <w:rsid w:val="00CE5B3A"/>
    <w:rsid w:val="00CE7F28"/>
    <w:rsid w:val="00CF117B"/>
    <w:rsid w:val="00CF276A"/>
    <w:rsid w:val="00CF35B7"/>
    <w:rsid w:val="00CF36F0"/>
    <w:rsid w:val="00CF3874"/>
    <w:rsid w:val="00CF3F64"/>
    <w:rsid w:val="00CF4201"/>
    <w:rsid w:val="00CF4B95"/>
    <w:rsid w:val="00CF69EF"/>
    <w:rsid w:val="00CF7076"/>
    <w:rsid w:val="00D0058A"/>
    <w:rsid w:val="00D00753"/>
    <w:rsid w:val="00D0098D"/>
    <w:rsid w:val="00D00FC2"/>
    <w:rsid w:val="00D01C8A"/>
    <w:rsid w:val="00D0352B"/>
    <w:rsid w:val="00D03BCA"/>
    <w:rsid w:val="00D03E56"/>
    <w:rsid w:val="00D0456F"/>
    <w:rsid w:val="00D049C8"/>
    <w:rsid w:val="00D05839"/>
    <w:rsid w:val="00D06B6D"/>
    <w:rsid w:val="00D07465"/>
    <w:rsid w:val="00D07498"/>
    <w:rsid w:val="00D07B70"/>
    <w:rsid w:val="00D10287"/>
    <w:rsid w:val="00D108D3"/>
    <w:rsid w:val="00D111A9"/>
    <w:rsid w:val="00D11EC8"/>
    <w:rsid w:val="00D12136"/>
    <w:rsid w:val="00D121CC"/>
    <w:rsid w:val="00D121D7"/>
    <w:rsid w:val="00D1233B"/>
    <w:rsid w:val="00D12465"/>
    <w:rsid w:val="00D12AA8"/>
    <w:rsid w:val="00D15501"/>
    <w:rsid w:val="00D15B4F"/>
    <w:rsid w:val="00D16599"/>
    <w:rsid w:val="00D1669F"/>
    <w:rsid w:val="00D170B2"/>
    <w:rsid w:val="00D17545"/>
    <w:rsid w:val="00D2082D"/>
    <w:rsid w:val="00D20C97"/>
    <w:rsid w:val="00D21171"/>
    <w:rsid w:val="00D22D9B"/>
    <w:rsid w:val="00D24245"/>
    <w:rsid w:val="00D24401"/>
    <w:rsid w:val="00D24579"/>
    <w:rsid w:val="00D2492C"/>
    <w:rsid w:val="00D250FA"/>
    <w:rsid w:val="00D2524D"/>
    <w:rsid w:val="00D2618E"/>
    <w:rsid w:val="00D26403"/>
    <w:rsid w:val="00D300E9"/>
    <w:rsid w:val="00D304E4"/>
    <w:rsid w:val="00D310A5"/>
    <w:rsid w:val="00D31CFF"/>
    <w:rsid w:val="00D31E11"/>
    <w:rsid w:val="00D32538"/>
    <w:rsid w:val="00D32C94"/>
    <w:rsid w:val="00D3329B"/>
    <w:rsid w:val="00D33A5D"/>
    <w:rsid w:val="00D34140"/>
    <w:rsid w:val="00D3450D"/>
    <w:rsid w:val="00D370B7"/>
    <w:rsid w:val="00D37860"/>
    <w:rsid w:val="00D40776"/>
    <w:rsid w:val="00D40E89"/>
    <w:rsid w:val="00D41DB6"/>
    <w:rsid w:val="00D425EE"/>
    <w:rsid w:val="00D4279F"/>
    <w:rsid w:val="00D42EC7"/>
    <w:rsid w:val="00D434F9"/>
    <w:rsid w:val="00D43AA0"/>
    <w:rsid w:val="00D43E45"/>
    <w:rsid w:val="00D445BE"/>
    <w:rsid w:val="00D45542"/>
    <w:rsid w:val="00D46054"/>
    <w:rsid w:val="00D469B5"/>
    <w:rsid w:val="00D4780F"/>
    <w:rsid w:val="00D47DA8"/>
    <w:rsid w:val="00D50032"/>
    <w:rsid w:val="00D500C9"/>
    <w:rsid w:val="00D511AC"/>
    <w:rsid w:val="00D5175C"/>
    <w:rsid w:val="00D529CF"/>
    <w:rsid w:val="00D52AFB"/>
    <w:rsid w:val="00D52BF6"/>
    <w:rsid w:val="00D53EFF"/>
    <w:rsid w:val="00D54441"/>
    <w:rsid w:val="00D555BC"/>
    <w:rsid w:val="00D56C6D"/>
    <w:rsid w:val="00D57B2B"/>
    <w:rsid w:val="00D57C39"/>
    <w:rsid w:val="00D57E30"/>
    <w:rsid w:val="00D612E0"/>
    <w:rsid w:val="00D6134B"/>
    <w:rsid w:val="00D623D0"/>
    <w:rsid w:val="00D62FE7"/>
    <w:rsid w:val="00D6330E"/>
    <w:rsid w:val="00D63C02"/>
    <w:rsid w:val="00D6420F"/>
    <w:rsid w:val="00D650EB"/>
    <w:rsid w:val="00D664CE"/>
    <w:rsid w:val="00D66A89"/>
    <w:rsid w:val="00D66BE9"/>
    <w:rsid w:val="00D67549"/>
    <w:rsid w:val="00D67A66"/>
    <w:rsid w:val="00D67B5C"/>
    <w:rsid w:val="00D70A26"/>
    <w:rsid w:val="00D70BFE"/>
    <w:rsid w:val="00D71D66"/>
    <w:rsid w:val="00D71EA0"/>
    <w:rsid w:val="00D721F7"/>
    <w:rsid w:val="00D72F55"/>
    <w:rsid w:val="00D732D5"/>
    <w:rsid w:val="00D733B2"/>
    <w:rsid w:val="00D73D31"/>
    <w:rsid w:val="00D741BE"/>
    <w:rsid w:val="00D749E5"/>
    <w:rsid w:val="00D75828"/>
    <w:rsid w:val="00D75B85"/>
    <w:rsid w:val="00D76D1F"/>
    <w:rsid w:val="00D77354"/>
    <w:rsid w:val="00D773FB"/>
    <w:rsid w:val="00D81BDE"/>
    <w:rsid w:val="00D8204E"/>
    <w:rsid w:val="00D83C8B"/>
    <w:rsid w:val="00D84E77"/>
    <w:rsid w:val="00D8556D"/>
    <w:rsid w:val="00D85F6D"/>
    <w:rsid w:val="00D86514"/>
    <w:rsid w:val="00D86941"/>
    <w:rsid w:val="00D90325"/>
    <w:rsid w:val="00D90F03"/>
    <w:rsid w:val="00D9110D"/>
    <w:rsid w:val="00D93286"/>
    <w:rsid w:val="00D938C8"/>
    <w:rsid w:val="00D945BC"/>
    <w:rsid w:val="00D96689"/>
    <w:rsid w:val="00D96818"/>
    <w:rsid w:val="00D97AA5"/>
    <w:rsid w:val="00D97F9A"/>
    <w:rsid w:val="00DA10A7"/>
    <w:rsid w:val="00DA11C2"/>
    <w:rsid w:val="00DA1C8E"/>
    <w:rsid w:val="00DA263D"/>
    <w:rsid w:val="00DA29B4"/>
    <w:rsid w:val="00DA320D"/>
    <w:rsid w:val="00DA3493"/>
    <w:rsid w:val="00DA3569"/>
    <w:rsid w:val="00DA6B5F"/>
    <w:rsid w:val="00DA7CED"/>
    <w:rsid w:val="00DA7EA5"/>
    <w:rsid w:val="00DB0D38"/>
    <w:rsid w:val="00DB123A"/>
    <w:rsid w:val="00DB1F78"/>
    <w:rsid w:val="00DB2DEB"/>
    <w:rsid w:val="00DB309C"/>
    <w:rsid w:val="00DB689A"/>
    <w:rsid w:val="00DB73AF"/>
    <w:rsid w:val="00DB7DC1"/>
    <w:rsid w:val="00DB7F10"/>
    <w:rsid w:val="00DC1825"/>
    <w:rsid w:val="00DC19FE"/>
    <w:rsid w:val="00DC233B"/>
    <w:rsid w:val="00DC27A4"/>
    <w:rsid w:val="00DC2ED2"/>
    <w:rsid w:val="00DC3BB2"/>
    <w:rsid w:val="00DC3D13"/>
    <w:rsid w:val="00DC486E"/>
    <w:rsid w:val="00DC4AE5"/>
    <w:rsid w:val="00DC54B9"/>
    <w:rsid w:val="00DC5B5E"/>
    <w:rsid w:val="00DC5DE7"/>
    <w:rsid w:val="00DC5ECF"/>
    <w:rsid w:val="00DC77E8"/>
    <w:rsid w:val="00DC7EC0"/>
    <w:rsid w:val="00DD36A9"/>
    <w:rsid w:val="00DD385E"/>
    <w:rsid w:val="00DD4748"/>
    <w:rsid w:val="00DD4E21"/>
    <w:rsid w:val="00DD5318"/>
    <w:rsid w:val="00DD5611"/>
    <w:rsid w:val="00DD56B6"/>
    <w:rsid w:val="00DD6B6C"/>
    <w:rsid w:val="00DD707C"/>
    <w:rsid w:val="00DE0126"/>
    <w:rsid w:val="00DE03B0"/>
    <w:rsid w:val="00DE1B5E"/>
    <w:rsid w:val="00DE2C94"/>
    <w:rsid w:val="00DE2E91"/>
    <w:rsid w:val="00DE38D9"/>
    <w:rsid w:val="00DE3945"/>
    <w:rsid w:val="00DE43F9"/>
    <w:rsid w:val="00DE65AB"/>
    <w:rsid w:val="00DE6A50"/>
    <w:rsid w:val="00DE6A89"/>
    <w:rsid w:val="00DE6BA3"/>
    <w:rsid w:val="00DE6D3D"/>
    <w:rsid w:val="00DE7890"/>
    <w:rsid w:val="00DF1056"/>
    <w:rsid w:val="00DF22D0"/>
    <w:rsid w:val="00DF257A"/>
    <w:rsid w:val="00DF3967"/>
    <w:rsid w:val="00DF425D"/>
    <w:rsid w:val="00DF4906"/>
    <w:rsid w:val="00DF49F5"/>
    <w:rsid w:val="00DF4B4F"/>
    <w:rsid w:val="00DF50FB"/>
    <w:rsid w:val="00DF66E5"/>
    <w:rsid w:val="00DF6828"/>
    <w:rsid w:val="00E00562"/>
    <w:rsid w:val="00E0074F"/>
    <w:rsid w:val="00E0186D"/>
    <w:rsid w:val="00E01F88"/>
    <w:rsid w:val="00E03798"/>
    <w:rsid w:val="00E037BD"/>
    <w:rsid w:val="00E043BC"/>
    <w:rsid w:val="00E051B5"/>
    <w:rsid w:val="00E05F85"/>
    <w:rsid w:val="00E060E1"/>
    <w:rsid w:val="00E06491"/>
    <w:rsid w:val="00E078EA"/>
    <w:rsid w:val="00E11612"/>
    <w:rsid w:val="00E127C2"/>
    <w:rsid w:val="00E16BC4"/>
    <w:rsid w:val="00E20077"/>
    <w:rsid w:val="00E20E01"/>
    <w:rsid w:val="00E2126E"/>
    <w:rsid w:val="00E21F39"/>
    <w:rsid w:val="00E22369"/>
    <w:rsid w:val="00E22EF0"/>
    <w:rsid w:val="00E2324D"/>
    <w:rsid w:val="00E23B4B"/>
    <w:rsid w:val="00E23B5D"/>
    <w:rsid w:val="00E2458E"/>
    <w:rsid w:val="00E24AA3"/>
    <w:rsid w:val="00E2522D"/>
    <w:rsid w:val="00E2575F"/>
    <w:rsid w:val="00E25E2D"/>
    <w:rsid w:val="00E2611C"/>
    <w:rsid w:val="00E274F4"/>
    <w:rsid w:val="00E27C7B"/>
    <w:rsid w:val="00E314BD"/>
    <w:rsid w:val="00E342FD"/>
    <w:rsid w:val="00E34CCF"/>
    <w:rsid w:val="00E35440"/>
    <w:rsid w:val="00E354B3"/>
    <w:rsid w:val="00E35D26"/>
    <w:rsid w:val="00E367F2"/>
    <w:rsid w:val="00E36960"/>
    <w:rsid w:val="00E36A12"/>
    <w:rsid w:val="00E37346"/>
    <w:rsid w:val="00E37C32"/>
    <w:rsid w:val="00E428A5"/>
    <w:rsid w:val="00E42E58"/>
    <w:rsid w:val="00E4350C"/>
    <w:rsid w:val="00E44649"/>
    <w:rsid w:val="00E44BAE"/>
    <w:rsid w:val="00E44C85"/>
    <w:rsid w:val="00E44FA5"/>
    <w:rsid w:val="00E4509B"/>
    <w:rsid w:val="00E456F1"/>
    <w:rsid w:val="00E45C1A"/>
    <w:rsid w:val="00E45C37"/>
    <w:rsid w:val="00E45D56"/>
    <w:rsid w:val="00E45FE9"/>
    <w:rsid w:val="00E4606D"/>
    <w:rsid w:val="00E461BD"/>
    <w:rsid w:val="00E464F2"/>
    <w:rsid w:val="00E465E1"/>
    <w:rsid w:val="00E472F4"/>
    <w:rsid w:val="00E47610"/>
    <w:rsid w:val="00E504BA"/>
    <w:rsid w:val="00E51571"/>
    <w:rsid w:val="00E51BF7"/>
    <w:rsid w:val="00E525D2"/>
    <w:rsid w:val="00E52947"/>
    <w:rsid w:val="00E52E73"/>
    <w:rsid w:val="00E53246"/>
    <w:rsid w:val="00E55123"/>
    <w:rsid w:val="00E55A72"/>
    <w:rsid w:val="00E579DC"/>
    <w:rsid w:val="00E60054"/>
    <w:rsid w:val="00E6029D"/>
    <w:rsid w:val="00E61D48"/>
    <w:rsid w:val="00E61F65"/>
    <w:rsid w:val="00E627BB"/>
    <w:rsid w:val="00E63196"/>
    <w:rsid w:val="00E63907"/>
    <w:rsid w:val="00E64196"/>
    <w:rsid w:val="00E67A77"/>
    <w:rsid w:val="00E715D6"/>
    <w:rsid w:val="00E72885"/>
    <w:rsid w:val="00E72DD0"/>
    <w:rsid w:val="00E73E78"/>
    <w:rsid w:val="00E7489B"/>
    <w:rsid w:val="00E76867"/>
    <w:rsid w:val="00E76949"/>
    <w:rsid w:val="00E801E9"/>
    <w:rsid w:val="00E801F1"/>
    <w:rsid w:val="00E813DB"/>
    <w:rsid w:val="00E8223B"/>
    <w:rsid w:val="00E828C2"/>
    <w:rsid w:val="00E839D1"/>
    <w:rsid w:val="00E83D84"/>
    <w:rsid w:val="00E83DFE"/>
    <w:rsid w:val="00E8422F"/>
    <w:rsid w:val="00E8493B"/>
    <w:rsid w:val="00E85112"/>
    <w:rsid w:val="00E85EC4"/>
    <w:rsid w:val="00E86170"/>
    <w:rsid w:val="00E86BA1"/>
    <w:rsid w:val="00E86DEF"/>
    <w:rsid w:val="00E879F5"/>
    <w:rsid w:val="00E90507"/>
    <w:rsid w:val="00E90544"/>
    <w:rsid w:val="00E915A7"/>
    <w:rsid w:val="00E9251C"/>
    <w:rsid w:val="00E925C4"/>
    <w:rsid w:val="00E928BC"/>
    <w:rsid w:val="00E92C0C"/>
    <w:rsid w:val="00E92CA1"/>
    <w:rsid w:val="00E92D52"/>
    <w:rsid w:val="00E93611"/>
    <w:rsid w:val="00E93BEA"/>
    <w:rsid w:val="00E95159"/>
    <w:rsid w:val="00E96D48"/>
    <w:rsid w:val="00E974CC"/>
    <w:rsid w:val="00EA026F"/>
    <w:rsid w:val="00EA128C"/>
    <w:rsid w:val="00EA1ADB"/>
    <w:rsid w:val="00EA4C06"/>
    <w:rsid w:val="00EA5043"/>
    <w:rsid w:val="00EA5348"/>
    <w:rsid w:val="00EA5FB4"/>
    <w:rsid w:val="00EA6819"/>
    <w:rsid w:val="00EA70AC"/>
    <w:rsid w:val="00EA74E0"/>
    <w:rsid w:val="00EB040A"/>
    <w:rsid w:val="00EB0534"/>
    <w:rsid w:val="00EB0A8F"/>
    <w:rsid w:val="00EB120C"/>
    <w:rsid w:val="00EB1DFA"/>
    <w:rsid w:val="00EB257E"/>
    <w:rsid w:val="00EB438E"/>
    <w:rsid w:val="00EB490C"/>
    <w:rsid w:val="00EB52D5"/>
    <w:rsid w:val="00EB5C52"/>
    <w:rsid w:val="00EB66FD"/>
    <w:rsid w:val="00EB6A40"/>
    <w:rsid w:val="00EC01C3"/>
    <w:rsid w:val="00EC13D0"/>
    <w:rsid w:val="00EC203F"/>
    <w:rsid w:val="00EC2080"/>
    <w:rsid w:val="00EC2883"/>
    <w:rsid w:val="00EC297A"/>
    <w:rsid w:val="00EC4111"/>
    <w:rsid w:val="00EC4815"/>
    <w:rsid w:val="00EC48FC"/>
    <w:rsid w:val="00EC53B0"/>
    <w:rsid w:val="00EC56EF"/>
    <w:rsid w:val="00EC5748"/>
    <w:rsid w:val="00EC6E67"/>
    <w:rsid w:val="00EC7E2D"/>
    <w:rsid w:val="00ED1513"/>
    <w:rsid w:val="00ED2318"/>
    <w:rsid w:val="00ED26CF"/>
    <w:rsid w:val="00ED2BDB"/>
    <w:rsid w:val="00ED30AF"/>
    <w:rsid w:val="00ED381E"/>
    <w:rsid w:val="00ED3BC9"/>
    <w:rsid w:val="00ED3F2A"/>
    <w:rsid w:val="00ED4BF4"/>
    <w:rsid w:val="00ED6A3E"/>
    <w:rsid w:val="00ED6C03"/>
    <w:rsid w:val="00ED76FB"/>
    <w:rsid w:val="00ED795C"/>
    <w:rsid w:val="00EE0DAB"/>
    <w:rsid w:val="00EE10EA"/>
    <w:rsid w:val="00EE1B39"/>
    <w:rsid w:val="00EE2B41"/>
    <w:rsid w:val="00EE2ECB"/>
    <w:rsid w:val="00EE3C06"/>
    <w:rsid w:val="00EE407C"/>
    <w:rsid w:val="00EE4476"/>
    <w:rsid w:val="00EE499A"/>
    <w:rsid w:val="00EE4DC8"/>
    <w:rsid w:val="00EE5BCF"/>
    <w:rsid w:val="00EE61BF"/>
    <w:rsid w:val="00EE6717"/>
    <w:rsid w:val="00EE7408"/>
    <w:rsid w:val="00EF095A"/>
    <w:rsid w:val="00EF11FD"/>
    <w:rsid w:val="00EF1B9E"/>
    <w:rsid w:val="00EF2CE7"/>
    <w:rsid w:val="00EF2EFA"/>
    <w:rsid w:val="00EF343F"/>
    <w:rsid w:val="00EF5AA2"/>
    <w:rsid w:val="00EF64D3"/>
    <w:rsid w:val="00EF6D33"/>
    <w:rsid w:val="00F0026E"/>
    <w:rsid w:val="00F019D1"/>
    <w:rsid w:val="00F01BC8"/>
    <w:rsid w:val="00F01F4A"/>
    <w:rsid w:val="00F020F7"/>
    <w:rsid w:val="00F021F7"/>
    <w:rsid w:val="00F02D71"/>
    <w:rsid w:val="00F02F92"/>
    <w:rsid w:val="00F03569"/>
    <w:rsid w:val="00F0598C"/>
    <w:rsid w:val="00F068C3"/>
    <w:rsid w:val="00F077C8"/>
    <w:rsid w:val="00F104B6"/>
    <w:rsid w:val="00F10DBE"/>
    <w:rsid w:val="00F1243F"/>
    <w:rsid w:val="00F14A8E"/>
    <w:rsid w:val="00F14B9C"/>
    <w:rsid w:val="00F15219"/>
    <w:rsid w:val="00F16656"/>
    <w:rsid w:val="00F20815"/>
    <w:rsid w:val="00F20DEE"/>
    <w:rsid w:val="00F217AA"/>
    <w:rsid w:val="00F221B7"/>
    <w:rsid w:val="00F22472"/>
    <w:rsid w:val="00F224AB"/>
    <w:rsid w:val="00F229B7"/>
    <w:rsid w:val="00F2319B"/>
    <w:rsid w:val="00F237BC"/>
    <w:rsid w:val="00F241CA"/>
    <w:rsid w:val="00F26C16"/>
    <w:rsid w:val="00F300FF"/>
    <w:rsid w:val="00F302F8"/>
    <w:rsid w:val="00F31C11"/>
    <w:rsid w:val="00F31E4C"/>
    <w:rsid w:val="00F3450D"/>
    <w:rsid w:val="00F3487A"/>
    <w:rsid w:val="00F34DE2"/>
    <w:rsid w:val="00F359B7"/>
    <w:rsid w:val="00F3766F"/>
    <w:rsid w:val="00F377B5"/>
    <w:rsid w:val="00F40273"/>
    <w:rsid w:val="00F403ED"/>
    <w:rsid w:val="00F40B49"/>
    <w:rsid w:val="00F414C2"/>
    <w:rsid w:val="00F43283"/>
    <w:rsid w:val="00F43A9F"/>
    <w:rsid w:val="00F43BB1"/>
    <w:rsid w:val="00F44E29"/>
    <w:rsid w:val="00F453D0"/>
    <w:rsid w:val="00F477D1"/>
    <w:rsid w:val="00F508E9"/>
    <w:rsid w:val="00F50B53"/>
    <w:rsid w:val="00F50BA1"/>
    <w:rsid w:val="00F50E19"/>
    <w:rsid w:val="00F50F7D"/>
    <w:rsid w:val="00F514F3"/>
    <w:rsid w:val="00F515D2"/>
    <w:rsid w:val="00F51CBD"/>
    <w:rsid w:val="00F5357E"/>
    <w:rsid w:val="00F546E3"/>
    <w:rsid w:val="00F561BD"/>
    <w:rsid w:val="00F60499"/>
    <w:rsid w:val="00F60D7A"/>
    <w:rsid w:val="00F61399"/>
    <w:rsid w:val="00F64608"/>
    <w:rsid w:val="00F648BE"/>
    <w:rsid w:val="00F65593"/>
    <w:rsid w:val="00F657C9"/>
    <w:rsid w:val="00F65A7D"/>
    <w:rsid w:val="00F667FA"/>
    <w:rsid w:val="00F675C9"/>
    <w:rsid w:val="00F70AFB"/>
    <w:rsid w:val="00F70D42"/>
    <w:rsid w:val="00F70D73"/>
    <w:rsid w:val="00F71499"/>
    <w:rsid w:val="00F7157A"/>
    <w:rsid w:val="00F715B6"/>
    <w:rsid w:val="00F7195C"/>
    <w:rsid w:val="00F71D24"/>
    <w:rsid w:val="00F72497"/>
    <w:rsid w:val="00F72550"/>
    <w:rsid w:val="00F73CC0"/>
    <w:rsid w:val="00F74B7E"/>
    <w:rsid w:val="00F75EFD"/>
    <w:rsid w:val="00F7627D"/>
    <w:rsid w:val="00F7755C"/>
    <w:rsid w:val="00F811BF"/>
    <w:rsid w:val="00F812BB"/>
    <w:rsid w:val="00F815DF"/>
    <w:rsid w:val="00F8206E"/>
    <w:rsid w:val="00F8391B"/>
    <w:rsid w:val="00F83CA0"/>
    <w:rsid w:val="00F83F5B"/>
    <w:rsid w:val="00F84576"/>
    <w:rsid w:val="00F8589F"/>
    <w:rsid w:val="00F90663"/>
    <w:rsid w:val="00F90F5A"/>
    <w:rsid w:val="00F92046"/>
    <w:rsid w:val="00F92742"/>
    <w:rsid w:val="00F936F2"/>
    <w:rsid w:val="00F9395F"/>
    <w:rsid w:val="00F93EFA"/>
    <w:rsid w:val="00F946EB"/>
    <w:rsid w:val="00F94FCF"/>
    <w:rsid w:val="00F95262"/>
    <w:rsid w:val="00F95A32"/>
    <w:rsid w:val="00F95D1F"/>
    <w:rsid w:val="00F96565"/>
    <w:rsid w:val="00FA00E5"/>
    <w:rsid w:val="00FA15AA"/>
    <w:rsid w:val="00FA16AE"/>
    <w:rsid w:val="00FA188D"/>
    <w:rsid w:val="00FA1AC4"/>
    <w:rsid w:val="00FA1CFE"/>
    <w:rsid w:val="00FA27E6"/>
    <w:rsid w:val="00FA38D1"/>
    <w:rsid w:val="00FA509D"/>
    <w:rsid w:val="00FA5BC8"/>
    <w:rsid w:val="00FA6E10"/>
    <w:rsid w:val="00FA7537"/>
    <w:rsid w:val="00FA7E7B"/>
    <w:rsid w:val="00FB11A4"/>
    <w:rsid w:val="00FB1CA8"/>
    <w:rsid w:val="00FB2C56"/>
    <w:rsid w:val="00FB3DD4"/>
    <w:rsid w:val="00FB4006"/>
    <w:rsid w:val="00FB4609"/>
    <w:rsid w:val="00FB4617"/>
    <w:rsid w:val="00FB5A40"/>
    <w:rsid w:val="00FB5E30"/>
    <w:rsid w:val="00FB6B39"/>
    <w:rsid w:val="00FB6C06"/>
    <w:rsid w:val="00FC012D"/>
    <w:rsid w:val="00FC0340"/>
    <w:rsid w:val="00FC067A"/>
    <w:rsid w:val="00FC13EB"/>
    <w:rsid w:val="00FC1879"/>
    <w:rsid w:val="00FC2BC5"/>
    <w:rsid w:val="00FC2CFE"/>
    <w:rsid w:val="00FC337E"/>
    <w:rsid w:val="00FC4396"/>
    <w:rsid w:val="00FC43BA"/>
    <w:rsid w:val="00FC46A6"/>
    <w:rsid w:val="00FC4D76"/>
    <w:rsid w:val="00FC5F1E"/>
    <w:rsid w:val="00FC6A16"/>
    <w:rsid w:val="00FC7FCE"/>
    <w:rsid w:val="00FD00D6"/>
    <w:rsid w:val="00FD024B"/>
    <w:rsid w:val="00FD073B"/>
    <w:rsid w:val="00FD0E91"/>
    <w:rsid w:val="00FD22EB"/>
    <w:rsid w:val="00FD2E05"/>
    <w:rsid w:val="00FD58E8"/>
    <w:rsid w:val="00FD730B"/>
    <w:rsid w:val="00FD7415"/>
    <w:rsid w:val="00FD743E"/>
    <w:rsid w:val="00FD7B53"/>
    <w:rsid w:val="00FE268E"/>
    <w:rsid w:val="00FE31BD"/>
    <w:rsid w:val="00FE3FE1"/>
    <w:rsid w:val="00FE491B"/>
    <w:rsid w:val="00FE4EB3"/>
    <w:rsid w:val="00FE69C7"/>
    <w:rsid w:val="00FE6D66"/>
    <w:rsid w:val="00FE7A8B"/>
    <w:rsid w:val="00FE7C76"/>
    <w:rsid w:val="00FF1274"/>
    <w:rsid w:val="00FF13C7"/>
    <w:rsid w:val="00FF192C"/>
    <w:rsid w:val="00FF2060"/>
    <w:rsid w:val="00FF222D"/>
    <w:rsid w:val="00FF327B"/>
    <w:rsid w:val="00FF3A25"/>
    <w:rsid w:val="00FF4127"/>
    <w:rsid w:val="00FF4A6D"/>
    <w:rsid w:val="00FF69FC"/>
    <w:rsid w:val="00FF6BF2"/>
    <w:rsid w:val="00FF6E42"/>
    <w:rsid w:val="00FF71CC"/>
    <w:rsid w:val="00FF7633"/>
    <w:rsid w:val="00FF7F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PT" w:eastAsia="pt-PT" w:bidi="pt-PT"/>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300FF"/>
    <w:pPr>
      <w:spacing w:before="60" w:after="140" w:line="220" w:lineRule="atLeast"/>
      <w:jc w:val="both"/>
    </w:pPr>
    <w:rPr>
      <w:rFonts w:ascii="Arial" w:hAnsi="Arial"/>
      <w:sz w:val="18"/>
      <w:szCs w:val="24"/>
    </w:rPr>
  </w:style>
  <w:style w:type="paragraph" w:styleId="Heading1">
    <w:name w:val="heading 1"/>
    <w:basedOn w:val="Normal"/>
    <w:next w:val="Normal"/>
    <w:semiHidden/>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basedOn w:val="Normal"/>
    <w:next w:val="Normal"/>
    <w:semiHidden/>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semiHidden/>
    <w:qFormat/>
    <w:rsid w:val="00E465E1"/>
    <w:pPr>
      <w:suppressAutoHyphens/>
      <w:spacing w:before="200" w:after="100"/>
      <w:jc w:val="left"/>
      <w:outlineLvl w:val="4"/>
    </w:pPr>
    <w:rPr>
      <w:b/>
      <w:bCs/>
      <w:iCs/>
      <w:color w:val="5F5F5F"/>
      <w:szCs w:val="26"/>
    </w:rPr>
  </w:style>
  <w:style w:type="paragraph" w:styleId="Heading6">
    <w:name w:val="heading 6"/>
    <w:basedOn w:val="Normal"/>
    <w:next w:val="Normal"/>
    <w:semiHidden/>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semiHidden/>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rsid w:val="00364BFD"/>
    <w:pPr>
      <w:tabs>
        <w:tab w:val="left" w:pos="454"/>
        <w:tab w:val="right" w:leader="dot" w:pos="9072"/>
      </w:tabs>
      <w:suppressAutoHyphens/>
      <w:spacing w:before="60" w:line="280" w:lineRule="exact"/>
      <w:ind w:left="454" w:hanging="454"/>
    </w:pPr>
    <w:rPr>
      <w:rFonts w:ascii="Arial" w:hAnsi="Arial"/>
      <w:color w:val="373737" w:themeColor="text1"/>
      <w:szCs w:val="22"/>
    </w:rPr>
  </w:style>
  <w:style w:type="paragraph" w:styleId="Header">
    <w:name w:val="header"/>
    <w:rsid w:val="00BD09F4"/>
    <w:pPr>
      <w:tabs>
        <w:tab w:val="right" w:pos="9072"/>
      </w:tabs>
      <w:spacing w:before="60"/>
    </w:pPr>
    <w:rPr>
      <w:rFonts w:ascii="Arial" w:hAnsi="Arial"/>
      <w:color w:val="F07E31" w:themeColor="accent1"/>
      <w:sz w:val="18"/>
    </w:rPr>
  </w:style>
  <w:style w:type="paragraph" w:styleId="Footer">
    <w:name w:val="footer"/>
    <w:link w:val="FooterChar"/>
    <w:uiPriority w:val="99"/>
    <w:rsid w:val="00D86941"/>
    <w:pPr>
      <w:tabs>
        <w:tab w:val="right" w:pos="8618"/>
      </w:tabs>
      <w:ind w:left="-907" w:right="-907"/>
      <w:jc w:val="center"/>
    </w:pPr>
    <w:rPr>
      <w:rFonts w:ascii="Arial" w:hAnsi="Arial"/>
      <w:color w:val="373737"/>
      <w:sz w:val="22"/>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364BFD"/>
    <w:pPr>
      <w:autoSpaceDE w:val="0"/>
      <w:autoSpaceDN w:val="0"/>
      <w:adjustRightInd w:val="0"/>
      <w:spacing w:before="0" w:after="120" w:line="280" w:lineRule="atLeast"/>
      <w:jc w:val="left"/>
    </w:pPr>
    <w:rPr>
      <w:smallCaps/>
      <w:color w:val="373737" w:themeColor="text1"/>
      <w:sz w:val="44"/>
      <w:szCs w:val="52"/>
    </w:rPr>
  </w:style>
  <w:style w:type="paragraph" w:customStyle="1" w:styleId="Hlistbullet">
    <w:name w:val="H_list_bullet"/>
    <w:rsid w:val="00C42303"/>
    <w:pPr>
      <w:numPr>
        <w:numId w:val="2"/>
      </w:numPr>
      <w:spacing w:before="60" w:after="60" w:line="220" w:lineRule="atLeast"/>
      <w:ind w:left="567" w:hanging="567"/>
      <w:jc w:val="both"/>
    </w:pPr>
    <w:rPr>
      <w:rFonts w:ascii="Arial" w:hAnsi="Arial"/>
      <w:color w:val="373737" w:themeColor="text1"/>
    </w:rPr>
  </w:style>
  <w:style w:type="paragraph" w:customStyle="1" w:styleId="Hlistbullet2">
    <w:name w:val="H_list_bullet2"/>
    <w:basedOn w:val="Hlistbullet"/>
    <w:next w:val="HStandard"/>
    <w:rsid w:val="00735F08"/>
    <w:pPr>
      <w:numPr>
        <w:numId w:val="12"/>
      </w:numPr>
      <w:ind w:left="1134" w:hanging="567"/>
    </w:pPr>
  </w:style>
  <w:style w:type="paragraph" w:customStyle="1" w:styleId="Hlistabc">
    <w:name w:val="H_list_abc"/>
    <w:rsid w:val="00364BFD"/>
    <w:pPr>
      <w:numPr>
        <w:numId w:val="3"/>
      </w:numPr>
      <w:spacing w:before="60" w:after="60" w:line="220" w:lineRule="atLeast"/>
      <w:jc w:val="both"/>
    </w:pPr>
    <w:rPr>
      <w:rFonts w:ascii="Arial" w:hAnsi="Arial"/>
      <w:color w:val="373737" w:themeColor="text1"/>
    </w:rPr>
  </w:style>
  <w:style w:type="paragraph" w:customStyle="1" w:styleId="Hlistabc2">
    <w:name w:val="H_list_abc_2"/>
    <w:basedOn w:val="Hlistabc"/>
    <w:next w:val="HStandard"/>
    <w:rsid w:val="00801FF1"/>
    <w:pPr>
      <w:spacing w:after="140"/>
      <w:ind w:left="1134"/>
    </w:pPr>
  </w:style>
  <w:style w:type="paragraph" w:customStyle="1" w:styleId="HTitle1">
    <w:name w:val="H_Title1"/>
    <w:basedOn w:val="Normal"/>
    <w:rsid w:val="00364BFD"/>
    <w:pPr>
      <w:autoSpaceDE w:val="0"/>
      <w:autoSpaceDN w:val="0"/>
      <w:adjustRightInd w:val="0"/>
      <w:spacing w:before="0" w:after="120" w:line="280" w:lineRule="atLeast"/>
    </w:pPr>
    <w:rPr>
      <w:bCs/>
      <w:smallCaps/>
      <w:color w:val="F07E31" w:themeColor="accent1"/>
      <w:sz w:val="60"/>
      <w:szCs w:val="32"/>
    </w:rPr>
  </w:style>
  <w:style w:type="paragraph" w:customStyle="1" w:styleId="Autor">
    <w:name w:val="Autor"/>
    <w:basedOn w:val="Normal"/>
    <w:rsid w:val="00EE61BF"/>
    <w:pPr>
      <w:spacing w:before="0" w:after="0" w:line="280" w:lineRule="exact"/>
      <w:jc w:val="left"/>
    </w:pPr>
    <w:rPr>
      <w:sz w:val="20"/>
    </w:rPr>
  </w:style>
  <w:style w:type="paragraph" w:customStyle="1" w:styleId="HTitle3">
    <w:name w:val="H_Title3"/>
    <w:basedOn w:val="Autor"/>
    <w:rsid w:val="00364BFD"/>
    <w:rPr>
      <w:smallCaps/>
      <w:color w:val="373737" w:themeColor="text1"/>
      <w:sz w:val="28"/>
    </w:rPr>
  </w:style>
  <w:style w:type="paragraph" w:styleId="TOC1">
    <w:name w:val="toc 1"/>
    <w:next w:val="Normal"/>
    <w:uiPriority w:val="39"/>
    <w:rsid w:val="002807DC"/>
    <w:pPr>
      <w:tabs>
        <w:tab w:val="left" w:pos="454"/>
        <w:tab w:val="right" w:leader="dot" w:pos="9072"/>
      </w:tabs>
      <w:suppressAutoHyphens/>
      <w:spacing w:before="60" w:line="280" w:lineRule="exact"/>
      <w:ind w:left="454" w:hanging="454"/>
    </w:pPr>
    <w:rPr>
      <w:rFonts w:ascii="Arial" w:hAnsi="Arial"/>
      <w:noProof/>
      <w:color w:val="373737" w:themeColor="text1"/>
    </w:rPr>
  </w:style>
  <w:style w:type="paragraph" w:styleId="TOC3">
    <w:name w:val="toc 3"/>
    <w:next w:val="Normal"/>
    <w:uiPriority w:val="39"/>
    <w:rsid w:val="00364BFD"/>
    <w:pPr>
      <w:tabs>
        <w:tab w:val="left" w:pos="1021"/>
        <w:tab w:val="right" w:leader="dot" w:pos="9072"/>
      </w:tabs>
      <w:suppressAutoHyphens/>
      <w:spacing w:before="60" w:line="280" w:lineRule="exact"/>
      <w:ind w:left="1021" w:hanging="567"/>
    </w:pPr>
    <w:rPr>
      <w:rFonts w:ascii="Arial" w:hAnsi="Arial"/>
      <w:color w:val="373737" w:themeColor="text1"/>
      <w:sz w:val="18"/>
    </w:rPr>
  </w:style>
  <w:style w:type="paragraph" w:customStyle="1" w:styleId="Fuzeilequerformat">
    <w:name w:val="Fußzeile_querformat"/>
    <w:basedOn w:val="Footer"/>
    <w:rsid w:val="00EE61BF"/>
    <w:pPr>
      <w:tabs>
        <w:tab w:val="clear" w:pos="8618"/>
        <w:tab w:val="right" w:pos="12871"/>
      </w:tabs>
    </w:pPr>
  </w:style>
  <w:style w:type="paragraph" w:styleId="TableofFigures">
    <w:name w:val="table of figures"/>
    <w:next w:val="HStandard"/>
    <w:uiPriority w:val="99"/>
    <w:rsid w:val="000B6372"/>
    <w:pPr>
      <w:tabs>
        <w:tab w:val="left" w:pos="851"/>
        <w:tab w:val="right" w:leader="dot" w:pos="7711"/>
      </w:tabs>
      <w:suppressAutoHyphens/>
      <w:spacing w:before="60" w:line="280" w:lineRule="exact"/>
      <w:ind w:left="851" w:right="284" w:hanging="851"/>
    </w:pPr>
    <w:rPr>
      <w:rFonts w:ascii="Arial" w:hAnsi="Arial"/>
      <w:color w:val="373737" w:themeColor="text1"/>
    </w:rPr>
  </w:style>
  <w:style w:type="paragraph" w:customStyle="1" w:styleId="Hlistline3">
    <w:name w:val="H_list_line3"/>
    <w:rsid w:val="00BD09F4"/>
    <w:pPr>
      <w:numPr>
        <w:numId w:val="4"/>
      </w:numPr>
      <w:spacing w:before="60" w:after="60" w:line="220" w:lineRule="atLeast"/>
      <w:ind w:left="851" w:hanging="284"/>
    </w:pPr>
    <w:rPr>
      <w:rFonts w:ascii="Arial" w:hAnsi="Arial"/>
      <w:color w:val="373737" w:themeColor="text1"/>
    </w:rPr>
  </w:style>
  <w:style w:type="paragraph" w:customStyle="1" w:styleId="Hlistline4">
    <w:name w:val="H_list_line4"/>
    <w:basedOn w:val="Hlistline3"/>
    <w:next w:val="HStandard"/>
    <w:rsid w:val="00BD09F4"/>
    <w:pPr>
      <w:ind w:left="1135"/>
    </w:pPr>
  </w:style>
  <w:style w:type="paragraph" w:customStyle="1" w:styleId="HSource">
    <w:name w:val="H_Source"/>
    <w:next w:val="HStandard"/>
    <w:rsid w:val="008D52EA"/>
    <w:pPr>
      <w:suppressAutoHyphens/>
      <w:spacing w:before="60" w:after="60"/>
      <w:jc w:val="center"/>
    </w:pPr>
    <w:rPr>
      <w:rFonts w:ascii="Arial" w:hAnsi="Arial"/>
      <w:i/>
      <w:color w:val="373737"/>
      <w:sz w:val="16"/>
    </w:rPr>
  </w:style>
  <w:style w:type="paragraph" w:customStyle="1" w:styleId="Htableleft">
    <w:name w:val="H_table_left"/>
    <w:rsid w:val="00BD09F4"/>
    <w:pPr>
      <w:suppressAutoHyphens/>
      <w:spacing w:before="40" w:after="40"/>
    </w:pPr>
    <w:rPr>
      <w:rFonts w:ascii="Arial" w:hAnsi="Arial"/>
      <w:color w:val="373737" w:themeColor="text1"/>
      <w:sz w:val="18"/>
    </w:rPr>
  </w:style>
  <w:style w:type="paragraph" w:customStyle="1" w:styleId="Htablecentered">
    <w:name w:val="H_table_centered"/>
    <w:basedOn w:val="Htableleft"/>
    <w:rsid w:val="00EE61BF"/>
    <w:pPr>
      <w:jc w:val="center"/>
    </w:pPr>
  </w:style>
  <w:style w:type="paragraph" w:customStyle="1" w:styleId="Htableleftbolt">
    <w:name w:val="H_table_left_bolt"/>
    <w:basedOn w:val="Htableleft"/>
    <w:rsid w:val="00EE61BF"/>
    <w:rPr>
      <w:b/>
      <w:color w:val="FFFFFF" w:themeColor="background1"/>
    </w:rPr>
  </w:style>
  <w:style w:type="paragraph" w:customStyle="1" w:styleId="Htablecenteredbolt">
    <w:name w:val="H_table_centered_bolt"/>
    <w:basedOn w:val="Htablecentered"/>
    <w:rsid w:val="00BD09F4"/>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0D3DB8"/>
    <w:pPr>
      <w:spacing w:line="180" w:lineRule="exact"/>
      <w:ind w:left="170" w:hanging="170"/>
      <w:jc w:val="both"/>
    </w:pPr>
    <w:rPr>
      <w:rFonts w:ascii="Arial" w:hAnsi="Arial"/>
      <w:color w:val="808080"/>
      <w:sz w:val="16"/>
    </w:rPr>
  </w:style>
  <w:style w:type="paragraph" w:customStyle="1" w:styleId="Htablebullet">
    <w:name w:val="H_table_bullet"/>
    <w:basedOn w:val="Htableleft"/>
    <w:rsid w:val="00BD09F4"/>
    <w:pPr>
      <w:numPr>
        <w:numId w:val="5"/>
      </w:numPr>
      <w:ind w:left="170" w:hanging="170"/>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364BFD"/>
    <w:rPr>
      <w:rFonts w:ascii="Arial" w:hAnsi="Arial"/>
      <w:i/>
      <w:dstrike w:val="0"/>
      <w:color w:val="373737" w:themeColor="text1"/>
      <w:position w:val="6"/>
      <w:sz w:val="12"/>
      <w:vertAlign w:val="baseline"/>
      <w:lang w:val="pt-PT"/>
    </w:rPr>
  </w:style>
  <w:style w:type="paragraph" w:customStyle="1" w:styleId="HContent">
    <w:name w:val="H_Content"/>
    <w:basedOn w:val="Heading1"/>
    <w:next w:val="HStandard"/>
    <w:rsid w:val="00364BFD"/>
    <w:pPr>
      <w:pageBreakBefore/>
      <w:framePr w:hSpace="0" w:vSpace="0" w:wrap="auto" w:vAnchor="margin" w:hAnchor="text" w:yAlign="inline"/>
      <w:numPr>
        <w:numId w:val="0"/>
      </w:numPr>
      <w:pBdr>
        <w:left w:val="none" w:sz="0" w:space="0" w:color="auto"/>
      </w:pBdr>
      <w:spacing w:before="360" w:after="360" w:line="280" w:lineRule="atLeast"/>
    </w:pPr>
    <w:rPr>
      <w:caps/>
      <w:color w:val="F07E31" w:themeColor="accent1"/>
      <w:sz w:val="20"/>
    </w:rPr>
  </w:style>
  <w:style w:type="paragraph" w:customStyle="1" w:styleId="HHeading1">
    <w:name w:val="H_Heading 1"/>
    <w:next w:val="HStandard"/>
    <w:rsid w:val="008D52EA"/>
    <w:pPr>
      <w:keepNext/>
      <w:keepLines/>
      <w:pageBreakBefore/>
      <w:numPr>
        <w:numId w:val="6"/>
      </w:numPr>
      <w:tabs>
        <w:tab w:val="left" w:pos="567"/>
      </w:tabs>
      <w:spacing w:before="360" w:after="360" w:line="280" w:lineRule="atLeast"/>
      <w:ind w:left="567" w:hanging="567"/>
      <w:outlineLvl w:val="0"/>
    </w:pPr>
    <w:rPr>
      <w:rFonts w:ascii="Arial" w:hAnsi="Arial"/>
      <w:b/>
      <w:caps/>
      <w:color w:val="F07E31" w:themeColor="accent1"/>
    </w:rPr>
  </w:style>
  <w:style w:type="paragraph" w:customStyle="1" w:styleId="HHeading2">
    <w:name w:val="H_Heading 2"/>
    <w:next w:val="HStandard"/>
    <w:rsid w:val="007B4B9E"/>
    <w:pPr>
      <w:keepNext/>
      <w:keepLines/>
      <w:numPr>
        <w:ilvl w:val="1"/>
        <w:numId w:val="6"/>
      </w:numPr>
      <w:tabs>
        <w:tab w:val="left" w:pos="567"/>
      </w:tabs>
      <w:spacing w:before="240" w:after="140" w:line="260" w:lineRule="exact"/>
      <w:ind w:left="567" w:hanging="567"/>
      <w:outlineLvl w:val="1"/>
    </w:pPr>
    <w:rPr>
      <w:rFonts w:ascii="Arial" w:hAnsi="Arial"/>
      <w:b/>
      <w:color w:val="373737" w:themeColor="text1"/>
    </w:rPr>
  </w:style>
  <w:style w:type="paragraph" w:customStyle="1" w:styleId="HHeading3">
    <w:name w:val="H_Heading 3"/>
    <w:next w:val="HStandard"/>
    <w:rsid w:val="00B63445"/>
    <w:pPr>
      <w:keepNext/>
      <w:keepLines/>
      <w:numPr>
        <w:ilvl w:val="2"/>
        <w:numId w:val="6"/>
      </w:numPr>
      <w:tabs>
        <w:tab w:val="clear" w:pos="1146"/>
        <w:tab w:val="num" w:pos="709"/>
      </w:tabs>
      <w:spacing w:before="240" w:after="140" w:line="240" w:lineRule="exact"/>
      <w:ind w:left="709" w:hanging="709"/>
      <w:outlineLvl w:val="2"/>
    </w:pPr>
    <w:rPr>
      <w:rFonts w:ascii="Arial" w:hAnsi="Arial"/>
      <w:color w:val="F07E31" w:themeColor="accent1"/>
    </w:rPr>
  </w:style>
  <w:style w:type="paragraph" w:customStyle="1" w:styleId="HHeading4">
    <w:name w:val="H_Heading 4"/>
    <w:next w:val="HStandard"/>
    <w:rsid w:val="00364BFD"/>
    <w:pPr>
      <w:keepNext/>
      <w:keepLines/>
      <w:tabs>
        <w:tab w:val="left" w:pos="680"/>
      </w:tabs>
      <w:spacing w:before="240" w:after="240" w:line="280" w:lineRule="atLeast"/>
      <w:outlineLvl w:val="3"/>
    </w:pPr>
    <w:rPr>
      <w:rFonts w:ascii="Arial" w:hAnsi="Arial"/>
      <w:b/>
      <w:color w:val="57825E" w:themeColor="accent4"/>
    </w:rPr>
  </w:style>
  <w:style w:type="character" w:styleId="Hyperlink">
    <w:name w:val="Hyperlink"/>
    <w:basedOn w:val="DefaultParagraphFont"/>
    <w:uiPriority w:val="99"/>
    <w:rsid w:val="00BD09F4"/>
    <w:rPr>
      <w:rFonts w:ascii="Arial" w:hAnsi="Arial"/>
      <w:color w:val="F07E31"/>
      <w:sz w:val="20"/>
      <w:u w:val="single"/>
      <w:lang w:val="pt-PT"/>
    </w:rPr>
  </w:style>
  <w:style w:type="paragraph" w:customStyle="1" w:styleId="HStandard">
    <w:name w:val="H_Standard"/>
    <w:link w:val="HStandardCar"/>
    <w:rsid w:val="00364BFD"/>
    <w:pPr>
      <w:spacing w:after="120" w:line="280" w:lineRule="atLeast"/>
      <w:jc w:val="both"/>
    </w:pPr>
    <w:rPr>
      <w:rFonts w:ascii="Arial" w:hAnsi="Arial"/>
      <w:color w:val="373737" w:themeColor="text1"/>
    </w:rPr>
  </w:style>
  <w:style w:type="paragraph" w:styleId="DocumentMap">
    <w:name w:val="Document Map"/>
    <w:basedOn w:val="Normal"/>
    <w:semiHidden/>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pt-PT"/>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BD09F4"/>
    <w:pPr>
      <w:numPr>
        <w:numId w:val="7"/>
      </w:numPr>
      <w:spacing w:before="200" w:after="140"/>
    </w:pPr>
    <w:rPr>
      <w:rFonts w:ascii="Arial" w:hAnsi="Arial"/>
      <w:b/>
      <w:color w:val="373737" w:themeColor="text1"/>
      <w:sz w:val="16"/>
    </w:rPr>
  </w:style>
  <w:style w:type="paragraph" w:customStyle="1" w:styleId="HHeadingfigures">
    <w:name w:val="H_Heading_figures"/>
    <w:basedOn w:val="HHeadingtables"/>
    <w:next w:val="HStandard"/>
    <w:qFormat/>
    <w:rsid w:val="00E52947"/>
    <w:pPr>
      <w:keepNext/>
      <w:keepLines/>
      <w:numPr>
        <w:numId w:val="22"/>
      </w:numPr>
      <w:tabs>
        <w:tab w:val="clear" w:pos="964"/>
        <w:tab w:val="num" w:pos="2666"/>
      </w:tabs>
      <w:spacing w:before="240"/>
      <w:ind w:left="567" w:hanging="567"/>
    </w:pPr>
  </w:style>
  <w:style w:type="paragraph" w:customStyle="1" w:styleId="HHeadingmaps">
    <w:name w:val="H_Heading_maps"/>
    <w:basedOn w:val="HHeadingtables"/>
    <w:next w:val="HStandard"/>
    <w:qFormat/>
    <w:rsid w:val="005B4B85"/>
    <w:pPr>
      <w:keepNext/>
      <w:keepLines/>
      <w:numPr>
        <w:numId w:val="9"/>
      </w:numPr>
      <w:outlineLvl w:val="5"/>
    </w:pPr>
  </w:style>
  <w:style w:type="paragraph" w:customStyle="1" w:styleId="HHeadingboxes">
    <w:name w:val="H_Heading_boxes"/>
    <w:basedOn w:val="HHeadingtables"/>
    <w:next w:val="HStandard"/>
    <w:qFormat/>
    <w:rsid w:val="00BD09F4"/>
    <w:pPr>
      <w:numPr>
        <w:numId w:val="10"/>
      </w:numPr>
      <w:ind w:left="851" w:hanging="851"/>
    </w:pPr>
  </w:style>
  <w:style w:type="paragraph" w:customStyle="1" w:styleId="HBox">
    <w:name w:val="H_Box"/>
    <w:next w:val="HStandard"/>
    <w:qFormat/>
    <w:rsid w:val="00BD09F4"/>
    <w:pPr>
      <w:pBdr>
        <w:top w:val="single" w:sz="4" w:space="4" w:color="F07E31"/>
        <w:left w:val="single" w:sz="4" w:space="4" w:color="F07E31"/>
        <w:bottom w:val="single" w:sz="4" w:space="4" w:color="F07E31"/>
        <w:right w:val="single" w:sz="4" w:space="4" w:color="F07E31"/>
      </w:pBdr>
      <w:shd w:val="clear" w:color="auto" w:fill="FCE5D5"/>
      <w:jc w:val="both"/>
    </w:pPr>
    <w:rPr>
      <w:rFonts w:ascii="Arial" w:hAnsi="Arial"/>
      <w:color w:val="373737" w:themeColor="text1"/>
    </w:rPr>
  </w:style>
  <w:style w:type="paragraph" w:customStyle="1" w:styleId="HBoxbullet">
    <w:name w:val="H_Box_bullet"/>
    <w:next w:val="HStandard"/>
    <w:qFormat/>
    <w:rsid w:val="00BD09F4"/>
    <w:pPr>
      <w:numPr>
        <w:numId w:val="11"/>
      </w:numPr>
      <w:pBdr>
        <w:top w:val="single" w:sz="4" w:space="4" w:color="F07E31"/>
        <w:left w:val="single" w:sz="4" w:space="8" w:color="F07E31"/>
        <w:bottom w:val="single" w:sz="4" w:space="4" w:color="F07E31"/>
        <w:right w:val="single" w:sz="4" w:space="4" w:color="F07E31"/>
      </w:pBdr>
      <w:shd w:val="clear" w:color="auto" w:fill="FCE5D5" w:themeFill="accent1" w:themeFillTint="33"/>
      <w:ind w:left="363" w:hanging="284"/>
      <w:jc w:val="both"/>
    </w:pPr>
    <w:rPr>
      <w:rFonts w:ascii="Arial" w:hAnsi="Arial"/>
      <w:color w:val="373737" w:themeColor="text1"/>
    </w:rPr>
  </w:style>
  <w:style w:type="paragraph" w:customStyle="1" w:styleId="Hdisclaimer">
    <w:name w:val="H_disclaimer"/>
    <w:qFormat/>
    <w:rsid w:val="00364BFD"/>
    <w:pPr>
      <w:spacing w:after="120" w:line="280" w:lineRule="atLeast"/>
      <w:jc w:val="both"/>
    </w:pPr>
    <w:rPr>
      <w:rFonts w:ascii="Arial" w:hAnsi="Arial" w:cs="Arial"/>
      <w:color w:val="373737" w:themeColor="text1"/>
      <w:sz w:val="18"/>
      <w:szCs w:val="18"/>
    </w:rPr>
  </w:style>
  <w:style w:type="paragraph" w:styleId="EndnoteText">
    <w:name w:val="endnote text"/>
    <w:basedOn w:val="Normal"/>
    <w:link w:val="EndnoteTextChar"/>
    <w:uiPriority w:val="99"/>
    <w:semiHidden/>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5219"/>
    <w:rPr>
      <w:rFonts w:ascii="Arial" w:hAnsi="Arial"/>
      <w:lang w:val="pt-PT"/>
    </w:rPr>
  </w:style>
  <w:style w:type="character" w:styleId="EndnoteReference">
    <w:name w:val="endnote reference"/>
    <w:basedOn w:val="DefaultParagraphFont"/>
    <w:uiPriority w:val="99"/>
    <w:semiHidden/>
    <w:unhideWhenUsed/>
    <w:rsid w:val="00F15219"/>
    <w:rPr>
      <w:vertAlign w:val="superscript"/>
    </w:rPr>
  </w:style>
  <w:style w:type="character" w:styleId="CommentReference">
    <w:name w:val="annotation reference"/>
    <w:basedOn w:val="DefaultParagraphFont"/>
    <w:uiPriority w:val="99"/>
    <w:semiHidden/>
    <w:unhideWhenUsed/>
    <w:rsid w:val="006C1066"/>
    <w:rPr>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pt-PT"/>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pt-PT"/>
    </w:rPr>
  </w:style>
  <w:style w:type="paragraph" w:styleId="ListParagraph">
    <w:name w:val="List Paragraph"/>
    <w:basedOn w:val="Normal"/>
    <w:uiPriority w:val="34"/>
    <w:qFormat/>
    <w:rsid w:val="00CD63F6"/>
    <w:pPr>
      <w:spacing w:before="0" w:after="160" w:line="259"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0D3DB8"/>
    <w:rPr>
      <w:rFonts w:ascii="Arial" w:hAnsi="Arial"/>
      <w:color w:val="808080"/>
      <w:sz w:val="16"/>
      <w:lang w:val="pt-PT"/>
    </w:rPr>
  </w:style>
  <w:style w:type="paragraph" w:styleId="Title">
    <w:name w:val="Title"/>
    <w:basedOn w:val="Normal"/>
    <w:next w:val="Normal"/>
    <w:link w:val="TitleChar"/>
    <w:uiPriority w:val="10"/>
    <w:qFormat/>
    <w:rsid w:val="00CD63F6"/>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3F6"/>
    <w:rPr>
      <w:rFonts w:asciiTheme="majorHAnsi" w:eastAsiaTheme="majorEastAsia" w:hAnsiTheme="majorHAnsi" w:cstheme="majorBidi"/>
      <w:spacing w:val="-10"/>
      <w:kern w:val="28"/>
      <w:sz w:val="56"/>
      <w:szCs w:val="56"/>
      <w:lang w:val="pt-PT" w:eastAsia="pt-PT"/>
    </w:rPr>
  </w:style>
  <w:style w:type="paragraph" w:customStyle="1" w:styleId="CM1">
    <w:name w:val="CM1"/>
    <w:basedOn w:val="Normal"/>
    <w:next w:val="Normal"/>
    <w:uiPriority w:val="99"/>
    <w:rsid w:val="001C2076"/>
    <w:pPr>
      <w:autoSpaceDE w:val="0"/>
      <w:autoSpaceDN w:val="0"/>
      <w:adjustRightInd w:val="0"/>
      <w:spacing w:before="0" w:after="0" w:line="240" w:lineRule="auto"/>
      <w:jc w:val="left"/>
    </w:pPr>
    <w:rPr>
      <w:rFonts w:ascii="EUAlbertina" w:eastAsiaTheme="minorHAnsi" w:hAnsi="EUAlbertina" w:cstheme="minorBidi"/>
      <w:sz w:val="24"/>
    </w:rPr>
  </w:style>
  <w:style w:type="paragraph" w:styleId="Caption">
    <w:name w:val="caption"/>
    <w:basedOn w:val="Normal"/>
    <w:next w:val="Normal"/>
    <w:uiPriority w:val="35"/>
    <w:unhideWhenUsed/>
    <w:qFormat/>
    <w:rsid w:val="001C2076"/>
    <w:pPr>
      <w:spacing w:before="0" w:after="200" w:line="240" w:lineRule="auto"/>
      <w:jc w:val="left"/>
    </w:pPr>
    <w:rPr>
      <w:rFonts w:asciiTheme="minorHAnsi" w:eastAsiaTheme="minorHAnsi" w:hAnsiTheme="minorHAnsi" w:cstheme="minorBidi"/>
      <w:i/>
      <w:iCs/>
      <w:color w:val="373737" w:themeColor="text2"/>
      <w:szCs w:val="18"/>
    </w:rPr>
  </w:style>
  <w:style w:type="table" w:customStyle="1" w:styleId="Tabukasmriekou5tmavzvraznenie61">
    <w:name w:val="Tabuľka s mriežkou 5 – tmavá – zvýraznenie 61"/>
    <w:basedOn w:val="TableNormal"/>
    <w:uiPriority w:val="50"/>
    <w:rsid w:val="00932C3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AB8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AB8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AB8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AB80" w:themeFill="accent6"/>
      </w:tcPr>
    </w:tblStylePr>
    <w:tblStylePr w:type="band1Vert">
      <w:tblPr/>
      <w:tcPr>
        <w:shd w:val="clear" w:color="auto" w:fill="D0DDCC" w:themeFill="accent6" w:themeFillTint="66"/>
      </w:tcPr>
    </w:tblStylePr>
    <w:tblStylePr w:type="band1Horz">
      <w:tblPr/>
      <w:tcPr>
        <w:shd w:val="clear" w:color="auto" w:fill="D0DDCC" w:themeFill="accent6" w:themeFillTint="66"/>
      </w:tcPr>
    </w:tblStylePr>
  </w:style>
  <w:style w:type="character" w:customStyle="1" w:styleId="FooterChar">
    <w:name w:val="Footer Char"/>
    <w:basedOn w:val="DefaultParagraphFont"/>
    <w:link w:val="Footer"/>
    <w:uiPriority w:val="99"/>
    <w:rsid w:val="00D52AFB"/>
    <w:rPr>
      <w:rFonts w:ascii="Arial" w:hAnsi="Arial"/>
      <w:color w:val="373737"/>
      <w:sz w:val="22"/>
      <w:lang w:val="pt-PT"/>
    </w:rPr>
  </w:style>
  <w:style w:type="paragraph" w:styleId="Revision">
    <w:name w:val="Revision"/>
    <w:hidden/>
    <w:uiPriority w:val="99"/>
    <w:semiHidden/>
    <w:rsid w:val="003B25C7"/>
    <w:rPr>
      <w:rFonts w:ascii="Arial" w:hAnsi="Arial"/>
      <w:sz w:val="18"/>
      <w:szCs w:val="24"/>
    </w:rPr>
  </w:style>
  <w:style w:type="paragraph" w:customStyle="1" w:styleId="Pavpage3">
    <w:name w:val="Pavé page 3"/>
    <w:basedOn w:val="Normal"/>
    <w:qFormat/>
    <w:rsid w:val="003C228A"/>
    <w:pPr>
      <w:spacing w:before="0" w:after="120" w:line="280" w:lineRule="atLeast"/>
      <w:jc w:val="left"/>
    </w:pPr>
    <w:rPr>
      <w:rFonts w:ascii="Helvetica" w:hAnsi="Helvetica" w:cs="Arial"/>
      <w:smallCaps/>
      <w:color w:val="DF6532"/>
      <w:sz w:val="44"/>
      <w:szCs w:val="44"/>
    </w:rPr>
  </w:style>
  <w:style w:type="character" w:styleId="FollowedHyperlink">
    <w:name w:val="FollowedHyperlink"/>
    <w:basedOn w:val="DefaultParagraphFont"/>
    <w:uiPriority w:val="99"/>
    <w:semiHidden/>
    <w:unhideWhenUsed/>
    <w:rsid w:val="00810ED5"/>
    <w:rPr>
      <w:color w:val="F07E31" w:themeColor="followedHyperlink"/>
      <w:u w:val="single"/>
    </w:rPr>
  </w:style>
  <w:style w:type="character" w:customStyle="1" w:styleId="shorttext">
    <w:name w:val="short_text"/>
    <w:basedOn w:val="DefaultParagraphFont"/>
    <w:rsid w:val="00190D63"/>
  </w:style>
  <w:style w:type="character" w:styleId="Emphasis">
    <w:name w:val="Emphasis"/>
    <w:basedOn w:val="DefaultParagraphFont"/>
    <w:uiPriority w:val="20"/>
    <w:qFormat/>
    <w:rsid w:val="00744BAA"/>
    <w:rPr>
      <w:i/>
      <w:iCs/>
    </w:rPr>
  </w:style>
  <w:style w:type="paragraph" w:styleId="HTMLPreformatted">
    <w:name w:val="HTML Preformatted"/>
    <w:basedOn w:val="Normal"/>
    <w:link w:val="HTMLPreformattedChar"/>
    <w:uiPriority w:val="99"/>
    <w:semiHidden/>
    <w:unhideWhenUsed/>
    <w:rsid w:val="00C3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6C67"/>
    <w:rPr>
      <w:rFonts w:ascii="Courier New" w:hAnsi="Courier New" w:cs="Courier New"/>
      <w:lang w:val="pt-PT" w:eastAsia="pt-PT"/>
    </w:rPr>
  </w:style>
  <w:style w:type="character" w:customStyle="1" w:styleId="NichtaufgelsteErwhnung1">
    <w:name w:val="Nicht aufgelöste Erwähnung1"/>
    <w:basedOn w:val="DefaultParagraphFont"/>
    <w:uiPriority w:val="99"/>
    <w:semiHidden/>
    <w:unhideWhenUsed/>
    <w:rsid w:val="005B75BD"/>
    <w:rPr>
      <w:color w:val="808080"/>
      <w:shd w:val="clear" w:color="auto" w:fill="E6E6E6"/>
    </w:rPr>
  </w:style>
  <w:style w:type="character" w:customStyle="1" w:styleId="UnresolvedMention1">
    <w:name w:val="Unresolved Mention1"/>
    <w:basedOn w:val="DefaultParagraphFont"/>
    <w:uiPriority w:val="99"/>
    <w:semiHidden/>
    <w:unhideWhenUsed/>
    <w:rsid w:val="001D32F7"/>
    <w:rPr>
      <w:color w:val="808080"/>
      <w:shd w:val="clear" w:color="auto" w:fill="E6E6E6"/>
    </w:rPr>
  </w:style>
  <w:style w:type="paragraph" w:customStyle="1" w:styleId="Normal12PTcouleurgris">
    <w:name w:val="Normal + 12PT couleur gris"/>
    <w:basedOn w:val="Normal"/>
    <w:qFormat/>
    <w:rsid w:val="00041A27"/>
    <w:pPr>
      <w:spacing w:before="0" w:after="0" w:line="259" w:lineRule="auto"/>
    </w:pPr>
    <w:rPr>
      <w:rFonts w:eastAsiaTheme="minorHAnsi" w:cs="Arial"/>
      <w:color w:val="6F6F6F"/>
      <w:sz w:val="24"/>
      <w:szCs w:val="18"/>
    </w:rPr>
  </w:style>
  <w:style w:type="table" w:customStyle="1" w:styleId="11">
    <w:name w:val="Πίνακας 1 με ανοιχτόχρωμο πλέγμα1"/>
    <w:basedOn w:val="TableNormal"/>
    <w:uiPriority w:val="46"/>
    <w:rsid w:val="00C1242D"/>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numbering" w:customStyle="1" w:styleId="1">
    <w:name w:val="Στυλ1"/>
    <w:uiPriority w:val="99"/>
    <w:rsid w:val="00801FF1"/>
    <w:pPr>
      <w:numPr>
        <w:numId w:val="15"/>
      </w:numPr>
    </w:pPr>
  </w:style>
  <w:style w:type="table" w:customStyle="1" w:styleId="Tabukasmriekou1svetl1">
    <w:name w:val="Tabuľka s mriežkou 1 – svetlá1"/>
    <w:basedOn w:val="TableNormal"/>
    <w:uiPriority w:val="46"/>
    <w:rsid w:val="00B25279"/>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paragraph" w:customStyle="1" w:styleId="H-Titre2">
    <w:name w:val="H-Titre 2"/>
    <w:basedOn w:val="Normal"/>
    <w:qFormat/>
    <w:rsid w:val="0004609A"/>
    <w:pPr>
      <w:spacing w:before="0" w:after="120" w:line="280" w:lineRule="atLeast"/>
      <w:jc w:val="left"/>
    </w:pPr>
    <w:rPr>
      <w:rFonts w:cs="Arial"/>
      <w:b/>
      <w:bCs/>
      <w:color w:val="FFFFFF" w:themeColor="background2"/>
      <w:szCs w:val="44"/>
    </w:rPr>
  </w:style>
  <w:style w:type="paragraph" w:customStyle="1" w:styleId="H-Titre1">
    <w:name w:val="H-Titre 1"/>
    <w:basedOn w:val="Normal"/>
    <w:qFormat/>
    <w:rsid w:val="00BC03B8"/>
    <w:pPr>
      <w:spacing w:before="0" w:after="120" w:line="280" w:lineRule="atLeast"/>
      <w:jc w:val="left"/>
    </w:pPr>
    <w:rPr>
      <w:rFonts w:cs="Arial"/>
      <w:b/>
      <w:color w:val="373737" w:themeColor="text1"/>
      <w:szCs w:val="60"/>
    </w:rPr>
  </w:style>
  <w:style w:type="paragraph" w:styleId="NormalWeb">
    <w:name w:val="Normal (Web)"/>
    <w:basedOn w:val="Normal"/>
    <w:uiPriority w:val="99"/>
    <w:unhideWhenUsed/>
    <w:rsid w:val="00BB68D4"/>
    <w:pPr>
      <w:spacing w:before="100" w:beforeAutospacing="1" w:after="100" w:afterAutospacing="1" w:line="240" w:lineRule="auto"/>
      <w:jc w:val="left"/>
    </w:pPr>
    <w:rPr>
      <w:rFonts w:ascii="Times New Roman" w:eastAsiaTheme="minorHAnsi" w:hAnsi="Times New Roman"/>
      <w:sz w:val="24"/>
    </w:rPr>
  </w:style>
  <w:style w:type="paragraph" w:styleId="Subtitle">
    <w:name w:val="Subtitle"/>
    <w:basedOn w:val="Normal"/>
    <w:link w:val="SubtitleChar"/>
    <w:uiPriority w:val="11"/>
    <w:qFormat/>
    <w:rsid w:val="00C008A4"/>
    <w:pPr>
      <w:numPr>
        <w:numId w:val="19"/>
      </w:numPr>
      <w:spacing w:before="120" w:after="120" w:line="280" w:lineRule="atLeast"/>
      <w:outlineLvl w:val="1"/>
    </w:pPr>
    <w:rPr>
      <w:b/>
      <w:sz w:val="16"/>
      <w:szCs w:val="16"/>
    </w:rPr>
  </w:style>
  <w:style w:type="character" w:customStyle="1" w:styleId="SubtitleChar">
    <w:name w:val="Subtitle Char"/>
    <w:basedOn w:val="DefaultParagraphFont"/>
    <w:link w:val="Subtitle"/>
    <w:uiPriority w:val="11"/>
    <w:rsid w:val="00C008A4"/>
    <w:rPr>
      <w:rFonts w:ascii="Arial" w:hAnsi="Arial"/>
      <w:b/>
      <w:sz w:val="16"/>
      <w:szCs w:val="16"/>
      <w:lang w:val="pt-PT"/>
    </w:rPr>
  </w:style>
  <w:style w:type="character" w:customStyle="1" w:styleId="Heading4Char2Char1">
    <w:name w:val="Heading 4 Char2 Char1"/>
    <w:basedOn w:val="DefaultParagraphFont"/>
    <w:uiPriority w:val="99"/>
    <w:rsid w:val="00123367"/>
    <w:rPr>
      <w:rFonts w:ascii="Arial" w:hAnsi="Arial"/>
      <w:i/>
      <w:dstrike w:val="0"/>
      <w:color w:val="373737"/>
      <w:position w:val="6"/>
      <w:sz w:val="12"/>
      <w:vertAlign w:val="baseline"/>
      <w:lang w:val="pt-PT"/>
    </w:rPr>
  </w:style>
  <w:style w:type="character" w:styleId="Strong">
    <w:name w:val="Strong"/>
    <w:basedOn w:val="DefaultParagraphFont"/>
    <w:uiPriority w:val="22"/>
    <w:qFormat/>
    <w:rsid w:val="00753F39"/>
    <w:rPr>
      <w:b/>
      <w:bCs/>
    </w:rPr>
  </w:style>
  <w:style w:type="table" w:customStyle="1" w:styleId="Mriekatabuky1">
    <w:name w:val="Mriežka tabuľky1"/>
    <w:basedOn w:val="TableNormal"/>
    <w:next w:val="TableGrid"/>
    <w:uiPriority w:val="39"/>
    <w:rsid w:val="00D1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rsid w:val="009B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sid w:val="00676E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sid w:val="00546E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E828C2"/>
    <w:rPr>
      <w:color w:val="808080"/>
      <w:shd w:val="clear" w:color="auto" w:fill="E6E6E6"/>
    </w:rPr>
  </w:style>
  <w:style w:type="table" w:customStyle="1" w:styleId="Tabukasmriekou5tmavzvraznenie11">
    <w:name w:val="Tabuľka s mriežkou 5 – tmavá – zvýraznenie 11"/>
    <w:basedOn w:val="TableNormal"/>
    <w:uiPriority w:val="50"/>
    <w:rsid w:val="003659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5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E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E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E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E31" w:themeFill="accent1"/>
      </w:tcPr>
    </w:tblStylePr>
    <w:tblStylePr w:type="band1Vert">
      <w:tblPr/>
      <w:tcPr>
        <w:shd w:val="clear" w:color="auto" w:fill="F9CBAC" w:themeFill="accent1" w:themeFillTint="66"/>
      </w:tcPr>
    </w:tblStylePr>
    <w:tblStylePr w:type="band1Horz">
      <w:tblPr/>
      <w:tcPr>
        <w:shd w:val="clear" w:color="auto" w:fill="F9CBAC" w:themeFill="accent1" w:themeFillTint="66"/>
      </w:tcPr>
    </w:tblStylePr>
  </w:style>
  <w:style w:type="character" w:styleId="PlaceholderText">
    <w:name w:val="Placeholder Text"/>
    <w:basedOn w:val="DefaultParagraphFont"/>
    <w:uiPriority w:val="99"/>
    <w:semiHidden/>
    <w:rsid w:val="00C2385E"/>
    <w:rPr>
      <w:color w:val="808080"/>
    </w:rPr>
  </w:style>
  <w:style w:type="character" w:customStyle="1" w:styleId="NichtaufgelsteErwhnung3">
    <w:name w:val="Nicht aufgelöste Erwähnung3"/>
    <w:basedOn w:val="DefaultParagraphFont"/>
    <w:uiPriority w:val="99"/>
    <w:semiHidden/>
    <w:unhideWhenUsed/>
    <w:rsid w:val="00F83CA0"/>
    <w:rPr>
      <w:color w:val="808080"/>
      <w:shd w:val="clear" w:color="auto" w:fill="E6E6E6"/>
    </w:rPr>
  </w:style>
  <w:style w:type="character" w:customStyle="1" w:styleId="NichtaufgelsteErwhnung4">
    <w:name w:val="Nicht aufgelöste Erwähnung4"/>
    <w:basedOn w:val="DefaultParagraphFont"/>
    <w:uiPriority w:val="99"/>
    <w:semiHidden/>
    <w:unhideWhenUsed/>
    <w:rsid w:val="00CD220A"/>
    <w:rPr>
      <w:color w:val="808080"/>
      <w:shd w:val="clear" w:color="auto" w:fill="E6E6E6"/>
    </w:rPr>
  </w:style>
  <w:style w:type="character" w:customStyle="1" w:styleId="HStandardCar">
    <w:name w:val="H_Standard Car"/>
    <w:basedOn w:val="DefaultParagraphFont"/>
    <w:link w:val="HStandard"/>
    <w:rsid w:val="00BB6B80"/>
    <w:rPr>
      <w:rFonts w:ascii="Arial" w:hAnsi="Arial"/>
      <w:color w:val="373737" w:themeColor="text1"/>
      <w:lang w:val="pt-PT"/>
    </w:rPr>
  </w:style>
  <w:style w:type="character" w:customStyle="1" w:styleId="UnresolvedMention2">
    <w:name w:val="Unresolved Mention2"/>
    <w:basedOn w:val="DefaultParagraphFont"/>
    <w:uiPriority w:val="99"/>
    <w:semiHidden/>
    <w:unhideWhenUsed/>
    <w:rsid w:val="00B508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25483">
      <w:bodyDiv w:val="1"/>
      <w:marLeft w:val="0"/>
      <w:marRight w:val="0"/>
      <w:marTop w:val="0"/>
      <w:marBottom w:val="0"/>
      <w:divBdr>
        <w:top w:val="none" w:sz="0" w:space="0" w:color="auto"/>
        <w:left w:val="none" w:sz="0" w:space="0" w:color="auto"/>
        <w:bottom w:val="none" w:sz="0" w:space="0" w:color="auto"/>
        <w:right w:val="none" w:sz="0" w:space="0" w:color="auto"/>
      </w:divBdr>
    </w:div>
    <w:div w:id="293565826">
      <w:bodyDiv w:val="1"/>
      <w:marLeft w:val="0"/>
      <w:marRight w:val="0"/>
      <w:marTop w:val="0"/>
      <w:marBottom w:val="0"/>
      <w:divBdr>
        <w:top w:val="none" w:sz="0" w:space="0" w:color="auto"/>
        <w:left w:val="none" w:sz="0" w:space="0" w:color="auto"/>
        <w:bottom w:val="none" w:sz="0" w:space="0" w:color="auto"/>
        <w:right w:val="none" w:sz="0" w:space="0" w:color="auto"/>
      </w:divBdr>
    </w:div>
    <w:div w:id="419108821">
      <w:bodyDiv w:val="1"/>
      <w:marLeft w:val="0"/>
      <w:marRight w:val="0"/>
      <w:marTop w:val="0"/>
      <w:marBottom w:val="0"/>
      <w:divBdr>
        <w:top w:val="none" w:sz="0" w:space="0" w:color="auto"/>
        <w:left w:val="none" w:sz="0" w:space="0" w:color="auto"/>
        <w:bottom w:val="none" w:sz="0" w:space="0" w:color="auto"/>
        <w:right w:val="none" w:sz="0" w:space="0" w:color="auto"/>
      </w:divBdr>
    </w:div>
    <w:div w:id="561716645">
      <w:bodyDiv w:val="1"/>
      <w:marLeft w:val="0"/>
      <w:marRight w:val="0"/>
      <w:marTop w:val="0"/>
      <w:marBottom w:val="0"/>
      <w:divBdr>
        <w:top w:val="none" w:sz="0" w:space="0" w:color="auto"/>
        <w:left w:val="none" w:sz="0" w:space="0" w:color="auto"/>
        <w:bottom w:val="none" w:sz="0" w:space="0" w:color="auto"/>
        <w:right w:val="none" w:sz="0" w:space="0" w:color="auto"/>
      </w:divBdr>
    </w:div>
    <w:div w:id="690491209">
      <w:bodyDiv w:val="1"/>
      <w:marLeft w:val="0"/>
      <w:marRight w:val="0"/>
      <w:marTop w:val="0"/>
      <w:marBottom w:val="0"/>
      <w:divBdr>
        <w:top w:val="none" w:sz="0" w:space="0" w:color="auto"/>
        <w:left w:val="none" w:sz="0" w:space="0" w:color="auto"/>
        <w:bottom w:val="none" w:sz="0" w:space="0" w:color="auto"/>
        <w:right w:val="none" w:sz="0" w:space="0" w:color="auto"/>
      </w:divBdr>
    </w:div>
    <w:div w:id="742029641">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915817771">
      <w:bodyDiv w:val="1"/>
      <w:marLeft w:val="0"/>
      <w:marRight w:val="0"/>
      <w:marTop w:val="0"/>
      <w:marBottom w:val="0"/>
      <w:divBdr>
        <w:top w:val="none" w:sz="0" w:space="0" w:color="auto"/>
        <w:left w:val="none" w:sz="0" w:space="0" w:color="auto"/>
        <w:bottom w:val="none" w:sz="0" w:space="0" w:color="auto"/>
        <w:right w:val="none" w:sz="0" w:space="0" w:color="auto"/>
      </w:divBdr>
    </w:div>
    <w:div w:id="1475954411">
      <w:bodyDiv w:val="1"/>
      <w:marLeft w:val="0"/>
      <w:marRight w:val="0"/>
      <w:marTop w:val="0"/>
      <w:marBottom w:val="0"/>
      <w:divBdr>
        <w:top w:val="none" w:sz="0" w:space="0" w:color="auto"/>
        <w:left w:val="none" w:sz="0" w:space="0" w:color="auto"/>
        <w:bottom w:val="none" w:sz="0" w:space="0" w:color="auto"/>
        <w:right w:val="none" w:sz="0" w:space="0" w:color="auto"/>
      </w:divBdr>
    </w:div>
    <w:div w:id="1551265796">
      <w:bodyDiv w:val="1"/>
      <w:marLeft w:val="0"/>
      <w:marRight w:val="0"/>
      <w:marTop w:val="0"/>
      <w:marBottom w:val="0"/>
      <w:divBdr>
        <w:top w:val="none" w:sz="0" w:space="0" w:color="auto"/>
        <w:left w:val="none" w:sz="0" w:space="0" w:color="auto"/>
        <w:bottom w:val="none" w:sz="0" w:space="0" w:color="auto"/>
        <w:right w:val="none" w:sz="0" w:space="0" w:color="auto"/>
      </w:divBdr>
    </w:div>
    <w:div w:id="1555964403">
      <w:bodyDiv w:val="1"/>
      <w:marLeft w:val="0"/>
      <w:marRight w:val="0"/>
      <w:marTop w:val="0"/>
      <w:marBottom w:val="0"/>
      <w:divBdr>
        <w:top w:val="none" w:sz="0" w:space="0" w:color="auto"/>
        <w:left w:val="none" w:sz="0" w:space="0" w:color="auto"/>
        <w:bottom w:val="none" w:sz="0" w:space="0" w:color="auto"/>
        <w:right w:val="none" w:sz="0" w:space="0" w:color="auto"/>
      </w:divBdr>
    </w:div>
    <w:div w:id="1679383751">
      <w:bodyDiv w:val="1"/>
      <w:marLeft w:val="0"/>
      <w:marRight w:val="0"/>
      <w:marTop w:val="0"/>
      <w:marBottom w:val="0"/>
      <w:divBdr>
        <w:top w:val="none" w:sz="0" w:space="0" w:color="auto"/>
        <w:left w:val="none" w:sz="0" w:space="0" w:color="auto"/>
        <w:bottom w:val="none" w:sz="0" w:space="0" w:color="auto"/>
        <w:right w:val="none" w:sz="0" w:space="0" w:color="auto"/>
      </w:divBdr>
    </w:div>
    <w:div w:id="2005081885">
      <w:bodyDiv w:val="1"/>
      <w:marLeft w:val="0"/>
      <w:marRight w:val="0"/>
      <w:marTop w:val="0"/>
      <w:marBottom w:val="0"/>
      <w:divBdr>
        <w:top w:val="none" w:sz="0" w:space="0" w:color="auto"/>
        <w:left w:val="none" w:sz="0" w:space="0" w:color="auto"/>
        <w:bottom w:val="none" w:sz="0" w:space="0" w:color="auto"/>
        <w:right w:val="none" w:sz="0" w:space="0" w:color="auto"/>
      </w:divBdr>
    </w:div>
    <w:div w:id="2073506137">
      <w:bodyDiv w:val="1"/>
      <w:marLeft w:val="0"/>
      <w:marRight w:val="0"/>
      <w:marTop w:val="0"/>
      <w:marBottom w:val="0"/>
      <w:divBdr>
        <w:top w:val="none" w:sz="0" w:space="0" w:color="auto"/>
        <w:left w:val="none" w:sz="0" w:space="0" w:color="auto"/>
        <w:bottom w:val="none" w:sz="0" w:space="0" w:color="auto"/>
        <w:right w:val="none" w:sz="0" w:space="0" w:color="auto"/>
      </w:divBdr>
    </w:div>
    <w:div w:id="211736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c.europa.eu/sfc/en/system/files/ged/RDP_Annex%2011.pdf" TargetMode="External"/><Relationship Id="rId26" Type="http://schemas.openxmlformats.org/officeDocument/2006/relationships/hyperlink" Target="https://enrd.ec.europa.eu/evaluation/publications/evaluation-innovation-rural-development-programmes-2014-2020_en" TargetMode="External"/><Relationship Id="rId39" Type="http://schemas.openxmlformats.org/officeDocument/2006/relationships/image" Target="media/image7.emf"/><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image" Target="media/image5.png"/><Relationship Id="rId42" Type="http://schemas.openxmlformats.org/officeDocument/2006/relationships/hyperlink" Target="https://www.envieval.eu/fileadmin/envieval/dissemination/deliverables/D9.5_Handbook_for_the_evaluation_of_environmental_impacts_of_RDPs.pdf" TargetMode="External"/><Relationship Id="rId47" Type="http://schemas.openxmlformats.org/officeDocument/2006/relationships/hyperlink" Target="http://enrd.ec.europa.eu/enrd-static/app_templates/enrd_assets/pdf/evaluation/epe_master.pdf" TargetMode="External"/><Relationship Id="rId50" Type="http://schemas.openxmlformats.org/officeDocument/2006/relationships/hyperlink" Target="https://ec.europa.eu/agriculture/sites/agriculture/files/evaluation/guidelines/2007-2013-ex-post_en.pdf" TargetMode="External"/><Relationship Id="rId55" Type="http://schemas.openxmlformats.org/officeDocument/2006/relationships/image" Target="media/image11.png"/><Relationship Id="rId63" Type="http://schemas.openxmlformats.org/officeDocument/2006/relationships/image" Target="media/image19.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agriculture/sites/agriculture/files/cap-indicators/impact/impact-indicators-fiches.pdf" TargetMode="External"/><Relationship Id="rId29" Type="http://schemas.openxmlformats.org/officeDocument/2006/relationships/hyperlink" Target="http://ec.europa.eu/eurostat/documents/4411192/4411431/Europe_2020_Target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c.europa.eu/agriculture/sites/agriculture/files/cap-indicators/impact/2016-impact-indicators-fiches.pdf" TargetMode="External"/><Relationship Id="rId32" Type="http://schemas.openxmlformats.org/officeDocument/2006/relationships/footer" Target="footer3.xml"/><Relationship Id="rId37" Type="http://schemas.openxmlformats.org/officeDocument/2006/relationships/hyperlink" Target="https://www.envieval.eu/fileadmin/envieval/dissemination/deliverables/D9.5_Handbook_for_the_evaluation_of_environmental_impacts_of_RDPs.pdf" TargetMode="External"/><Relationship Id="rId40" Type="http://schemas.openxmlformats.org/officeDocument/2006/relationships/image" Target="media/image8.emf"/><Relationship Id="rId45" Type="http://schemas.openxmlformats.org/officeDocument/2006/relationships/hyperlink" Target="https://enrd.ec.europa.eu/news-events/news/ex-post-evaluation-rdps-2007-2013_en" TargetMode="External"/><Relationship Id="rId53" Type="http://schemas.openxmlformats.org/officeDocument/2006/relationships/image" Target="media/image9.png"/><Relationship Id="rId58" Type="http://schemas.openxmlformats.org/officeDocument/2006/relationships/image" Target="media/image14.pn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enrd.ec.europa.eu/evaluation/publications/evaluation-innovation-rural-development-programmes-2014-2020_en" TargetMode="External"/><Relationship Id="rId28" Type="http://schemas.openxmlformats.org/officeDocument/2006/relationships/hyperlink" Target="http://ec.europa.eu/eurostat/web/products-statistical-books/-/KS-EZ-17-001" TargetMode="External"/><Relationship Id="rId36" Type="http://schemas.openxmlformats.org/officeDocument/2006/relationships/hyperlink" Target="https://www.envieval.eu/" TargetMode="External"/><Relationship Id="rId49" Type="http://schemas.openxmlformats.org/officeDocument/2006/relationships/hyperlink" Target="https://ec.europa.eu/agriculture/sites/agriculture/files/evaluation/guidelines/2007-2013-ex-post_en.pdf" TargetMode="External"/><Relationship Id="rId57" Type="http://schemas.openxmlformats.org/officeDocument/2006/relationships/image" Target="media/image13.png"/><Relationship Id="rId61"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hyperlink" Target="https://ec.europa.eu/agriculture/sites/agriculture/files/cap-indicators/result/rd-target-indicators_en.pdf" TargetMode="External"/><Relationship Id="rId31" Type="http://schemas.openxmlformats.org/officeDocument/2006/relationships/hyperlink" Target="https://enrd.ec.europa.eu/sites/enrd/files/uploaded-files/wp_evaluation_questions_2015.pdf" TargetMode="External"/><Relationship Id="rId44" Type="http://schemas.openxmlformats.org/officeDocument/2006/relationships/hyperlink" Target="https://ec.europa.eu/agriculture/sites/agriculture/files/evaluation/guidelines/2007-2013-ex-post_en.pdf" TargetMode="External"/><Relationship Id="rId52" Type="http://schemas.openxmlformats.org/officeDocument/2006/relationships/hyperlink" Target="https://books.google.be/books?id=t-uPdSpvPBkC&amp;pg=PP1&amp;lpg=PP1&amp;dq=distinguishing+between+types+of+data+and+methods+of+collecting+them,&amp;source=bl&amp;ots=G26OEW8m2A&amp;sig=h528kvgUEhmDcInCs1LmMIXs8vI&amp;hl=de&amp;sa=X&amp;ved=2ahUKEwjMvZynlc7cAhUSbFAKHaHWCLEQ6AEwBHoECAUQAQ" TargetMode="External"/><Relationship Id="rId60" Type="http://schemas.openxmlformats.org/officeDocument/2006/relationships/image" Target="media/image16.png"/><Relationship Id="rId65"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s://enrd.ec.europa.eu/evaluation/publications/evaluation-leaderclld_en" TargetMode="External"/><Relationship Id="rId27" Type="http://schemas.openxmlformats.org/officeDocument/2006/relationships/hyperlink" Target="http://ec.europa.eu/eurostat/web/europe-2020-indicators/europe-2020-strategy/targets" TargetMode="External"/><Relationship Id="rId30" Type="http://schemas.openxmlformats.org/officeDocument/2006/relationships/hyperlink" Target="https://ec.europa.eu/agriculture/cap-indicators/context/2016/2016-context-indicators-fiches.pdf" TargetMode="External"/><Relationship Id="rId35" Type="http://schemas.openxmlformats.org/officeDocument/2006/relationships/image" Target="media/image6.png"/><Relationship Id="rId43" Type="http://schemas.openxmlformats.org/officeDocument/2006/relationships/hyperlink" Target="https://ec.europa.eu/agriculture/sites/agriculture/files/evaluation/guidelines/2007-2013-ex-post_en.pdf" TargetMode="External"/><Relationship Id="rId48" Type="http://schemas.openxmlformats.org/officeDocument/2006/relationships/hyperlink" Target="http://enrd.ec.europa.eu/enrd-static/app_templates/enrd_assets/pdf/evaluation/epe_master.pdf" TargetMode="External"/><Relationship Id="rId56" Type="http://schemas.openxmlformats.org/officeDocument/2006/relationships/image" Target="media/image12.png"/><Relationship Id="rId64" Type="http://schemas.openxmlformats.org/officeDocument/2006/relationships/image" Target="media/image20.png"/><Relationship Id="rId8" Type="http://schemas.openxmlformats.org/officeDocument/2006/relationships/image" Target="media/image1.jpeg"/><Relationship Id="rId51" Type="http://schemas.openxmlformats.org/officeDocument/2006/relationships/hyperlink" Target="https://ec.europa.eu/agriculture/sites/agriculture/files/evaluation/rural-development-reports/2014/investment-support-rdp/fulltext_en.pdf"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nrd.ec.europa.eu/evaluation/publications/guidelines-assessment-rdp-results-how-prepare-reporting-evaluation-2017_en" TargetMode="External"/><Relationship Id="rId25" Type="http://schemas.openxmlformats.org/officeDocument/2006/relationships/hyperlink" Target="https://ec.europa.eu/agriculture/cap-indicators/context_en" TargetMode="External"/><Relationship Id="rId33" Type="http://schemas.openxmlformats.org/officeDocument/2006/relationships/footer" Target="footer4.xml"/><Relationship Id="rId38" Type="http://schemas.openxmlformats.org/officeDocument/2006/relationships/hyperlink" Target="https://www.envieval.eu/fileadmin/envieval/dissemination/deliverables/D9.5_Handbook_for_the_evaluation_of_environmental_impacts_of_RDPs.pdf" TargetMode="External"/><Relationship Id="rId46" Type="http://schemas.openxmlformats.org/officeDocument/2006/relationships/hyperlink" Target="https://enrd.ec.europa.eu/news-events/news/ex-post-evaluation-rdps-2007-2013_en" TargetMode="External"/><Relationship Id="rId59" Type="http://schemas.openxmlformats.org/officeDocument/2006/relationships/image" Target="media/image15.png"/><Relationship Id="rId67" Type="http://schemas.openxmlformats.org/officeDocument/2006/relationships/fontTable" Target="fontTable.xml"/><Relationship Id="rId20" Type="http://schemas.openxmlformats.org/officeDocument/2006/relationships/hyperlink" Target="https://ec.europa.eu/agriculture/sites/agriculture/files/cap-indicators/result/complementary-result-indicator-fiches-pillar-ii_en.pdf" TargetMode="External"/><Relationship Id="rId41" Type="http://schemas.openxmlformats.org/officeDocument/2006/relationships/hyperlink" Target="https://www.envieval.eu/" TargetMode="External"/><Relationship Id="rId54" Type="http://schemas.openxmlformats.org/officeDocument/2006/relationships/image" Target="media/image10.png"/><Relationship Id="rId62"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agriculture/sites/agriculture/files/evaluation/guidelines/2017-update-technical-handbook-monitoring-evaluation-framework_en.pdf" TargetMode="External"/><Relationship Id="rId3" Type="http://schemas.openxmlformats.org/officeDocument/2006/relationships/hyperlink" Target="file:///\\\https:\\eur-lex.europa.eu\legal-content\pt\TXT\?uri=CELEX%3A32013R1305" TargetMode="External"/><Relationship Id="rId7" Type="http://schemas.openxmlformats.org/officeDocument/2006/relationships/hyperlink" Target="https://ec.europa.eu/agriculture/sites/agriculture/files/evaluation/guidelines/2017-update-technical-handbook-monitoring-evaluation-framework_en.pdf" TargetMode="External"/><Relationship Id="rId2" Type="http://schemas.openxmlformats.org/officeDocument/2006/relationships/hyperlink" Target="http://eur-lex.europa.eu/legal-content/pt/ALL/?uri=CELEX:32014R0808" TargetMode="External"/><Relationship Id="rId1" Type="http://schemas.openxmlformats.org/officeDocument/2006/relationships/hyperlink" Target="https://enrd.ec.europa.eu/sites/enrd/files/uploaded-files/twg-05-ep-june2015_0.pdf" TargetMode="External"/><Relationship Id="rId6" Type="http://schemas.openxmlformats.org/officeDocument/2006/relationships/hyperlink" Target="http://eur-lex.europa.eu/legal-content/pt/ALL/?uri=CELEX:32014R0808" TargetMode="External"/><Relationship Id="rId5" Type="http://schemas.openxmlformats.org/officeDocument/2006/relationships/hyperlink" Target="http://eur-lex.europa.eu/legal-content/PT/TXT/?uri=CELEX:32014R0834" TargetMode="External"/><Relationship Id="rId10" Type="http://schemas.openxmlformats.org/officeDocument/2006/relationships/hyperlink" Target="http://enrd.ec.europa.eu/enrd-static/app_templates/enrd_assets/pdf/evaluation/epe_master.pdf" TargetMode="External"/><Relationship Id="rId4" Type="http://schemas.openxmlformats.org/officeDocument/2006/relationships/hyperlink" Target="http://eur-lex.europa.eu/legal-content/PT/TXT/?uri=celex:32013R1306" TargetMode="External"/><Relationship Id="rId9" Type="http://schemas.openxmlformats.org/officeDocument/2006/relationships/hyperlink" Target="https://enrd.ec.europa.eu/evaluation/publications/guidelines-assessment-rdp-results-how-prepare-reporting-evaluation-2017_en" TargetMode="External"/></Relationships>
</file>

<file path=word/theme/theme1.xml><?xml version="1.0" encoding="utf-8"?>
<a:theme xmlns:a="http://schemas.openxmlformats.org/drawingml/2006/main" name="Larissa-Design">
  <a:themeElements>
    <a:clrScheme name="Helpdesk">
      <a:dk1>
        <a:srgbClr val="373737"/>
      </a:dk1>
      <a:lt1>
        <a:srgbClr val="FFFFFF"/>
      </a:lt1>
      <a:dk2>
        <a:srgbClr val="373737"/>
      </a:dk2>
      <a:lt2>
        <a:srgbClr val="FFFFFF"/>
      </a:lt2>
      <a:accent1>
        <a:srgbClr val="F07E31"/>
      </a:accent1>
      <a:accent2>
        <a:srgbClr val="BE4A35"/>
      </a:accent2>
      <a:accent3>
        <a:srgbClr val="59638E"/>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D415B-6EFF-44F7-8AD2-1FB506017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8138</Words>
  <Characters>46390</Characters>
  <Application>Microsoft Office Word</Application>
  <DocSecurity>0</DocSecurity>
  <Lines>386</Lines>
  <Paragraphs>108</Paragraphs>
  <ScaleCrop>false</ScaleCrop>
  <HeadingPairs>
    <vt:vector size="6" baseType="variant">
      <vt:variant>
        <vt:lpstr>Title</vt:lpstr>
      </vt:variant>
      <vt:variant>
        <vt:i4>1</vt:i4>
      </vt:variant>
      <vt:variant>
        <vt:lpstr>Titel</vt:lpstr>
      </vt:variant>
      <vt:variant>
        <vt:i4>1</vt:i4>
      </vt:variant>
      <vt:variant>
        <vt:lpstr>Názov</vt:lpstr>
      </vt:variant>
      <vt:variant>
        <vt:i4>1</vt:i4>
      </vt:variant>
    </vt:vector>
  </HeadingPairs>
  <TitlesOfParts>
    <vt:vector size="3" baseType="lpstr">
      <vt:lpstr/>
      <vt:lpstr/>
      <vt:lpstr/>
    </vt:vector>
  </TitlesOfParts>
  <LinksUpToDate>false</LinksUpToDate>
  <CharactersWithSpaces>54420</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2018-11-20T09:23:00Z</dcterms:created>
  <dcterms:modified xsi:type="dcterms:W3CDTF">2018-11-20T09:26:00Z</dcterms:modified>
</cp:coreProperties>
</file>