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9018D5">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1948071</wp:posOffset>
                </wp:positionH>
                <wp:positionV relativeFrom="page">
                  <wp:posOffset>5025224</wp:posOffset>
                </wp:positionV>
                <wp:extent cx="4879202" cy="3150870"/>
                <wp:effectExtent l="0" t="0" r="17145" b="11430"/>
                <wp:wrapTight wrapText="bothSides">
                  <wp:wrapPolygon edited="0">
                    <wp:start x="0" y="0"/>
                    <wp:lineTo x="0" y="21548"/>
                    <wp:lineTo x="21592" y="21548"/>
                    <wp:lineTo x="21592"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202"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A7" w:rsidRPr="00E76949" w:rsidRDefault="00496BA7" w:rsidP="00E76949">
                            <w:pPr>
                              <w:pStyle w:val="HTitle1"/>
                            </w:pPr>
                            <w:r>
                              <w:t>SMJERNICE</w:t>
                            </w:r>
                          </w:p>
                          <w:p w:rsidR="00496BA7" w:rsidRPr="00196DF6" w:rsidRDefault="00496BA7" w:rsidP="00196DF6">
                            <w:pPr>
                              <w:pStyle w:val="HTitle2"/>
                            </w:pPr>
                            <w:r>
                              <w:t>Procjena postignuća i učinaka PRR</w:t>
                            </w:r>
                            <w:r w:rsidRPr="00E06442">
                              <w:rPr>
                                <w:smallCaps w:val="0"/>
                              </w:rPr>
                              <w:t>-a</w:t>
                            </w:r>
                            <w:r>
                              <w:t xml:space="preserve"> 2019.</w:t>
                            </w:r>
                          </w:p>
                          <w:p w:rsidR="00496BA7" w:rsidRPr="00F15219" w:rsidRDefault="00496BA7" w:rsidP="00196DF6">
                            <w:pPr>
                              <w:pStyle w:val="HTitle2"/>
                            </w:pPr>
                          </w:p>
                          <w:p w:rsidR="00496BA7" w:rsidRPr="00435F02" w:rsidRDefault="00496BA7" w:rsidP="00196DF6">
                            <w:pPr>
                              <w:pStyle w:val="HTitle3"/>
                              <w:rPr>
                                <w:color w:val="auto"/>
                              </w:rPr>
                            </w:pPr>
                            <w:r>
                              <w:rPr>
                                <w:color w:val="auto"/>
                              </w:rPr>
                              <w:t>kolovoz 2018.</w:t>
                            </w:r>
                          </w:p>
                          <w:p w:rsidR="00496BA7" w:rsidRDefault="00496BA7"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margin-left:153.4pt;margin-top:395.7pt;width:384.2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nPsQIAAKw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" filled="f" stroked="f">
                <v:textbox inset="0,0,0,0">
                  <w:txbxContent>
                    <w:p w:rsidR="00496BA7" w:rsidRPr="00E76949" w:rsidRDefault="00496BA7" w:rsidP="00E76949">
                      <w:pPr>
                        <w:pStyle w:val="HTitle1"/>
                      </w:pPr>
                      <w:r>
                        <w:t>SMJERNICE</w:t>
                      </w:r>
                    </w:p>
                    <w:p w:rsidR="00496BA7" w:rsidRPr="00196DF6" w:rsidRDefault="00496BA7" w:rsidP="00196DF6">
                      <w:pPr>
                        <w:pStyle w:val="HTitle2"/>
                      </w:pPr>
                      <w:r>
                        <w:t>Procjena postignuća i učinaka PRR</w:t>
                      </w:r>
                      <w:r w:rsidRPr="00E06442">
                        <w:rPr>
                          <w:smallCaps w:val="0"/>
                        </w:rPr>
                        <w:t>-a</w:t>
                      </w:r>
                      <w:r>
                        <w:t xml:space="preserve"> 2019.</w:t>
                      </w:r>
                    </w:p>
                    <w:p w:rsidR="00496BA7" w:rsidRPr="00F15219" w:rsidRDefault="00496BA7" w:rsidP="00196DF6">
                      <w:pPr>
                        <w:pStyle w:val="HTitle2"/>
                      </w:pPr>
                    </w:p>
                    <w:p w:rsidR="00496BA7" w:rsidRPr="00435F02" w:rsidRDefault="00496BA7" w:rsidP="00196DF6">
                      <w:pPr>
                        <w:pStyle w:val="HTitle3"/>
                        <w:rPr>
                          <w:color w:val="auto"/>
                        </w:rPr>
                      </w:pPr>
                      <w:r>
                        <w:rPr>
                          <w:color w:val="auto"/>
                        </w:rPr>
                        <w:t>kolovoz 2018.</w:t>
                      </w:r>
                    </w:p>
                    <w:p w:rsidR="00496BA7" w:rsidRDefault="00496BA7"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496BA7" w:rsidRPr="00811EF1" w:rsidRDefault="00496BA7" w:rsidP="00811EF1">
                            <w:pPr>
                              <w:pStyle w:val="Hdisclaimer"/>
                            </w:pPr>
                            <w:r>
                              <w:t>Obavijest o autorskom pravu</w:t>
                            </w:r>
                          </w:p>
                          <w:p w:rsidR="00496BA7" w:rsidRPr="00811EF1" w:rsidRDefault="00496BA7" w:rsidP="00811EF1">
                            <w:pPr>
                              <w:pStyle w:val="Hdisclaimer"/>
                            </w:pPr>
                            <w:r>
                              <w:t>© Europska unija, 2018.</w:t>
                            </w:r>
                          </w:p>
                          <w:p w:rsidR="00496BA7" w:rsidRPr="00811EF1" w:rsidRDefault="00496BA7" w:rsidP="00811EF1">
                            <w:pPr>
                              <w:pStyle w:val="Hdisclaimer"/>
                            </w:pPr>
                            <w:r>
                              <w:t>Umnožavanje je dopušteno uz navođenje izvora.</w:t>
                            </w:r>
                          </w:p>
                          <w:p w:rsidR="00496BA7" w:rsidRPr="00811EF1" w:rsidRDefault="00496BA7" w:rsidP="00811EF1">
                            <w:pPr>
                              <w:pStyle w:val="Hdisclaimer"/>
                            </w:pPr>
                            <w:r>
                              <w:t xml:space="preserve">Preporučeni način citiranja: </w:t>
                            </w:r>
                          </w:p>
                          <w:p w:rsidR="00496BA7" w:rsidRDefault="00496BA7" w:rsidP="00435F02">
                            <w:pPr>
                              <w:pStyle w:val="Hdisclaimer"/>
                            </w:pPr>
                            <w:r>
                              <w:t xml:space="preserve">EUROPSKA KOMISIJA – Glavna uprava za poljoprivredu i ruralni razvoj – Odjel C.4 (2018.): Smjernice. Procjena postignuća i učinaka PRR-a 2019. Bruxelles, kolovoz 2018. </w:t>
                            </w:r>
                          </w:p>
                          <w:p w:rsidR="00496BA7" w:rsidRPr="00811EF1" w:rsidRDefault="00496BA7" w:rsidP="00811EF1">
                            <w:pPr>
                              <w:pStyle w:val="Hdisclaimer"/>
                            </w:pPr>
                            <w:r>
                              <w:t>Izjava o ograničenju odgovornosti:</w:t>
                            </w:r>
                          </w:p>
                          <w:p w:rsidR="00496BA7" w:rsidRPr="00811EF1" w:rsidRDefault="00496BA7" w:rsidP="00811EF1">
                            <w:pPr>
                              <w:pStyle w:val="Hdisclaimer"/>
                            </w:pPr>
                            <w:r>
                              <w:t>Informacije i stajališta izneseni u ovim Smjernicama stajališta su autora te ne odražavaju nužno službeno mišljenje Komisije. Komisija ne jamči točnost podataka sadržanih u ovim Smjernicama. Ni Komisija ni osobe koje djeluju u njezino ime ne mogu se smatrati odgovornima za moguću uporabu navedenih informacija.</w:t>
                            </w:r>
                          </w:p>
                          <w:p w:rsidR="00496BA7" w:rsidRPr="00811EF1" w:rsidRDefault="00496BA7"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96BA7" w:rsidRPr="00811EF1" w:rsidRDefault="00496BA7" w:rsidP="00811EF1">
                            <w:pPr>
                              <w:pStyle w:val="Hdisclaimer"/>
                            </w:pPr>
                            <w:r>
                              <w:t>Služba za podršku evaluaciji odgovorna je za evaluaciju u okviru Europske mreže za ruralni razvoj (EMRR) te daje smjernice o evaluaciji PRR-a i politika koje su u nadležnosti i pod nadzorom Odjela C.4 „Nadzor i evaluacija” Glavne uprave AGRI Europske komisije (EK). Kako bi poboljšala evaluaciju politike ruralnog razvoja EU-a, Služba za podršku evaluaciji podupire sve dionike uključene u evaluaciju, posebno GU AGRI, nacionalna tijela, upravljačka tijela i evaluatore PRR-a, razvojem i širenjem odgovarajućih metodologija i alata, prikupljanjem i razmjenom dobrih praksi, izgradnjom kapaciteta i komunikacijom s članovima mreže o temama povezanima s evaluacijom.</w:t>
                            </w:r>
                          </w:p>
                          <w:p w:rsidR="00496BA7" w:rsidRPr="00811EF1" w:rsidRDefault="00496BA7" w:rsidP="00811EF1">
                            <w:pPr>
                              <w:pStyle w:val="Hdisclaimer"/>
                            </w:pPr>
                            <w:r>
                              <w:t>Dodatne informacije o aktivnostima Europske službe za podršku evaluaciji za ruralni razvoj dostupne su na internetu na poslužitelju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496BA7" w:rsidRPr="00811EF1" w:rsidRDefault="00496BA7" w:rsidP="00811EF1">
                      <w:pPr>
                        <w:pStyle w:val="Hdisclaimer"/>
                      </w:pPr>
                      <w:r>
                        <w:t>Obavijest o autorskom pravu</w:t>
                      </w:r>
                    </w:p>
                    <w:p w:rsidR="00496BA7" w:rsidRPr="00811EF1" w:rsidRDefault="00496BA7" w:rsidP="00811EF1">
                      <w:pPr>
                        <w:pStyle w:val="Hdisclaimer"/>
                      </w:pPr>
                      <w:r>
                        <w:t>© Europska unija, 2018.</w:t>
                      </w:r>
                    </w:p>
                    <w:p w:rsidR="00496BA7" w:rsidRPr="00811EF1" w:rsidRDefault="00496BA7" w:rsidP="00811EF1">
                      <w:pPr>
                        <w:pStyle w:val="Hdisclaimer"/>
                      </w:pPr>
                      <w:r>
                        <w:t>Umnožavanje je dopušteno uz navođenje izvora.</w:t>
                      </w:r>
                    </w:p>
                    <w:p w:rsidR="00496BA7" w:rsidRPr="00811EF1" w:rsidRDefault="00496BA7" w:rsidP="00811EF1">
                      <w:pPr>
                        <w:pStyle w:val="Hdisclaimer"/>
                      </w:pPr>
                      <w:r>
                        <w:t xml:space="preserve">Preporučeni način citiranja: </w:t>
                      </w:r>
                    </w:p>
                    <w:p w:rsidR="00496BA7" w:rsidRDefault="00496BA7" w:rsidP="00435F02">
                      <w:pPr>
                        <w:pStyle w:val="Hdisclaimer"/>
                      </w:pPr>
                      <w:r>
                        <w:t xml:space="preserve">EUROPSKA KOMISIJA – Glavna uprava za poljoprivredu i ruralni razvoj – Odjel C.4 (2018.): Smjernice. Procjena postignuća i učinaka PRR-a 2019. Bruxelles, kolovoz 2018. </w:t>
                      </w:r>
                    </w:p>
                    <w:p w:rsidR="00496BA7" w:rsidRPr="00811EF1" w:rsidRDefault="00496BA7" w:rsidP="00811EF1">
                      <w:pPr>
                        <w:pStyle w:val="Hdisclaimer"/>
                      </w:pPr>
                      <w:r>
                        <w:t>Izjava o ograničenju odgovornosti:</w:t>
                      </w:r>
                    </w:p>
                    <w:p w:rsidR="00496BA7" w:rsidRPr="00811EF1" w:rsidRDefault="00496BA7" w:rsidP="00811EF1">
                      <w:pPr>
                        <w:pStyle w:val="Hdisclaimer"/>
                      </w:pPr>
                      <w:r>
                        <w:t>Informacije i stajališta izneseni u ovim Smjernicama stajališta su autora te ne odražavaju nužno službeno mišljenje Komisije. Komisija ne jamči točnost podataka sadržanih u ovim Smjernicama. Ni Komisija ni osobe koje djeluju u njezino ime ne mogu se smatrati odgovornima za moguću uporabu navedenih informacija.</w:t>
                      </w:r>
                    </w:p>
                    <w:p w:rsidR="00496BA7" w:rsidRPr="00811EF1" w:rsidRDefault="00496BA7" w:rsidP="005B24FC">
                      <w:pPr>
                        <w:pStyle w:val="Hdisclaimer"/>
                        <w:tabs>
                          <w:tab w:val="right" w:pos="10065"/>
                        </w:tabs>
                      </w:pPr>
                      <w:r>
                        <w:rPr>
                          <w:noProof/>
                          <w:color w:val="auto"/>
                          <w:lang w:val="en-GB" w:eastAsia="en-GB"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96BA7" w:rsidRPr="00811EF1" w:rsidRDefault="00496BA7" w:rsidP="00811EF1">
                      <w:pPr>
                        <w:pStyle w:val="Hdisclaimer"/>
                      </w:pPr>
                      <w:r>
                        <w:t>Služba za podršku evaluaciji odgovorna je za evaluaciju u okviru Europske mreže za ruralni razvoj (EMRR) te daje smjernice o evaluaciji PRR-a i politika koje su u nadležnosti i pod nadzorom Odjela C.4 „Nadzor i evaluacija” Glavne uprave AGRI Europske komisije (EK). Kako bi poboljšala evaluaciju politike ruralnog razvoja EU-a, Služba za podršku evaluaciji podupire sve dionike uključene u evaluaciju, posebno GU AGRI, nacionalna tijela, upravljačka tijela i evaluatore PRR-a, razvojem i širenjem odgovarajućih metodologija i alata, prikupljanjem i razmjenom dobrih praksi, izgradnjom kapaciteta i komunikacijom s članovima mreže o temama povezanima s evaluacijom.</w:t>
                      </w:r>
                    </w:p>
                    <w:p w:rsidR="00496BA7" w:rsidRPr="00811EF1" w:rsidRDefault="00496BA7" w:rsidP="00811EF1">
                      <w:pPr>
                        <w:pStyle w:val="Hdisclaimer"/>
                      </w:pPr>
                      <w:r>
                        <w:t>Dodatne informacije o aktivnostima Europske službe za podršku evaluaciji za ruralni razvoj dostupne su na internetu na poslužitelju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A7" w:rsidRPr="00F15219" w:rsidRDefault="00496BA7" w:rsidP="00E76949">
                            <w:pPr>
                              <w:pStyle w:val="HTitle1"/>
                            </w:pPr>
                            <w:r>
                              <w:t>Smjernice</w:t>
                            </w:r>
                          </w:p>
                          <w:p w:rsidR="00496BA7" w:rsidRPr="00F15219" w:rsidRDefault="00496BA7" w:rsidP="00BE49CF">
                            <w:pPr>
                              <w:pStyle w:val="HTitle2"/>
                            </w:pPr>
                            <w:r>
                              <w:t>PROCJENA POSTIGNUĆA I UČINAKA PRR-a 2019.</w:t>
                            </w:r>
                          </w:p>
                          <w:p w:rsidR="00496BA7" w:rsidRPr="00F15219" w:rsidRDefault="00496BA7" w:rsidP="00196DF6">
                            <w:pPr>
                              <w:pStyle w:val="HTitle2"/>
                            </w:pPr>
                          </w:p>
                          <w:p w:rsidR="00496BA7" w:rsidRPr="00D46054" w:rsidRDefault="00496BA7" w:rsidP="00BE49CF">
                            <w:pPr>
                              <w:pStyle w:val="HTitle3"/>
                              <w:rPr>
                                <w:color w:val="auto"/>
                              </w:rPr>
                            </w:pPr>
                            <w:r>
                              <w:rPr>
                                <w:color w:val="auto"/>
                              </w:rPr>
                              <w:t>kolovoz 2018.</w:t>
                            </w:r>
                          </w:p>
                          <w:p w:rsidR="00496BA7" w:rsidRPr="00D46054" w:rsidRDefault="00496BA7"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496BA7" w:rsidRPr="00F15219" w:rsidRDefault="00496BA7" w:rsidP="00E76949">
                      <w:pPr>
                        <w:pStyle w:val="HTitle1"/>
                      </w:pPr>
                      <w:r>
                        <w:t>Smjernice</w:t>
                      </w:r>
                    </w:p>
                    <w:p w:rsidR="00496BA7" w:rsidRPr="00F15219" w:rsidRDefault="00496BA7" w:rsidP="00BE49CF">
                      <w:pPr>
                        <w:pStyle w:val="HTitle2"/>
                      </w:pPr>
                      <w:r>
                        <w:t>PROCJENA POSTIGNUĆA I UČINAKA PRR-a 2019.</w:t>
                      </w:r>
                    </w:p>
                    <w:p w:rsidR="00496BA7" w:rsidRPr="00F15219" w:rsidRDefault="00496BA7" w:rsidP="00196DF6">
                      <w:pPr>
                        <w:pStyle w:val="HTitle2"/>
                      </w:pPr>
                    </w:p>
                    <w:p w:rsidR="00496BA7" w:rsidRPr="00D46054" w:rsidRDefault="00496BA7" w:rsidP="00BE49CF">
                      <w:pPr>
                        <w:pStyle w:val="HTitle3"/>
                        <w:rPr>
                          <w:color w:val="auto"/>
                        </w:rPr>
                      </w:pPr>
                      <w:r>
                        <w:rPr>
                          <w:color w:val="auto"/>
                        </w:rPr>
                        <w:t>kolovoz 2018.</w:t>
                      </w:r>
                    </w:p>
                    <w:p w:rsidR="00496BA7" w:rsidRPr="00D46054" w:rsidRDefault="00496BA7"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Sadržaj</w:t>
      </w:r>
    </w:p>
    <w:p w:rsidR="00FB5A40" w:rsidRDefault="00FB5A40" w:rsidP="00FB5A40">
      <w:r>
        <w:t>Zahvale</w:t>
      </w:r>
      <w:r>
        <w:tab/>
        <w:t>1</w:t>
      </w:r>
    </w:p>
    <w:p w:rsidR="00FB5A40" w:rsidRDefault="00FB5A40" w:rsidP="00FB5A40">
      <w:r>
        <w:t>UVOD</w:t>
      </w:r>
      <w:r>
        <w:tab/>
        <w:t>2</w:t>
      </w:r>
    </w:p>
    <w:p w:rsidR="00FB5A40" w:rsidRDefault="00FB5A40" w:rsidP="00FB5A40">
      <w:r>
        <w:t>1.</w:t>
      </w:r>
      <w:r>
        <w:tab/>
        <w:t>Što treba sadržavati izvješće o evaluaciji u GIP-u koje se podnosi 2019.? (dio I.)</w:t>
      </w:r>
      <w:r>
        <w:tab/>
        <w:t>3</w:t>
      </w:r>
    </w:p>
    <w:p w:rsidR="00FB5A40" w:rsidRDefault="00FB5A40" w:rsidP="00FB5A40">
      <w:r>
        <w:t>1.1.</w:t>
      </w:r>
      <w:r>
        <w:tab/>
        <w:t>Pravni okvir i glavna tema evaluacije 2019.</w:t>
      </w:r>
      <w:r>
        <w:tab/>
        <w:t>3</w:t>
      </w:r>
    </w:p>
    <w:p w:rsidR="00FB5A40" w:rsidRDefault="00FB5A40" w:rsidP="00FB5A40">
      <w:r>
        <w:t>1.2.</w:t>
      </w:r>
      <w:r>
        <w:tab/>
        <w:t>Kako izvijestiti o ZEP-ovima 2019.?</w:t>
      </w:r>
      <w:r>
        <w:tab/>
        <w:t>6</w:t>
      </w:r>
    </w:p>
    <w:p w:rsidR="00FB5A40" w:rsidRDefault="00FB5A40" w:rsidP="00FB5A40">
      <w:r>
        <w:t>1.3.</w:t>
      </w:r>
      <w:r>
        <w:tab/>
        <w:t>Priprema za GIP koji se podnosi 2019.</w:t>
      </w:r>
      <w:r>
        <w:tab/>
        <w:t>8</w:t>
      </w:r>
    </w:p>
    <w:p w:rsidR="00FB5A40" w:rsidRDefault="00FB5A40" w:rsidP="00FB5A40">
      <w:r>
        <w:t>2.</w:t>
      </w:r>
      <w:r>
        <w:tab/>
        <w:t>Pristupi procjeni učinaka PRR-a 2019. (DIO II.)</w:t>
      </w:r>
      <w:r>
        <w:tab/>
        <w:t>12</w:t>
      </w:r>
    </w:p>
    <w:p w:rsidR="00FB5A40" w:rsidRDefault="00FB5A40" w:rsidP="00FB5A40">
      <w:r>
        <w:t>2.1.</w:t>
      </w:r>
      <w:r>
        <w:tab/>
        <w:t>Odabir odgovarajućih pristupa evaluaciji za procjenu učinaka PRR-a</w:t>
      </w:r>
      <w:r>
        <w:tab/>
        <w:t>12</w:t>
      </w:r>
    </w:p>
    <w:p w:rsidR="00FB5A40" w:rsidRDefault="00FB5A40" w:rsidP="00FB5A40">
      <w:r>
        <w:t>2.1.1.</w:t>
      </w:r>
      <w:r>
        <w:tab/>
        <w:t>Kako se logički modeli mogu upotrijebiti za određivanje odgovarajućih pristupa evaluaciji?</w:t>
      </w:r>
      <w:r>
        <w:tab/>
        <w:t>12</w:t>
      </w:r>
    </w:p>
    <w:p w:rsidR="00FB5A40" w:rsidRDefault="00FB5A40" w:rsidP="00FB5A40">
      <w:r>
        <w:t>2.1.2.</w:t>
      </w:r>
      <w:r>
        <w:tab/>
        <w:t>Pregled preporučenih pristupa evaluaciji za procjenu pokazatelja učinka ZPP-a</w:t>
      </w:r>
      <w:r>
        <w:tab/>
        <w:t>23</w:t>
      </w:r>
    </w:p>
    <w:p w:rsidR="00016061" w:rsidRPr="001C6ACF" w:rsidRDefault="00542440" w:rsidP="000B62C2">
      <w:pPr>
        <w:pStyle w:val="HContent"/>
      </w:pPr>
      <w:r>
        <w:lastRenderedPageBreak/>
        <w:t xml:space="preserve">Tablice i slike </w:t>
      </w:r>
    </w:p>
    <w:p w:rsidR="00FB5A40" w:rsidRDefault="00FB5A40" w:rsidP="00FB5A40">
      <w:r>
        <w:t>Tablica 1.</w:t>
      </w:r>
      <w:r>
        <w:tab/>
        <w:t>Smjernice za odgovaranje na ZEP-ove u GIP-u koji se podnosi 2019.</w:t>
      </w:r>
      <w:r>
        <w:tab/>
        <w:t>7</w:t>
      </w:r>
    </w:p>
    <w:p w:rsidR="00FB5A40" w:rsidRDefault="00FB5A40" w:rsidP="00FB5A40">
      <w:r>
        <w:t>Tablica 2.</w:t>
      </w:r>
      <w:r>
        <w:tab/>
        <w:t>Kontrolni popis za preporučene korake u evaluaciji 2019.</w:t>
      </w:r>
      <w:r>
        <w:tab/>
        <w:t>9</w:t>
      </w:r>
    </w:p>
    <w:p w:rsidR="00FB5A40" w:rsidRDefault="00FB5A40" w:rsidP="00FB5A40">
      <w:r>
        <w:t>Tablica 3.</w:t>
      </w:r>
      <w:r>
        <w:tab/>
        <w:t>Primjeri preporučenih pristupa evaluaciji za procjenu pokazatelja učinka ZPP-a</w:t>
      </w:r>
      <w:r>
        <w:tab/>
        <w:t>24</w:t>
      </w:r>
    </w:p>
    <w:p w:rsidR="00FE491B" w:rsidRPr="00571D58" w:rsidRDefault="00FE491B" w:rsidP="00496BA7">
      <w:pPr>
        <w:pStyle w:val="HContent"/>
        <w:tabs>
          <w:tab w:val="left" w:pos="1134"/>
        </w:tabs>
      </w:pPr>
      <w:r>
        <w:lastRenderedPageBreak/>
        <w:t>Popis pokrata</w:t>
      </w:r>
    </w:p>
    <w:p w:rsidR="00E06442" w:rsidRDefault="00E06442" w:rsidP="00E06442">
      <w:pPr>
        <w:pStyle w:val="HStandard"/>
        <w:ind w:left="993" w:hanging="993"/>
      </w:pPr>
      <w:r>
        <w:t>AP</w:t>
      </w:r>
      <w:r>
        <w:tab/>
      </w:r>
      <w:r>
        <w:tab/>
        <w:t>Agencija za plaćanja</w:t>
      </w:r>
    </w:p>
    <w:p w:rsidR="00E06442" w:rsidRDefault="0021541E" w:rsidP="00E06442">
      <w:pPr>
        <w:pStyle w:val="HStandard"/>
        <w:ind w:left="993" w:hanging="993"/>
      </w:pPr>
      <w:r>
        <w:t>AROPE</w:t>
      </w:r>
      <w:r>
        <w:tab/>
      </w:r>
      <w:r>
        <w:tab/>
        <w:t>Rizik</w:t>
      </w:r>
      <w:r w:rsidR="00E06442">
        <w:t xml:space="preserve"> od siromaštva ili socijalne isključenosti</w:t>
      </w:r>
    </w:p>
    <w:p w:rsidR="00E06442" w:rsidRDefault="00E06442" w:rsidP="00496BA7">
      <w:pPr>
        <w:pStyle w:val="HStandard"/>
        <w:ind w:left="1418" w:hanging="1418"/>
      </w:pPr>
      <w:r>
        <w:t>ATT</w:t>
      </w:r>
      <w:r>
        <w:tab/>
        <w:t xml:space="preserve">Prosječni učinak tretmana na primatelje tretmana (eng. </w:t>
      </w:r>
      <w:r w:rsidRPr="00521881">
        <w:rPr>
          <w:i/>
        </w:rPr>
        <w:t>Average Treatment Effects on Treated</w:t>
      </w:r>
      <w:r>
        <w:t>)</w:t>
      </w:r>
    </w:p>
    <w:p w:rsidR="00E06442" w:rsidRDefault="00E06442" w:rsidP="00E06442">
      <w:pPr>
        <w:pStyle w:val="HStandard"/>
        <w:ind w:left="993" w:hanging="993"/>
      </w:pPr>
      <w:r>
        <w:t>BDP</w:t>
      </w:r>
      <w:r>
        <w:tab/>
      </w:r>
      <w:r>
        <w:tab/>
        <w:t>Bruto domaći proizvod</w:t>
      </w:r>
    </w:p>
    <w:p w:rsidR="00E06442" w:rsidRDefault="00E06442" w:rsidP="00E06442">
      <w:pPr>
        <w:pStyle w:val="HStandard"/>
        <w:ind w:left="993" w:hanging="993"/>
      </w:pPr>
      <w:r>
        <w:t>BRH</w:t>
      </w:r>
      <w:r>
        <w:tab/>
      </w:r>
      <w:r>
        <w:tab/>
        <w:t>Bruto ravnoteža hranjivih tvari</w:t>
      </w:r>
    </w:p>
    <w:p w:rsidR="00E06442" w:rsidRDefault="00E06442" w:rsidP="00E06442">
      <w:pPr>
        <w:pStyle w:val="HStandard"/>
        <w:ind w:left="993" w:hanging="993"/>
      </w:pPr>
      <w:r>
        <w:t>C</w:t>
      </w:r>
      <w:r>
        <w:tab/>
      </w:r>
      <w:r>
        <w:tab/>
        <w:t>Pokazatelj cilja</w:t>
      </w:r>
    </w:p>
    <w:p w:rsidR="00E06442" w:rsidRDefault="00E06442" w:rsidP="00E06442">
      <w:pPr>
        <w:pStyle w:val="HStandard"/>
        <w:ind w:left="993" w:hanging="993"/>
      </w:pPr>
      <w:r>
        <w:t xml:space="preserve">CGE </w:t>
      </w:r>
      <w:r>
        <w:tab/>
      </w:r>
      <w:r>
        <w:tab/>
        <w:t>Izračun opće ravnoteže</w:t>
      </w:r>
    </w:p>
    <w:p w:rsidR="00E06442" w:rsidRDefault="00E06442" w:rsidP="00E06442">
      <w:pPr>
        <w:pStyle w:val="HStandard"/>
        <w:ind w:left="993" w:hanging="993"/>
      </w:pPr>
      <w:r>
        <w:t>CORINE</w:t>
      </w:r>
      <w:r>
        <w:tab/>
      </w:r>
      <w:r>
        <w:tab/>
        <w:t>Koordinacija informacija o okolišu</w:t>
      </w:r>
    </w:p>
    <w:p w:rsidR="00E06442" w:rsidRDefault="00E06442" w:rsidP="00E06442">
      <w:pPr>
        <w:pStyle w:val="HStandard"/>
        <w:ind w:left="993" w:hanging="993"/>
      </w:pPr>
      <w:r>
        <w:t>DČ</w:t>
      </w:r>
      <w:r>
        <w:tab/>
      </w:r>
      <w:r>
        <w:tab/>
        <w:t>Država članica</w:t>
      </w:r>
    </w:p>
    <w:p w:rsidR="00E06442" w:rsidRDefault="00E06442" w:rsidP="00E06442">
      <w:pPr>
        <w:pStyle w:val="HStandard"/>
        <w:ind w:left="993" w:hanging="993"/>
      </w:pPr>
      <w:r>
        <w:t>DES</w:t>
      </w:r>
      <w:r>
        <w:tab/>
      </w:r>
      <w:r>
        <w:tab/>
        <w:t>Dobro ekološko stanje</w:t>
      </w:r>
    </w:p>
    <w:p w:rsidR="00E06442" w:rsidRDefault="00E06442" w:rsidP="00E06442">
      <w:pPr>
        <w:pStyle w:val="HStandard"/>
        <w:ind w:left="993" w:hanging="993"/>
      </w:pPr>
      <w:r>
        <w:t>DiD</w:t>
      </w:r>
      <w:r>
        <w:tab/>
      </w:r>
      <w:r>
        <w:tab/>
        <w:t>Razlika u razlikama</w:t>
      </w:r>
    </w:p>
    <w:p w:rsidR="00E06442" w:rsidRDefault="00E06442" w:rsidP="00E06442">
      <w:pPr>
        <w:pStyle w:val="HStandard"/>
        <w:ind w:left="993" w:hanging="993"/>
      </w:pPr>
      <w:r>
        <w:t>DPOU</w:t>
      </w:r>
      <w:r>
        <w:tab/>
      </w:r>
      <w:r>
        <w:tab/>
        <w:t>Dobri poljoprivredni i okolišni uvjeti</w:t>
      </w:r>
    </w:p>
    <w:p w:rsidR="00E06442" w:rsidRDefault="00E06442" w:rsidP="00E06442">
      <w:pPr>
        <w:pStyle w:val="HStandard"/>
        <w:ind w:left="993" w:hanging="993"/>
      </w:pPr>
      <w:r>
        <w:t>EDGAR</w:t>
      </w:r>
      <w:r>
        <w:tab/>
      </w:r>
      <w:r>
        <w:tab/>
        <w:t>Baza podataka o emisijama za globalna istraživanja</w:t>
      </w:r>
      <w:r w:rsidR="00CA2DEC">
        <w:t xml:space="preserve"> atmosfere</w:t>
      </w:r>
    </w:p>
    <w:p w:rsidR="00E06442" w:rsidRDefault="00E06442" w:rsidP="00E06442">
      <w:pPr>
        <w:pStyle w:val="HStandard"/>
        <w:ind w:left="993" w:hanging="993"/>
      </w:pPr>
      <w:r>
        <w:t>EPFRR</w:t>
      </w:r>
      <w:r>
        <w:tab/>
      </w:r>
      <w:r>
        <w:tab/>
        <w:t>Europski poljoprivredni fond za ruralni razvoj</w:t>
      </w:r>
    </w:p>
    <w:p w:rsidR="00E06442" w:rsidRDefault="00E06442" w:rsidP="00E06442">
      <w:pPr>
        <w:pStyle w:val="HStandard"/>
        <w:ind w:left="993" w:hanging="993"/>
      </w:pPr>
      <w:r>
        <w:t>EPI</w:t>
      </w:r>
      <w:r>
        <w:tab/>
      </w:r>
      <w:r>
        <w:tab/>
        <w:t>Europsko partnerstvo za inovacije</w:t>
      </w:r>
    </w:p>
    <w:p w:rsidR="00E06442" w:rsidRDefault="00E06442" w:rsidP="00E06442">
      <w:pPr>
        <w:pStyle w:val="HStandard"/>
        <w:ind w:left="993" w:hanging="993"/>
      </w:pPr>
      <w:r>
        <w:t>EPPP</w:t>
      </w:r>
      <w:r>
        <w:tab/>
      </w:r>
      <w:r>
        <w:tab/>
        <w:t>Evaluacijsko pitanje specifično za pojedini program</w:t>
      </w:r>
    </w:p>
    <w:p w:rsidR="00E06442" w:rsidRDefault="00E06442" w:rsidP="00E06442">
      <w:pPr>
        <w:pStyle w:val="HStandard"/>
        <w:ind w:left="993" w:hanging="993"/>
      </w:pPr>
      <w:r>
        <w:t>ERP</w:t>
      </w:r>
      <w:r>
        <w:tab/>
      </w:r>
      <w:r>
        <w:tab/>
        <w:t>Ekonomski račun za poljoprivredu</w:t>
      </w:r>
    </w:p>
    <w:p w:rsidR="00E06442" w:rsidRDefault="00E06442" w:rsidP="00E06442">
      <w:pPr>
        <w:pStyle w:val="HStandard"/>
        <w:ind w:left="993" w:hanging="993"/>
      </w:pPr>
      <w:r>
        <w:t>ESDAC</w:t>
      </w:r>
      <w:r>
        <w:tab/>
      </w:r>
      <w:r>
        <w:tab/>
        <w:t>Europski centar za podatke o tlu</w:t>
      </w:r>
    </w:p>
    <w:p w:rsidR="00E06442" w:rsidRDefault="00E06442" w:rsidP="00E06442">
      <w:pPr>
        <w:pStyle w:val="HStandard"/>
        <w:ind w:left="993" w:hanging="993"/>
      </w:pPr>
      <w:r>
        <w:t>ESI</w:t>
      </w:r>
      <w:r>
        <w:tab/>
      </w:r>
      <w:r>
        <w:tab/>
        <w:t>Europski strukturni i investicijski</w:t>
      </w:r>
      <w:r w:rsidR="005012A0">
        <w:t xml:space="preserve"> fondovi</w:t>
      </w:r>
    </w:p>
    <w:p w:rsidR="00E06442" w:rsidRDefault="00E06442" w:rsidP="00E06442">
      <w:pPr>
        <w:pStyle w:val="HStandard"/>
        <w:ind w:left="993" w:hanging="993"/>
      </w:pPr>
      <w:r>
        <w:t>EU</w:t>
      </w:r>
      <w:r>
        <w:tab/>
      </w:r>
      <w:r>
        <w:tab/>
        <w:t>Europska unija</w:t>
      </w:r>
    </w:p>
    <w:p w:rsidR="00E06442" w:rsidRDefault="00E06442" w:rsidP="00E06442">
      <w:pPr>
        <w:pStyle w:val="HStandard"/>
        <w:ind w:left="993" w:hanging="993"/>
      </w:pPr>
      <w:r>
        <w:t xml:space="preserve">EUS </w:t>
      </w:r>
      <w:r>
        <w:tab/>
      </w:r>
      <w:r>
        <w:tab/>
        <w:t>Upravljačka skupina za evaluaciju</w:t>
      </w:r>
    </w:p>
    <w:p w:rsidR="00E06442" w:rsidRDefault="00E06442" w:rsidP="00E06442">
      <w:pPr>
        <w:pStyle w:val="HStandard"/>
        <w:ind w:left="993" w:hanging="993"/>
      </w:pPr>
      <w:r>
        <w:t>EUT</w:t>
      </w:r>
      <w:r>
        <w:tab/>
      </w:r>
      <w:r>
        <w:tab/>
        <w:t>Evaluacija utemeljena na teoriji</w:t>
      </w:r>
    </w:p>
    <w:p w:rsidR="00E06442" w:rsidRDefault="00E06442" w:rsidP="00E06442">
      <w:pPr>
        <w:pStyle w:val="HStandard"/>
        <w:ind w:left="993" w:hanging="993"/>
      </w:pPr>
      <w:r>
        <w:t>Ev</w:t>
      </w:r>
      <w:r>
        <w:tab/>
      </w:r>
      <w:r>
        <w:tab/>
        <w:t>Evaluator</w:t>
      </w:r>
    </w:p>
    <w:p w:rsidR="00E06442" w:rsidRDefault="00E06442" w:rsidP="00E06442">
      <w:pPr>
        <w:pStyle w:val="HStandard"/>
        <w:ind w:left="993" w:hanging="993"/>
      </w:pPr>
      <w:r>
        <w:t>EvS</w:t>
      </w:r>
      <w:r>
        <w:tab/>
      </w:r>
      <w:r>
        <w:tab/>
        <w:t>Služba za evaluacije</w:t>
      </w:r>
    </w:p>
    <w:p w:rsidR="00E06442" w:rsidRDefault="00E06442" w:rsidP="00E06442">
      <w:pPr>
        <w:pStyle w:val="HStandard"/>
        <w:ind w:left="993" w:hanging="993"/>
      </w:pPr>
      <w:r>
        <w:t>FADN</w:t>
      </w:r>
      <w:r>
        <w:tab/>
      </w:r>
      <w:r>
        <w:tab/>
        <w:t>Mreža računovodstvenih podataka za poljoprivredna gospodarstava</w:t>
      </w:r>
    </w:p>
    <w:p w:rsidR="00E06442" w:rsidRDefault="00E06442" w:rsidP="00E06442">
      <w:pPr>
        <w:pStyle w:val="HStandard"/>
        <w:ind w:left="993" w:hanging="993"/>
      </w:pPr>
      <w:r>
        <w:t>FBI</w:t>
      </w:r>
      <w:r>
        <w:tab/>
      </w:r>
      <w:r>
        <w:tab/>
      </w:r>
      <w:r w:rsidR="00DC4C68">
        <w:t xml:space="preserve">Popis </w:t>
      </w:r>
      <w:r>
        <w:t xml:space="preserve">ptica </w:t>
      </w:r>
      <w:r w:rsidR="00DC4C68">
        <w:t>povezanih s poljoprivrednim</w:t>
      </w:r>
      <w:r>
        <w:t xml:space="preserve"> </w:t>
      </w:r>
      <w:r w:rsidR="00DC4C68">
        <w:t>površinama</w:t>
      </w:r>
    </w:p>
    <w:p w:rsidR="00E06442" w:rsidRDefault="00E06442" w:rsidP="00E06442">
      <w:pPr>
        <w:pStyle w:val="HStandard"/>
        <w:ind w:left="993" w:hanging="993"/>
      </w:pPr>
      <w:r>
        <w:t>GERD</w:t>
      </w:r>
      <w:r>
        <w:tab/>
      </w:r>
      <w:r>
        <w:tab/>
        <w:t>Bruto domaći rashodi za istraživanje i razvoj</w:t>
      </w:r>
    </w:p>
    <w:p w:rsidR="00E06442" w:rsidRDefault="00E06442" w:rsidP="00E06442">
      <w:pPr>
        <w:pStyle w:val="HStandard"/>
        <w:ind w:left="993" w:hanging="993"/>
      </w:pPr>
      <w:r>
        <w:t>GIP</w:t>
      </w:r>
      <w:r>
        <w:tab/>
      </w:r>
      <w:r>
        <w:tab/>
        <w:t>Godišnje izvješće o provedbi</w:t>
      </w:r>
    </w:p>
    <w:p w:rsidR="00E06442" w:rsidRDefault="00E06442" w:rsidP="00E06442">
      <w:pPr>
        <w:pStyle w:val="HStandard"/>
        <w:ind w:left="993" w:hanging="993"/>
      </w:pPr>
      <w:r>
        <w:t>GIS</w:t>
      </w:r>
      <w:r>
        <w:tab/>
      </w:r>
      <w:r>
        <w:tab/>
        <w:t>Geografski informacijski sustav</w:t>
      </w:r>
    </w:p>
    <w:p w:rsidR="00E06442" w:rsidRDefault="00E06442" w:rsidP="00E06442">
      <w:pPr>
        <w:pStyle w:val="HStandard"/>
        <w:ind w:left="993" w:hanging="993"/>
      </w:pPr>
      <w:r>
        <w:t>GJR</w:t>
      </w:r>
      <w:r>
        <w:tab/>
      </w:r>
      <w:r>
        <w:tab/>
        <w:t>Godišnje jedinice rada</w:t>
      </w:r>
    </w:p>
    <w:p w:rsidR="00E06442" w:rsidRDefault="00E06442" w:rsidP="00E06442">
      <w:pPr>
        <w:pStyle w:val="HStandard"/>
        <w:ind w:left="993" w:hanging="993"/>
      </w:pPr>
      <w:r>
        <w:t>GPSM</w:t>
      </w:r>
      <w:r>
        <w:tab/>
      </w:r>
      <w:r>
        <w:tab/>
        <w:t>Opća metoda uparivanja prema vjerojatnosti sklonosti</w:t>
      </w:r>
    </w:p>
    <w:p w:rsidR="00E06442" w:rsidRDefault="00E06442" w:rsidP="00E06442">
      <w:pPr>
        <w:pStyle w:val="HStandard"/>
        <w:ind w:left="993" w:hanging="993"/>
      </w:pPr>
      <w:r>
        <w:t>GRIT</w:t>
      </w:r>
      <w:r>
        <w:tab/>
      </w:r>
      <w:r>
        <w:tab/>
        <w:t>Izrada regionalnih input–output tablica</w:t>
      </w:r>
    </w:p>
    <w:p w:rsidR="00E06442" w:rsidRDefault="00E06442" w:rsidP="00E06442">
      <w:pPr>
        <w:pStyle w:val="HStandard"/>
        <w:ind w:left="993" w:hanging="993"/>
      </w:pPr>
      <w:r>
        <w:t>GU AGRI</w:t>
      </w:r>
      <w:r>
        <w:tab/>
      </w:r>
      <w:r>
        <w:tab/>
        <w:t>Glavna uprava za poljoprivredu i ruralni razvoj</w:t>
      </w:r>
    </w:p>
    <w:p w:rsidR="00E06442" w:rsidRDefault="00E06442" w:rsidP="00E06442">
      <w:pPr>
        <w:pStyle w:val="HStandard"/>
        <w:ind w:left="993" w:hanging="993"/>
      </w:pPr>
      <w:r>
        <w:lastRenderedPageBreak/>
        <w:t>HNV</w:t>
      </w:r>
      <w:r>
        <w:tab/>
      </w:r>
      <w:r>
        <w:tab/>
        <w:t>Poljoprivreda visoke prirodne vrijednosti (HNV)</w:t>
      </w:r>
    </w:p>
    <w:p w:rsidR="00E06442" w:rsidRDefault="00E06442" w:rsidP="00E06442">
      <w:pPr>
        <w:pStyle w:val="HStandard"/>
        <w:ind w:left="993" w:hanging="993"/>
      </w:pPr>
      <w:r>
        <w:t>IAKS</w:t>
      </w:r>
      <w:r>
        <w:tab/>
      </w:r>
      <w:r>
        <w:tab/>
        <w:t>Integrirani sustav upravljanja i kontrole</w:t>
      </w:r>
    </w:p>
    <w:p w:rsidR="00E06442" w:rsidRDefault="00E06442" w:rsidP="00E06442">
      <w:pPr>
        <w:pStyle w:val="HStandard"/>
        <w:ind w:left="993" w:hanging="993"/>
      </w:pPr>
      <w:r>
        <w:t xml:space="preserve">IKT </w:t>
      </w:r>
      <w:r>
        <w:tab/>
      </w:r>
      <w:r>
        <w:tab/>
        <w:t>Informacijske i komunikacijske tehnologije</w:t>
      </w:r>
    </w:p>
    <w:p w:rsidR="00E06442" w:rsidRDefault="00E06442" w:rsidP="00E06442">
      <w:pPr>
        <w:pStyle w:val="HStandard"/>
        <w:ind w:left="993" w:hanging="993"/>
      </w:pPr>
      <w:r>
        <w:t>IO</w:t>
      </w:r>
      <w:r>
        <w:tab/>
      </w:r>
      <w:r>
        <w:tab/>
        <w:t>Analiza inputa i outputa</w:t>
      </w:r>
    </w:p>
    <w:p w:rsidR="00E06442" w:rsidRDefault="00E2796F" w:rsidP="00E06442">
      <w:pPr>
        <w:pStyle w:val="HStandard"/>
        <w:ind w:left="993" w:hanging="993"/>
      </w:pPr>
      <w:r>
        <w:t>IPPC</w:t>
      </w:r>
      <w:r>
        <w:tab/>
      </w:r>
      <w:r>
        <w:tab/>
        <w:t>Integrirano spr</w:t>
      </w:r>
      <w:r w:rsidR="00E06442">
        <w:t>ečavanje i kontrola onečišćenja</w:t>
      </w:r>
    </w:p>
    <w:p w:rsidR="00E06442" w:rsidRDefault="00E06442" w:rsidP="00E06442">
      <w:pPr>
        <w:pStyle w:val="HStandard"/>
        <w:ind w:left="993" w:hanging="993"/>
      </w:pPr>
      <w:r>
        <w:t>IV</w:t>
      </w:r>
      <w:r>
        <w:tab/>
      </w:r>
      <w:r>
        <w:tab/>
        <w:t>Instrumentalne varijable</w:t>
      </w:r>
    </w:p>
    <w:p w:rsidR="00E06442" w:rsidRDefault="00E06442" w:rsidP="00E06442">
      <w:pPr>
        <w:pStyle w:val="HStandard"/>
        <w:ind w:left="993" w:hanging="993"/>
      </w:pPr>
      <w:r>
        <w:t>KP</w:t>
      </w:r>
      <w:r>
        <w:tab/>
      </w:r>
      <w:r>
        <w:tab/>
        <w:t>Kriteriji prosudbe</w:t>
      </w:r>
    </w:p>
    <w:p w:rsidR="00E06442" w:rsidRDefault="00E06442" w:rsidP="00E06442">
      <w:pPr>
        <w:pStyle w:val="HStandard"/>
        <w:ind w:left="993" w:hanging="993"/>
      </w:pPr>
      <w:r>
        <w:t>KPP</w:t>
      </w:r>
      <w:r>
        <w:tab/>
      </w:r>
      <w:r>
        <w:tab/>
        <w:t>Korištena poljoprivredna površina</w:t>
      </w:r>
    </w:p>
    <w:p w:rsidR="00E06442" w:rsidRDefault="00E06442" w:rsidP="00E06442">
      <w:pPr>
        <w:pStyle w:val="HStandard"/>
        <w:ind w:left="993" w:hanging="993"/>
      </w:pPr>
      <w:r>
        <w:t>LAU</w:t>
      </w:r>
      <w:r>
        <w:tab/>
      </w:r>
      <w:r>
        <w:tab/>
        <w:t>Zemljišna upravna jedinica</w:t>
      </w:r>
    </w:p>
    <w:p w:rsidR="00E06442" w:rsidRDefault="00E06442" w:rsidP="00E06442">
      <w:pPr>
        <w:pStyle w:val="HStandard"/>
        <w:ind w:left="993" w:hanging="993"/>
      </w:pPr>
      <w:r>
        <w:t>LI</w:t>
      </w:r>
      <w:r>
        <w:tab/>
      </w:r>
      <w:r>
        <w:tab/>
        <w:t>Logika intervencije</w:t>
      </w:r>
    </w:p>
    <w:p w:rsidR="00E06442" w:rsidRDefault="00E06442" w:rsidP="00E06442">
      <w:pPr>
        <w:pStyle w:val="HStandard"/>
        <w:ind w:left="993" w:hanging="993"/>
      </w:pPr>
      <w:r>
        <w:t>LPIS</w:t>
      </w:r>
      <w:r>
        <w:tab/>
      </w:r>
      <w:r>
        <w:tab/>
        <w:t>Sustav za identifikaciju zemljišnih čestica</w:t>
      </w:r>
    </w:p>
    <w:p w:rsidR="00E06442" w:rsidRDefault="00E06442" w:rsidP="00E06442">
      <w:pPr>
        <w:pStyle w:val="HStandard"/>
        <w:ind w:left="993" w:hanging="993"/>
      </w:pPr>
      <w:r>
        <w:t>LRVZ</w:t>
      </w:r>
      <w:r>
        <w:tab/>
      </w:r>
      <w:r>
        <w:tab/>
        <w:t>Lokalni razvoj pod vodstvom zajednice</w:t>
      </w:r>
    </w:p>
    <w:p w:rsidR="00E06442" w:rsidRDefault="00E06442" w:rsidP="00E06442">
      <w:pPr>
        <w:pStyle w:val="HStandard"/>
        <w:ind w:left="993" w:hanging="993"/>
      </w:pPr>
      <w:r>
        <w:t>LUCAS</w:t>
      </w:r>
      <w:r>
        <w:tab/>
      </w:r>
      <w:r>
        <w:tab/>
        <w:t>Okvirno istraživanje o korištenju zemljišta i pokrovu zemljišta</w:t>
      </w:r>
    </w:p>
    <w:p w:rsidR="00E06442" w:rsidRDefault="00E06442" w:rsidP="00E06442">
      <w:pPr>
        <w:pStyle w:val="HStandard"/>
        <w:ind w:left="993" w:hanging="993"/>
      </w:pPr>
      <w:r>
        <w:t>LULUCF</w:t>
      </w:r>
      <w:r>
        <w:tab/>
      </w:r>
      <w:r>
        <w:tab/>
        <w:t>Korištenje zemljišta, prenamjena zemljišta i šumarstvo</w:t>
      </w:r>
    </w:p>
    <w:p w:rsidR="00E06442" w:rsidRDefault="00E06442" w:rsidP="00E06442">
      <w:pPr>
        <w:pStyle w:val="HStandard"/>
        <w:ind w:left="993" w:hanging="993"/>
      </w:pPr>
      <w:r>
        <w:t>M</w:t>
      </w:r>
      <w:r>
        <w:tab/>
      </w:r>
      <w:r>
        <w:tab/>
        <w:t>Mjera</w:t>
      </w:r>
    </w:p>
    <w:p w:rsidR="00E06442" w:rsidRDefault="00E06442" w:rsidP="00E06442">
      <w:pPr>
        <w:pStyle w:val="HStandard"/>
        <w:ind w:left="993" w:hanging="993"/>
      </w:pPr>
      <w:r>
        <w:t>MAPP</w:t>
      </w:r>
      <w:r>
        <w:tab/>
      </w:r>
      <w:r>
        <w:tab/>
        <w:t>Metoda procjene učinka programa i projekta</w:t>
      </w:r>
    </w:p>
    <w:p w:rsidR="00E06442" w:rsidRDefault="00E06442" w:rsidP="00E06442">
      <w:pPr>
        <w:pStyle w:val="HStandard"/>
        <w:ind w:left="993" w:hanging="993"/>
      </w:pPr>
      <w:r>
        <w:t>MDR</w:t>
      </w:r>
      <w:r>
        <w:tab/>
      </w:r>
      <w:r>
        <w:tab/>
        <w:t>Matrica društvenog računovodstva</w:t>
      </w:r>
    </w:p>
    <w:p w:rsidR="00E06442" w:rsidRDefault="00E06442" w:rsidP="00E06442">
      <w:pPr>
        <w:pStyle w:val="HStandard"/>
        <w:ind w:left="993" w:hanging="993"/>
      </w:pPr>
      <w:r>
        <w:t>ND</w:t>
      </w:r>
      <w:r>
        <w:tab/>
      </w:r>
      <w:r>
        <w:tab/>
        <w:t>Direktiva o nitratima</w:t>
      </w:r>
    </w:p>
    <w:p w:rsidR="00E06442" w:rsidRDefault="00E06442" w:rsidP="00E06442">
      <w:pPr>
        <w:pStyle w:val="HStandard"/>
        <w:ind w:left="993" w:hanging="993"/>
      </w:pPr>
      <w:r>
        <w:t>NRM</w:t>
      </w:r>
      <w:r>
        <w:tab/>
      </w:r>
      <w:r>
        <w:tab/>
        <w:t>Nacionalna ruralna mreža</w:t>
      </w:r>
    </w:p>
    <w:p w:rsidR="00E06442" w:rsidRDefault="00E06442" w:rsidP="00E06442">
      <w:pPr>
        <w:pStyle w:val="HStandard"/>
        <w:ind w:left="993" w:hanging="993"/>
      </w:pPr>
      <w:r>
        <w:t>NUTS</w:t>
      </w:r>
      <w:r>
        <w:tab/>
      </w:r>
      <w:r>
        <w:tab/>
        <w:t>Statistička nomenklatura prostornih jedinica</w:t>
      </w:r>
    </w:p>
    <w:p w:rsidR="00E06442" w:rsidRDefault="00E06442" w:rsidP="00E06442">
      <w:pPr>
        <w:pStyle w:val="HStandard"/>
        <w:ind w:left="993" w:hanging="993"/>
      </w:pPr>
      <w:r>
        <w:t>NVO</w:t>
      </w:r>
      <w:r>
        <w:tab/>
      </w:r>
      <w:r>
        <w:tab/>
        <w:t>Nevladina organizacija</w:t>
      </w:r>
    </w:p>
    <w:p w:rsidR="00E06442" w:rsidRDefault="00E06442" w:rsidP="00E06442">
      <w:pPr>
        <w:pStyle w:val="HStandard"/>
        <w:ind w:left="993" w:hanging="993"/>
      </w:pPr>
      <w:r>
        <w:t>ODV</w:t>
      </w:r>
      <w:r>
        <w:tab/>
      </w:r>
      <w:r>
        <w:tab/>
        <w:t>Okvirna direktiva o vodama</w:t>
      </w:r>
    </w:p>
    <w:p w:rsidR="00E06442" w:rsidRDefault="00E06442" w:rsidP="00E06442">
      <w:pPr>
        <w:pStyle w:val="HStandard"/>
        <w:ind w:left="993" w:hanging="993"/>
      </w:pPr>
      <w:r>
        <w:t>OJR</w:t>
      </w:r>
      <w:r>
        <w:tab/>
      </w:r>
      <w:r>
        <w:tab/>
        <w:t>Obiteljska jedinica rada</w:t>
      </w:r>
    </w:p>
    <w:p w:rsidR="00E06442" w:rsidRDefault="00E06442" w:rsidP="00E06442">
      <w:pPr>
        <w:pStyle w:val="HStandard"/>
        <w:ind w:left="993" w:hanging="993"/>
      </w:pPr>
      <w:r>
        <w:t>OP</w:t>
      </w:r>
      <w:r>
        <w:tab/>
      </w:r>
      <w:r>
        <w:tab/>
        <w:t>Odbor za praćenje</w:t>
      </w:r>
    </w:p>
    <w:p w:rsidR="00E06442" w:rsidRDefault="00E06442" w:rsidP="00E06442">
      <w:pPr>
        <w:pStyle w:val="HStandard"/>
        <w:ind w:left="993" w:hanging="993"/>
      </w:pPr>
      <w:r>
        <w:t>OpP</w:t>
      </w:r>
      <w:r>
        <w:tab/>
      </w:r>
      <w:r>
        <w:tab/>
        <w:t>Opis poslova</w:t>
      </w:r>
    </w:p>
    <w:p w:rsidR="00E06442" w:rsidRDefault="00E06442" w:rsidP="00E06442">
      <w:pPr>
        <w:pStyle w:val="HStandard"/>
        <w:ind w:left="993" w:hanging="993"/>
      </w:pPr>
      <w:r>
        <w:t>OTT</w:t>
      </w:r>
      <w:r>
        <w:tab/>
      </w:r>
      <w:r>
        <w:tab/>
        <w:t>Organske tvari u tlu</w:t>
      </w:r>
    </w:p>
    <w:p w:rsidR="00E06442" w:rsidRDefault="00E06442" w:rsidP="00E06442">
      <w:pPr>
        <w:pStyle w:val="HStandard"/>
        <w:ind w:left="993" w:hanging="993"/>
      </w:pPr>
      <w:r>
        <w:t>OUT</w:t>
      </w:r>
      <w:r>
        <w:tab/>
      </w:r>
      <w:r>
        <w:tab/>
        <w:t>Organski ugljik u tlu</w:t>
      </w:r>
    </w:p>
    <w:p w:rsidR="00E06442" w:rsidRDefault="00E06442" w:rsidP="00E06442">
      <w:pPr>
        <w:pStyle w:val="HStandard"/>
        <w:ind w:left="993" w:hanging="993"/>
      </w:pPr>
      <w:r>
        <w:t>PDO</w:t>
      </w:r>
      <w:r>
        <w:tab/>
      </w:r>
      <w:r>
        <w:tab/>
        <w:t>Program djelovanja za okoliš</w:t>
      </w:r>
    </w:p>
    <w:p w:rsidR="00E06442" w:rsidRDefault="00E06442" w:rsidP="00E06442">
      <w:pPr>
        <w:pStyle w:val="HStandard"/>
        <w:ind w:left="993" w:hanging="993"/>
      </w:pPr>
      <w:r>
        <w:t>PFP</w:t>
      </w:r>
      <w:r>
        <w:tab/>
      </w:r>
      <w:r>
        <w:tab/>
        <w:t>Poljoprivredni faktorski prihod</w:t>
      </w:r>
    </w:p>
    <w:p w:rsidR="00E06442" w:rsidRDefault="00E06442" w:rsidP="00E06442">
      <w:pPr>
        <w:pStyle w:val="HStandard"/>
        <w:ind w:left="993" w:hanging="993"/>
      </w:pPr>
      <w:r>
        <w:t>POP</w:t>
      </w:r>
      <w:r>
        <w:tab/>
      </w:r>
      <w:r>
        <w:tab/>
        <w:t>Poljoprivredno-okolišni pokazatelji</w:t>
      </w:r>
    </w:p>
    <w:p w:rsidR="00E06442" w:rsidRDefault="00E06442" w:rsidP="00E06442">
      <w:pPr>
        <w:pStyle w:val="HStandard"/>
        <w:ind w:left="993" w:hanging="993"/>
      </w:pPr>
      <w:r>
        <w:t>PP</w:t>
      </w:r>
      <w:r>
        <w:tab/>
      </w:r>
      <w:r>
        <w:tab/>
        <w:t>Pružatelj podataka</w:t>
      </w:r>
    </w:p>
    <w:p w:rsidR="00E06442" w:rsidRDefault="00E06442" w:rsidP="00E06442">
      <w:pPr>
        <w:pStyle w:val="HStandard"/>
        <w:ind w:left="993" w:hanging="993"/>
      </w:pPr>
      <w:r>
        <w:t>PPO</w:t>
      </w:r>
      <w:r>
        <w:tab/>
      </w:r>
      <w:r>
        <w:tab/>
        <w:t>Područja s prirodnim ograničenjima</w:t>
      </w:r>
    </w:p>
    <w:p w:rsidR="00E06442" w:rsidRDefault="00E06442" w:rsidP="00E06442">
      <w:pPr>
        <w:pStyle w:val="HStandard"/>
        <w:ind w:left="993" w:hanging="993"/>
      </w:pPr>
      <w:r>
        <w:t>PPP</w:t>
      </w:r>
      <w:r>
        <w:tab/>
      </w:r>
      <w:r>
        <w:tab/>
        <w:t>Poljoprivredni poduzetnički prihod</w:t>
      </w:r>
    </w:p>
    <w:p w:rsidR="00E06442" w:rsidRDefault="00E06442" w:rsidP="00E06442">
      <w:pPr>
        <w:pStyle w:val="HStandard"/>
        <w:ind w:left="993" w:hanging="993"/>
      </w:pPr>
      <w:r>
        <w:t>PRR</w:t>
      </w:r>
      <w:r>
        <w:tab/>
      </w:r>
      <w:r>
        <w:tab/>
        <w:t>Program ruralnog razvoja</w:t>
      </w:r>
    </w:p>
    <w:p w:rsidR="00E06442" w:rsidRDefault="00E06442" w:rsidP="00E06442">
      <w:pPr>
        <w:pStyle w:val="HStandard"/>
        <w:ind w:left="993" w:hanging="993"/>
      </w:pPr>
      <w:r>
        <w:t>PSM</w:t>
      </w:r>
      <w:r>
        <w:tab/>
      </w:r>
      <w:r>
        <w:tab/>
        <w:t>Uparivanje prema vjerojatnosti sklonosti</w:t>
      </w:r>
    </w:p>
    <w:p w:rsidR="00E06442" w:rsidRDefault="00E06442" w:rsidP="00E06442">
      <w:pPr>
        <w:pStyle w:val="HStandard"/>
        <w:ind w:left="993" w:hanging="993"/>
      </w:pPr>
      <w:r>
        <w:lastRenderedPageBreak/>
        <w:t>R</w:t>
      </w:r>
      <w:r>
        <w:tab/>
      </w:r>
      <w:r>
        <w:tab/>
        <w:t>Pokazatelji rezultata</w:t>
      </w:r>
    </w:p>
    <w:p w:rsidR="00E06442" w:rsidRDefault="00E06442" w:rsidP="00E06442">
      <w:pPr>
        <w:pStyle w:val="HStandard"/>
        <w:ind w:left="993" w:hanging="993"/>
      </w:pPr>
      <w:r>
        <w:t>RD</w:t>
      </w:r>
      <w:r>
        <w:tab/>
      </w:r>
      <w:r>
        <w:tab/>
        <w:t>Radni dokument</w:t>
      </w:r>
    </w:p>
    <w:p w:rsidR="00E06442" w:rsidRDefault="00E06442" w:rsidP="00E06442">
      <w:pPr>
        <w:pStyle w:val="HStandard"/>
        <w:ind w:left="993" w:hanging="993"/>
      </w:pPr>
      <w:r>
        <w:t>RDD</w:t>
      </w:r>
      <w:r>
        <w:tab/>
      </w:r>
      <w:r>
        <w:tab/>
        <w:t>Analiza regresije diskontinuiteta</w:t>
      </w:r>
    </w:p>
    <w:p w:rsidR="00E06442" w:rsidRDefault="00E06442" w:rsidP="00E06442">
      <w:pPr>
        <w:pStyle w:val="HStandard"/>
        <w:ind w:left="993" w:hanging="993"/>
      </w:pPr>
      <w:r>
        <w:t>RUSLE</w:t>
      </w:r>
      <w:r>
        <w:tab/>
      </w:r>
      <w:r>
        <w:tab/>
        <w:t>Revidirana univerzalna jednadžba gubitka tla</w:t>
      </w:r>
    </w:p>
    <w:p w:rsidR="00E06442" w:rsidRDefault="00E06442" w:rsidP="00E06442">
      <w:pPr>
        <w:pStyle w:val="HStandard"/>
        <w:ind w:left="993" w:hanging="993"/>
      </w:pPr>
      <w:r>
        <w:t>SAPM</w:t>
      </w:r>
      <w:r>
        <w:tab/>
      </w:r>
      <w:r>
        <w:tab/>
        <w:t>Istraživanje o metodama poljoprivredne proizvodnje</w:t>
      </w:r>
    </w:p>
    <w:p w:rsidR="00E06442" w:rsidRDefault="00E06442" w:rsidP="00E06442">
      <w:pPr>
        <w:pStyle w:val="HStandard"/>
        <w:ind w:left="993" w:hanging="993"/>
      </w:pPr>
      <w:r>
        <w:t>SEBI</w:t>
      </w:r>
      <w:r>
        <w:tab/>
      </w:r>
      <w:r>
        <w:tab/>
        <w:t>Racionalizacija europskih pokazatelja biološke raznolikosti</w:t>
      </w:r>
    </w:p>
    <w:p w:rsidR="00E06442" w:rsidRDefault="00E06442" w:rsidP="00E06442">
      <w:pPr>
        <w:pStyle w:val="HStandard"/>
        <w:ind w:left="993" w:hanging="993"/>
      </w:pPr>
      <w:r>
        <w:t>SFC</w:t>
      </w:r>
      <w:r>
        <w:tab/>
      </w:r>
      <w:r>
        <w:tab/>
        <w:t>Zajednički sustav upravljanja zajedničkim fondom</w:t>
      </w:r>
    </w:p>
    <w:p w:rsidR="00E06442" w:rsidRDefault="00E06442" w:rsidP="00E06442">
      <w:pPr>
        <w:pStyle w:val="HStandard"/>
        <w:ind w:left="993" w:hanging="993"/>
      </w:pPr>
      <w:r>
        <w:t>StP</w:t>
      </w:r>
      <w:r>
        <w:tab/>
      </w:r>
      <w:r>
        <w:tab/>
        <w:t>Staklenički plin</w:t>
      </w:r>
    </w:p>
    <w:p w:rsidR="00E06442" w:rsidRDefault="00E06442" w:rsidP="00E06442">
      <w:pPr>
        <w:pStyle w:val="HStandard"/>
        <w:ind w:left="993" w:hanging="993"/>
      </w:pPr>
      <w:r>
        <w:t>SWOT</w:t>
      </w:r>
      <w:r>
        <w:tab/>
      </w:r>
      <w:r>
        <w:tab/>
        <w:t>Snage, slabosti, prilike, prijetnje</w:t>
      </w:r>
    </w:p>
    <w:p w:rsidR="00E06442" w:rsidRDefault="00E06442" w:rsidP="00E06442">
      <w:pPr>
        <w:pStyle w:val="HStandard"/>
        <w:ind w:left="993" w:hanging="993"/>
      </w:pPr>
      <w:r>
        <w:t>TP</w:t>
      </w:r>
      <w:r>
        <w:tab/>
      </w:r>
      <w:r>
        <w:tab/>
        <w:t>Tehnička pomoć</w:t>
      </w:r>
    </w:p>
    <w:p w:rsidR="00E06442" w:rsidRDefault="00E06442" w:rsidP="00E06442">
      <w:pPr>
        <w:pStyle w:val="HStandard"/>
        <w:ind w:left="993" w:hanging="993"/>
      </w:pPr>
      <w:r>
        <w:t>U</w:t>
      </w:r>
      <w:r>
        <w:tab/>
      </w:r>
      <w:r>
        <w:tab/>
        <w:t>Pokazatelj učinka</w:t>
      </w:r>
    </w:p>
    <w:p w:rsidR="00E06442" w:rsidRDefault="00E06442" w:rsidP="00E06442">
      <w:pPr>
        <w:pStyle w:val="HStandard"/>
        <w:ind w:left="993" w:hanging="993"/>
      </w:pPr>
      <w:r>
        <w:t>UFP</w:t>
      </w:r>
      <w:r>
        <w:tab/>
      </w:r>
      <w:r>
        <w:tab/>
        <w:t>Ukupna faktorska produktivnost</w:t>
      </w:r>
    </w:p>
    <w:p w:rsidR="00E06442" w:rsidRDefault="00E06442" w:rsidP="00E06442">
      <w:pPr>
        <w:pStyle w:val="HStandard"/>
        <w:ind w:left="993" w:hanging="993"/>
      </w:pPr>
      <w:r>
        <w:t>UG</w:t>
      </w:r>
      <w:r>
        <w:tab/>
      </w:r>
      <w:r>
        <w:tab/>
        <w:t>Uvjetno grlo</w:t>
      </w:r>
    </w:p>
    <w:p w:rsidR="00E06442" w:rsidRDefault="00E06442" w:rsidP="00E06442">
      <w:pPr>
        <w:pStyle w:val="HStandard"/>
        <w:ind w:left="993" w:hanging="993"/>
      </w:pPr>
      <w:r>
        <w:t>UT</w:t>
      </w:r>
      <w:r>
        <w:tab/>
      </w:r>
      <w:r>
        <w:tab/>
        <w:t>Upravljačko tijelo</w:t>
      </w:r>
    </w:p>
    <w:p w:rsidR="00E06442" w:rsidRDefault="00E06442" w:rsidP="00E06442">
      <w:pPr>
        <w:pStyle w:val="HStandard"/>
        <w:ind w:left="993" w:hanging="993"/>
      </w:pPr>
      <w:r>
        <w:t>VP</w:t>
      </w:r>
      <w:r>
        <w:tab/>
      </w:r>
      <w:r>
        <w:tab/>
        <w:t>Područje riječnih slivova</w:t>
      </w:r>
    </w:p>
    <w:p w:rsidR="00E06442" w:rsidRDefault="00E06442" w:rsidP="00E06442">
      <w:pPr>
        <w:pStyle w:val="HStandard"/>
        <w:ind w:left="993" w:hanging="993"/>
      </w:pPr>
      <w:r>
        <w:t>ZEP</w:t>
      </w:r>
      <w:r>
        <w:tab/>
      </w:r>
      <w:r>
        <w:tab/>
        <w:t>Zajednička evaluacijska pitanja</w:t>
      </w:r>
    </w:p>
    <w:p w:rsidR="00E06442" w:rsidRDefault="00E06442" w:rsidP="00E06442">
      <w:pPr>
        <w:pStyle w:val="HStandard"/>
        <w:ind w:left="993" w:hanging="993"/>
      </w:pPr>
      <w:r>
        <w:t>ZIC</w:t>
      </w:r>
      <w:r>
        <w:tab/>
      </w:r>
      <w:r>
        <w:tab/>
        <w:t>Zajednički istraživački centar</w:t>
      </w:r>
    </w:p>
    <w:p w:rsidR="00E06442" w:rsidRDefault="00E06442" w:rsidP="00E06442">
      <w:pPr>
        <w:pStyle w:val="HStandard"/>
        <w:ind w:left="993" w:hanging="993"/>
      </w:pPr>
      <w:r>
        <w:t>ZPK</w:t>
      </w:r>
      <w:r>
        <w:tab/>
      </w:r>
      <w:r>
        <w:tab/>
        <w:t>Zajednički pokazatelji konteksta</w:t>
      </w:r>
    </w:p>
    <w:p w:rsidR="00E06442" w:rsidRDefault="00E06442" w:rsidP="00E06442">
      <w:pPr>
        <w:pStyle w:val="HStandard"/>
        <w:ind w:left="993" w:hanging="993"/>
      </w:pPr>
      <w:r>
        <w:t>ZPP</w:t>
      </w:r>
      <w:r>
        <w:tab/>
      </w:r>
      <w:r>
        <w:tab/>
        <w:t>Zajednička poljoprivredna politika</w:t>
      </w:r>
    </w:p>
    <w:p w:rsidR="00E06442" w:rsidRDefault="00E06442" w:rsidP="00E06442">
      <w:pPr>
        <w:pStyle w:val="HStandard"/>
        <w:ind w:left="993" w:hanging="993"/>
      </w:pPr>
      <w:r>
        <w:t xml:space="preserve">ZSPE </w:t>
      </w:r>
      <w:r>
        <w:tab/>
      </w:r>
      <w:r>
        <w:tab/>
        <w:t>Zajednički sustav praćenja i evaluacije</w:t>
      </w:r>
    </w:p>
    <w:p w:rsidR="00D32538" w:rsidRPr="001C6ACF" w:rsidRDefault="00E06442" w:rsidP="00E06442">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r>
        <w:t>ŽP</w:t>
      </w:r>
      <w:r>
        <w:tab/>
      </w:r>
      <w:r>
        <w:tab/>
        <w:t>Žarišno područje</w:t>
      </w:r>
    </w:p>
    <w:p w:rsidR="006F7D30" w:rsidRPr="001C6ACF" w:rsidRDefault="006F7D30" w:rsidP="006F7D30">
      <w:pPr>
        <w:pStyle w:val="HHeading1"/>
        <w:numPr>
          <w:ilvl w:val="0"/>
          <w:numId w:val="0"/>
        </w:numPr>
        <w:rPr>
          <w:sz w:val="28"/>
        </w:rPr>
      </w:pPr>
      <w:r>
        <w:rPr>
          <w:sz w:val="28"/>
        </w:rPr>
        <w:lastRenderedPageBreak/>
        <w:t>Zahvale</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Smjernice je sastavila međunarodna skupina stručnjaka za evaluaciju ruralnog razvoja, među kojima su Jerzy Michalek (sektorski učinci), Demetrios Psaltopoulos (društveno-gospodarski učinci), Marili Parisaki (kvalitativne metode), Tomáš Ratinger (sektorski učinci), Gerald Schwarz (učinci na okoliš), Dimitris Skuras (učinci na okoliš), Darko Znaor (učinci na okoliš). Rad nadležne tematske radne skupine koordinirala je Služba za podršku evaluaciji pod vodstvom Jele Tvrdonove i Hannesa Wimmera. Doprinos izradi Smjernica dali su i Valérie Dumont, Myles Stiffler, Matteo Metta, Valdis Kudins i Harriet Mackaill-Hill, koji su se pobrinuli za kvalitetu i izgled konačne inačice Smjernica. </w:t>
      </w:r>
    </w:p>
    <w:p w:rsidR="00EB120C" w:rsidRPr="001C6ACF" w:rsidRDefault="00EB120C" w:rsidP="00EB120C">
      <w:pPr>
        <w:spacing w:after="120" w:line="280" w:lineRule="atLeast"/>
        <w:rPr>
          <w:i/>
          <w:iCs/>
          <w:color w:val="373737" w:themeColor="text1"/>
          <w:sz w:val="20"/>
          <w:szCs w:val="20"/>
        </w:rPr>
      </w:pPr>
      <w:r>
        <w:rPr>
          <w:i/>
          <w:color w:val="373737" w:themeColor="text1"/>
          <w:sz w:val="20"/>
        </w:rPr>
        <w:t>Različiti stručnjaci sudjelovali su u ulozi stručnih revizora (Rolf Bergs, Kit Macleod, Žymantas Morkvėnas). Predstavnici GU-a za poljoprivredu i ruralni razvoj pobrinuli su se za usklađenost Smjernica s okvirom politike EU-a.</w:t>
      </w:r>
    </w:p>
    <w:p w:rsidR="006F7D30" w:rsidRPr="001C6ACF" w:rsidRDefault="00EB120C" w:rsidP="00EB120C">
      <w:pPr>
        <w:pStyle w:val="HStandard"/>
      </w:pPr>
      <w:r>
        <w:rPr>
          <w:i/>
        </w:rPr>
        <w:t>Predstavnici država članica iznijeli su svoje primjedbe o nacrtima Smjernica tijekom savjetovanja u okviru skupine za razmjenu mišljenja održan</w:t>
      </w:r>
      <w:r w:rsidR="005837EC">
        <w:rPr>
          <w:i/>
        </w:rPr>
        <w:t>og</w:t>
      </w:r>
      <w:r>
        <w:rPr>
          <w:i/>
        </w:rPr>
        <w:t xml:space="preserve"> u siječnju i travnju 2018. Članovi Stručne skupine za praćenje i evaluaciju ZPP-a iznijeli su svoje primjedbe o konačnom nacrtu Smjernica u lipnju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UVOD</w:t>
      </w:r>
    </w:p>
    <w:p w:rsidR="00CD63F6" w:rsidRPr="001C6ACF" w:rsidRDefault="00CD63F6" w:rsidP="00CD63F6">
      <w:pPr>
        <w:pStyle w:val="HHeading4"/>
      </w:pPr>
      <w:r>
        <w:t>Važnost evaluacije</w:t>
      </w:r>
    </w:p>
    <w:p w:rsidR="00CD63F6" w:rsidRPr="001C6ACF" w:rsidRDefault="00CD63F6" w:rsidP="00CD63F6">
      <w:pPr>
        <w:pStyle w:val="HStandard"/>
      </w:pPr>
      <w:r>
        <w:t xml:space="preserve">Europski strukturni i investicijski fondovi (ESIF) važni su </w:t>
      </w:r>
      <w:r>
        <w:rPr>
          <w:b/>
        </w:rPr>
        <w:t>javni instrumenti</w:t>
      </w:r>
      <w:r>
        <w:t xml:space="preserve"> za potporu aktivnostima povezanima s glavnim prioritetima Unije, koji se ostvaruju putem višegodišnjih programa u državama članicama i regijama. Stoga je u interesu oblikovatelja politika i javnosti da znaju troši li se novac odgovorno i ostvaruju li se očekivani rezultati te jesu li intervencije usmjerene na prave korisnike kako bi se ostvarili ciljevi politike EU-a. </w:t>
      </w:r>
    </w:p>
    <w:p w:rsidR="00CD63F6" w:rsidRPr="001C6ACF" w:rsidRDefault="00CD63F6" w:rsidP="00CC00DA">
      <w:pPr>
        <w:pStyle w:val="HStandard"/>
      </w:pPr>
      <w:r>
        <w:rPr>
          <w:b/>
        </w:rPr>
        <w:t>Evaluacija</w:t>
      </w:r>
      <w:r>
        <w:t xml:space="preserve"> je alat za mjerenje djelotvornosti, učinkovitosti, rezultata i učinaka</w:t>
      </w:r>
      <w:r>
        <w:rPr>
          <w:rStyle w:val="FootnoteReference"/>
        </w:rPr>
        <w:footnoteReference w:id="1"/>
      </w:r>
      <w:r>
        <w:t xml:space="preserve"> politike, njezine relevantnosti i dosljednosti te dodane vrijed</w:t>
      </w:r>
      <w:r w:rsidR="005837EC">
        <w:t>nosti EU-a, kako bi se osigurala njezina</w:t>
      </w:r>
      <w:r>
        <w:t xml:space="preserve"> odgovornost i transparentnost te u konačnici poboljšala njezina izrada. U kontekstu</w:t>
      </w:r>
      <w:r>
        <w:rPr>
          <w:b/>
        </w:rPr>
        <w:t xml:space="preserve"> </w:t>
      </w:r>
      <w:r>
        <w:t xml:space="preserve">ruralnog razvoja postoje dvije ključne faze evaluacije </w:t>
      </w:r>
      <w:r>
        <w:rPr>
          <w:b/>
        </w:rPr>
        <w:t>u programskom razdoblju 2014.–2020</w:t>
      </w:r>
      <w:r>
        <w:t xml:space="preserve">.: jedna 2017., kada dionici procjenjuju rezultate politike, i druga 2019., kada se mjere rezultati politike i učinci. Osim toga, </w:t>
      </w:r>
      <w:r>
        <w:rPr>
          <w:b/>
        </w:rPr>
        <w:t>nakon programskog razdoblja</w:t>
      </w:r>
      <w:r>
        <w:t xml:space="preserve"> provodi se </w:t>
      </w:r>
      <w:r>
        <w:rPr>
          <w:i/>
        </w:rPr>
        <w:t>ex post</w:t>
      </w:r>
      <w:r>
        <w:t xml:space="preserve"> evaluacija.</w:t>
      </w:r>
      <w:r>
        <w:rPr>
          <w:b/>
        </w:rPr>
        <w:t xml:space="preserve"> </w:t>
      </w:r>
    </w:p>
    <w:p w:rsidR="00CD63F6" w:rsidRPr="001C6ACF" w:rsidRDefault="00CD63F6" w:rsidP="005C0884">
      <w:pPr>
        <w:pStyle w:val="HHeading4"/>
      </w:pPr>
      <w:r>
        <w:t xml:space="preserve">Svrha Smjernica </w:t>
      </w:r>
    </w:p>
    <w:p w:rsidR="00CD63F6" w:rsidRPr="00571D58" w:rsidRDefault="00BD7C99" w:rsidP="00CD63F6">
      <w:pPr>
        <w:pStyle w:val="HStandard"/>
      </w:pPr>
      <w:r>
        <w:t>Pravnim okvirom zahtijeva se od država članica da 2019. izvijeste o postignućima PRR-a u ostvarivanju ciljeva programa te njegovu doprinosu strategiji EU-a za pametan, održiv i uključiv rast. One tu obvezu ispunjuju putem godišnjih izvješća o provedbi koja se podnose 2019. Evaluacijama bi se trebao procijeniti neto doprinos programa promjenama vrijednosti pokazatelja učinka ZPP-a te odgovoriti na evaluacijska pitanja</w:t>
      </w:r>
      <w:r>
        <w:rPr>
          <w:rStyle w:val="FootnoteReference"/>
        </w:rPr>
        <w:footnoteReference w:id="2"/>
      </w:r>
      <w:r>
        <w:t xml:space="preserve">. </w:t>
      </w:r>
    </w:p>
    <w:p w:rsidR="00CD63F6" w:rsidRPr="001C6ACF" w:rsidRDefault="009642AA" w:rsidP="009F77FD">
      <w:pPr>
        <w:pStyle w:val="HStandard"/>
      </w:pPr>
      <w:r>
        <w:t xml:space="preserve">Cilj je ovih Smjernica </w:t>
      </w:r>
      <w:r>
        <w:rPr>
          <w:b/>
        </w:rPr>
        <w:t>ispitati izazove</w:t>
      </w:r>
      <w:r>
        <w:t xml:space="preserve"> povezane s aktivnostima evaluacije za GIP koji se podnosi 2019., </w:t>
      </w:r>
      <w:r>
        <w:rPr>
          <w:b/>
        </w:rPr>
        <w:t>prikazati praktične pristupe</w:t>
      </w:r>
      <w:r>
        <w:t xml:space="preserve"> procjeni neto doprinosa PRR-a zajedničkim pokazateljima učinka ZPP-a i procijeniti napredak u ostvarivanju ciljeva na razini EU-a te </w:t>
      </w:r>
      <w:r>
        <w:rPr>
          <w:b/>
        </w:rPr>
        <w:t>pomoći u odgovaranju</w:t>
      </w:r>
      <w:r>
        <w:t xml:space="preserve"> na zajednička evaluacijska pitanja (ZEP) od 22. do 30. i izvješćivanju Europske komisije o nalazima evaluacije u GIP-ovima koji se podnose 2019.</w:t>
      </w:r>
    </w:p>
    <w:p w:rsidR="00CD63F6" w:rsidRPr="001C6ACF" w:rsidRDefault="00CD63F6" w:rsidP="005C0884">
      <w:pPr>
        <w:pStyle w:val="HHeading4"/>
      </w:pPr>
      <w:r>
        <w:t xml:space="preserve">Struktura i sadržaj Smjernica </w:t>
      </w:r>
    </w:p>
    <w:p w:rsidR="00CD63F6" w:rsidRPr="001C6ACF" w:rsidRDefault="00BD7C99" w:rsidP="005C0884">
      <w:pPr>
        <w:pStyle w:val="HStandard"/>
      </w:pPr>
      <w:r>
        <w:rPr>
          <w:b/>
        </w:rPr>
        <w:t>NEOBVEZUJUĆE smjernice</w:t>
      </w:r>
      <w:r>
        <w:t xml:space="preserve"> </w:t>
      </w:r>
      <w:r>
        <w:rPr>
          <w:i/>
        </w:rPr>
        <w:t>Procjena postignuća i učinaka PRR-a 2019.</w:t>
      </w:r>
      <w:r>
        <w:t xml:space="preserve"> obuhvaćaju sljedeće: </w:t>
      </w:r>
    </w:p>
    <w:p w:rsidR="00CD63F6" w:rsidRPr="001C6ACF" w:rsidRDefault="008358D0" w:rsidP="00AD4DC6">
      <w:pPr>
        <w:pStyle w:val="Hlistbullet"/>
        <w:spacing w:line="276" w:lineRule="auto"/>
      </w:pPr>
      <w:r>
        <w:rPr>
          <w:b/>
          <w:color w:val="F07E31" w:themeColor="accent1"/>
        </w:rPr>
        <w:t>DIO I.</w:t>
      </w:r>
      <w:r>
        <w:t xml:space="preserve"> </w:t>
      </w:r>
      <w:r>
        <w:rPr>
          <w:b/>
          <w:color w:val="F07E31" w:themeColor="accent1"/>
        </w:rPr>
        <w:t xml:space="preserve">(ponajprije namijenjen upravljačkim tijelima): </w:t>
      </w:r>
      <w:r>
        <w:t>daje se pregled pravnih zahtjeva i navodi se kako 2019. izvijestiti o ZEP-ovima od 22. do 30. Dio I. sadržava upućivanja na ostale postojeće smjernice</w:t>
      </w:r>
    </w:p>
    <w:p w:rsidR="00CD63F6" w:rsidRPr="001C6ACF" w:rsidRDefault="008358D0" w:rsidP="00AD4DC6">
      <w:pPr>
        <w:pStyle w:val="Hlistbullet"/>
        <w:spacing w:line="276" w:lineRule="auto"/>
      </w:pPr>
      <w:r>
        <w:rPr>
          <w:b/>
          <w:color w:val="F07E31" w:themeColor="accent1"/>
        </w:rPr>
        <w:t>DIO II.</w:t>
      </w:r>
      <w:r>
        <w:t xml:space="preserve"> </w:t>
      </w:r>
      <w:r>
        <w:rPr>
          <w:b/>
          <w:color w:val="F07E31" w:themeColor="accent1"/>
        </w:rPr>
        <w:t>(ponajprije namijenjen evaluatorima):</w:t>
      </w:r>
      <w:r>
        <w:t xml:space="preserve"> pruža se metodološka podrška za procjenu zajedničkih pokazatelja učinka II. stupa (sektorski učinci, učinci na okoliš i društveno-gospodarski učinci). U tom se dijelu objašnjavaju logike intervencije, upotreba dodatnih elemenata evaluacije, zahtjevi u pogledu podataka i jedinice procjene te služi kao vodič za odabir najprimjerenijih pristupa evaluaciji za utvrđivanje neto doprinosa PRR-a vrijednostima pokazatelja učinka ZPP-a. U njemu se, nadalje, predlažu pristupi za procjenu doprinosa PRR-a ostvarivanju strategije Europa 2020. i inovacijama</w:t>
      </w:r>
    </w:p>
    <w:p w:rsidR="00800238" w:rsidRPr="001C6ACF" w:rsidRDefault="00800238" w:rsidP="00AD4DC6">
      <w:pPr>
        <w:pStyle w:val="Hlistbullet"/>
        <w:spacing w:line="276" w:lineRule="auto"/>
      </w:pPr>
      <w:r>
        <w:rPr>
          <w:b/>
          <w:color w:val="F07E31" w:themeColor="accent1"/>
        </w:rPr>
        <w:t>DIO III.:</w:t>
      </w:r>
      <w:r>
        <w:rPr>
          <w:color w:val="F07E31" w:themeColor="accent1"/>
        </w:rPr>
        <w:t xml:space="preserve"> </w:t>
      </w:r>
      <w:r>
        <w:t>sadržava opisne listove za odgovaranje na ZEP-ove od 22. do 30.</w:t>
      </w:r>
    </w:p>
    <w:p w:rsidR="00CD63F6" w:rsidRPr="001C6ACF" w:rsidRDefault="00FE491B" w:rsidP="00AD4DC6">
      <w:pPr>
        <w:pStyle w:val="Hlistbullet"/>
        <w:spacing w:line="276" w:lineRule="auto"/>
      </w:pPr>
      <w:r>
        <w:rPr>
          <w:b/>
          <w:color w:val="F07E31" w:themeColor="accent1"/>
        </w:rPr>
        <w:t>D</w:t>
      </w:r>
      <w:r w:rsidR="009018D5">
        <w:rPr>
          <w:b/>
          <w:color w:val="F07E31" w:themeColor="accent1"/>
        </w:rPr>
        <w:t>IO</w:t>
      </w:r>
      <w:r>
        <w:rPr>
          <w:b/>
          <w:color w:val="F07E31" w:themeColor="accent1"/>
        </w:rPr>
        <w:t xml:space="preserve"> IV.: </w:t>
      </w:r>
      <w:r>
        <w:t>sadržava</w:t>
      </w:r>
      <w:r>
        <w:rPr>
          <w:b/>
        </w:rPr>
        <w:t xml:space="preserve"> </w:t>
      </w:r>
      <w:r>
        <w:t xml:space="preserve">tehnički prilog u kojem se navode detaljnije informacije o pristupima procjeni pokazatelja učinka ZPP-a i pojmovnik. </w:t>
      </w:r>
    </w:p>
    <w:p w:rsidR="001C2076" w:rsidRPr="001C6ACF" w:rsidRDefault="001C2076" w:rsidP="008D52EA">
      <w:pPr>
        <w:pStyle w:val="HHeading1"/>
        <w:tabs>
          <w:tab w:val="clear" w:pos="474"/>
          <w:tab w:val="clear" w:pos="567"/>
        </w:tabs>
        <w:rPr>
          <w:sz w:val="28"/>
        </w:rPr>
      </w:pPr>
      <w:r>
        <w:rPr>
          <w:sz w:val="28"/>
        </w:rPr>
        <w:lastRenderedPageBreak/>
        <w:t>Što treba sadržavati izvješće o evaluaciji u GIP-u koji se podnosi 2019.? (Dio I.)</w:t>
      </w:r>
    </w:p>
    <w:p w:rsidR="001C2076" w:rsidRPr="001C6ACF" w:rsidRDefault="000C5796" w:rsidP="00CE2BAE">
      <w:pPr>
        <w:pStyle w:val="HHeading2"/>
      </w:pPr>
      <w:r>
        <w:t xml:space="preserve">Pravni okvir i glavna tema evaluacije 2019. </w:t>
      </w:r>
    </w:p>
    <w:p w:rsidR="00B013D7" w:rsidRPr="00571D58" w:rsidRDefault="006A3698" w:rsidP="001C2076">
      <w:pPr>
        <w:pStyle w:val="HStandard"/>
      </w:pPr>
      <w:r>
        <w:t>Počevši od lipnja 2016., države članice svake godine do 2024.</w:t>
      </w:r>
      <w:r>
        <w:rPr>
          <w:rStyle w:val="FootnoteReference"/>
        </w:rPr>
        <w:footnoteReference w:id="3"/>
      </w:r>
      <w:r>
        <w:t xml:space="preserve"> Europskoj komisiji dostavljaju GIP. U GIP-u se navode informacije o provedbi PRR-a i o napretku provedbe plana evaluacije</w:t>
      </w:r>
      <w:r>
        <w:rPr>
          <w:rStyle w:val="FootnoteReference"/>
        </w:rPr>
        <w:footnoteReference w:id="4"/>
      </w:r>
      <w:r>
        <w:t xml:space="preserve">. </w:t>
      </w:r>
    </w:p>
    <w:p w:rsidR="001C2076" w:rsidRPr="0036731C" w:rsidRDefault="001C2076" w:rsidP="001C2076">
      <w:pPr>
        <w:pStyle w:val="HStandard"/>
      </w:pPr>
      <w:r>
        <w:rPr>
          <w:b/>
        </w:rPr>
        <w:t>GIP</w:t>
      </w:r>
      <w:r>
        <w:t xml:space="preserve"> </w:t>
      </w:r>
      <w:r>
        <w:rPr>
          <w:b/>
        </w:rPr>
        <w:t>za 2017.</w:t>
      </w:r>
      <w:r>
        <w:t xml:space="preserve"> uključivao je kvantifikaciju postignuća programa (ocjenom pokazatelja rezultata, uključujući dopunske pokazatelje rezultata). Za tumačenje pokazatelja rezultata i odgovaranje na ZEP-ove</w:t>
      </w:r>
      <w:r>
        <w:rPr>
          <w:rStyle w:val="FootnoteReference"/>
        </w:rPr>
        <w:footnoteReference w:id="5"/>
      </w:r>
      <w:r>
        <w:t xml:space="preserve"> od1. do 21. upotrijebljeni su kriteriji prosudbe. </w:t>
      </w:r>
      <w:r>
        <w:rPr>
          <w:i/>
        </w:rPr>
        <w:t xml:space="preserve">Smjernice </w:t>
      </w:r>
      <w:hyperlink r:id="rId14">
        <w:r>
          <w:rPr>
            <w:rStyle w:val="Hyperlink"/>
            <w:i/>
          </w:rPr>
          <w:t>„Procjena rezultata PRR-a: kako se pripremiti za izvješćivanje o evaluaciji 2017.”</w:t>
        </w:r>
      </w:hyperlink>
      <w:r>
        <w:t xml:space="preserve"> mogu isto tako pomoći u tim aktivnostima, što znači da su relevantne i za postupak za 2019.</w:t>
      </w:r>
      <w:r>
        <w:rPr>
          <w:rStyle w:val="FootnoteReference"/>
        </w:rPr>
        <w:footnoteReference w:id="6"/>
      </w:r>
      <w:r>
        <w:t xml:space="preserve"> </w:t>
      </w:r>
    </w:p>
    <w:p w:rsidR="00BA41C1" w:rsidRPr="001C6ACF" w:rsidRDefault="001C2076" w:rsidP="001C2076">
      <w:pPr>
        <w:pStyle w:val="HStandard"/>
      </w:pPr>
      <w:r>
        <w:t xml:space="preserve">U </w:t>
      </w:r>
      <w:r>
        <w:rPr>
          <w:b/>
        </w:rPr>
        <w:t>GIP-u</w:t>
      </w:r>
      <w:r>
        <w:t xml:space="preserve"> koji se podnosi </w:t>
      </w:r>
      <w:r>
        <w:rPr>
          <w:b/>
        </w:rPr>
        <w:t>2019.</w:t>
      </w:r>
      <w:r>
        <w:t xml:space="preserve"> moraju se navesti ažurirani podaci o nalazima evaluacije navedenima u izvješću iz 2017. i, </w:t>
      </w:r>
      <w:r>
        <w:rPr>
          <w:u w:val="single"/>
        </w:rPr>
        <w:t xml:space="preserve">dodatno, </w:t>
      </w:r>
      <w:r>
        <w:t>sljedeće:</w:t>
      </w:r>
    </w:p>
    <w:p w:rsidR="00BA41C1" w:rsidRPr="001C6ACF" w:rsidRDefault="001C2076" w:rsidP="00BA41C1">
      <w:pPr>
        <w:pStyle w:val="Hlistbullet"/>
      </w:pPr>
      <w:r>
        <w:t xml:space="preserve">nalazi procjene učinaka PRR-a dobiveni izračunom i tumačenjem neto vrijednosti pokazatelja učinka ZPP-a </w:t>
      </w:r>
    </w:p>
    <w:p w:rsidR="00BA41C1" w:rsidRPr="001C6ACF" w:rsidRDefault="00BA41C1" w:rsidP="00BA41C1">
      <w:pPr>
        <w:pStyle w:val="Hlistbullet"/>
      </w:pPr>
      <w:r>
        <w:t xml:space="preserve">doprinosi PRR-a ostvarenju strategije EU-a za pametan, održiv i uključiv rast te strategije za biološku raznolikost i </w:t>
      </w:r>
    </w:p>
    <w:p w:rsidR="001C2076" w:rsidRPr="001C6ACF" w:rsidRDefault="00BA41C1" w:rsidP="00BA41C1">
      <w:pPr>
        <w:pStyle w:val="Hlistbullet"/>
      </w:pPr>
      <w:r>
        <w:t>odgovori na ZEP-ove za PRR-ove za 2014.–2020. koji se odnose na ciljeve na razini EU-a (tj. ZEP-ove od 22. do 30.).</w:t>
      </w:r>
    </w:p>
    <w:p w:rsidR="001C2076" w:rsidRPr="0036731C" w:rsidRDefault="00CA1C02" w:rsidP="001C2076">
      <w:pPr>
        <w:pStyle w:val="HStandard"/>
      </w:pPr>
      <w:r>
        <w:t>Na slici u nastavku nalazi se pregled glavnih zahtjeva u pogledu izvješćivanja o evaluaciji u GIP-ovima tijekom programskog razdoblja kako su navedeni u pravnom okviru</w:t>
      </w:r>
      <w:r>
        <w:rPr>
          <w:rStyle w:val="FootnoteReference"/>
        </w:rPr>
        <w:footnoteReference w:id="7"/>
      </w:r>
      <w:r>
        <w:t xml:space="preserve"> i povezanim smjernicama. </w:t>
      </w:r>
    </w:p>
    <w:p w:rsidR="001C2076" w:rsidRPr="00FB6C06" w:rsidRDefault="00C15E30" w:rsidP="00C15E30">
      <w:pPr>
        <w:pStyle w:val="HHeadingfigures"/>
        <w:numPr>
          <w:ilvl w:val="0"/>
          <w:numId w:val="0"/>
        </w:numPr>
        <w:tabs>
          <w:tab w:val="clear" w:pos="2666"/>
        </w:tabs>
      </w:pPr>
      <w:r>
        <w:t xml:space="preserve">Slika 1. </w:t>
      </w:r>
      <w:r>
        <w:tab/>
      </w:r>
      <w:r w:rsidR="00CA1C02">
        <w:t xml:space="preserve">Izvješćivanje o evaluaciji (u skladu s Prilogom VII. Uredbi (EU) br. 808/2014) </w:t>
      </w:r>
    </w:p>
    <w:p w:rsidR="001C2076" w:rsidRPr="00571D58" w:rsidRDefault="00496BA7" w:rsidP="00744BAA">
      <w:pPr>
        <w:pStyle w:val="HStandard"/>
        <w:jc w:val="center"/>
      </w:pPr>
      <w:r w:rsidRPr="00496BA7">
        <w:rPr>
          <w:noProof/>
          <w:lang w:val="en-GB" w:eastAsia="en-GB" w:bidi="ar-SA"/>
        </w:rPr>
        <w:drawing>
          <wp:inline distT="0" distB="0" distL="0" distR="0">
            <wp:extent cx="5731510" cy="33604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60420"/>
                    </a:xfrm>
                    <a:prstGeom prst="rect">
                      <a:avLst/>
                    </a:prstGeom>
                    <a:noFill/>
                    <a:ln>
                      <a:noFill/>
                    </a:ln>
                  </pic:spPr>
                </pic:pic>
              </a:graphicData>
            </a:graphic>
          </wp:inline>
        </w:drawing>
      </w:r>
    </w:p>
    <w:p w:rsidR="001C2076" w:rsidRPr="007645B4" w:rsidRDefault="001C2076" w:rsidP="008D52EA">
      <w:pPr>
        <w:pStyle w:val="HSource"/>
        <w:rPr>
          <w:i w:val="0"/>
        </w:rPr>
      </w:pPr>
      <w:r>
        <w:lastRenderedPageBreak/>
        <w:t>Izvor: Europska služba za podršku evaluaciji ruralnog razvoja (2018.)</w:t>
      </w:r>
    </w:p>
    <w:p w:rsidR="00E52E73" w:rsidRPr="007645B4" w:rsidRDefault="00E52E73" w:rsidP="00E52E73">
      <w:pPr>
        <w:pStyle w:val="HHeading4"/>
      </w:pPr>
      <w:r>
        <w:t xml:space="preserve">Pravni okvir </w:t>
      </w:r>
    </w:p>
    <w:p w:rsidR="00DE65AB" w:rsidRPr="001C6ACF" w:rsidRDefault="00BA41C1" w:rsidP="001C2076">
      <w:pPr>
        <w:pStyle w:val="HStandard"/>
      </w:pPr>
      <w:r>
        <w:t xml:space="preserve">Pravnim okvirom i zajedničkim sustavom praćenja i evaluacije (ZSPE) osiguravaju se temelji za evaluaciju PRR-ova. </w:t>
      </w:r>
    </w:p>
    <w:p w:rsidR="001A2395" w:rsidRPr="00863E73" w:rsidRDefault="00BA41C1" w:rsidP="001C2076">
      <w:pPr>
        <w:pStyle w:val="HStandard"/>
      </w:pPr>
      <w:r>
        <w:rPr>
          <w:b/>
        </w:rPr>
        <w:t>Pravni okvir</w:t>
      </w:r>
      <w:r>
        <w:rPr>
          <w:rStyle w:val="FootnoteReference"/>
        </w:rPr>
        <w:footnoteReference w:id="8"/>
      </w:r>
      <w:r>
        <w:t xml:space="preserve"> temelj je za evaluaciju postignuća PRR-ova i njihova doprinosa ostvarenju viših ciljeva politike EU-a. </w:t>
      </w:r>
    </w:p>
    <w:p w:rsidR="001C2076" w:rsidRPr="001C6ACF" w:rsidRDefault="00CA1C02" w:rsidP="001C2076">
      <w:pPr>
        <w:pStyle w:val="HStandard"/>
      </w:pPr>
      <w:r>
        <w:rPr>
          <w:b/>
        </w:rPr>
        <w:t>Opće odredbe</w:t>
      </w:r>
      <w:r>
        <w:t xml:space="preserve"> o evaluaciji propisane su </w:t>
      </w:r>
      <w:r>
        <w:rPr>
          <w:b/>
        </w:rPr>
        <w:t>Uredbom (EU) br. 1303/2013</w:t>
      </w:r>
      <w:r>
        <w:t xml:space="preserve"> i u njima se određuje uloga evaluacije u:</w:t>
      </w:r>
    </w:p>
    <w:p w:rsidR="001C2076" w:rsidRPr="001C6ACF" w:rsidRDefault="001C2076" w:rsidP="008D52EA">
      <w:pPr>
        <w:pStyle w:val="Hlistbullet"/>
      </w:pPr>
      <w:r>
        <w:t xml:space="preserve">poboljšanju kvalitete izrade i provedbe programa i </w:t>
      </w:r>
    </w:p>
    <w:p w:rsidR="001C2076" w:rsidRPr="00571D58" w:rsidRDefault="001C2076" w:rsidP="008D52EA">
      <w:pPr>
        <w:pStyle w:val="Hlistbullet"/>
      </w:pPr>
      <w:r>
        <w:t>vrednovanju djelotvornosti, učinkovitosti i učinaka programa</w:t>
      </w:r>
      <w:r>
        <w:rPr>
          <w:rStyle w:val="FootnoteReference"/>
        </w:rPr>
        <w:footnoteReference w:id="9"/>
      </w:r>
      <w:r>
        <w:t xml:space="preserve">. </w:t>
      </w:r>
    </w:p>
    <w:p w:rsidR="00087412" w:rsidRPr="001C6ACF" w:rsidRDefault="00D42EC7" w:rsidP="001C2076">
      <w:pPr>
        <w:pStyle w:val="HStandard"/>
      </w:pPr>
      <w:r>
        <w:t xml:space="preserve">U tu svrhu države članice osiguravaju </w:t>
      </w:r>
      <w:r>
        <w:rPr>
          <w:b/>
        </w:rPr>
        <w:t>potrebna sredstva za provedbu evaluacija</w:t>
      </w:r>
      <w:r>
        <w:t xml:space="preserve"> te se brinu za to da su uspostavljeni postupci za </w:t>
      </w:r>
      <w:r>
        <w:rPr>
          <w:b/>
        </w:rPr>
        <w:t>stvaranje i prikupljanje podataka koji su potrebni za evaluacije</w:t>
      </w:r>
      <w:r>
        <w:t xml:space="preserve">, uključujući podatke koji se odnose na zajedničke pokazatelje i, prema potrebi, pokazatelje za pojedine programe. </w:t>
      </w:r>
    </w:p>
    <w:p w:rsidR="001C2076" w:rsidRPr="00571D58" w:rsidRDefault="001C2076" w:rsidP="001C2076">
      <w:pPr>
        <w:pStyle w:val="HStandard"/>
      </w:pPr>
      <w:r>
        <w:t xml:space="preserve">Evaluacija se provodi u skladu s </w:t>
      </w:r>
      <w:r>
        <w:rPr>
          <w:b/>
        </w:rPr>
        <w:t>planom evaluacije,</w:t>
      </w:r>
      <w:r>
        <w:t xml:space="preserve"> a njezini se nalazi prate u skladu s pravilima za pojedine fondove. Najmanje jednom tijekom programskog razdoblja evaluacijom se procjenjuje na koji se način potporom iz ESIF-a pridonijelo ostvarenju ciljeva svakog prioriteta</w:t>
      </w:r>
      <w:r>
        <w:rPr>
          <w:rStyle w:val="FootnoteReference"/>
        </w:rPr>
        <w:footnoteReference w:id="10"/>
      </w:r>
      <w:r>
        <w:t>.</w:t>
      </w:r>
    </w:p>
    <w:p w:rsidR="001C2076" w:rsidRPr="00571D58" w:rsidRDefault="001C2076" w:rsidP="001C2076">
      <w:pPr>
        <w:pStyle w:val="HStandard"/>
      </w:pPr>
      <w:r>
        <w:rPr>
          <w:b/>
        </w:rPr>
        <w:t>Uredbom (EU) br. 1306/2013</w:t>
      </w:r>
      <w:r>
        <w:t xml:space="preserve"> utvrđuju se zahtjevi u pogledu praćenja i evaluacije zajedničke poljoprivredne politike (ZPP)</w:t>
      </w:r>
      <w:r>
        <w:rPr>
          <w:rStyle w:val="FootnoteReference"/>
        </w:rPr>
        <w:footnoteReference w:id="11"/>
      </w:r>
      <w:r>
        <w:t xml:space="preserve">. Njome se utvrđuje da Europska komisija osigurava uspješnost ZPP-a u postizanju </w:t>
      </w:r>
      <w:r>
        <w:rPr>
          <w:b/>
        </w:rPr>
        <w:t>zajedničkih ciljeva.</w:t>
      </w:r>
      <w:r>
        <w:t xml:space="preserve"> Zajednički učinak svih instrumenta ZPP-a mjeri se i procjenjuje na temelju informacija dobivenih aktivnostima praćenja i evaluacije provedenima u državama članicama.</w:t>
      </w:r>
      <w:r>
        <w:rPr>
          <w:b/>
        </w:rPr>
        <w:t xml:space="preserve"> </w:t>
      </w:r>
      <w:r>
        <w:t xml:space="preserve">Uspješnost u postizanju zajedničkih ciljeva procjenjuje se primjenom </w:t>
      </w:r>
      <w:r>
        <w:rPr>
          <w:b/>
        </w:rPr>
        <w:t>zajedničkih pokazatelja učinka</w:t>
      </w:r>
      <w:r>
        <w:t xml:space="preserve">, a odnosnih posebnih ciljeva primjenom </w:t>
      </w:r>
      <w:r>
        <w:rPr>
          <w:b/>
        </w:rPr>
        <w:t>zajedničkih</w:t>
      </w:r>
      <w:r>
        <w:t xml:space="preserve"> </w:t>
      </w:r>
      <w:r>
        <w:rPr>
          <w:b/>
        </w:rPr>
        <w:t>pokazatelja rezultata</w:t>
      </w:r>
      <w:r>
        <w:t>. Prikupljeni se podaci temelje na utvrđenim izvorima podataka, kao što su mreža računovodstvenih podataka poljoprivrednih gospodarstava (FADN) i Eurostat. Europska komisija uzima u obzir potrebe za podacima i sinergije između potencijalnih izvora podataka, posebno za upotrebu istih u statističke svrhe prema potrebi</w:t>
      </w:r>
      <w:r>
        <w:rPr>
          <w:rStyle w:val="FootnoteReference"/>
        </w:rPr>
        <w:footnoteReference w:id="12"/>
      </w:r>
      <w:r>
        <w:t>.</w:t>
      </w:r>
    </w:p>
    <w:p w:rsidR="001C2076" w:rsidRPr="001C6ACF" w:rsidRDefault="001C2076" w:rsidP="001C2076">
      <w:pPr>
        <w:pStyle w:val="HStandard"/>
      </w:pPr>
      <w:r>
        <w:rPr>
          <w:b/>
        </w:rPr>
        <w:t>Uredbom (EU) br. 1305/2013 uspostavljaju se</w:t>
      </w:r>
      <w:r>
        <w:t xml:space="preserve"> </w:t>
      </w:r>
      <w:r>
        <w:rPr>
          <w:b/>
        </w:rPr>
        <w:t>zajednički sustav praćenja i evaluacije,</w:t>
      </w:r>
      <w:r>
        <w:t xml:space="preserve"> njegovi ciljevi</w:t>
      </w:r>
      <w:r>
        <w:rPr>
          <w:rStyle w:val="FootnoteReference"/>
        </w:rPr>
        <w:footnoteReference w:id="13"/>
      </w:r>
      <w:r>
        <w:t xml:space="preserve"> i zajednički pokazatelji</w:t>
      </w:r>
      <w:r>
        <w:rPr>
          <w:rStyle w:val="FootnoteReference"/>
        </w:rPr>
        <w:footnoteReference w:id="14"/>
      </w:r>
      <w:r>
        <w:t>. Ti se pokazatelji odnose na početno stanje (pokazatelji konteksta) te financijsku provedbu, ostvarenja, rezultate i učinke programa. Zajednički pokazatelji temelje se na dostupnim podacima, povezani su sa strukturom i ciljevima okvira politike ruralnog razvoja te omogućuju procjenu napretka, uspješnosti i učinkovitosti provedbe politike u usporedbi s ciljevima na razini Unije, nacionalnoj razini te razini programa.</w:t>
      </w:r>
    </w:p>
    <w:p w:rsidR="001C2076" w:rsidRPr="001C6ACF" w:rsidRDefault="001C2076" w:rsidP="001C2076">
      <w:pPr>
        <w:pStyle w:val="HStandard"/>
        <w:rPr>
          <w:b/>
        </w:rPr>
      </w:pPr>
      <w:r>
        <w:t xml:space="preserve">Učinci programa ruralnog razvoja procjenjuju se s pomoću zajedničkih pokazatelja učinka (kao i dodatnih pokazatelja i pokazatelja specifičnih za pojedini program). </w:t>
      </w:r>
      <w:r>
        <w:rPr>
          <w:b/>
        </w:rPr>
        <w:t>Svaka</w:t>
      </w:r>
      <w:r>
        <w:t xml:space="preserve"> </w:t>
      </w:r>
      <w:r>
        <w:rPr>
          <w:b/>
        </w:rPr>
        <w:t xml:space="preserve">je država članica odgovorna za procjenu učinaka programa. </w:t>
      </w:r>
    </w:p>
    <w:p w:rsidR="00E52E73" w:rsidRPr="001C6ACF" w:rsidRDefault="00E52E73" w:rsidP="00E52E73">
      <w:pPr>
        <w:pStyle w:val="HHeading4"/>
      </w:pPr>
      <w:r>
        <w:lastRenderedPageBreak/>
        <w:t>Zajednički elementi evaluacije</w:t>
      </w:r>
    </w:p>
    <w:p w:rsidR="00D42EC7" w:rsidRPr="00CB20AA" w:rsidRDefault="00D42EC7" w:rsidP="00D42EC7">
      <w:pPr>
        <w:pStyle w:val="HStandard"/>
      </w:pPr>
      <w:r>
        <w:t>ZSPE dio je zajedničkog okvira za praćenje i evaluaciju ZPP-a</w:t>
      </w:r>
      <w:r>
        <w:rPr>
          <w:rStyle w:val="FootnoteReference"/>
        </w:rPr>
        <w:footnoteReference w:id="15"/>
      </w:r>
      <w:r>
        <w:t xml:space="preserve"> i uključuje nekoliko smjernica o upotrebi zajedničkih evaluacijskih pitanja i pokazatelja pri praćenju i evaluaciji politike ruralnog razvoja. U Provedbenoj </w:t>
      </w:r>
      <w:r>
        <w:rPr>
          <w:b/>
        </w:rPr>
        <w:t>uredbi Komisije (EU) br. 808/2014</w:t>
      </w:r>
      <w:r>
        <w:rPr>
          <w:rStyle w:val="FootnoteReference"/>
          <w:b/>
        </w:rPr>
        <w:footnoteReference w:id="16"/>
      </w:r>
      <w:r>
        <w:rPr>
          <w:b/>
        </w:rPr>
        <w:t xml:space="preserve"> </w:t>
      </w:r>
      <w:r>
        <w:t xml:space="preserve">detaljnije se opisuje ZSPE i utvrđuju se njegovi elementi: </w:t>
      </w:r>
    </w:p>
    <w:p w:rsidR="001C2076" w:rsidRPr="00FB6C06" w:rsidRDefault="001C2076" w:rsidP="008D52EA">
      <w:pPr>
        <w:pStyle w:val="Hlistbullet"/>
      </w:pPr>
      <w:r>
        <w:t xml:space="preserve">logika intervencije iz koje su vidljive interakcije između prioriteta, žarišnih područja i mjera </w:t>
      </w:r>
    </w:p>
    <w:p w:rsidR="001C2076" w:rsidRPr="00571D58" w:rsidRDefault="001C2076" w:rsidP="008D52EA">
      <w:pPr>
        <w:pStyle w:val="Hlistbullet"/>
      </w:pPr>
      <w:r>
        <w:t>skup zajedničkih pokazatelja konteksta, rezultata i ostvarenja, uključujući pokazatelje koji će se primjenjivati za utvrđivanje kvantificiranih ciljeva povezanih sa žarišnim područjima ruralnog razvoja</w:t>
      </w:r>
      <w:r>
        <w:rPr>
          <w:rStyle w:val="FootnoteReference"/>
        </w:rPr>
        <w:footnoteReference w:id="17"/>
      </w:r>
      <w:r>
        <w:t xml:space="preserve"> </w:t>
      </w:r>
    </w:p>
    <w:p w:rsidR="001C2076" w:rsidRPr="00571D58" w:rsidRDefault="001C2076" w:rsidP="008D52EA">
      <w:pPr>
        <w:pStyle w:val="Hlistbullet"/>
      </w:pPr>
      <w:r>
        <w:t>zajednička evaluacijska pitanja</w:t>
      </w:r>
      <w:r>
        <w:rPr>
          <w:rStyle w:val="FootnoteReference"/>
        </w:rPr>
        <w:footnoteReference w:id="18"/>
      </w:r>
    </w:p>
    <w:p w:rsidR="001C2076" w:rsidRPr="00FB6C06" w:rsidRDefault="001C2076" w:rsidP="008D52EA">
      <w:pPr>
        <w:pStyle w:val="Hlistbullet"/>
      </w:pPr>
      <w:r>
        <w:t xml:space="preserve">prikupljanje, pohranjivanje i slanje podataka </w:t>
      </w:r>
    </w:p>
    <w:p w:rsidR="001C2076" w:rsidRPr="00571D58" w:rsidRDefault="001C2076" w:rsidP="008D52EA">
      <w:pPr>
        <w:pStyle w:val="Hlistbullet"/>
      </w:pPr>
      <w:r>
        <w:t>redovito izvješćivanje o aktivnostima praćenja i evaluacije</w:t>
      </w:r>
      <w:r>
        <w:rPr>
          <w:rStyle w:val="FootnoteReference"/>
        </w:rPr>
        <w:footnoteReference w:id="19"/>
      </w:r>
      <w:r>
        <w:t xml:space="preserve"> </w:t>
      </w:r>
    </w:p>
    <w:p w:rsidR="001C2076" w:rsidRPr="00571D58" w:rsidRDefault="001C2076" w:rsidP="008D52EA">
      <w:pPr>
        <w:pStyle w:val="Hlistbullet"/>
      </w:pPr>
      <w:r>
        <w:t>plan evaluacije</w:t>
      </w:r>
      <w:r>
        <w:rPr>
          <w:rStyle w:val="FootnoteReference"/>
        </w:rPr>
        <w:footnoteReference w:id="20"/>
      </w:r>
      <w:r>
        <w:t xml:space="preserve"> </w:t>
      </w:r>
    </w:p>
    <w:p w:rsidR="001C2076" w:rsidRPr="00571D58" w:rsidRDefault="001C2076" w:rsidP="008D52EA">
      <w:pPr>
        <w:pStyle w:val="Hlistbullet"/>
      </w:pPr>
      <w:r>
        <w:rPr>
          <w:i/>
        </w:rPr>
        <w:t>ex ante</w:t>
      </w:r>
      <w:r>
        <w:t xml:space="preserve"> i </w:t>
      </w:r>
      <w:r>
        <w:rPr>
          <w:i/>
        </w:rPr>
        <w:t>ex post</w:t>
      </w:r>
      <w:r>
        <w:t xml:space="preserve"> evaluacije i sve ostale evaluacijske aktivnosti povezane s programom ruralnog razvoja, uključujući one koje su potrebne za ispunjenje dodatnih zahtjeva za godišnja izvješća o provedbi koja se podnose 2017. </w:t>
      </w:r>
      <w:r w:rsidR="00C15E30">
        <w:t>I</w:t>
      </w:r>
      <w:r>
        <w:t xml:space="preserve"> 2019.</w:t>
      </w:r>
      <w:r>
        <w:rPr>
          <w:rStyle w:val="FootnoteReference"/>
        </w:rPr>
        <w:footnoteReference w:id="21"/>
      </w:r>
    </w:p>
    <w:p w:rsidR="001C2076" w:rsidRPr="00571D58" w:rsidRDefault="001C2076" w:rsidP="008D52EA">
      <w:pPr>
        <w:pStyle w:val="Hlistbullet"/>
      </w:pPr>
      <w:r>
        <w:t>potpora koja se dodjeljuje kako bi se svim subjektima odgovornima za praćenje i evaluaciju omogućilo da ispune svoje obveze</w:t>
      </w:r>
      <w:r>
        <w:rPr>
          <w:rStyle w:val="FootnoteReference"/>
        </w:rPr>
        <w:footnoteReference w:id="22"/>
      </w:r>
      <w:r>
        <w:t xml:space="preserve">. </w:t>
      </w:r>
    </w:p>
    <w:p w:rsidR="00F40273" w:rsidRPr="00CB20AA" w:rsidRDefault="00D42EC7" w:rsidP="001C2076">
      <w:pPr>
        <w:pStyle w:val="HStandard"/>
      </w:pPr>
      <w:r>
        <w:t xml:space="preserve">Europska komisija osigurava i detaljan </w:t>
      </w:r>
      <w:r>
        <w:rPr>
          <w:b/>
        </w:rPr>
        <w:t xml:space="preserve">opisni list </w:t>
      </w:r>
      <w:r>
        <w:t xml:space="preserve">za svaki od zajedničkih pokazatelja o kojima treba izvijestiti u GIP-ovima koji se podnose 2017. </w:t>
      </w:r>
      <w:r w:rsidR="00C15E30">
        <w:t>I</w:t>
      </w:r>
      <w:r>
        <w:t xml:space="preserve"> 2019., među kojima je i 16 zajedničkih </w:t>
      </w:r>
      <w:hyperlink r:id="rId16">
        <w:r>
          <w:rPr>
            <w:rStyle w:val="Hyperlink"/>
          </w:rPr>
          <w:t>pokazatelja učinka ZPP-a</w:t>
        </w:r>
      </w:hyperlink>
      <w:r>
        <w:t xml:space="preserve">. </w:t>
      </w:r>
      <w:r>
        <w:rPr>
          <w:b/>
        </w:rPr>
        <w:t>U opisnom listu za svaki od pokazatelja učinka</w:t>
      </w:r>
      <w:r>
        <w:t xml:space="preserve"> navodi se poveznica na sljedeće:</w:t>
      </w:r>
    </w:p>
    <w:p w:rsidR="00F40273" w:rsidRPr="001C6ACF" w:rsidRDefault="00A3244E" w:rsidP="00DA263D">
      <w:pPr>
        <w:pStyle w:val="Hlistbullet"/>
      </w:pPr>
      <w:r>
        <w:t xml:space="preserve">odgovarajući cilj politike </w:t>
      </w:r>
    </w:p>
    <w:p w:rsidR="00F40273" w:rsidRPr="001C6ACF" w:rsidRDefault="001C2076" w:rsidP="00DA263D">
      <w:pPr>
        <w:pStyle w:val="Hlistbullet"/>
      </w:pPr>
      <w:r>
        <w:t xml:space="preserve">definiciju pokazatelja </w:t>
      </w:r>
    </w:p>
    <w:p w:rsidR="00F40273" w:rsidRPr="001C6ACF" w:rsidRDefault="001C2076" w:rsidP="00DA263D">
      <w:pPr>
        <w:pStyle w:val="Hlistbullet"/>
      </w:pPr>
      <w:r>
        <w:t xml:space="preserve">mjernu jedinicu </w:t>
      </w:r>
    </w:p>
    <w:p w:rsidR="00F40273" w:rsidRPr="001C6ACF" w:rsidRDefault="001C2076" w:rsidP="00DA263D">
      <w:pPr>
        <w:pStyle w:val="Hlistbullet"/>
      </w:pPr>
      <w:r>
        <w:t xml:space="preserve">metodologiju/formulu izračuna </w:t>
      </w:r>
    </w:p>
    <w:p w:rsidR="00F40273" w:rsidRPr="001C6ACF" w:rsidRDefault="001C2076" w:rsidP="00DA263D">
      <w:pPr>
        <w:pStyle w:val="Hlistbullet"/>
      </w:pPr>
      <w:r>
        <w:t xml:space="preserve">potrebne podatke i izvore podataka </w:t>
      </w:r>
    </w:p>
    <w:p w:rsidR="00F40273" w:rsidRPr="001C6ACF" w:rsidRDefault="003304E5" w:rsidP="00DA263D">
      <w:pPr>
        <w:pStyle w:val="Hlistbullet"/>
      </w:pPr>
      <w:r>
        <w:t xml:space="preserve">razinu i učestalost prikupljanja podataka </w:t>
      </w:r>
    </w:p>
    <w:p w:rsidR="001C2076" w:rsidRPr="001C6ACF" w:rsidRDefault="001C2076" w:rsidP="00DA263D">
      <w:pPr>
        <w:pStyle w:val="Hlistbullet"/>
      </w:pPr>
      <w:r>
        <w:t xml:space="preserve">informacije o starosti prikupljenih podataka u trenutku njihove raspoloživosti. </w:t>
      </w:r>
    </w:p>
    <w:p w:rsidR="001C2076" w:rsidRPr="001C6ACF" w:rsidRDefault="001C2076" w:rsidP="001C2076">
      <w:pPr>
        <w:pStyle w:val="HStandard"/>
      </w:pPr>
      <w:r>
        <w:rPr>
          <w:b/>
        </w:rPr>
        <w:t>Od 16 zajedničkih pokazatelja učinka ZPP-a, sljedećih 13</w:t>
      </w:r>
      <w:r>
        <w:t xml:space="preserve"> upotrebljava se za procjenu učinaka PRR-a:</w:t>
      </w:r>
    </w:p>
    <w:p w:rsidR="001C2076" w:rsidRPr="001C6ACF" w:rsidRDefault="001C2076" w:rsidP="008D52EA">
      <w:pPr>
        <w:pStyle w:val="Hlistbullet"/>
      </w:pPr>
      <w:r>
        <w:t>I.01. Poljoprivredni poduzetnički prihod</w:t>
      </w:r>
    </w:p>
    <w:p w:rsidR="001C2076" w:rsidRPr="001C6ACF" w:rsidRDefault="001C2076" w:rsidP="008D52EA">
      <w:pPr>
        <w:pStyle w:val="Hlistbullet"/>
      </w:pPr>
      <w:r>
        <w:t>I.02. Poljoprivredni faktorski prihod</w:t>
      </w:r>
    </w:p>
    <w:p w:rsidR="001C2076" w:rsidRPr="001C6ACF" w:rsidRDefault="001C2076" w:rsidP="008D52EA">
      <w:pPr>
        <w:pStyle w:val="Hlistbullet"/>
      </w:pPr>
      <w:r>
        <w:t>I.03. Ukupna faktorska produktivnost u poljoprivredi</w:t>
      </w:r>
    </w:p>
    <w:p w:rsidR="001C2076" w:rsidRPr="001C6ACF" w:rsidRDefault="001C2076" w:rsidP="008D52EA">
      <w:pPr>
        <w:pStyle w:val="Hlistbullet"/>
      </w:pPr>
      <w:r>
        <w:t>I.07. Emisije iz poljoprivrede</w:t>
      </w:r>
    </w:p>
    <w:p w:rsidR="001C2076" w:rsidRPr="001C6ACF" w:rsidRDefault="001C2076" w:rsidP="008D52EA">
      <w:pPr>
        <w:pStyle w:val="Hlistbullet"/>
      </w:pPr>
      <w:r>
        <w:t xml:space="preserve">I.08. </w:t>
      </w:r>
      <w:r w:rsidR="00F60F87">
        <w:t>Popis</w:t>
      </w:r>
      <w:r>
        <w:t xml:space="preserve"> ptica </w:t>
      </w:r>
      <w:r w:rsidR="00F60F87">
        <w:t>povezanih s poljoprivrednim</w:t>
      </w:r>
      <w:r>
        <w:t xml:space="preserve"> </w:t>
      </w:r>
      <w:r w:rsidR="00F60F87">
        <w:t>površinama</w:t>
      </w:r>
    </w:p>
    <w:p w:rsidR="001C2076" w:rsidRPr="001C6ACF" w:rsidRDefault="001C2076" w:rsidP="008D52EA">
      <w:pPr>
        <w:pStyle w:val="Hlistbullet"/>
      </w:pPr>
      <w:r>
        <w:t>I.09 Poljoprivreda visoke prirodne vrijednosti (HNV)</w:t>
      </w:r>
    </w:p>
    <w:p w:rsidR="001C2076" w:rsidRPr="001C6ACF" w:rsidRDefault="001C2076" w:rsidP="008D52EA">
      <w:pPr>
        <w:pStyle w:val="Hlistbullet"/>
      </w:pPr>
      <w:r>
        <w:t>I.10. Zahvaćanje vode u poljoprivredi</w:t>
      </w:r>
    </w:p>
    <w:p w:rsidR="001C2076" w:rsidRPr="001C6ACF" w:rsidRDefault="001C2076" w:rsidP="008D52EA">
      <w:pPr>
        <w:pStyle w:val="Hlistbullet"/>
      </w:pPr>
      <w:r>
        <w:t>I.11. Kvaliteta vode</w:t>
      </w:r>
    </w:p>
    <w:p w:rsidR="001C2076" w:rsidRPr="001C6ACF" w:rsidRDefault="001C2076" w:rsidP="008D52EA">
      <w:pPr>
        <w:pStyle w:val="Hlistbullet"/>
      </w:pPr>
      <w:r>
        <w:t>I.12. Organske tvari u obradivoj zemlji</w:t>
      </w:r>
    </w:p>
    <w:p w:rsidR="001C2076" w:rsidRPr="001C6ACF" w:rsidRDefault="001C2076" w:rsidP="008D52EA">
      <w:pPr>
        <w:pStyle w:val="Hlistbullet"/>
      </w:pPr>
      <w:r>
        <w:t>I.13. Erozija tla vodom</w:t>
      </w:r>
    </w:p>
    <w:p w:rsidR="001C2076" w:rsidRPr="001C6ACF" w:rsidRDefault="001C2076" w:rsidP="008D52EA">
      <w:pPr>
        <w:pStyle w:val="Hlistbullet"/>
      </w:pPr>
      <w:r>
        <w:t>I.14. Stopa zaposlenosti u ruralnim područjima</w:t>
      </w:r>
    </w:p>
    <w:p w:rsidR="001C2076" w:rsidRPr="001C6ACF" w:rsidRDefault="001C2076" w:rsidP="008D52EA">
      <w:pPr>
        <w:pStyle w:val="Hlistbullet"/>
      </w:pPr>
      <w:r>
        <w:t>I.15. Stupanj siromaštva u ruralnim područjima</w:t>
      </w:r>
    </w:p>
    <w:p w:rsidR="001C2076" w:rsidRPr="001C6ACF" w:rsidRDefault="001C2076" w:rsidP="008D52EA">
      <w:pPr>
        <w:pStyle w:val="Hlistbullet"/>
      </w:pPr>
      <w:r>
        <w:lastRenderedPageBreak/>
        <w:t>I.16. BDP po stanovniku u ruralnim područjima</w:t>
      </w:r>
      <w:r w:rsidR="00496BA7">
        <w:t>.</w:t>
      </w:r>
    </w:p>
    <w:p w:rsidR="001C2076" w:rsidRPr="001C6ACF" w:rsidRDefault="00B21618" w:rsidP="00E35440">
      <w:pPr>
        <w:pStyle w:val="HHeading2"/>
      </w:pPr>
      <w:r>
        <w:t xml:space="preserve"> Kako izvijestiti o ZEP-ovima 2019.?</w:t>
      </w:r>
    </w:p>
    <w:p w:rsidR="001C2076" w:rsidRPr="001C6ACF" w:rsidRDefault="003304E5" w:rsidP="003304E5">
      <w:pPr>
        <w:pStyle w:val="HStandard"/>
      </w:pPr>
      <w:r>
        <w:t xml:space="preserve">Države članice 2019. </w:t>
      </w:r>
      <w:r w:rsidR="00C15E30">
        <w:t>I</w:t>
      </w:r>
      <w:r>
        <w:t xml:space="preserve">zvješćuju o nalazima evaluacije odgovaranjem na sva relevantna zajednička evaluacijska pitanja i pitanja koja su specifična za pojedini program u odgovarajućim odjeljcima GIP-a. </w:t>
      </w:r>
    </w:p>
    <w:p w:rsidR="001C2076" w:rsidRPr="001C6ACF" w:rsidRDefault="00906DAF" w:rsidP="003304E5">
      <w:pPr>
        <w:pStyle w:val="HStandard"/>
      </w:pPr>
      <w:r>
        <w:t xml:space="preserve">Slično kao i kod ZEP-ova od 1. </w:t>
      </w:r>
      <w:r w:rsidR="00C15E30">
        <w:t>D</w:t>
      </w:r>
      <w:r>
        <w:t xml:space="preserve">o 21., odgovori na ZEP-ove koji se odnose na ciljeve na razini EU-a (ZEP-ovi od 22. </w:t>
      </w:r>
      <w:r w:rsidR="00C15E30">
        <w:t>D</w:t>
      </w:r>
      <w:r>
        <w:t>o 30.) trebali bi se temeljiti na dokazima dobivenima evaluacijom. Prosudbe o uspješnosti intervencija donose se na temelju kriterija prosudbe i mjere se zajedničkim i dodatnim pokazateljima učinka te i pokazateljima povezanima sa strategijom EU-a za pametan, održiv i uključiv rast. Osim toga, u slučaju nedostatka podataka mogu se prikupiti kvalitativni podaci kako bi se odgovorilo na evaluacijska pitanja.</w:t>
      </w:r>
    </w:p>
    <w:p w:rsidR="00970A15" w:rsidRPr="001C6ACF" w:rsidRDefault="00C16EB2" w:rsidP="00970A15">
      <w:pPr>
        <w:pStyle w:val="HHeading4"/>
      </w:pPr>
      <w:r>
        <w:t>Koji su glavni koraci pri odgovaranju na evaluacijska pitanja?</w:t>
      </w:r>
    </w:p>
    <w:p w:rsidR="001C2076" w:rsidRPr="001C6ACF" w:rsidRDefault="001C2076" w:rsidP="007D2D54">
      <w:pPr>
        <w:pStyle w:val="HStandard"/>
        <w:rPr>
          <w:rFonts w:cs="Arial"/>
        </w:rPr>
      </w:pPr>
      <w:r>
        <w:t xml:space="preserve">Za odgovaranje na ZEP-ove od 22. </w:t>
      </w:r>
      <w:r w:rsidR="00C15E30">
        <w:t>D</w:t>
      </w:r>
      <w:r>
        <w:t xml:space="preserve">o 30. </w:t>
      </w:r>
      <w:r w:rsidR="00C15E30">
        <w:t>P</w:t>
      </w:r>
      <w:r>
        <w:t>reporučuju se sljedeći opći koraci:</w:t>
      </w:r>
    </w:p>
    <w:p w:rsidR="001C2076" w:rsidRPr="001C6ACF" w:rsidRDefault="007B324B" w:rsidP="00E35440">
      <w:pPr>
        <w:pStyle w:val="Hlistbullet"/>
      </w:pPr>
      <w:r>
        <w:t>preispitivanje logike intervencije programa povezane sa svakim pripadajućim ciljem ZPP-a / ciljem strategije Europa 2020., prioritetom odnosno prioritetima ruralnog razvoja, žarišnim područjem ili područjima te mjerama</w:t>
      </w:r>
    </w:p>
    <w:p w:rsidR="001C2076" w:rsidRPr="001C6ACF" w:rsidRDefault="00DA263D" w:rsidP="00E35440">
      <w:pPr>
        <w:pStyle w:val="Hlistbullet"/>
      </w:pPr>
      <w:r>
        <w:t xml:space="preserve">utvrđivanje kriterija prosudbe te njihovo povezivanje sa zajedničkim (i dodatnim) pokazateljima učinka koje treba primijeniti za odgovaranje na evaluacijsko pitanje </w:t>
      </w:r>
    </w:p>
    <w:p w:rsidR="001C2076" w:rsidRPr="00863E73" w:rsidRDefault="007B324B" w:rsidP="00E35440">
      <w:pPr>
        <w:pStyle w:val="Hlistbullet"/>
      </w:pPr>
      <w:r>
        <w:t>odabir kvantitativnih i kvalitativnih metoda kojima se mogu procijeniti neto vrijednosti</w:t>
      </w:r>
      <w:r>
        <w:rPr>
          <w:rStyle w:val="FootnoteReference"/>
          <w:i w:val="0"/>
          <w:position w:val="0"/>
          <w:sz w:val="20"/>
          <w:vertAlign w:val="superscript"/>
        </w:rPr>
        <w:footnoteReference w:id="23"/>
      </w:r>
      <w:r>
        <w:rPr>
          <w:vertAlign w:val="superscript"/>
        </w:rPr>
        <w:t xml:space="preserve"> </w:t>
      </w:r>
      <w:r>
        <w:t>pokazatelja učinka</w:t>
      </w:r>
    </w:p>
    <w:p w:rsidR="001C2076" w:rsidRPr="001C6ACF" w:rsidRDefault="007B324B" w:rsidP="00E35440">
      <w:pPr>
        <w:pStyle w:val="Hlistbullet"/>
      </w:pPr>
      <w:r>
        <w:t xml:space="preserve">navođenje kvantitativnih vrijednosti za pokazatelje rezultata i učinka te odgovarajućih kvalitativnih nalaza za odgovaranje na evaluacijska pitanja </w:t>
      </w:r>
    </w:p>
    <w:p w:rsidR="001C2076" w:rsidRPr="001C6ACF" w:rsidRDefault="007B324B" w:rsidP="00E35440">
      <w:pPr>
        <w:pStyle w:val="Hlistbullet"/>
      </w:pPr>
      <w:r>
        <w:t>odgovaranje na evaluacijska pitanja.</w:t>
      </w:r>
    </w:p>
    <w:p w:rsidR="001C2076" w:rsidRPr="001C6ACF" w:rsidRDefault="00217482" w:rsidP="007D2D54">
      <w:pPr>
        <w:pStyle w:val="HStandard"/>
      </w:pPr>
      <w:r>
        <w:t xml:space="preserve">Navedeni su koraci slični onima koji su predloženi za evaluaciju 2017. Međutim, 2019. </w:t>
      </w:r>
      <w:r w:rsidR="00C15E30">
        <w:t>M</w:t>
      </w:r>
      <w:r>
        <w:t xml:space="preserve">ogu se javiti neki novi izazovi koji su detaljno opisani u </w:t>
      </w:r>
      <w:r>
        <w:rPr>
          <w:color w:val="F07E31" w:themeColor="accent1"/>
        </w:rPr>
        <w:t xml:space="preserve">dijelu II. </w:t>
      </w:r>
      <w:r>
        <w:t xml:space="preserve">Smjernica. </w:t>
      </w:r>
    </w:p>
    <w:p w:rsidR="001C2076" w:rsidRPr="001C6ACF" w:rsidRDefault="001C2076" w:rsidP="00812032">
      <w:pPr>
        <w:pStyle w:val="HHeading4"/>
      </w:pPr>
      <w:r>
        <w:t xml:space="preserve">Gdje pronaći smjernice za ZEP-ove na koje se odgovara 2019.? </w:t>
      </w:r>
    </w:p>
    <w:p w:rsidR="00217482" w:rsidRPr="001C6ACF" w:rsidRDefault="00217482" w:rsidP="00217482">
      <w:pPr>
        <w:pStyle w:val="HStandard"/>
      </w:pPr>
      <w:r>
        <w:t xml:space="preserve">U ovim se Smjernicama navode detaljne informacije o tome kako odgovoriti na zajednička evaluacijska pitanja od 22. </w:t>
      </w:r>
      <w:r w:rsidR="00C15E30">
        <w:t>D</w:t>
      </w:r>
      <w:r>
        <w:t xml:space="preserve">o 30., koja su povezana s ciljevima na razini EU-a, te se prema potrebi upućuje na druge relevantne smjernice, kako je prikazano u tablici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 xml:space="preserve">Smjernice za odgovaranje na zajednička evaluacijska pitanja povezana sa žarišnim područjima ruralnog razvoja, sinergijama programa, tehničkom pomoći i nacionalnim ruralnim mrežama (ZEP-ovi od 1. </w:t>
      </w:r>
      <w:r w:rsidR="00C15E30">
        <w:rPr>
          <w:color w:val="373737" w:themeColor="text1"/>
          <w:sz w:val="20"/>
        </w:rPr>
        <w:t>D</w:t>
      </w:r>
      <w:r>
        <w:rPr>
          <w:color w:val="373737" w:themeColor="text1"/>
          <w:sz w:val="20"/>
        </w:rPr>
        <w:t>o 21.) mogu se pronaći u sljedećim dokumentima:</w:t>
      </w:r>
    </w:p>
    <w:p w:rsidR="008E3ACB" w:rsidRPr="001C6ACF" w:rsidRDefault="00217482" w:rsidP="00E35440">
      <w:pPr>
        <w:pStyle w:val="Hlistbullet"/>
      </w:pPr>
      <w:r>
        <w:rPr>
          <w:i/>
        </w:rPr>
        <w:t xml:space="preserve">Smjernice </w:t>
      </w:r>
      <w:hyperlink r:id="rId17">
        <w:r>
          <w:rPr>
            <w:rStyle w:val="Hyperlink"/>
            <w:i/>
            <w:color w:val="373737" w:themeColor="text1"/>
            <w:u w:val="none"/>
          </w:rPr>
          <w:t>„Procjena rezultata PRR-a: kako se pripremiti za izvješćivanje o evaluaciji 2017.”</w:t>
        </w:r>
      </w:hyperlink>
      <w:r>
        <w:t xml:space="preserve">: u tom se dokumentu navodi kako izvijestiti o evaluacijama u GIP-u koji se podnosi 2017. </w:t>
      </w:r>
      <w:r w:rsidR="00C15E30">
        <w:t>I</w:t>
      </w:r>
      <w:r>
        <w:t xml:space="preserve"> nakon toga. U njemu se predlažu mogući pristupi evaluaciji za procjenu rezultata PRR-a 2017., koji u odnosu na ZEP-ove od 1. </w:t>
      </w:r>
      <w:r w:rsidR="00C15E30">
        <w:t>D</w:t>
      </w:r>
      <w:r>
        <w:t xml:space="preserve">o 21. </w:t>
      </w:r>
      <w:r w:rsidR="00C15E30">
        <w:t>V</w:t>
      </w:r>
      <w:r>
        <w:t xml:space="preserve">rijede i za 2019. </w:t>
      </w:r>
    </w:p>
    <w:p w:rsidR="001C2076" w:rsidRPr="001C6ACF" w:rsidRDefault="00AF198F" w:rsidP="00E35440">
      <w:pPr>
        <w:pStyle w:val="Hlistbullet"/>
      </w:pPr>
      <w:hyperlink r:id="rId18">
        <w:r w:rsidR="006F62E2">
          <w:rPr>
            <w:rStyle w:val="Hyperlink"/>
            <w:i/>
            <w:color w:val="373737" w:themeColor="text1"/>
            <w:u w:val="none"/>
          </w:rPr>
          <w:t>„</w:t>
        </w:r>
        <w:r w:rsidR="006F62E2">
          <w:rPr>
            <w:rStyle w:val="Hyperlink"/>
            <w:color w:val="373737" w:themeColor="text1"/>
            <w:u w:val="none"/>
          </w:rPr>
          <w:t>Prilog 11. – Opisni listovi za odgovaranje na zajednička evaluacijska pitanja za programe ruralnog razvoja za razdoblje 2014.–2020.</w:t>
        </w:r>
      </w:hyperlink>
      <w:r w:rsidR="006F62E2">
        <w:rPr>
          <w:rStyle w:val="Hyperlink"/>
          <w:color w:val="373737" w:themeColor="text1"/>
          <w:u w:val="none"/>
        </w:rPr>
        <w:t>:</w:t>
      </w:r>
      <w:r w:rsidR="006F62E2">
        <w:t xml:space="preserve"> u dokumentu se pruža tehnička podrška za odgovaranje na ZEP-ove od 1. </w:t>
      </w:r>
      <w:r w:rsidR="00C15E30">
        <w:t>D</w:t>
      </w:r>
      <w:r w:rsidR="006F62E2">
        <w:t>o 21. Prikazana je logika intervencije povezana sa svakim ZEP-om, opisuju se korisni elementi evaluacije te se predlažu metode evaluacije.</w:t>
      </w:r>
    </w:p>
    <w:p w:rsidR="0020488A" w:rsidRPr="001C6ACF" w:rsidRDefault="0020488A" w:rsidP="005A56B7">
      <w:pPr>
        <w:pStyle w:val="HStandard"/>
      </w:pPr>
      <w:r>
        <w:t xml:space="preserve">U tablici 1. </w:t>
      </w:r>
      <w:r w:rsidR="00C15E30">
        <w:t>D</w:t>
      </w:r>
      <w:r>
        <w:t xml:space="preserve">aje se pregled najvažnijih dokumenata za odgovaranje na ZEP-ove u GIP-u za 2019.: </w:t>
      </w:r>
    </w:p>
    <w:p w:rsidR="00AB3BA1" w:rsidRPr="001C6ACF" w:rsidRDefault="009F77FD" w:rsidP="00C15E30">
      <w:pPr>
        <w:pStyle w:val="HHeadingtables"/>
        <w:numPr>
          <w:ilvl w:val="0"/>
          <w:numId w:val="0"/>
        </w:numPr>
      </w:pPr>
      <w:r>
        <w:br w:type="column"/>
      </w:r>
      <w:r w:rsidR="00C15E30">
        <w:lastRenderedPageBreak/>
        <w:t xml:space="preserve">Tablica 1. </w:t>
      </w:r>
      <w:r w:rsidR="00C15E30">
        <w:tab/>
      </w:r>
      <w:r>
        <w:t>Smjernice za odgovaranje na ZEP-ove u GIP-u koji se podnosi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ZEP</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Relevantnost za GIP koji se podnosi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AF198F" w:rsidP="00DF22D0">
            <w:pPr>
              <w:pStyle w:val="HStandard"/>
              <w:jc w:val="left"/>
            </w:pPr>
            <w:hyperlink r:id="rId19">
              <w:r w:rsidR="006F62E2">
                <w:rPr>
                  <w:rStyle w:val="Hyperlink"/>
                </w:rPr>
                <w:t>Opisni listovi za pokazatelje ciljeva za II. stup (prioriteti I. i II.)</w:t>
              </w:r>
            </w:hyperlink>
          </w:p>
        </w:tc>
        <w:tc>
          <w:tcPr>
            <w:tcW w:w="5477" w:type="dxa"/>
          </w:tcPr>
          <w:p w:rsidR="009F7952" w:rsidRPr="00FB6C06" w:rsidRDefault="009F7952" w:rsidP="005A56B7">
            <w:pPr>
              <w:pStyle w:val="HStandard"/>
            </w:pPr>
            <w:r>
              <w:t>Za svaki su pokazatelj navedeni njegova povezanost s odgovarajućim prioritetom i žarišnim područjem, definicija te mjerna jedinica, metodologija izračuna, potrebni podaci i izvori podataka, učestalost prikupljanja podataka i način njihova slanja Europskoj komisiji.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F198F" w:rsidP="00DF22D0">
            <w:pPr>
              <w:pStyle w:val="HStandard"/>
              <w:jc w:val="left"/>
            </w:pPr>
            <w:hyperlink r:id="rId20">
              <w:r w:rsidR="006F62E2">
                <w:rPr>
                  <w:rStyle w:val="Hyperlink"/>
                </w:rPr>
                <w:t>Opisni listovi za dopunske pokazatelje rezultata za II. stup</w:t>
              </w:r>
            </w:hyperlink>
          </w:p>
        </w:tc>
        <w:tc>
          <w:tcPr>
            <w:tcW w:w="5477" w:type="dxa"/>
          </w:tcPr>
          <w:p w:rsidR="009F7952" w:rsidRPr="00336531" w:rsidRDefault="009F7952" w:rsidP="005A56B7">
            <w:pPr>
              <w:pStyle w:val="HStandard"/>
            </w:pPr>
            <w:r>
              <w:t>Sadržavaju slične smjernice za svaki od dopunskih pokazatelja rezultata.</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AF198F" w:rsidP="00DF22D0">
            <w:pPr>
              <w:pStyle w:val="HStandard"/>
              <w:jc w:val="left"/>
            </w:pPr>
            <w:hyperlink r:id="rId21">
              <w:r w:rsidR="006F62E2">
                <w:rPr>
                  <w:rStyle w:val="Hyperlink"/>
                </w:rPr>
                <w:t>Smjernice „Procjena rezultata PRR-a: kako se pripremiti za izvješćivanje o evaluaciji 2017.”</w:t>
              </w:r>
            </w:hyperlink>
            <w:r w:rsidR="006F62E2">
              <w:rPr>
                <w:rStyle w:val="Hyperlink"/>
              </w:rPr>
              <w:t xml:space="preserve"> (zaseban Prilog 11.)</w:t>
            </w:r>
          </w:p>
        </w:tc>
        <w:tc>
          <w:tcPr>
            <w:tcW w:w="5477" w:type="dxa"/>
          </w:tcPr>
          <w:p w:rsidR="009F7952" w:rsidRPr="001C6ACF" w:rsidRDefault="00116A79" w:rsidP="00593F3E">
            <w:pPr>
              <w:pStyle w:val="HStandard"/>
            </w:pPr>
            <w:r>
              <w:t>Predlažu se način izvješćivanja o evaluacijama u GIP-u koji se podnosi 2017., način provedbe evaluacijskih aktivnosti i metode na temelju kojih treba odgovarati na ZEP-ove od 1. do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F198F" w:rsidP="00DF22D0">
            <w:pPr>
              <w:pStyle w:val="HStandard"/>
              <w:jc w:val="left"/>
            </w:pPr>
            <w:hyperlink r:id="rId22">
              <w:r w:rsidR="006F62E2">
                <w:rPr>
                  <w:rStyle w:val="Hyperlink"/>
                </w:rPr>
                <w:t>Smjernice „Evaluacija LEADER-a/CLLD-a”</w:t>
              </w:r>
            </w:hyperlink>
          </w:p>
        </w:tc>
        <w:tc>
          <w:tcPr>
            <w:tcW w:w="5477" w:type="dxa"/>
          </w:tcPr>
          <w:p w:rsidR="009F7952" w:rsidRPr="007645B4" w:rsidRDefault="00116A79" w:rsidP="005A56B7">
            <w:pPr>
              <w:pStyle w:val="HStandard"/>
            </w:pPr>
            <w:r>
              <w:t xml:space="preserve">Objašnjava se način procjene primarnih i sekundarnih doprinosa LEADER-a/CLLD-a žarišnim područjima ruralnog razvoja.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AF198F" w:rsidP="00DF22D0">
            <w:pPr>
              <w:pStyle w:val="HStandard"/>
              <w:jc w:val="left"/>
            </w:pPr>
            <w:hyperlink r:id="rId23">
              <w:r w:rsidR="006F62E2">
                <w:rPr>
                  <w:rStyle w:val="Hyperlink"/>
                </w:rPr>
                <w:t>Smjernice „Evaluacija inovacija u programima ruralnog razvoja za razdoblje 2014.–2020.”</w:t>
              </w:r>
            </w:hyperlink>
          </w:p>
        </w:tc>
        <w:tc>
          <w:tcPr>
            <w:tcW w:w="5477" w:type="dxa"/>
          </w:tcPr>
          <w:p w:rsidR="009F7952" w:rsidRPr="00863E73" w:rsidRDefault="009F7952" w:rsidP="005A56B7">
            <w:pPr>
              <w:pStyle w:val="HStandard"/>
            </w:pPr>
            <w:r>
              <w:t xml:space="preserve">Navode se informacije o procjeni inovacija povezanih sa žarišnim područjima 1.A i 1.B te o podupiranju inovacija putem aktivnosti nacionalnih ruralnih mreža. Nadalje, nudi se pomoć u odgovaranju na ZEP-ove 1., 2. i 21. sa stajališta inovacija. </w:t>
            </w:r>
          </w:p>
        </w:tc>
      </w:tr>
      <w:tr w:rsidR="002C57D4" w:rsidRPr="001C6ACF" w:rsidTr="00A746BC">
        <w:tc>
          <w:tcPr>
            <w:tcW w:w="1129" w:type="dxa"/>
            <w:vMerge w:val="restart"/>
          </w:tcPr>
          <w:p w:rsidR="002C57D4" w:rsidRPr="001C6ACF" w:rsidRDefault="002C57D4" w:rsidP="00A746BC">
            <w:pPr>
              <w:pStyle w:val="HStandard"/>
              <w:jc w:val="center"/>
            </w:pPr>
            <w:r>
              <w:t>22.–30.</w:t>
            </w:r>
          </w:p>
        </w:tc>
        <w:tc>
          <w:tcPr>
            <w:tcW w:w="2410" w:type="dxa"/>
          </w:tcPr>
          <w:p w:rsidR="002C57D4" w:rsidRPr="00571D58" w:rsidRDefault="00AF198F" w:rsidP="00DF22D0">
            <w:pPr>
              <w:pStyle w:val="HStandard"/>
              <w:jc w:val="left"/>
            </w:pPr>
            <w:hyperlink r:id="rId24">
              <w:r w:rsidR="006F62E2">
                <w:rPr>
                  <w:rStyle w:val="Hyperlink"/>
                </w:rPr>
                <w:t>Opisni listovi za pokazatelje učinka</w:t>
              </w:r>
            </w:hyperlink>
            <w:r w:rsidR="006F62E2">
              <w:t xml:space="preserve"> </w:t>
            </w:r>
          </w:p>
        </w:tc>
        <w:tc>
          <w:tcPr>
            <w:tcW w:w="5477" w:type="dxa"/>
          </w:tcPr>
          <w:p w:rsidR="002C57D4" w:rsidRPr="001C6ACF" w:rsidRDefault="002C57D4" w:rsidP="005A56B7">
            <w:pPr>
              <w:pStyle w:val="HStandard"/>
            </w:pPr>
            <w:r>
              <w:t>Sadržavaju informacije o povezanosti pokazatelja s općim ciljevima ZPP-a te se navode definicija pokazatelja, mjerna jedinica, metodologija/formula izračuna, potrebni podaci i izvori podataka, učestalost prikupljanja / starost podataka te lokacija podataka.</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F198F">
            <w:pPr>
              <w:pStyle w:val="HStandard"/>
              <w:jc w:val="left"/>
            </w:pPr>
            <w:hyperlink r:id="rId25">
              <w:r w:rsidR="006F62E2">
                <w:rPr>
                  <w:rStyle w:val="Hyperlink"/>
                </w:rPr>
                <w:t>Najnoviji podaci država članica o pokazateljima konteksta</w:t>
              </w:r>
            </w:hyperlink>
          </w:p>
        </w:tc>
        <w:tc>
          <w:tcPr>
            <w:tcW w:w="5477" w:type="dxa"/>
          </w:tcPr>
          <w:p w:rsidR="00A75E50" w:rsidRPr="00336531" w:rsidRDefault="00A75E50" w:rsidP="00FF4127">
            <w:pPr>
              <w:pStyle w:val="HStandard"/>
            </w:pPr>
            <w:r>
              <w:t>Europska komisija svake godine donosi ažurirani pregled podataka (ovisno o raspoloživosti) za zajedničke pokazatelje konteksta na temelju podataka koje dostave države članice.</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F198F" w:rsidP="00DF22D0">
            <w:pPr>
              <w:pStyle w:val="HStandard"/>
              <w:jc w:val="left"/>
              <w:rPr>
                <w:color w:val="F07E31" w:themeColor="accent1"/>
              </w:rPr>
            </w:pPr>
            <w:hyperlink r:id="rId26">
              <w:r w:rsidR="006F62E2">
                <w:rPr>
                  <w:rStyle w:val="Hyperlink"/>
                </w:rPr>
                <w:t>Smjernice „Evaluacija inovacija u programima ruralnog razvoja za razdoblje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Sadržavaju informacije o procjeni doprinosa PRR-a ostvarenju glavnog cilja EU-a za 2020. da se 3 % BDP-a EU-a ulaže u istraživanje i razvoj te doprinosa PRR-a inovacijama, kao i informacije o odgovaranju na ZEP-ove 23. i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F198F" w:rsidP="00DF22D0">
            <w:pPr>
              <w:pStyle w:val="HStandard"/>
              <w:jc w:val="left"/>
            </w:pPr>
            <w:hyperlink r:id="rId27">
              <w:r w:rsidR="006F62E2">
                <w:rPr>
                  <w:rStyle w:val="Hyperlink"/>
                </w:rPr>
                <w:t>Informacije o strategiji Europa 2020.</w:t>
              </w:r>
            </w:hyperlink>
          </w:p>
        </w:tc>
        <w:tc>
          <w:tcPr>
            <w:tcW w:w="5477" w:type="dxa"/>
          </w:tcPr>
          <w:p w:rsidR="00A75E50" w:rsidRPr="001C6ACF" w:rsidRDefault="00A75E50" w:rsidP="00EE407C">
            <w:pPr>
              <w:pStyle w:val="HStandard"/>
            </w:pPr>
            <w:r>
              <w:t xml:space="preserve">Strategija Europa 2020. služi kao referentni okvir za aktivnosti na razini EU-a te na nacionalnoj i regionalnoj razini. Vlade država članica EU-a postavile su nacionalne ciljeve kako bi se lakše ostvarili opći glavni ciljevi EU-a te o njima izvješćuju u svojim nacionalnim programima reformi. Ured za statistiku EU-a, Eurostat, redovito objavljuje sveobuhvatna izvješća o napretku u postizanju ciljeva </w:t>
            </w:r>
            <w:r>
              <w:lastRenderedPageBreak/>
              <w:t>(</w:t>
            </w:r>
            <w:hyperlink r:id="rId28">
              <w:r>
                <w:rPr>
                  <w:rStyle w:val="Hyperlink"/>
                </w:rPr>
                <w:t>publikacija „Pametnije, zelenije i uključivije? Pokazatelji za potporu strategije Europa 2020.</w:t>
              </w:r>
            </w:hyperlink>
            <w:r>
              <w:rPr>
                <w:color w:val="F07E31" w:themeColor="accent1"/>
              </w:rPr>
              <w:t>”</w:t>
            </w:r>
            <w:r>
              <w:t>),</w:t>
            </w:r>
            <w:r>
              <w:rPr>
                <w:color w:val="333333"/>
              </w:rPr>
              <w:t xml:space="preserve"> u kojima se prati napredak u ostvarivanju ciljeva i ciljnih vrijednosti EU-a utvrđenih u okviru triju prioriteta koji se uzajamno nadopunjuju, a odnose se na pametan, održiv i uključiv rast, te se daje prikaz stanja u državama članicama</w:t>
            </w:r>
            <w:r>
              <w:t>.</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AF198F">
            <w:pPr>
              <w:pStyle w:val="HStandard"/>
              <w:jc w:val="left"/>
              <w:rPr>
                <w:rFonts w:cs="Arial"/>
                <w:color w:val="F07E31" w:themeColor="accent1"/>
              </w:rPr>
            </w:pPr>
            <w:hyperlink r:id="rId29">
              <w:r w:rsidR="006F62E2">
                <w:rPr>
                  <w:rStyle w:val="Hyperlink"/>
                </w:rPr>
                <w:t>Informacije o ciljevima strategije Europa 2020. po državama članicama</w:t>
              </w:r>
            </w:hyperlink>
          </w:p>
        </w:tc>
        <w:tc>
          <w:tcPr>
            <w:tcW w:w="5477" w:type="dxa"/>
          </w:tcPr>
          <w:p w:rsidR="00A75E50" w:rsidRPr="001C6ACF" w:rsidRDefault="00A75E50" w:rsidP="00823352">
            <w:pPr>
              <w:pStyle w:val="HStandard"/>
            </w:pPr>
            <w:r>
              <w:t>Eurostat redovito ažurira informacije o nacionalnim ciljevima koji su postavljeni kako bi se ostvarili glavni ciljevi strategije Europa 2020. po državama članicama.</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AF198F">
            <w:pPr>
              <w:pStyle w:val="HStandard"/>
              <w:jc w:val="left"/>
              <w:rPr>
                <w:rFonts w:cs="Arial"/>
              </w:rPr>
            </w:pPr>
            <w:hyperlink r:id="rId30">
              <w:r w:rsidR="006F62E2">
                <w:rPr>
                  <w:rStyle w:val="Hyperlink"/>
                </w:rPr>
                <w:t>Opisni listovi za pokazatelje konteksta</w:t>
              </w:r>
            </w:hyperlink>
            <w:r w:rsidR="006F62E2">
              <w:t xml:space="preserve"> </w:t>
            </w:r>
          </w:p>
        </w:tc>
        <w:tc>
          <w:tcPr>
            <w:tcW w:w="5477" w:type="dxa"/>
          </w:tcPr>
          <w:p w:rsidR="00A75E50" w:rsidRPr="007645B4" w:rsidRDefault="00A75E50" w:rsidP="00FF4127">
            <w:pPr>
              <w:pStyle w:val="HStandard"/>
            </w:pPr>
            <w:r>
              <w:t>U 45 zajedničkih pokazatelja konteksta ZPP-a (podijeljenih u tri skupine: društveno-gospodarski, sektorski i okolišni) odražavaju se odgovarajući aspekti općih kontekstualnih trendova u gospodarstvu, okolišu i društvu te će vjerojatno utjecati na provedbu, postignuća i uspješnost ZPP-a. Informativni listovi o pokazateljima sadržavaju opis definicija, metodologije te izvora podataka.</w:t>
            </w:r>
          </w:p>
        </w:tc>
      </w:tr>
      <w:tr w:rsidR="00A75E50" w:rsidRPr="001C6ACF" w:rsidTr="00A746BC">
        <w:trPr>
          <w:trHeight w:val="1800"/>
        </w:trPr>
        <w:tc>
          <w:tcPr>
            <w:tcW w:w="1129" w:type="dxa"/>
          </w:tcPr>
          <w:p w:rsidR="00A75E50" w:rsidRPr="001C6ACF" w:rsidRDefault="00A75E50" w:rsidP="00A746BC">
            <w:pPr>
              <w:pStyle w:val="HStandard"/>
              <w:jc w:val="center"/>
            </w:pPr>
            <w:r>
              <w:t>Svi ZEP-ovi</w:t>
            </w:r>
          </w:p>
        </w:tc>
        <w:tc>
          <w:tcPr>
            <w:tcW w:w="2410" w:type="dxa"/>
          </w:tcPr>
          <w:p w:rsidR="00A75E50" w:rsidRPr="00571D58" w:rsidRDefault="00AF198F" w:rsidP="00E95159">
            <w:pPr>
              <w:pStyle w:val="HStandard"/>
              <w:jc w:val="left"/>
            </w:pPr>
            <w:hyperlink r:id="rId31">
              <w:r w:rsidR="006F62E2">
                <w:rPr>
                  <w:rStyle w:val="Hyperlink"/>
                </w:rPr>
                <w:t>Radni dokument „Zajednička evaluacijska pitanja za programe ruralnog razvoja za razdoblje 2014.–2020.</w:t>
              </w:r>
            </w:hyperlink>
          </w:p>
        </w:tc>
        <w:tc>
          <w:tcPr>
            <w:tcW w:w="5477" w:type="dxa"/>
          </w:tcPr>
          <w:p w:rsidR="00A75E50" w:rsidRPr="00863E73" w:rsidRDefault="00A75E50" w:rsidP="00E95159">
            <w:pPr>
              <w:pStyle w:val="HStandard"/>
            </w:pPr>
            <w:r>
              <w:t>Objašnjavaju se svrha i upotreba zajedničkih evaluacijskih pitanja u ZSPE-u. Opisuju se razne vrste evaluacijskih pitanja i navodi popis kriterija prosudbe te zajedničkih i dodatnih pokazatelja za ZEP-ove od 1. do 21.</w:t>
            </w:r>
          </w:p>
        </w:tc>
      </w:tr>
    </w:tbl>
    <w:p w:rsidR="00154C43" w:rsidRPr="001C6ACF" w:rsidRDefault="00154C43"/>
    <w:p w:rsidR="001C2076" w:rsidRPr="001C6ACF" w:rsidRDefault="001C2076" w:rsidP="00E35440">
      <w:pPr>
        <w:pStyle w:val="HHeading2"/>
      </w:pPr>
      <w:r>
        <w:t xml:space="preserve">Priprema za GIP koji se podnosi 2019. </w:t>
      </w:r>
    </w:p>
    <w:p w:rsidR="009B016B" w:rsidRPr="001C6ACF" w:rsidRDefault="00806A70" w:rsidP="00217482">
      <w:pPr>
        <w:pStyle w:val="HStandard"/>
      </w:pPr>
      <w:r>
        <w:t>U pripremama za procjenu postignuća i učinaka PRR-a 2019. razni dionici uključeni u evaluaciju u državama članicama mogu provesti nekoliko koraka</w:t>
      </w:r>
      <w:r>
        <w:rPr>
          <w:rStyle w:val="FootnoteReference"/>
          <w:sz w:val="20"/>
          <w:vertAlign w:val="superscript"/>
        </w:rPr>
        <w:footnoteReference w:id="24"/>
      </w:r>
      <w:r>
        <w:t>, čime će se pomoći osigurati visoka kvaliteta nalaza evaluacije i njihova relevantnost za oblikovatelje politika.</w:t>
      </w:r>
    </w:p>
    <w:p w:rsidR="00932C3E" w:rsidRPr="001C6ACF" w:rsidRDefault="003146E6" w:rsidP="00217482">
      <w:pPr>
        <w:pStyle w:val="HStandard"/>
      </w:pPr>
      <w:r>
        <w:t xml:space="preserve">Predloženi kontrolni popis naveden je u tablici 2. i sadržava korake potrebne za evaluaciju 2019. Uključuje i neke pripremne korake koji se, u slučaju da već nisu izvršeni, još mogu provesti prije početka evaluacijskih aktivnosti 2019. U tablici 2. navedene su odgovornosti različitih dionika koji mogu biti uključeni u evaluacijske aktivnosti na razini države članice: upravljačkog tijela (UT), odbora za praćenje (OP), agencije za plaćanja (AP), službe za evaluacije (EvS) (ako postoji), evaluacijske upravljačke skupine (EUS) (ako postoji), evaluatora (Ev), pružatelja podataka (PP) i ostalih relevantnih dionika uključenih u evaluaciju (O). </w:t>
      </w:r>
    </w:p>
    <w:p w:rsidR="004773BB" w:rsidRPr="001C6ACF" w:rsidRDefault="00A75E50" w:rsidP="00C15E30">
      <w:pPr>
        <w:pStyle w:val="HHeadingtables"/>
        <w:numPr>
          <w:ilvl w:val="0"/>
          <w:numId w:val="0"/>
        </w:numPr>
      </w:pPr>
      <w:r>
        <w:br w:type="column"/>
      </w:r>
      <w:r w:rsidR="00C15E30">
        <w:lastRenderedPageBreak/>
        <w:t xml:space="preserve">Tablica 2. </w:t>
      </w:r>
      <w:r w:rsidR="00C15E30">
        <w:tab/>
      </w:r>
      <w:r>
        <w:t>Kontrolni popis za preporučene korake u evaluaciji 2019.</w:t>
      </w:r>
    </w:p>
    <w:tbl>
      <w:tblPr>
        <w:tblStyle w:val="Tabukasmriekou5tmavzvraznenie61"/>
        <w:tblW w:w="9492" w:type="dxa"/>
        <w:jc w:val="center"/>
        <w:tblLayout w:type="fixed"/>
        <w:tblLook w:val="04A0" w:firstRow="1" w:lastRow="0" w:firstColumn="1" w:lastColumn="0" w:noHBand="0" w:noVBand="1"/>
      </w:tblPr>
      <w:tblGrid>
        <w:gridCol w:w="562"/>
        <w:gridCol w:w="3402"/>
        <w:gridCol w:w="1231"/>
        <w:gridCol w:w="452"/>
        <w:gridCol w:w="549"/>
        <w:gridCol w:w="549"/>
        <w:gridCol w:w="550"/>
        <w:gridCol w:w="593"/>
        <w:gridCol w:w="505"/>
        <w:gridCol w:w="549"/>
        <w:gridCol w:w="550"/>
      </w:tblGrid>
      <w:tr w:rsidR="00055507" w:rsidRPr="001C6ACF" w:rsidTr="00496BA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Faza</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Korak</w:t>
            </w:r>
          </w:p>
        </w:tc>
        <w:tc>
          <w:tcPr>
            <w:tcW w:w="123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Okvirni vremenski raspored</w:t>
            </w:r>
          </w:p>
        </w:tc>
        <w:tc>
          <w:tcPr>
            <w:tcW w:w="429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Odgovornost (x) i uključenost (y)</w:t>
            </w:r>
            <w:r>
              <w:rPr>
                <w:rStyle w:val="FootnoteReference"/>
                <w:color w:val="FFFFFF" w:themeColor="background1"/>
                <w:sz w:val="10"/>
              </w:rPr>
              <w:footnoteReference w:id="25"/>
            </w:r>
          </w:p>
        </w:tc>
      </w:tr>
      <w:tr w:rsidR="00BA1544" w:rsidRPr="001C6ACF" w:rsidTr="00496BA7">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23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45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UT</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EvS</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EUS</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OP</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96BA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Planiranje</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Ažuriranje referentnih vrijednosti zajedničkih pokazatelja konteksta (u PRR-u).</w:t>
            </w:r>
          </w:p>
        </w:tc>
        <w:tc>
          <w:tcPr>
            <w:tcW w:w="123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Čim podaci budu dostupni</w:t>
            </w:r>
          </w:p>
        </w:tc>
        <w:tc>
          <w:tcPr>
            <w:tcW w:w="45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Planiranje evaluacijskih aktivnosti, tema, studija i rješenja za prikupljanje podataka povezanih sa zajedničkim pokazateljima učinka u planu evaluacije PRR-a. </w:t>
            </w:r>
          </w:p>
        </w:tc>
        <w:tc>
          <w:tcPr>
            <w:tcW w:w="123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Od 2013. </w:t>
            </w:r>
          </w:p>
        </w:tc>
        <w:tc>
          <w:tcPr>
            <w:tcW w:w="45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Izrada/ažuriranje internog evaluacijskog plana (dokumenta) kako bi se detaljnije utvrdile teme i aktivnosti evaluacije (uključujući podatkovna rješenja za utvrđivanje neto pokazatelja učinka i prikupljanje drugih dokaza te povezane studije). </w:t>
            </w:r>
          </w:p>
        </w:tc>
        <w:tc>
          <w:tcPr>
            <w:tcW w:w="123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2013.</w:t>
            </w:r>
          </w:p>
        </w:tc>
        <w:tc>
          <w:tcPr>
            <w:tcW w:w="45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Priprema</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Uspostava dobrovoljne evaluacijske upravljačke skupine koja će upravljati postupkom evaluacije (redoviti sastanci).</w:t>
            </w:r>
          </w:p>
        </w:tc>
        <w:tc>
          <w:tcPr>
            <w:tcW w:w="123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Početkom programskog razdoblja </w:t>
            </w:r>
          </w:p>
        </w:tc>
        <w:tc>
          <w:tcPr>
            <w:tcW w:w="45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Preispitivanje logike intervencije programa (ciljeva, prioriteta i žarišnih područja ruralnog razvoja, mjera). </w:t>
            </w:r>
          </w:p>
        </w:tc>
        <w:tc>
          <w:tcPr>
            <w:tcW w:w="123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Početkom programskog razdoblja i prije svake evaluacije</w:t>
            </w:r>
          </w:p>
        </w:tc>
        <w:tc>
          <w:tcPr>
            <w:tcW w:w="45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Uspostava jedinstvenog shvaćanja zajedničkih evaluacijskih pitanja, izrada kriterija prosudbe i njihovo povezivanje sa zajedničkim (i dodatnim) pokazateljima. Osiguravanje dosljednosti pri povezivanju elemenata evaluacije s logikom intervencije PRR-a. </w:t>
            </w:r>
          </w:p>
        </w:tc>
        <w:tc>
          <w:tcPr>
            <w:tcW w:w="123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Početkom programskog razdoblja i prije svake evaluacije</w:t>
            </w:r>
          </w:p>
        </w:tc>
        <w:tc>
          <w:tcPr>
            <w:tcW w:w="45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Sastavljanje evaluacijskih pitanja specifičnih za pojedini program, prema potrebi. Utvrđivanje kriterija prosudbe i pokazatelja specifičnih za program u odnosu na ta pitanja. Osiguravanje dosljednosti pri povezivanju elemenata evaluacije s logikom intervencije PRR-a.</w:t>
            </w:r>
          </w:p>
        </w:tc>
        <w:tc>
          <w:tcPr>
            <w:tcW w:w="123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Početkom programskog razdoblja i prije svake evaluacije</w:t>
            </w:r>
          </w:p>
        </w:tc>
        <w:tc>
          <w:tcPr>
            <w:tcW w:w="45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496BA7">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Provjera postojećih podataka za izračunavanje zajedničkih (i dodatnih) pokazatelja kako bi se prikupili potrebni dokazi za odgovaranje na ZEP-ove povezane sa strategijom Europa 2020. Utvrđivanje mogućih nedostataka u podacima u odnosu na odabrane pokazatelje. </w:t>
            </w:r>
          </w:p>
        </w:tc>
        <w:tc>
          <w:tcPr>
            <w:tcW w:w="123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Početkom programskog razdoblja i prije evaluacije</w:t>
            </w:r>
          </w:p>
        </w:tc>
        <w:tc>
          <w:tcPr>
            <w:tcW w:w="45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Razmatranje mogućih pristupa evaluaciji za procjenu/utvrđivanje neto pokazatelja učinka u skladu s postojećim podacima. </w:t>
            </w:r>
          </w:p>
        </w:tc>
        <w:tc>
          <w:tcPr>
            <w:tcW w:w="123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Početkom programskog razdoblja i prije </w:t>
            </w:r>
            <w:r>
              <w:rPr>
                <w:color w:val="373737"/>
                <w:sz w:val="16"/>
              </w:rPr>
              <w:lastRenderedPageBreak/>
              <w:t>evaluacije</w:t>
            </w:r>
          </w:p>
        </w:tc>
        <w:tc>
          <w:tcPr>
            <w:tcW w:w="45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Izrada nacrta opisa poslova i raspisivanje natječaja za provedbu evaluacije (kao stalne evaluacije ili sklapanje zasebnih ugovora o evaluaciji za 2017. i 2019.). </w:t>
            </w:r>
          </w:p>
        </w:tc>
        <w:tc>
          <w:tcPr>
            <w:tcW w:w="123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Početkom programskog razdoblja ili 2016. i 2018.</w:t>
            </w:r>
          </w:p>
        </w:tc>
        <w:tc>
          <w:tcPr>
            <w:tcW w:w="45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Strukturiranje</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Rasprava s evaluatorima o postojećim izvorima podataka i prazninama u podacima. Dogovor o načinu uklanjanja praznina u podacima. </w:t>
            </w:r>
          </w:p>
        </w:tc>
        <w:tc>
          <w:tcPr>
            <w:tcW w:w="123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te drugo i treće tromjesečje 2018.</w:t>
            </w:r>
          </w:p>
        </w:tc>
        <w:tc>
          <w:tcPr>
            <w:tcW w:w="45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Rasprava s evaluatorima o metodološkim pristupima procjeni učinaka PRR-a te za utvrđivanje neto zajedničkih (i dodatnih) pokazatelja učinka. </w:t>
            </w:r>
          </w:p>
        </w:tc>
        <w:tc>
          <w:tcPr>
            <w:tcW w:w="123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te drugo i treće tromjesečje 2018.</w:t>
            </w:r>
          </w:p>
        </w:tc>
        <w:tc>
          <w:tcPr>
            <w:tcW w:w="45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Promatranje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Prikupljanje podataka i informacija o korisnicima povezanih sa zajedničkim (i dodatnim) pokazateljima učinka u skladu s predloženim metodama. </w:t>
            </w:r>
          </w:p>
        </w:tc>
        <w:tc>
          <w:tcPr>
            <w:tcW w:w="123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početka PRR-a do kraja 2018.</w:t>
            </w:r>
          </w:p>
        </w:tc>
        <w:tc>
          <w:tcPr>
            <w:tcW w:w="45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Prikupljanje podataka i informacija o nekorisnicima povezanih sa zajedničkim (i dodatnim) pokazateljima učinka u skladu s predloženim metodama. </w:t>
            </w:r>
          </w:p>
        </w:tc>
        <w:tc>
          <w:tcPr>
            <w:tcW w:w="123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Od početka PRR-a do kraja 2018.</w:t>
            </w:r>
          </w:p>
        </w:tc>
        <w:tc>
          <w:tcPr>
            <w:tcW w:w="45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Osiguravanje kvalitete podataka prikupljenih iz baze podataka operacija i iz drugih izvora (npr. FADN-a, ureda za statistiku, praćenja stanja okoliša itd.). </w:t>
            </w:r>
          </w:p>
        </w:tc>
        <w:tc>
          <w:tcPr>
            <w:tcW w:w="123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Stalno</w:t>
            </w:r>
          </w:p>
        </w:tc>
        <w:tc>
          <w:tcPr>
            <w:tcW w:w="45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Analiziranje</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Provedba procjene i utvrđivanje neto pokazatelja učinka u skladu s predloženim pristupom evaluaciji i odabranim evaluacijskim metodama. </w:t>
            </w:r>
          </w:p>
        </w:tc>
        <w:tc>
          <w:tcPr>
            <w:tcW w:w="123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tromjesečje 2019.</w:t>
            </w:r>
          </w:p>
        </w:tc>
        <w:tc>
          <w:tcPr>
            <w:tcW w:w="45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Osiguravanje kvalitete analize. </w:t>
            </w:r>
          </w:p>
        </w:tc>
        <w:tc>
          <w:tcPr>
            <w:tcW w:w="123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Prvo tromjesečje 2019.</w:t>
            </w:r>
          </w:p>
        </w:tc>
        <w:tc>
          <w:tcPr>
            <w:tcW w:w="45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Prosudba</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Tumačenje nalaza evaluacije dobivenih analizom, prosuđivanje na temelju kriterija prosudbe te odgovaranje na evaluacijska pitanja. </w:t>
            </w:r>
          </w:p>
        </w:tc>
        <w:tc>
          <w:tcPr>
            <w:tcW w:w="123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tromjesečje 2019.</w:t>
            </w:r>
          </w:p>
        </w:tc>
        <w:tc>
          <w:tcPr>
            <w:tcW w:w="45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Sastavljanje zaključaka povezanih s prosudbama te sastavljanje preporuka, prema potrebi.</w:t>
            </w:r>
          </w:p>
        </w:tc>
        <w:tc>
          <w:tcPr>
            <w:tcW w:w="123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Prvo i drugo tromjesečje 2019.</w:t>
            </w:r>
          </w:p>
        </w:tc>
        <w:tc>
          <w:tcPr>
            <w:tcW w:w="45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Osiguravanje kvalitete prosudbi. </w:t>
            </w:r>
          </w:p>
        </w:tc>
        <w:tc>
          <w:tcPr>
            <w:tcW w:w="123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Prvo i drugo tromjesečje 2019.</w:t>
            </w:r>
          </w:p>
        </w:tc>
        <w:tc>
          <w:tcPr>
            <w:tcW w:w="45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Izvješćivanje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Izrada izvješća o evaluaciji.</w:t>
            </w:r>
          </w:p>
        </w:tc>
        <w:tc>
          <w:tcPr>
            <w:tcW w:w="123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Drugo tromjesečje 2019.</w:t>
            </w:r>
          </w:p>
        </w:tc>
        <w:tc>
          <w:tcPr>
            <w:tcW w:w="45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Predstavljanje nalaza evaluacije Odboru za </w:t>
            </w:r>
            <w:r>
              <w:rPr>
                <w:color w:val="373737"/>
                <w:sz w:val="16"/>
              </w:rPr>
              <w:lastRenderedPageBreak/>
              <w:t>praćenje.</w:t>
            </w:r>
          </w:p>
        </w:tc>
        <w:tc>
          <w:tcPr>
            <w:tcW w:w="123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 xml:space="preserve">Drugo tromjesečje </w:t>
            </w:r>
            <w:r>
              <w:rPr>
                <w:color w:val="373737"/>
                <w:sz w:val="16"/>
              </w:rPr>
              <w:lastRenderedPageBreak/>
              <w:t>2019.</w:t>
            </w:r>
          </w:p>
        </w:tc>
        <w:tc>
          <w:tcPr>
            <w:tcW w:w="45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Popunjavanje predloška SFC-a za GIP (uključujući poglavlja 2. i 7.) te njegovo podnošenje Europskoj komisiji.</w:t>
            </w:r>
          </w:p>
        </w:tc>
        <w:tc>
          <w:tcPr>
            <w:tcW w:w="123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Drugo tromjesečje 2019.</w:t>
            </w:r>
          </w:p>
        </w:tc>
        <w:tc>
          <w:tcPr>
            <w:tcW w:w="45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Objava GIP-a i izvješća o evaluaciji (ne samo poglavlje 7. GIP-a) na javnom </w:t>
            </w:r>
            <w:r>
              <w:rPr>
                <w:i/>
                <w:color w:val="373737"/>
                <w:sz w:val="16"/>
              </w:rPr>
              <w:t>web</w:t>
            </w:r>
            <w:r>
              <w:rPr>
                <w:color w:val="373737"/>
                <w:sz w:val="16"/>
              </w:rPr>
              <w:t>-mjestu.</w:t>
            </w:r>
          </w:p>
        </w:tc>
        <w:tc>
          <w:tcPr>
            <w:tcW w:w="123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Drugo, treće i četvrto tromjesečje 2019.</w:t>
            </w:r>
          </w:p>
        </w:tc>
        <w:tc>
          <w:tcPr>
            <w:tcW w:w="45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96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Priprema nalaza evaluacije u drugim primjerenim oblicima (npr. sažetak za građane) za razne ciljne skupine.</w:t>
            </w:r>
          </w:p>
        </w:tc>
        <w:tc>
          <w:tcPr>
            <w:tcW w:w="123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Treće i četvrto tromjesečje 2019.</w:t>
            </w:r>
          </w:p>
        </w:tc>
        <w:tc>
          <w:tcPr>
            <w:tcW w:w="45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96BA7">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Priopćavanje nalaza evaluacije ciljnim skupinama. </w:t>
            </w:r>
          </w:p>
        </w:tc>
        <w:tc>
          <w:tcPr>
            <w:tcW w:w="123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Treće i četvrto tromjesečje 2019.</w:t>
            </w:r>
          </w:p>
        </w:tc>
        <w:tc>
          <w:tcPr>
            <w:tcW w:w="45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96BA7">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Daljnje mjere</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Postupanje i poduzimanje daljnjih mjera u skladu sa zaključcima i preporukama iz evaluacije kako bi se poboljšale izrada i provedba programa ruralnog razvoja. </w:t>
            </w:r>
          </w:p>
        </w:tc>
        <w:tc>
          <w:tcPr>
            <w:tcW w:w="123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Od drugog tromjesečja 2019. nadalje </w:t>
            </w:r>
          </w:p>
        </w:tc>
        <w:tc>
          <w:tcPr>
            <w:tcW w:w="45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A40147" w:rsidRDefault="00425D88" w:rsidP="00A40147">
      <w:pPr>
        <w:pStyle w:val="HHeading1"/>
        <w:rPr>
          <w:sz w:val="28"/>
        </w:rPr>
      </w:pPr>
      <w:r w:rsidRPr="00A40147">
        <w:rPr>
          <w:sz w:val="28"/>
        </w:rPr>
        <w:lastRenderedPageBreak/>
        <w:t xml:space="preserve">Pristupi procjeni učinaka PRR-a 2019. </w:t>
      </w:r>
      <w:r w:rsidRPr="00A40147">
        <w:rPr>
          <w:sz w:val="28"/>
        </w:rPr>
        <w:br/>
        <w:t>(DIO II.)</w:t>
      </w:r>
    </w:p>
    <w:p w:rsidR="00BB6B80" w:rsidRPr="00571D58" w:rsidRDefault="000B213F" w:rsidP="00B86C6A">
      <w:pPr>
        <w:pStyle w:val="HStandard"/>
      </w:pPr>
      <w:r>
        <w:rPr>
          <w:b/>
          <w:noProof/>
          <w:lang w:val="en-GB" w:eastAsia="en-GB" w:bidi="ar-SA"/>
        </w:rPr>
        <mc:AlternateContent>
          <mc:Choice Requires="wps">
            <w:drawing>
              <wp:inline distT="0" distB="0" distL="0" distR="0" wp14:anchorId="32B98344" wp14:editId="11ED9CAD">
                <wp:extent cx="5695950" cy="1464310"/>
                <wp:effectExtent l="19050" t="19050" r="19050" b="2159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46431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B86C6A" w:rsidRDefault="00496BA7" w:rsidP="00BB6B80">
                            <w:pPr>
                              <w:pStyle w:val="Normal12PTcouleurgris"/>
                              <w:rPr>
                                <w:rStyle w:val="HStandardCar"/>
                                <w:color w:val="292929" w:themeColor="text1" w:themeShade="BF"/>
                              </w:rPr>
                            </w:pPr>
                            <w:r>
                              <w:rPr>
                                <w:rStyle w:val="HStandardCar"/>
                                <w:b/>
                                <w:color w:val="F07E31"/>
                                <w:sz w:val="20"/>
                              </w:rPr>
                              <w:t>DIO II.</w:t>
                            </w:r>
                            <w:r>
                              <w:rPr>
                                <w:rStyle w:val="HStandardCar"/>
                                <w:color w:val="F07E31"/>
                                <w:sz w:val="20"/>
                              </w:rPr>
                              <w:t xml:space="preserve"> </w:t>
                            </w:r>
                            <w:r>
                              <w:rPr>
                                <w:rStyle w:val="HStandardCar"/>
                                <w:color w:val="292929" w:themeColor="text1" w:themeShade="BF"/>
                                <w:sz w:val="20"/>
                              </w:rPr>
                              <w:t xml:space="preserve">neobvezujućih smjernica „Procjena postignuća i učinaka PRR-a 2019.” treba tumačiti u kontekstu </w:t>
                            </w:r>
                            <w:r>
                              <w:rPr>
                                <w:rStyle w:val="HStandardCar"/>
                                <w:b/>
                                <w:color w:val="F07E31"/>
                                <w:sz w:val="20"/>
                              </w:rPr>
                              <w:t>DIJELA III.</w:t>
                            </w:r>
                            <w:r>
                              <w:rPr>
                                <w:rStyle w:val="HStandardCar"/>
                                <w:color w:val="F07E31"/>
                                <w:sz w:val="20"/>
                              </w:rPr>
                              <w:t xml:space="preserve"> </w:t>
                            </w:r>
                            <w:r>
                              <w:rPr>
                                <w:rStyle w:val="HStandardCar"/>
                                <w:color w:val="292929" w:themeColor="text1" w:themeShade="BF"/>
                                <w:sz w:val="20"/>
                              </w:rPr>
                              <w:t xml:space="preserve">(Opisni listovi za odgovaranje na ZEP-ove od 22. do 30.) i </w:t>
                            </w:r>
                            <w:r>
                              <w:rPr>
                                <w:rStyle w:val="HStandardCar"/>
                                <w:b/>
                                <w:color w:val="F07E31"/>
                                <w:sz w:val="20"/>
                              </w:rPr>
                              <w:t xml:space="preserve">DIJELA IV. </w:t>
                            </w:r>
                            <w:r>
                              <w:rPr>
                                <w:rStyle w:val="HStandardCar"/>
                                <w:color w:val="292929" w:themeColor="text1" w:themeShade="BF"/>
                                <w:sz w:val="20"/>
                              </w:rPr>
                              <w:t>(Tehnički prilog), u kojem se navode dopunske informacije za predložene pristupe evaluaciji, primjeri dodatnih pokazatelja, detaljan opis radnih koraka, opis prikladnosti predloženih pristupa evaluaciji, preporuke o tome što činiti i što ne činiti, pojmovnik).</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15.3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rsidR="00496BA7" w:rsidRPr="00B86C6A" w:rsidRDefault="00496BA7" w:rsidP="00BB6B80">
                      <w:pPr>
                        <w:pStyle w:val="Normal12PTcouleurgris"/>
                        <w:rPr>
                          <w:rStyle w:val="HStandardCar"/>
                          <w:color w:val="292929" w:themeColor="text1" w:themeShade="BF"/>
                        </w:rPr>
                      </w:pPr>
                      <w:r>
                        <w:rPr>
                          <w:rStyle w:val="HStandardCar"/>
                          <w:b/>
                          <w:color w:val="F07E31"/>
                          <w:sz w:val="20"/>
                        </w:rPr>
                        <w:t>DIO II.</w:t>
                      </w:r>
                      <w:r>
                        <w:rPr>
                          <w:rStyle w:val="HStandardCar"/>
                          <w:color w:val="F07E31"/>
                          <w:sz w:val="20"/>
                        </w:rPr>
                        <w:t xml:space="preserve"> </w:t>
                      </w:r>
                      <w:r>
                        <w:rPr>
                          <w:rStyle w:val="HStandardCar"/>
                          <w:color w:val="292929" w:themeColor="text1" w:themeShade="BF"/>
                          <w:sz w:val="20"/>
                        </w:rPr>
                        <w:t xml:space="preserve">neobvezujućih smjernica „Procjena postignuća i učinaka PRR-a 2019.” treba tumačiti u kontekstu </w:t>
                      </w:r>
                      <w:r>
                        <w:rPr>
                          <w:rStyle w:val="HStandardCar"/>
                          <w:b/>
                          <w:color w:val="F07E31"/>
                          <w:sz w:val="20"/>
                        </w:rPr>
                        <w:t>DIJELA III.</w:t>
                      </w:r>
                      <w:r>
                        <w:rPr>
                          <w:rStyle w:val="HStandardCar"/>
                          <w:color w:val="F07E31"/>
                          <w:sz w:val="20"/>
                        </w:rPr>
                        <w:t xml:space="preserve"> </w:t>
                      </w:r>
                      <w:r>
                        <w:rPr>
                          <w:rStyle w:val="HStandardCar"/>
                          <w:color w:val="292929" w:themeColor="text1" w:themeShade="BF"/>
                          <w:sz w:val="20"/>
                        </w:rPr>
                        <w:t xml:space="preserve">(Opisni listovi za odgovaranje na ZEP-ove od 22. do 30.) i </w:t>
                      </w:r>
                      <w:r>
                        <w:rPr>
                          <w:rStyle w:val="HStandardCar"/>
                          <w:b/>
                          <w:color w:val="F07E31"/>
                          <w:sz w:val="20"/>
                        </w:rPr>
                        <w:t xml:space="preserve">DIJELA IV. </w:t>
                      </w:r>
                      <w:r>
                        <w:rPr>
                          <w:rStyle w:val="HStandardCar"/>
                          <w:color w:val="292929" w:themeColor="text1" w:themeShade="BF"/>
                          <w:sz w:val="20"/>
                        </w:rPr>
                        <w:t>(Tehnički prilog), u kojem se navode dopunske informacije za predložene pristupe evaluaciji, primjeri dodatnih pokazatelja, detaljan opis radnih koraka, opis prikladnosti predloženih pristupa evaluaciji, preporuke o tome što činiti i što ne činiti, pojmovnik).</w:t>
                      </w:r>
                    </w:p>
                  </w:txbxContent>
                </v:textbox>
                <w10:anchorlock/>
              </v:shape>
            </w:pict>
          </mc:Fallback>
        </mc:AlternateContent>
      </w:r>
    </w:p>
    <w:p w:rsidR="00425D88" w:rsidRPr="007645B4" w:rsidRDefault="00425D88" w:rsidP="00002482">
      <w:pPr>
        <w:pStyle w:val="HHeading2"/>
        <w:tabs>
          <w:tab w:val="clear" w:pos="360"/>
          <w:tab w:val="clear" w:pos="567"/>
        </w:tabs>
      </w:pPr>
      <w:r>
        <w:t>Odabir odgovarajućih pristupa evaluaciji za procjenu učinaka PRR-a</w:t>
      </w:r>
    </w:p>
    <w:p w:rsidR="00E93BEA" w:rsidRPr="001C6ACF" w:rsidRDefault="00E93BEA" w:rsidP="00E93BEA">
      <w:pPr>
        <w:pStyle w:val="HStandard"/>
        <w:rPr>
          <w:rFonts w:cs="Arial"/>
        </w:rPr>
      </w:pPr>
      <w:r>
        <w:t xml:space="preserve">Procjena i utvrđivanje neto zajedničkih pokazatelja učinka stupa II. ZPP-a 2019. izazovna je zadaća i otvara </w:t>
      </w:r>
      <w:r>
        <w:rPr>
          <w:b/>
        </w:rPr>
        <w:t>nekoliko pitanja</w:t>
      </w:r>
      <w:r>
        <w:t xml:space="preserve">: </w:t>
      </w:r>
    </w:p>
    <w:p w:rsidR="00E93BEA" w:rsidRPr="001C6ACF" w:rsidRDefault="00E93BEA" w:rsidP="00E93BEA">
      <w:pPr>
        <w:pStyle w:val="Hlistbullet"/>
      </w:pPr>
      <w:r>
        <w:t xml:space="preserve">Kako se promjene uočene u ruralnim područjima mogu pripisati intervencijama u okviru PRR-a te koje bi pristupe evaluaciji trebalo primijeniti u tu svrhu? </w:t>
      </w:r>
    </w:p>
    <w:p w:rsidR="00E93BEA" w:rsidRPr="001C6ACF" w:rsidRDefault="00E93BEA" w:rsidP="00E93BEA">
      <w:pPr>
        <w:pStyle w:val="Hlistbullet"/>
      </w:pPr>
      <w:r>
        <w:t xml:space="preserve">Koje bi podatke iz postojećih izvora (npr. praćenje, baze podataka EU-a, nacionalne i regionalne baze podataka) trebalo upotrijebiti kao osnovu za predloženi pristup evaluaciji? </w:t>
      </w:r>
    </w:p>
    <w:p w:rsidR="00E93BEA" w:rsidRPr="001C6ACF" w:rsidRDefault="00E93BEA" w:rsidP="00E93BEA">
      <w:pPr>
        <w:pStyle w:val="Hlistbullet"/>
      </w:pPr>
      <w:r>
        <w:t xml:space="preserve">Kako se uskladiti s različitim pružateljima podataka? </w:t>
      </w:r>
    </w:p>
    <w:p w:rsidR="00E93BEA" w:rsidRPr="001C6ACF" w:rsidRDefault="00E93BEA" w:rsidP="00E93BEA">
      <w:pPr>
        <w:pStyle w:val="Hlistbullet"/>
      </w:pPr>
      <w:r>
        <w:t xml:space="preserve">Kako se može osigurati kvaliteta podataka i riješiti problem praznina u podacima? </w:t>
      </w:r>
    </w:p>
    <w:p w:rsidR="009B0B1E" w:rsidRPr="001C6ACF" w:rsidRDefault="009B0B1E" w:rsidP="00CE2BAE">
      <w:pPr>
        <w:pStyle w:val="HHeading3"/>
      </w:pPr>
      <w:r>
        <w:t>Kako se logički modeli mogu upotrijebiti za određivanje odgovarajućih pristupa evaluaciji?</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1943100"/>
                <wp:effectExtent l="0" t="0" r="28575" b="19050"/>
                <wp:wrapTight wrapText="bothSides">
                  <wp:wrapPolygon edited="0">
                    <wp:start x="504" y="0"/>
                    <wp:lineTo x="0" y="847"/>
                    <wp:lineTo x="0" y="21600"/>
                    <wp:lineTo x="21180" y="21600"/>
                    <wp:lineTo x="21684" y="20965"/>
                    <wp:lineTo x="21684" y="0"/>
                    <wp:lineTo x="50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943100"/>
                        </a:xfrm>
                        <a:prstGeom prst="round2DiagRect">
                          <a:avLst>
                            <a:gd name="adj1" fmla="val 8733"/>
                            <a:gd name="adj2" fmla="val 0"/>
                          </a:avLst>
                        </a:prstGeom>
                        <a:noFill/>
                        <a:ln w="25400" cap="flat" cmpd="sng" algn="ctr">
                          <a:solidFill>
                            <a:srgbClr val="BE4A35"/>
                          </a:solidFill>
                          <a:prstDash val="solid"/>
                        </a:ln>
                        <a:effectLst/>
                      </wps:spPr>
                      <wps:txbx>
                        <w:txbxContent>
                          <w:p w:rsidR="00496BA7" w:rsidRPr="00C545E7" w:rsidRDefault="00496BA7"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Logički modeli </w:t>
                            </w:r>
                            <w:r>
                              <w:rPr>
                                <w:b w:val="0"/>
                                <w:color w:val="373737" w:themeColor="text1"/>
                              </w:rPr>
                              <w:t>stabla su odlučivanja koja mogu pomoći dionicima u oblikovanju (protučinjeničnog) pristupa evaluaciji te odabiru najprimjerenijih metoda s obzirom na dostupne podatke i informacije.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53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" adj="-11796480,,5400" path="m169691,l2447925,r,l2447925,1773409v,93718,-75973,169691,-169691,169691l,1943100r,l,169691c,75973,75973,,169691,xe" filled="f" strokecolor="#be4a35" strokeweight="2pt">
                <v:stroke joinstyle="miter"/>
                <v:formulas/>
                <v:path arrowok="t" o:connecttype="custom" o:connectlocs="169691,0;2447925,0;2447925,0;2447925,1773409;2278234,1943100;0,1943100;0,1943100;0,169691;169691,0" o:connectangles="0,0,0,0,0,0,0,0,0" textboxrect="0,0,2447925,1943100"/>
                <v:textbox>
                  <w:txbxContent>
                    <w:p w:rsidR="00496BA7" w:rsidRPr="00C545E7" w:rsidRDefault="00496BA7" w:rsidP="005166F3">
                      <w:pPr>
                        <w:pStyle w:val="HHeading4"/>
                        <w:spacing w:before="0"/>
                        <w:jc w:val="both"/>
                        <w:rPr>
                          <w:i/>
                          <w:color w:val="F07E31" w:themeColor="accent1"/>
                          <w:sz w:val="18"/>
                        </w:rPr>
                      </w:pPr>
                      <w:r>
                        <w:rPr>
                          <w:noProof/>
                          <w:color w:val="373737"/>
                          <w:lang w:val="en-GB" w:eastAsia="en-GB"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Logički modeli </w:t>
                      </w:r>
                      <w:r>
                        <w:rPr>
                          <w:b w:val="0"/>
                          <w:color w:val="373737" w:themeColor="text1"/>
                        </w:rPr>
                        <w:t>stabla su odlučivanja koja mogu pomoći dionicima u oblikovanju (protučinjeničnog) pristupa evaluaciji te odabiru najprimjerenijih metoda s obzirom na dostupne podatke i informacije.</w:t>
                      </w:r>
                    </w:p>
                  </w:txbxContent>
                </v:textbox>
                <w10:wrap type="tight" anchorx="margin"/>
              </v:shape>
            </w:pict>
          </mc:Fallback>
        </mc:AlternateContent>
      </w:r>
      <w:r>
        <w:t xml:space="preserve">Logički modeli mogu evaluatora usmjeriti prema novim pristupima, boljem planiranju prikupljanja podataka i razmatranju metoda koje manje ovise o dostupnosti podataka (npr. kvalitativne metode). Logički modeli mogu pomoći i upravljačkim tijelima da bolje planiraju i predvide ishode evaluacije u određenom kontekstu (s obzirom na podatke, proračun za evaluaciju i vremenski okvir). </w:t>
      </w:r>
    </w:p>
    <w:p w:rsidR="00FF13C7" w:rsidRPr="001C6ACF" w:rsidRDefault="00FF13C7" w:rsidP="00FF13C7">
      <w:pPr>
        <w:pStyle w:val="HStandard"/>
        <w:spacing w:after="0"/>
        <w:rPr>
          <w:rFonts w:cs="Arial"/>
          <w:color w:val="373737"/>
          <w:szCs w:val="18"/>
        </w:rPr>
      </w:pPr>
      <w:r>
        <w:rPr>
          <w:color w:val="373737"/>
        </w:rPr>
        <w:t>Logički modeli služe kao vodič u kojem se objašnjavaju koraci oblikovanja pristupa evaluaciji kako bi se omogućilo bolje razumijevanje:</w:t>
      </w:r>
    </w:p>
    <w:p w:rsidR="00FF13C7" w:rsidRPr="001C6ACF" w:rsidRDefault="00FF13C7" w:rsidP="00FF13C7">
      <w:pPr>
        <w:pStyle w:val="Hlistbullet"/>
        <w:spacing w:before="0" w:after="0" w:line="280" w:lineRule="atLeast"/>
        <w:ind w:left="502"/>
        <w:rPr>
          <w:rFonts w:cs="Arial"/>
          <w:color w:val="373737"/>
          <w:szCs w:val="18"/>
        </w:rPr>
      </w:pPr>
      <w:r>
        <w:rPr>
          <w:b/>
          <w:color w:val="373737"/>
        </w:rPr>
        <w:t>MOGUĆNOSTI:</w:t>
      </w:r>
      <w:r>
        <w:rPr>
          <w:color w:val="373737"/>
        </w:rPr>
        <w:t xml:space="preserve"> koje su kombinacije podataka/pokazatelja/metoda dostupne i prikladne za odgovaranje na evaluacijska pitanja</w:t>
      </w:r>
    </w:p>
    <w:p w:rsidR="00FF13C7" w:rsidRPr="001C6ACF" w:rsidRDefault="00FF13C7" w:rsidP="00FF13C7">
      <w:pPr>
        <w:pStyle w:val="Hlistbullet"/>
        <w:spacing w:before="0" w:after="0" w:line="280" w:lineRule="atLeast"/>
        <w:ind w:left="502"/>
        <w:rPr>
          <w:color w:val="373737"/>
          <w:sz w:val="22"/>
        </w:rPr>
      </w:pPr>
      <w:r>
        <w:rPr>
          <w:b/>
          <w:color w:val="373737"/>
        </w:rPr>
        <w:t>ZAHTJEVA:</w:t>
      </w:r>
      <w:r>
        <w:rPr>
          <w:color w:val="373737"/>
        </w:rPr>
        <w:t xml:space="preserve"> koji su podaci/pokazatelji/metode/pristupi potrebni da bi se procijenili neto učinci i odgovorilo na evaluacijsko pitanje</w:t>
      </w:r>
    </w:p>
    <w:p w:rsidR="00FF13C7" w:rsidRPr="001C6ACF" w:rsidRDefault="00FF13C7" w:rsidP="00FF13C7">
      <w:pPr>
        <w:pStyle w:val="Hlistbullet"/>
        <w:spacing w:before="0" w:after="0" w:line="280" w:lineRule="atLeast"/>
        <w:ind w:left="502"/>
        <w:rPr>
          <w:color w:val="373737"/>
          <w:sz w:val="22"/>
        </w:rPr>
      </w:pPr>
      <w:r>
        <w:rPr>
          <w:b/>
          <w:color w:val="373737"/>
        </w:rPr>
        <w:t>POSLJEDICA:</w:t>
      </w:r>
      <w:r>
        <w:rPr>
          <w:color w:val="373737"/>
        </w:rPr>
        <w:t xml:space="preserve"> što odluke donesene u raznim fazama znače za trošak i učinkovitost evaluacije.</w:t>
      </w:r>
    </w:p>
    <w:p w:rsidR="00E93BEA" w:rsidRPr="00571D58" w:rsidRDefault="009B37D9" w:rsidP="009B37D9">
      <w:pPr>
        <w:pStyle w:val="HStandard"/>
      </w:pPr>
      <w:r>
        <w:t xml:space="preserve">Logički modeli predstavljeni u ovim smjernicama u skladu su s pristupom razvijenim u okviru projekta </w:t>
      </w:r>
      <w:hyperlink r:id="rId35">
        <w:r>
          <w:rPr>
            <w:rStyle w:val="Hyperlink"/>
            <w:u w:val="none"/>
          </w:rPr>
          <w:t>ENVIEVAL</w:t>
        </w:r>
      </w:hyperlink>
      <w:r>
        <w:rPr>
          <w:rStyle w:val="FootnoteReference"/>
        </w:rPr>
        <w:footnoteReference w:id="26"/>
      </w:r>
      <w:r>
        <w:t xml:space="preserve"> i iznesenim u </w:t>
      </w:r>
      <w:hyperlink r:id="rId36">
        <w:r>
          <w:rPr>
            <w:rStyle w:val="Hyperlink"/>
            <w:i/>
            <w:u w:val="none"/>
          </w:rPr>
          <w:t xml:space="preserve">Methodological Handbook for the evaluation of environmental impacts of RDPs </w:t>
        </w:r>
        <w:r>
          <w:rPr>
            <w:rStyle w:val="Hyperlink"/>
            <w:u w:val="none"/>
          </w:rPr>
          <w:t>(„Metodološki priručnik za evaluaciju učinka programa ruralnog razvoja na okoliš”)</w:t>
        </w:r>
        <w:r>
          <w:rPr>
            <w:rStyle w:val="Hyperlink"/>
            <w:i/>
            <w:u w:val="none"/>
          </w:rPr>
          <w:t>.</w:t>
        </w:r>
        <w:r>
          <w:rPr>
            <w:rStyle w:val="Hyperlink"/>
            <w:u w:val="none"/>
          </w:rPr>
          <w:t xml:space="preserve"> </w:t>
        </w:r>
      </w:hyperlink>
      <w:r>
        <w:t xml:space="preserve">U okviru </w:t>
      </w:r>
      <w:r>
        <w:lastRenderedPageBreak/>
        <w:t>projekta ENVIEVAL razvijeni su i ispitani ti poboljšani alati za evaluaciju učinka mjera i programa ruralnog razvoja na okoliš u državama članicama EU-a</w:t>
      </w:r>
      <w:r>
        <w:rPr>
          <w:rStyle w:val="FootnoteReference"/>
        </w:rPr>
        <w:footnoteReference w:id="27"/>
      </w:r>
      <w:r>
        <w:t xml:space="preserve">. </w:t>
      </w:r>
    </w:p>
    <w:p w:rsidR="00AE216A" w:rsidRPr="00FB6C06" w:rsidRDefault="00AE216A" w:rsidP="00AE216A">
      <w:pPr>
        <w:pStyle w:val="HHeading4"/>
      </w:pPr>
      <w:r>
        <w:t>Faze logičkog modela</w:t>
      </w:r>
    </w:p>
    <w:p w:rsidR="00AE216A" w:rsidRPr="001C6ACF" w:rsidRDefault="00AE216A" w:rsidP="00AE216A">
      <w:pPr>
        <w:pStyle w:val="HStandard"/>
        <w:rPr>
          <w:rFonts w:cs="Arial"/>
        </w:rPr>
      </w:pPr>
      <w:r>
        <w:t xml:space="preserve">Na slici 2. daje se pregled </w:t>
      </w:r>
      <w:r>
        <w:rPr>
          <w:b/>
        </w:rPr>
        <w:t>četiriju faza logičkog modela</w:t>
      </w:r>
      <w:r>
        <w:t xml:space="preserve">. U </w:t>
      </w:r>
      <w:r>
        <w:rPr>
          <w:b/>
        </w:rPr>
        <w:t xml:space="preserve">prvoj fazi </w:t>
      </w:r>
      <w:r>
        <w:t xml:space="preserve">prikazano je kako uspostaviti okvir za procjenu. U tu je svrhu potrebno poznavati položaj učinaka u logici intervencije, dostupne pokazatelje i jedinicu procjene. U </w:t>
      </w:r>
      <w:r>
        <w:rPr>
          <w:b/>
        </w:rPr>
        <w:t xml:space="preserve">drugoj su fazi </w:t>
      </w:r>
      <w:r>
        <w:t xml:space="preserve">utvrđene opcije za protučinjenični scenarij, uzimajući u obzir ograničavajuće čimbenike. U </w:t>
      </w:r>
      <w:r>
        <w:rPr>
          <w:b/>
        </w:rPr>
        <w:t>trećoj se fazi t</w:t>
      </w:r>
      <w:r>
        <w:t xml:space="preserve">e opcije razrađuju na mikrorazini i makrorazini kako bi se procijenili neto učinci. Konačno, u </w:t>
      </w:r>
      <w:r>
        <w:rPr>
          <w:b/>
        </w:rPr>
        <w:t>četvrtoj se fazi prov</w:t>
      </w:r>
      <w:r>
        <w:t xml:space="preserve">jerava dosljednost analize na mikrorazini i makrorazini kako bi se potvrdila valjanost nalaza. </w:t>
      </w:r>
    </w:p>
    <w:p w:rsidR="00E93BEA" w:rsidRPr="001C6ACF" w:rsidRDefault="00C15E30" w:rsidP="00C15E30">
      <w:pPr>
        <w:pStyle w:val="HHeadingfigures"/>
        <w:numPr>
          <w:ilvl w:val="0"/>
          <w:numId w:val="0"/>
        </w:numPr>
        <w:tabs>
          <w:tab w:val="clear" w:pos="2666"/>
        </w:tabs>
      </w:pPr>
      <w:r>
        <w:t xml:space="preserve">Slika 2. </w:t>
      </w:r>
      <w:r>
        <w:tab/>
      </w:r>
      <w:r w:rsidR="00E93BEA">
        <w:t>Pojednostavnjeni dijagram faza logičkog modela</w:t>
      </w:r>
    </w:p>
    <w:p w:rsidR="00E93BEA" w:rsidRPr="00571D58" w:rsidRDefault="00496BA7" w:rsidP="00E93BEA">
      <w:pPr>
        <w:pStyle w:val="HStandard"/>
        <w:jc w:val="center"/>
      </w:pPr>
      <w:r w:rsidRPr="00496BA7">
        <w:rPr>
          <w:noProof/>
          <w:lang w:val="en-GB" w:eastAsia="en-GB" w:bidi="ar-SA"/>
        </w:rPr>
        <w:drawing>
          <wp:inline distT="0" distB="0" distL="0" distR="0">
            <wp:extent cx="5731510" cy="34283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428365"/>
                    </a:xfrm>
                    <a:prstGeom prst="rect">
                      <a:avLst/>
                    </a:prstGeom>
                    <a:noFill/>
                    <a:ln>
                      <a:noFill/>
                    </a:ln>
                  </pic:spPr>
                </pic:pic>
              </a:graphicData>
            </a:graphic>
          </wp:inline>
        </w:drawing>
      </w:r>
    </w:p>
    <w:p w:rsidR="004F365B" w:rsidRPr="001C6ACF" w:rsidRDefault="004F365B" w:rsidP="004F365B">
      <w:pPr>
        <w:pStyle w:val="HSource"/>
        <w:rPr>
          <w:i w:val="0"/>
        </w:rPr>
      </w:pPr>
      <w:r>
        <w:t xml:space="preserve">Izvor: Europska služba za podršku evaluaciji ruralnog razvoja (2018.); prilagođeno na temelju ENVIEVAL (2015.): Methodological Handbook for the evaluation of environmental impacts of RDPs: Report D9.5. Bruxelles: Europska komisija.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Faze logičkog modela upotrebljavaju se kao referentna točka za opisivanje predloženih pristupa evaluaciji za pokazatelje učinka ZPP-a (vidjeti poglavlja od 2.2. do 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Uspostava okvira za procjenu (prva faza modela)</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-40005</wp:posOffset>
                </wp:positionH>
                <wp:positionV relativeFrom="paragraph">
                  <wp:posOffset>90805</wp:posOffset>
                </wp:positionV>
                <wp:extent cx="2286000" cy="2536190"/>
                <wp:effectExtent l="0" t="0" r="19050" b="16510"/>
                <wp:wrapThrough wrapText="bothSides">
                  <wp:wrapPolygon edited="0">
                    <wp:start x="900" y="0"/>
                    <wp:lineTo x="0" y="811"/>
                    <wp:lineTo x="0" y="21578"/>
                    <wp:lineTo x="20880" y="21578"/>
                    <wp:lineTo x="21060" y="21578"/>
                    <wp:lineTo x="21600" y="20767"/>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36190"/>
                        </a:xfrm>
                        <a:prstGeom prst="round2DiagRect">
                          <a:avLst>
                            <a:gd name="adj1" fmla="val 8733"/>
                            <a:gd name="adj2" fmla="val 0"/>
                          </a:avLst>
                        </a:prstGeom>
                        <a:noFill/>
                        <a:ln w="25400" cap="flat" cmpd="sng" algn="ctr">
                          <a:solidFill>
                            <a:srgbClr val="BE4A35"/>
                          </a:solidFill>
                          <a:prstDash val="solid"/>
                        </a:ln>
                        <a:effectLst/>
                      </wps:spPr>
                      <wps:txbx>
                        <w:txbxContent>
                          <w:p w:rsidR="00496BA7" w:rsidRPr="00044269" w:rsidRDefault="00496BA7"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Procjena određenog učinka </w:t>
                            </w:r>
                            <w:r>
                              <w:rPr>
                                <w:b w:val="0"/>
                                <w:color w:val="373737" w:themeColor="text1"/>
                              </w:rPr>
                              <w:t>(sektorskog učinka, učinka na okoliš ili društveno-gospodarskog učinka) započinje uspostavom dosljednog evaluacijskog okvira. Time se omogućuje jasno određivanje položaja učinka u intervencijskoj logici te pokazuju dostupni pokazatelji i jedinice analize za njegovo mjerenje.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15pt;margin-top:7.15pt;width:180pt;height:199.7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536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" adj="-11796480,,5400" path="m199636,l2286000,r,l2286000,2336554v,110256,-89380,199636,-199636,199636l,2536190r,l,199636c,89380,89380,,199636,xe" filled="f" strokecolor="#be4a35" strokeweight="2pt">
                <v:stroke joinstyle="miter"/>
                <v:formulas/>
                <v:path arrowok="t" o:connecttype="custom" o:connectlocs="199636,0;2286000,0;2286000,0;2286000,2336554;2086364,2536190;0,2536190;0,2536190;0,199636;199636,0" o:connectangles="0,0,0,0,0,0,0,0,0" textboxrect="0,0,2286000,2536190"/>
                <v:textbox>
                  <w:txbxContent>
                    <w:p w:rsidR="00496BA7" w:rsidRPr="00044269" w:rsidRDefault="00496BA7"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Procjena određenog učinka </w:t>
                      </w:r>
                      <w:r>
                        <w:rPr>
                          <w:b w:val="0"/>
                          <w:color w:val="373737" w:themeColor="text1"/>
                        </w:rPr>
                        <w:t>(sektorskog učinka, učinka na okoliš ili društveno-gospodarskog učinka) započinje uspostavom dosljednog evaluacijskog okvira. Time se omogućuje jasno određivanje položaja učinka u intervencijskoj logici te pokazuju dostupni pokazatelji i jedinice analize za njegovo mjerenje.</w:t>
                      </w:r>
                    </w:p>
                  </w:txbxContent>
                </v:textbox>
                <w10:wrap type="through" anchorx="margin"/>
              </v:shape>
            </w:pict>
          </mc:Fallback>
        </mc:AlternateContent>
      </w:r>
      <w:r>
        <w:t>Okvir za procjenu može se pripremiti putem sljedećih koraka:</w:t>
      </w:r>
    </w:p>
    <w:p w:rsidR="00E93BEA" w:rsidRPr="001C6ACF" w:rsidRDefault="0084519A" w:rsidP="00E93BEA">
      <w:pPr>
        <w:pStyle w:val="HStandard"/>
        <w:rPr>
          <w:rFonts w:cs="Arial"/>
        </w:rPr>
      </w:pPr>
      <w:r>
        <w:rPr>
          <w:b/>
          <w:color w:val="F07E31" w:themeColor="accent1"/>
        </w:rPr>
        <w:t>1. korak –</w:t>
      </w:r>
      <w:r>
        <w:rPr>
          <w:i/>
        </w:rPr>
        <w:t xml:space="preserve"> </w:t>
      </w:r>
      <w:r>
        <w:rPr>
          <w:b/>
          <w:color w:val="F07E31" w:themeColor="accent1"/>
        </w:rPr>
        <w:t>objašnjenje logike intervencije ZSPE-a:</w:t>
      </w:r>
      <w:r>
        <w:t xml:space="preserve"> logika intervencije upućuje na hijerarhiju ciljeva politike u odnosu na odgovarajuća evaluacijska pitanja, mjere i žarišna područja te </w:t>
      </w:r>
      <w:r>
        <w:rPr>
          <w:b/>
        </w:rPr>
        <w:t>u odnosu na povezane pokazatelje ostvarenja, rezultata ili učinka utvrđene u ZSPE-u.</w:t>
      </w:r>
      <w:r>
        <w:t xml:space="preserve"> Ti se pokazatelji preispituju u kontekstu dostupnih podataka.</w:t>
      </w:r>
    </w:p>
    <w:p w:rsidR="000C2540" w:rsidRPr="001C6ACF" w:rsidRDefault="0084519A" w:rsidP="000C2540">
      <w:pPr>
        <w:pStyle w:val="HStandard"/>
        <w:rPr>
          <w:rFonts w:cs="Arial"/>
          <w:bCs/>
        </w:rPr>
      </w:pPr>
      <w:r>
        <w:rPr>
          <w:b/>
          <w:color w:val="F07E31" w:themeColor="accent1"/>
        </w:rPr>
        <w:t xml:space="preserve">2. korak – odabir dodatnih pokazatelja (rezultata i/ili učinka): </w:t>
      </w:r>
      <w:r>
        <w:t xml:space="preserve">ti pokazatelji mogu dopunjavati obvezne pokazatelje ZSPE-a. </w:t>
      </w:r>
      <w:r>
        <w:rPr>
          <w:b/>
        </w:rPr>
        <w:t>Upotreba bilo kojeg dodatnog pokazatelja dobrovoljna je</w:t>
      </w:r>
      <w:r>
        <w:t xml:space="preserve"> te bi o njoj trebalo pažljivo razmisliti uzimajući u obzir troškove, dostupnost podataka, prikladnost i dodanu vrijednost za procjenu. Dodatni pokazatelji mogu biti korisni za kvantificiranje neto rezultata i učinaka ako podaci za zajedničke pokazatelje nisu dostatni ili ako je potrebno nadoknaditi nedostatke u zajedničkim pokazateljima rezultata i učinka. Mogu se upotrijebiti i dodatni pokazatelji kvalitativne prirode (npr. predodžba dionika o stupnju promjene prema Likertovoj ljestvici) kako bi se nadopunili kvantitativni dokazi ili ako ne postoje alternativni dokazi koji se mogu kvantificirati. </w:t>
      </w:r>
    </w:p>
    <w:p w:rsidR="00560A1E" w:rsidRPr="001C6ACF" w:rsidRDefault="0084519A" w:rsidP="00E93BEA">
      <w:pPr>
        <w:pStyle w:val="HStandard"/>
        <w:rPr>
          <w:rFonts w:cs="Arial"/>
        </w:rPr>
      </w:pPr>
      <w:r>
        <w:rPr>
          <w:b/>
          <w:color w:val="F07E31" w:themeColor="accent1"/>
        </w:rPr>
        <w:t xml:space="preserve">3. korak – utvrđivanje jedinice analize (tj. „najmanjeg dijela organiziranog sustava”) za procjenu na mikrorazini i makrorazini (ako je primjenjivo): </w:t>
      </w:r>
      <w:r>
        <w:t>jedinica analize na mikrorazini može biti poljoprivredno gospodarstvo, zemljišna čestica, zajednica ili regija, a na makrorazini to može biti područje obuhvata, regionalna jedinica ili cijelo područje obuhvaćeno PRR-om. Kada se utvrdi jedinica analize, pokazateljem se mogu mjeriti promjene u upravljanju zemljištem te promjene u okolišu, sektorske promjene ili društveno-gospodarske promjene prouzročene intervencijama u okviru PRR-a. Odgovarajuće bi podatke trebalo prikupiti za istu jediničnu kategoriju te bi njima trebalo obuhvatiti korisnike i nekorisnike programa.</w:t>
      </w:r>
    </w:p>
    <w:p w:rsidR="00E93BEA" w:rsidRPr="001C6ACF" w:rsidRDefault="00E93BEA" w:rsidP="00E93BEA">
      <w:pPr>
        <w:pStyle w:val="HHeading4"/>
      </w:pPr>
      <w:r>
        <w:t>Utvrđivanje protučinjeničnog scenarija (druga faza modela)</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41275</wp:posOffset>
                </wp:positionV>
                <wp:extent cx="2447925" cy="1581150"/>
                <wp:effectExtent l="0" t="0" r="28575" b="19050"/>
                <wp:wrapThrough wrapText="bothSides">
                  <wp:wrapPolygon edited="0">
                    <wp:start x="336" y="0"/>
                    <wp:lineTo x="0" y="781"/>
                    <wp:lineTo x="0" y="21600"/>
                    <wp:lineTo x="21348" y="21600"/>
                    <wp:lineTo x="21516" y="21600"/>
                    <wp:lineTo x="21684" y="20819"/>
                    <wp:lineTo x="21684" y="0"/>
                    <wp:lineTo x="336"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581150"/>
                        </a:xfrm>
                        <a:prstGeom prst="round2DiagRect">
                          <a:avLst>
                            <a:gd name="adj1" fmla="val 8733"/>
                            <a:gd name="adj2" fmla="val 0"/>
                          </a:avLst>
                        </a:prstGeom>
                        <a:noFill/>
                        <a:ln w="25400" cap="flat" cmpd="sng" algn="ctr">
                          <a:solidFill>
                            <a:srgbClr val="BE4A35"/>
                          </a:solidFill>
                          <a:prstDash val="solid"/>
                        </a:ln>
                        <a:effectLst/>
                      </wps:spPr>
                      <wps:txbx>
                        <w:txbxContent>
                          <w:p w:rsidR="00496BA7" w:rsidRPr="00044269" w:rsidRDefault="00496BA7"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Učinci programa </w:t>
                            </w:r>
                            <w:r>
                              <w:rPr>
                                <w:b w:val="0"/>
                                <w:color w:val="373737" w:themeColor="text1"/>
                              </w:rPr>
                              <w:t>nikada se ne mogu izravno promatrati zbog drugih čimbenika koji na njih utječu te je stoga za njihovu procjenu potrebno provesti protučinjeničnu analizu.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25pt;width:192.75pt;height:12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" adj="-11796480,,5400" path="m138082,l2447925,r,l2447925,1443068v,76261,-61821,138082,-138082,138082l,1581150r,l,138082c,61821,61821,,138082,xe" filled="f" strokecolor="#be4a35" strokeweight="2pt">
                <v:stroke joinstyle="miter"/>
                <v:formulas/>
                <v:path arrowok="t" o:connecttype="custom" o:connectlocs="138082,0;2447925,0;2447925,0;2447925,1443068;2309843,1581150;0,1581150;0,1581150;0,138082;138082,0" o:connectangles="0,0,0,0,0,0,0,0,0" textboxrect="0,0,2447925,1581150"/>
                <v:textbox>
                  <w:txbxContent>
                    <w:p w:rsidR="00496BA7" w:rsidRPr="00044269" w:rsidRDefault="00496BA7"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Učinci programa </w:t>
                      </w:r>
                      <w:r>
                        <w:rPr>
                          <w:b w:val="0"/>
                          <w:color w:val="373737" w:themeColor="text1"/>
                        </w:rPr>
                        <w:t>nikada se ne mogu izravno promatrati zbog drugih čimbenika koji na njih utječu te je stoga za njihovu procjenu potrebno provesti protučinjeničnu analizu.</w:t>
                      </w:r>
                    </w:p>
                  </w:txbxContent>
                </v:textbox>
                <w10:wrap type="through"/>
              </v:shape>
            </w:pict>
          </mc:Fallback>
        </mc:AlternateContent>
      </w:r>
      <w:r>
        <w:t>Učinak programa razlika je u vrijednosti određenog ishoda (npr. bruto dodana vrijednost ili produktivnost rada) za istu jedinicu s programom i bez programa. Ta definicija vrijedi za svaku jedinicu analize (npr. osobu, poljoprivredno gospodarstvo, poduzeće, zemljišnu površinu, zajednicu, selo, regiju, programsko područje ili zemlju) i svaki ishod (izražen u smislu sektorskih pokazatelja, pokazatelja učinka na okoliš ili društveno-gospodarskih pokazatelja) za koje se s razlogom može smatrati da su povezani s programom.</w:t>
      </w:r>
    </w:p>
    <w:p w:rsidR="002D4AB7" w:rsidRPr="001C6ACF" w:rsidRDefault="002D4AB7" w:rsidP="002D4AB7">
      <w:pPr>
        <w:pStyle w:val="HStandard"/>
        <w:rPr>
          <w:rFonts w:cs="Arial"/>
        </w:rPr>
      </w:pPr>
      <w:r>
        <w:t xml:space="preserve">Druga faza pomaže evaluatoru da utvrdi vrstu ili vrste protučinjeničnih scenarija koji se mogu izraditi s pomoću dostupnih podataka. U njoj se uzima u obzir nekoliko ograničavajućih čimbenika (npr. nedovoljno dostupnih podataka, kratkoročni ugovori o evaluaciji, ograničeni kapaciteti za provedbu evaluacije), a pomaže i u utvrđivanju održivih drugih najboljih rješenja (npr. za procjenu učinaka na okoliš). Važno je sustavno istražiti moguće opcije za izradu protučinjeničnog scenarija, čak i onda kada podaci nedostaju. Tako se dobivaju vrijedne informacije o tome koje uvjete treba ispuniti kako bi </w:t>
      </w:r>
      <w:r>
        <w:lastRenderedPageBreak/>
        <w:t xml:space="preserve">se primijenio pouzdan protučinjenični scenarij i stječe uvid u alternativne scenarije (kao što su jednostavne usporedbe skupina, kvalitativne procjene). </w:t>
      </w:r>
    </w:p>
    <w:p w:rsidR="00A41C7D" w:rsidRPr="001C6ACF" w:rsidRDefault="00E93BEA" w:rsidP="000B6372">
      <w:pPr>
        <w:pStyle w:val="HStandard"/>
      </w:pPr>
      <w:r>
        <w:t xml:space="preserve">U logičkom se modelu faza izrade protučinjeničnog scenarija može primijeniti za procjene na mikrorazini i makrorazini te je povezan s odabirom pristupa evaluaciji i metoda evaluacije. </w:t>
      </w:r>
      <w:r>
        <w:rPr>
          <w:b/>
        </w:rPr>
        <w:t>Evaluator programa mora odlučiti na kojoj će se razini (mikro/makro) analizirati učinci programa.</w:t>
      </w:r>
      <w:r>
        <w:t xml:space="preserve"> Ta odluka ovisiti o raspoloživim podacima i donosi se prije odabira jedinice analize za koju se prikupljaju podaci (ekonomski, ekološki ili društveno-gospodarski).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6002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00200"/>
                        </a:xfrm>
                        <a:prstGeom prst="round2DiagRect">
                          <a:avLst>
                            <a:gd name="adj1" fmla="val 8733"/>
                            <a:gd name="adj2" fmla="val 0"/>
                          </a:avLst>
                        </a:prstGeom>
                        <a:noFill/>
                        <a:ln w="25400" cap="flat" cmpd="sng" algn="ctr">
                          <a:solidFill>
                            <a:srgbClr val="BE4A35"/>
                          </a:solidFill>
                          <a:prstDash val="solid"/>
                        </a:ln>
                        <a:effectLst/>
                      </wps:spPr>
                      <wps:txbx>
                        <w:txbxContent>
                          <w:p w:rsidR="00496BA7" w:rsidRPr="009B4B57" w:rsidRDefault="00496BA7"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Države članice s nekoliko PRR-ova</w:t>
                            </w:r>
                            <w:r>
                              <w:rPr>
                                <w:b w:val="0"/>
                                <w:color w:val="373737" w:themeColor="text1"/>
                              </w:rPr>
                              <w:t xml:space="preserve"> mogu se suočiti s poteškoćama jer se iz izvora podataka EU-a (npr. Eurostat) ne mogu dobiti vrijednosti za zajedničke pokazatelje učinka ZPP-a na razini svakog od regionalnih PRR-ova. U tom se slučaju regionalna vrijednost pokazatelja (NUTS 2) može procijeniti na temelju nacionalnih podataka ili, ako je moguće, zbrajanjem podataka na temelju jedinica za koje su podaci prikupljeni u pojedinoj regiji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26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496BA7" w:rsidRPr="009B4B57" w:rsidRDefault="00496BA7"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Države članice s nekoliko PRR-ova</w:t>
                      </w:r>
                      <w:r>
                        <w:rPr>
                          <w:b w:val="0"/>
                          <w:color w:val="373737" w:themeColor="text1"/>
                        </w:rPr>
                        <w:t xml:space="preserve"> mogu se suočiti s poteškoćama jer se iz izvora podataka EU-a (npr. Eurostat) ne mogu dobiti vrijednosti za zajedničke pokazatelje učinka ZPP-a na razini svakog od regionalnih PRR-ova. U tom se slučaju regionalna vrijednost pokazatelja (NUTS 2) može procijeniti na temelju nacionalnih podataka ili, ako je moguće, zbrajanjem podataka na temelju jedinica za koje su podaci prikupljeni u pojedinoj regiji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-114300</wp:posOffset>
                </wp:positionH>
                <wp:positionV relativeFrom="paragraph">
                  <wp:posOffset>-106680</wp:posOffset>
                </wp:positionV>
                <wp:extent cx="6229350" cy="8892540"/>
                <wp:effectExtent l="0" t="0" r="19050" b="2286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9254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F077D" id="Rectangle: Rounded Corners 946" o:spid="_x0000_s1026" style="position:absolute;margin-left:-9pt;margin-top:-8.4pt;width:490.5pt;height:700.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347F332D" wp14:editId="0EDB1CDE">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96BA7" w:rsidRDefault="00496BA7"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KRATKI VODIČ br. 1: Kako primijeniti logički model da bi se utvrdile različite opcije za izradu protučinjeničnog scenarija te donijela odluka o pristupu evaluaciji?</w:t>
                            </w:r>
                          </w:p>
                          <w:p w:rsidR="00496BA7" w:rsidRPr="005D575A" w:rsidRDefault="00496BA7" w:rsidP="005166F3">
                            <w:pPr>
                              <w:pStyle w:val="HStandard"/>
                              <w:spacing w:after="0"/>
                              <w:rPr>
                                <w:rFonts w:cs="Arial"/>
                                <w:sz w:val="18"/>
                              </w:rPr>
                            </w:pPr>
                            <w:r>
                              <w:rPr>
                                <w:sz w:val="18"/>
                              </w:rPr>
                              <w:t xml:space="preserve">Koraci iz stabla odlučivanja u fazi izrade protučinjeničnog scenarija pružaju smjernice o tome kako odgovoriti na sljedeća ključna pitanja pri izradi protučinjeničnog scenarija: </w:t>
                            </w:r>
                          </w:p>
                          <w:p w:rsidR="00496BA7" w:rsidRPr="005D575A" w:rsidRDefault="00496BA7" w:rsidP="005166F3">
                            <w:pPr>
                              <w:pStyle w:val="Hlistbullet"/>
                              <w:rPr>
                                <w:sz w:val="18"/>
                              </w:rPr>
                            </w:pPr>
                            <w:r>
                              <w:rPr>
                                <w:sz w:val="18"/>
                              </w:rPr>
                              <w:t>Koje su opcije na raspolaganju za izradu protučinjeničnog scenarija?</w:t>
                            </w:r>
                          </w:p>
                          <w:p w:rsidR="00496BA7" w:rsidRPr="005D575A" w:rsidRDefault="00496BA7" w:rsidP="005166F3">
                            <w:pPr>
                              <w:pStyle w:val="Hlistbullet"/>
                              <w:rPr>
                                <w:sz w:val="18"/>
                              </w:rPr>
                            </w:pPr>
                            <w:r>
                              <w:rPr>
                                <w:sz w:val="18"/>
                              </w:rPr>
                              <w:t>Omogućuju li provedba i prihvaćenost mjera uspostavu kontrolne skupine?</w:t>
                            </w:r>
                          </w:p>
                          <w:p w:rsidR="00496BA7" w:rsidRPr="005D575A" w:rsidRDefault="00496BA7" w:rsidP="005166F3">
                            <w:pPr>
                              <w:pStyle w:val="Hlistbullet"/>
                              <w:rPr>
                                <w:sz w:val="18"/>
                              </w:rPr>
                            </w:pPr>
                            <w:r>
                              <w:rPr>
                                <w:sz w:val="18"/>
                              </w:rPr>
                              <w:t>U kojoj su mi mjeri na raspolaganju podaci o drugim čimbenicima koji utječu na odabrane pokazatelje?</w:t>
                            </w:r>
                          </w:p>
                          <w:p w:rsidR="00496BA7" w:rsidRPr="005D575A" w:rsidRDefault="00496BA7" w:rsidP="005166F3">
                            <w:pPr>
                              <w:pStyle w:val="Hlistbullet"/>
                              <w:rPr>
                                <w:sz w:val="18"/>
                              </w:rPr>
                            </w:pPr>
                            <w:r>
                              <w:rPr>
                                <w:sz w:val="18"/>
                              </w:rPr>
                              <w:t>Jesu li mi za odabrane pokazatelje na raspolaganju podaci za različite trenutke (prije i poslije) za korisnike i nekorisnike?</w:t>
                            </w:r>
                          </w:p>
                          <w:p w:rsidR="00496BA7" w:rsidRPr="00A41C7D" w:rsidRDefault="00496BA7" w:rsidP="005166F3">
                            <w:pPr>
                              <w:pStyle w:val="Hlistbullet"/>
                              <w:rPr>
                                <w:sz w:val="18"/>
                              </w:rPr>
                            </w:pPr>
                            <w:r>
                              <w:rPr>
                                <w:sz w:val="18"/>
                              </w:rPr>
                              <w:t>Mogu li se pouzdane metode koje se temelje na statističkim podacima upotrijebiti za kvantificiranje neto učinaka ocijenjenih mjera na troškovno učinkovit način?</w:t>
                            </w:r>
                          </w:p>
                          <w:p w:rsidR="00496BA7" w:rsidRPr="00C545E7" w:rsidRDefault="00496BA7"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496BA7" w:rsidRDefault="00496BA7"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KRATKI VODIČ br. 1: Kako primijeniti logički model da bi se utvrdile različite opcije za izradu protučinjeničnog scenarija te donijela odluka o pristupu evaluaciji?</w:t>
                      </w:r>
                    </w:p>
                    <w:p w:rsidR="00496BA7" w:rsidRPr="005D575A" w:rsidRDefault="00496BA7" w:rsidP="005166F3">
                      <w:pPr>
                        <w:pStyle w:val="HStandard"/>
                        <w:spacing w:after="0"/>
                        <w:rPr>
                          <w:rFonts w:cs="Arial"/>
                          <w:sz w:val="18"/>
                        </w:rPr>
                      </w:pPr>
                      <w:r>
                        <w:rPr>
                          <w:sz w:val="18"/>
                        </w:rPr>
                        <w:t xml:space="preserve">Koraci iz stabla odlučivanja u fazi izrade protučinjeničnog scenarija pružaju smjernice o tome kako odgovoriti na sljedeća ključna pitanja pri izradi protučinjeničnog scenarija: </w:t>
                      </w:r>
                    </w:p>
                    <w:p w:rsidR="00496BA7" w:rsidRPr="005D575A" w:rsidRDefault="00496BA7" w:rsidP="005166F3">
                      <w:pPr>
                        <w:pStyle w:val="Hlistbullet"/>
                        <w:rPr>
                          <w:sz w:val="18"/>
                        </w:rPr>
                      </w:pPr>
                      <w:r>
                        <w:rPr>
                          <w:sz w:val="18"/>
                        </w:rPr>
                        <w:t>Koje su opcije na raspolaganju za izradu protučinjeničnog scenarija?</w:t>
                      </w:r>
                    </w:p>
                    <w:p w:rsidR="00496BA7" w:rsidRPr="005D575A" w:rsidRDefault="00496BA7" w:rsidP="005166F3">
                      <w:pPr>
                        <w:pStyle w:val="Hlistbullet"/>
                        <w:rPr>
                          <w:sz w:val="18"/>
                        </w:rPr>
                      </w:pPr>
                      <w:r>
                        <w:rPr>
                          <w:sz w:val="18"/>
                        </w:rPr>
                        <w:t>Omogućuju li provedba i prihvaćenost mjera uspostavu kontrolne skupine?</w:t>
                      </w:r>
                    </w:p>
                    <w:p w:rsidR="00496BA7" w:rsidRPr="005D575A" w:rsidRDefault="00496BA7" w:rsidP="005166F3">
                      <w:pPr>
                        <w:pStyle w:val="Hlistbullet"/>
                        <w:rPr>
                          <w:sz w:val="18"/>
                        </w:rPr>
                      </w:pPr>
                      <w:r>
                        <w:rPr>
                          <w:sz w:val="18"/>
                        </w:rPr>
                        <w:t>U kojoj su mi mjeri na raspolaganju podaci o drugim čimbenicima koji utječu na odabrane pokazatelje?</w:t>
                      </w:r>
                    </w:p>
                    <w:p w:rsidR="00496BA7" w:rsidRPr="005D575A" w:rsidRDefault="00496BA7" w:rsidP="005166F3">
                      <w:pPr>
                        <w:pStyle w:val="Hlistbullet"/>
                        <w:rPr>
                          <w:sz w:val="18"/>
                        </w:rPr>
                      </w:pPr>
                      <w:r>
                        <w:rPr>
                          <w:sz w:val="18"/>
                        </w:rPr>
                        <w:t>Jesu li mi za odabrane pokazatelje na raspolaganju podaci za različite trenutke (prije i poslije) za korisnike i nekorisnike?</w:t>
                      </w:r>
                    </w:p>
                    <w:p w:rsidR="00496BA7" w:rsidRPr="00A41C7D" w:rsidRDefault="00496BA7" w:rsidP="005166F3">
                      <w:pPr>
                        <w:pStyle w:val="Hlistbullet"/>
                        <w:rPr>
                          <w:sz w:val="18"/>
                        </w:rPr>
                      </w:pPr>
                      <w:r>
                        <w:rPr>
                          <w:sz w:val="18"/>
                        </w:rPr>
                        <w:t>Mogu li se pouzdane metode koje se temelje na statističkim podacima upotrijebiti za kvantificiranje neto učinaka ocijenjenih mjera na troškovno učinkovit način?</w:t>
                      </w:r>
                    </w:p>
                    <w:p w:rsidR="00496BA7" w:rsidRPr="00C545E7" w:rsidRDefault="00496BA7"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C15E30" w:rsidP="00C15E30">
      <w:pPr>
        <w:pStyle w:val="HHeadingfigures"/>
        <w:numPr>
          <w:ilvl w:val="0"/>
          <w:numId w:val="0"/>
        </w:numPr>
        <w:tabs>
          <w:tab w:val="clear" w:pos="2666"/>
        </w:tabs>
      </w:pPr>
      <w:r>
        <w:t xml:space="preserve">Slika 3. </w:t>
      </w:r>
      <w:r>
        <w:tab/>
      </w:r>
      <w:r w:rsidR="00EC01C3">
        <w:t>Logički model za utvrđivanje opcija za izradu protučinjeničnog scenarija</w:t>
      </w:r>
    </w:p>
    <w:p w:rsidR="00727DDF" w:rsidRPr="00571D58" w:rsidRDefault="00EC01C3" w:rsidP="00727DDF">
      <w:pPr>
        <w:pStyle w:val="HStandard"/>
      </w:pPr>
      <w:r>
        <w:rPr>
          <w:noProof/>
          <w:color w:val="auto"/>
          <w:sz w:val="18"/>
        </w:rPr>
        <w:t xml:space="preserve"> </w:t>
      </w:r>
      <w:r w:rsidR="007C31C7" w:rsidRPr="007C31C7">
        <w:rPr>
          <w:noProof/>
          <w:lang w:val="en-GB" w:eastAsia="en-GB" w:bidi="ar-SA"/>
        </w:rPr>
        <w:drawing>
          <wp:inline distT="0" distB="0" distL="0" distR="0">
            <wp:extent cx="5731510" cy="42830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rsidR="00EB120C" w:rsidRPr="00AC6A80" w:rsidRDefault="00EB120C" w:rsidP="00B42D5D">
      <w:pPr>
        <w:pStyle w:val="HSource"/>
      </w:pPr>
      <w:r>
        <w:t>Izvor: prilagođeno iz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Logički model počinje opisom prihvaćenosti PRR-a te stanja u pogledu podataka u smislu dostupnih pokazatelja učinka (i rezultata) utvrđenih u ZSPE-u, ali i dodatnih pokazatelja ako su odabrani (tamnosivi okviri). Niz pitanja za odlučivanje (okviri s crvenim slovima) dovodi do mogućih opcija za izradu protučinjeničnog scenarija (okviri ispunjeni crvenom bojom).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Saznajte više o upotrebi logičkih modela iz istraživačkog projekta </w:t>
      </w:r>
      <w:hyperlink r:id="rId39">
        <w:r>
          <w:rPr>
            <w:rStyle w:val="Hyperlink"/>
            <w:i/>
            <w:sz w:val="18"/>
          </w:rPr>
          <w:t>ENVIEVAL</w:t>
        </w:r>
      </w:hyperlink>
      <w:r>
        <w:rPr>
          <w:rStyle w:val="Hyperlink"/>
          <w:i/>
          <w:sz w:val="18"/>
        </w:rPr>
        <w:t xml:space="preserve"> u okviru</w:t>
      </w:r>
      <w:r>
        <w:rPr>
          <w:rStyle w:val="Hyperlink"/>
          <w:i/>
          <w:sz w:val="18"/>
          <w:u w:val="none"/>
        </w:rPr>
        <w:t xml:space="preserve"> Sedmog okvirnog programa te iz priručnika </w:t>
      </w:r>
      <w:r>
        <w:rPr>
          <w:i/>
          <w:color w:val="F07E31" w:themeColor="accent1"/>
          <w:sz w:val="18"/>
        </w:rPr>
        <w:t xml:space="preserve"> </w:t>
      </w:r>
      <w:hyperlink r:id="rId40">
        <w:r>
          <w:rPr>
            <w:rStyle w:val="Hyperlink"/>
            <w:sz w:val="18"/>
          </w:rPr>
          <w:t>Methodological Handbook for the evaluation of environmental impacts of RDPs</w:t>
        </w:r>
      </w:hyperlink>
      <w:r>
        <w:t xml:space="preserve"> </w:t>
      </w:r>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br w:type="column"/>
            </w:r>
            <w:r>
              <w:rPr>
                <w:b/>
                <w:i/>
                <w:noProof/>
                <w:color w:val="F07E31" w:themeColor="accent1"/>
                <w:lang w:val="en-GB" w:eastAsia="en-GB" w:bidi="ar-SA"/>
              </w:rPr>
              <mc:AlternateContent>
                <mc:Choice Requires="wps">
                  <w:drawing>
                    <wp:inline distT="0" distB="0" distL="0" distR="0" wp14:anchorId="5F24A140" wp14:editId="1B4B0073">
                      <wp:extent cx="5567045" cy="8401050"/>
                      <wp:effectExtent l="19050" t="1905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0105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391ECD" w:rsidRDefault="00496BA7"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KRATKI VODIČ br. 2: Kako uspostaviti kontrolnu skupinu na mikrorazini? (odnosi se na drugu fazu modela)</w:t>
                                  </w:r>
                                </w:p>
                                <w:p w:rsidR="00496BA7" w:rsidRPr="007008C0" w:rsidRDefault="00496BA7" w:rsidP="005C7C25">
                                  <w:pPr>
                                    <w:pStyle w:val="HStandard"/>
                                    <w:spacing w:after="0"/>
                                    <w:rPr>
                                      <w:rFonts w:cs="Arial"/>
                                      <w:color w:val="373737"/>
                                      <w:sz w:val="18"/>
                                      <w:szCs w:val="18"/>
                                    </w:rPr>
                                  </w:pPr>
                                  <w:r>
                                    <w:rPr>
                                      <w:color w:val="373737"/>
                                      <w:sz w:val="18"/>
                                    </w:rPr>
                                    <w:t>Protučinjenična analiza na mikrorazini trebala bi se temeljiti na usporedbama kontrolne skupine korisnika programa i kontrolne skupine nekorisnika programa, koje su što sličnije (prema značajkama koje se mogu i značajkama koje se ne mogu promatrati). Ako su te dvije skupine dovoljno statistički slične (imaju slične značajke), može se pretpostaviti da je svaka razlika u ishodima rezultat programa. Protučinjenična analiza omogućuje utvrđivanje uzročno-posljedične veze, pri čemu se uočene promjene u ishodima pripisuju programu, a zavaravajući se faktori uklanjanju.</w:t>
                                  </w:r>
                                </w:p>
                                <w:p w:rsidR="00496BA7" w:rsidRPr="007008C0" w:rsidRDefault="00496BA7" w:rsidP="005C7C25">
                                  <w:pPr>
                                    <w:pStyle w:val="HStandard"/>
                                    <w:spacing w:after="0"/>
                                    <w:rPr>
                                      <w:rFonts w:cs="Arial"/>
                                      <w:color w:val="373737"/>
                                      <w:sz w:val="18"/>
                                      <w:szCs w:val="18"/>
                                    </w:rPr>
                                  </w:pPr>
                                </w:p>
                                <w:p w:rsidR="00496BA7" w:rsidRPr="007008C0" w:rsidRDefault="00496BA7" w:rsidP="005C7C25">
                                  <w:pPr>
                                    <w:pStyle w:val="HStandard"/>
                                    <w:spacing w:after="0"/>
                                    <w:rPr>
                                      <w:rFonts w:cs="Arial"/>
                                      <w:color w:val="373737"/>
                                      <w:sz w:val="18"/>
                                      <w:szCs w:val="18"/>
                                    </w:rPr>
                                  </w:pPr>
                                  <w:r>
                                    <w:rPr>
                                      <w:color w:val="373737"/>
                                      <w:sz w:val="18"/>
                                    </w:rPr>
                                    <w:t xml:space="preserve">Uspostava odgovarajuće kontrolne skupine može biti zahtjevna zadaća zbog snažne samoselektivnosti programa i strogih uvjeta prihvatljivosti za program. Korisnici programa obuhvaćeni procjenom koji su primili potporu u okviru programa mogu se u velikoj mjeri razlikovati od nekorisnika po svojim strukturnim značajkama te po gospodarskoj, ekološkoj i društveno-gospodarskoj učinkovitosti. </w:t>
                                  </w:r>
                                </w:p>
                                <w:p w:rsidR="00496BA7" w:rsidRPr="007008C0" w:rsidRDefault="00496BA7" w:rsidP="005C7C25">
                                  <w:pPr>
                                    <w:pStyle w:val="HStandard"/>
                                    <w:spacing w:after="0"/>
                                    <w:rPr>
                                      <w:rFonts w:cs="Arial"/>
                                      <w:color w:val="373737"/>
                                      <w:sz w:val="18"/>
                                      <w:szCs w:val="18"/>
                                    </w:rPr>
                                  </w:pPr>
                                </w:p>
                                <w:p w:rsidR="00496BA7" w:rsidRPr="007008C0" w:rsidRDefault="00496BA7" w:rsidP="005C7C25">
                                  <w:pPr>
                                    <w:pStyle w:val="HStandard"/>
                                    <w:spacing w:after="0"/>
                                    <w:rPr>
                                      <w:rFonts w:cs="Arial"/>
                                      <w:color w:val="373737"/>
                                      <w:sz w:val="18"/>
                                      <w:szCs w:val="18"/>
                                    </w:rPr>
                                  </w:pPr>
                                  <w:r>
                                    <w:rPr>
                                      <w:color w:val="373737"/>
                                      <w:sz w:val="18"/>
                                    </w:rPr>
                                    <w:t>Odgovarajuća kontrolna skupina uspostavlja se na sljedeći način:</w:t>
                                  </w:r>
                                </w:p>
                                <w:p w:rsidR="00496BA7" w:rsidRPr="007008C0" w:rsidRDefault="00496BA7" w:rsidP="005C7C25">
                                  <w:pPr>
                                    <w:pStyle w:val="Hlistbullet"/>
                                    <w:spacing w:before="0" w:after="0" w:line="280" w:lineRule="atLeast"/>
                                    <w:ind w:left="604" w:hanging="604"/>
                                    <w:rPr>
                                      <w:color w:val="373737"/>
                                      <w:sz w:val="18"/>
                                      <w:szCs w:val="18"/>
                                    </w:rPr>
                                  </w:pPr>
                                  <w:r>
                                    <w:rPr>
                                      <w:b/>
                                      <w:color w:val="F07E31" w:themeColor="accent1"/>
                                      <w:sz w:val="18"/>
                                    </w:rPr>
                                    <w:t>1. korak:</w:t>
                                  </w:r>
                                  <w:r>
                                    <w:rPr>
                                      <w:color w:val="373737"/>
                                      <w:sz w:val="18"/>
                                    </w:rPr>
                                    <w:t xml:space="preserve"> u dostupnoj bazi podataka (npr. FADN) pronaći uzorak korisnika PRR-a (npr. poljoprivredna gospodarstva / poljoprivrednici / nepoljoprivredna poduzeća / zajednice / područja / regije) te se koristiti sustavom za praćenje PRR-a kao referentnom točkom (npr. baza podataka agencije za plaćanja)</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2. korak:</w:t>
                                  </w:r>
                                  <w:r>
                                    <w:rPr>
                                      <w:color w:val="373737"/>
                                      <w:sz w:val="18"/>
                                    </w:rPr>
                                    <w:t xml:space="preserve"> od svih relevantnih jedinica uključenih u bazu podataka odabrati one koje u istom razdoblju nisu primile potporu u okviru mjera PRR-a („nekorisnici”)</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3. korak:</w:t>
                                  </w:r>
                                  <w:r>
                                    <w:rPr>
                                      <w:color w:val="373737"/>
                                      <w:sz w:val="18"/>
                                    </w:rPr>
                                    <w:t xml:space="preserve"> iz skupine nekorisnika odabrati one jedinice koje NISU ispunile uvjete prihvatljivosti za program (zbog visokog prihoda, veličine, lokacije itd.) te ih ukloniti iz analize</w:t>
                                  </w:r>
                                </w:p>
                                <w:p w:rsidR="00496BA7" w:rsidRPr="007008C0" w:rsidRDefault="00496BA7" w:rsidP="005C7C25">
                                  <w:pPr>
                                    <w:pStyle w:val="Hlistbullet"/>
                                    <w:spacing w:before="0" w:after="0" w:line="280" w:lineRule="atLeast"/>
                                    <w:ind w:left="604" w:hanging="604"/>
                                    <w:rPr>
                                      <w:color w:val="373737"/>
                                      <w:sz w:val="18"/>
                                      <w:szCs w:val="18"/>
                                    </w:rPr>
                                  </w:pPr>
                                  <w:r>
                                    <w:rPr>
                                      <w:b/>
                                      <w:color w:val="F07E31" w:themeColor="accent1"/>
                                      <w:sz w:val="18"/>
                                    </w:rPr>
                                    <w:t>4. korak:</w:t>
                                  </w:r>
                                  <w:r>
                                    <w:rPr>
                                      <w:color w:val="373737"/>
                                      <w:sz w:val="18"/>
                                    </w:rPr>
                                    <w:t xml:space="preserve"> za sve jedinice u objema skupinama (korisnike i nekorisnike) prikupiti podatke o njihovim glavnim značajkama (varijablama) za 2013. (tj. godinu prije programa). Treba imati na umu da bi varijable obuhvaćene analizom trebale utjecati na odabir jedinice i na pokazatelje koji se izračunavaju na mikrorazini (zajednički i dodatni pokazatelji učinka). Jedna od predloženih varijabli (koja se upotrebljava kao važna kontrolna varijabla) može biti: i. razina potpore koju je primila određena jedinica („korisnik” i „nekorisnik”) tijekom prethodnog programskog razdoblja 2007.–2013. i/ili ii. razina potpore koju je primila određena jedinica („korisnik” i „nekorisnik”) iz drugih javnih izvora (npr. strukturnih fondova EU-a, stupa I.) u razdoblju koje se analizira</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5. korak:</w:t>
                                  </w:r>
                                  <w:r>
                                    <w:rPr>
                                      <w:color w:val="373737"/>
                                      <w:sz w:val="18"/>
                                    </w:rPr>
                                    <w:t xml:space="preserve"> primijeniti odgovarajuće tehnike (npr. uparivanje) koje omogućuju da se iz uzorka „nekorisnika” (vidjeti: 2. i 3. korak) odabere prikladna „kontrolna skupina” (neki od „nekorisnika” i/ili „korisnika” bit će isključeni iz analize zbog nedostatka odgovarajućih kontrolnih jedinica)</w:t>
                                  </w:r>
                                </w:p>
                                <w:p w:rsidR="00496BA7" w:rsidRPr="0025164E" w:rsidRDefault="00496BA7" w:rsidP="005C7C25">
                                  <w:pPr>
                                    <w:pStyle w:val="Hlistbullet"/>
                                    <w:spacing w:before="0" w:after="0" w:line="280" w:lineRule="atLeast"/>
                                    <w:ind w:left="604" w:hanging="604"/>
                                  </w:pPr>
                                  <w:r>
                                    <w:rPr>
                                      <w:b/>
                                      <w:color w:val="F07E31" w:themeColor="accent1"/>
                                      <w:sz w:val="18"/>
                                    </w:rPr>
                                    <w:t>6. korak:</w:t>
                                  </w:r>
                                  <w:r>
                                    <w:rPr>
                                      <w:color w:val="373737"/>
                                      <w:sz w:val="18"/>
                                    </w:rPr>
                                    <w:t xml:space="preserve"> statistički provjeriti „sličnost” između obiju skupina prije primanja potpore iz programa (npr. provedbom statističkih testova na kovarijatima uključenima u analizu). Prosječna vrijednost jedinice u skupini „korisnika” ne bi se trebala znatno razlikovati od odgovarajuće jedinice u „kontrolnoj skupini”.</w:t>
                                  </w:r>
                                </w:p>
                                <w:p w:rsidR="00496BA7" w:rsidRPr="0025164E" w:rsidRDefault="00496BA7" w:rsidP="00735F08">
                                  <w:pPr>
                                    <w:pStyle w:val="Hlistbullet"/>
                                    <w:numPr>
                                      <w:ilvl w:val="0"/>
                                      <w:numId w:val="0"/>
                                    </w:numPr>
                                    <w:jc w:val="center"/>
                                    <w:rPr>
                                      <w:i/>
                                      <w:color w:val="F07E31" w:themeColor="accent1"/>
                                      <w:sz w:val="18"/>
                                      <w:szCs w:val="18"/>
                                    </w:rPr>
                                  </w:pPr>
                                  <w:r>
                                    <w:rPr>
                                      <w:i/>
                                      <w:color w:val="F07E31" w:themeColor="accent1"/>
                                      <w:sz w:val="18"/>
                                    </w:rPr>
                                    <w:t>Više informacija o oblikovanju kontrolnih skupina, uparivanju itd. može se pronaći u</w:t>
                                  </w:r>
                                  <w:r>
                                    <w:rPr>
                                      <w:i/>
                                      <w:color w:val="F07E31" w:themeColor="accent1"/>
                                      <w:sz w:val="18"/>
                                      <w:szCs w:val="18"/>
                                    </w:rPr>
                                    <w:br/>
                                  </w:r>
                                  <w:r>
                                    <w:rPr>
                                      <w:i/>
                                      <w:color w:val="F07E31" w:themeColor="accent1"/>
                                      <w:sz w:val="18"/>
                                    </w:rPr>
                                    <w:t xml:space="preserve"> </w:t>
                                  </w:r>
                                  <w:hyperlink r:id="rId41" w:history="1">
                                    <w:r>
                                      <w:rPr>
                                        <w:rStyle w:val="Hyperlink"/>
                                        <w:i/>
                                        <w:color w:val="F07E31" w:themeColor="accent1"/>
                                        <w:sz w:val="18"/>
                                      </w:rPr>
                                      <w:t xml:space="preserve">Smjernicama za </w:t>
                                    </w:r>
                                    <w:r>
                                      <w:rPr>
                                        <w:rStyle w:val="Hyperlink"/>
                                        <w:color w:val="F07E31" w:themeColor="accent1"/>
                                        <w:sz w:val="18"/>
                                      </w:rPr>
                                      <w:t>ex post</w:t>
                                    </w:r>
                                    <w:r>
                                      <w:rPr>
                                        <w:rStyle w:val="Hyperlink"/>
                                        <w:i/>
                                        <w:color w:val="F07E31" w:themeColor="accent1"/>
                                        <w:sz w:val="18"/>
                                      </w:rPr>
                                      <w:t xml:space="preserve"> evaluaciju programa ruralnog razvoja za razdoblje 2007.–2013.</w:t>
                                    </w:r>
                                  </w:hyperlink>
                                  <w:r>
                                    <w:rPr>
                                      <w:rStyle w:val="Hyperlink"/>
                                      <w:i/>
                                      <w:color w:val="F07E31" w:themeColor="accent1"/>
                                      <w:sz w:val="18"/>
                                    </w:rPr>
                                    <w:t>, poglavlju 4.</w:t>
                                  </w:r>
                                </w:p>
                              </w:txbxContent>
                            </wps:txbx>
                            <wps:bodyPr rot="0" vert="horz" wrap="square" lIns="91440" tIns="45720" rIns="91440" bIns="45720" anchor="ctr" anchorCtr="0" upright="1">
                              <a:noAutofit/>
                            </wps:bodyPr>
                          </wps:wsp>
                        </a:graphicData>
                      </a:graphic>
                    </wp:inline>
                  </w:drawing>
                </mc:Choice>
                <mc:Fallback>
                  <w:pict>
                    <v:shape w14:anchorId="5F24A140" id="AutoShape 67" o:spid="_x0000_s1035" style="width:438.35pt;height:661.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w:txbxContent>
                          <w:p w:rsidR="00496BA7" w:rsidRPr="00391ECD" w:rsidRDefault="00496BA7" w:rsidP="005C7C25">
                            <w:pPr>
                              <w:pStyle w:val="HHeading4"/>
                            </w:pPr>
                            <w:r>
                              <w:rPr>
                                <w:noProof/>
                                <w:color w:val="373737"/>
                                <w:lang w:val="en-GB" w:eastAsia="en-GB"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KRATKI VODIČ br. 2: Kako uspostaviti kontrolnu skupinu na mikrorazini? (odnosi se na drugu fazu modela)</w:t>
                            </w:r>
                          </w:p>
                          <w:p w:rsidR="00496BA7" w:rsidRPr="007008C0" w:rsidRDefault="00496BA7" w:rsidP="005C7C25">
                            <w:pPr>
                              <w:pStyle w:val="HStandard"/>
                              <w:spacing w:after="0"/>
                              <w:rPr>
                                <w:rFonts w:cs="Arial"/>
                                <w:color w:val="373737"/>
                                <w:sz w:val="18"/>
                                <w:szCs w:val="18"/>
                              </w:rPr>
                            </w:pPr>
                            <w:r>
                              <w:rPr>
                                <w:color w:val="373737"/>
                                <w:sz w:val="18"/>
                              </w:rPr>
                              <w:t>Protučinjenična analiza na mikrorazini trebala bi se temeljiti na usporedbama kontrolne skupine korisnika programa i kontrolne skupine nekorisnika programa, koje su što sličnije (prema značajkama koje se mogu i značajkama koje se ne mogu promatrati). Ako su te dvije skupine dovoljno statistički slične (imaju slične značajke), može se pretpostaviti da je svaka razlika u ishodima rezultat programa. Protučinjenična analiza omogućuje utvrđivanje uzročno-posljedične veze, pri čemu se uočene promjene u ishodima pripisuju programu, a zavaravajući se faktori uklanjanju.</w:t>
                            </w:r>
                          </w:p>
                          <w:p w:rsidR="00496BA7" w:rsidRPr="007008C0" w:rsidRDefault="00496BA7" w:rsidP="005C7C25">
                            <w:pPr>
                              <w:pStyle w:val="HStandard"/>
                              <w:spacing w:after="0"/>
                              <w:rPr>
                                <w:rFonts w:cs="Arial"/>
                                <w:color w:val="373737"/>
                                <w:sz w:val="18"/>
                                <w:szCs w:val="18"/>
                              </w:rPr>
                            </w:pPr>
                          </w:p>
                          <w:p w:rsidR="00496BA7" w:rsidRPr="007008C0" w:rsidRDefault="00496BA7" w:rsidP="005C7C25">
                            <w:pPr>
                              <w:pStyle w:val="HStandard"/>
                              <w:spacing w:after="0"/>
                              <w:rPr>
                                <w:rFonts w:cs="Arial"/>
                                <w:color w:val="373737"/>
                                <w:sz w:val="18"/>
                                <w:szCs w:val="18"/>
                              </w:rPr>
                            </w:pPr>
                            <w:r>
                              <w:rPr>
                                <w:color w:val="373737"/>
                                <w:sz w:val="18"/>
                              </w:rPr>
                              <w:t xml:space="preserve">Uspostava odgovarajuće kontrolne skupine može biti zahtjevna zadaća zbog snažne samoselektivnosti programa i strogih uvjeta prihvatljivosti za program. Korisnici programa obuhvaćeni procjenom koji su primili potporu u okviru programa mogu se u velikoj mjeri razlikovati od nekorisnika po svojim strukturnim značajkama te po gospodarskoj, ekološkoj i društveno-gospodarskoj učinkovitosti. </w:t>
                            </w:r>
                          </w:p>
                          <w:p w:rsidR="00496BA7" w:rsidRPr="007008C0" w:rsidRDefault="00496BA7" w:rsidP="005C7C25">
                            <w:pPr>
                              <w:pStyle w:val="HStandard"/>
                              <w:spacing w:after="0"/>
                              <w:rPr>
                                <w:rFonts w:cs="Arial"/>
                                <w:color w:val="373737"/>
                                <w:sz w:val="18"/>
                                <w:szCs w:val="18"/>
                              </w:rPr>
                            </w:pPr>
                          </w:p>
                          <w:p w:rsidR="00496BA7" w:rsidRPr="007008C0" w:rsidRDefault="00496BA7" w:rsidP="005C7C25">
                            <w:pPr>
                              <w:pStyle w:val="HStandard"/>
                              <w:spacing w:after="0"/>
                              <w:rPr>
                                <w:rFonts w:cs="Arial"/>
                                <w:color w:val="373737"/>
                                <w:sz w:val="18"/>
                                <w:szCs w:val="18"/>
                              </w:rPr>
                            </w:pPr>
                            <w:r>
                              <w:rPr>
                                <w:color w:val="373737"/>
                                <w:sz w:val="18"/>
                              </w:rPr>
                              <w:t>Odgovarajuća kontrolna skupina uspostavlja se na sljedeći način:</w:t>
                            </w:r>
                          </w:p>
                          <w:p w:rsidR="00496BA7" w:rsidRPr="007008C0" w:rsidRDefault="00496BA7" w:rsidP="005C7C25">
                            <w:pPr>
                              <w:pStyle w:val="Hlistbullet"/>
                              <w:spacing w:before="0" w:after="0" w:line="280" w:lineRule="atLeast"/>
                              <w:ind w:left="604" w:hanging="604"/>
                              <w:rPr>
                                <w:color w:val="373737"/>
                                <w:sz w:val="18"/>
                                <w:szCs w:val="18"/>
                              </w:rPr>
                            </w:pPr>
                            <w:r>
                              <w:rPr>
                                <w:b/>
                                <w:color w:val="F07E31" w:themeColor="accent1"/>
                                <w:sz w:val="18"/>
                              </w:rPr>
                              <w:t>1. korak:</w:t>
                            </w:r>
                            <w:r>
                              <w:rPr>
                                <w:color w:val="373737"/>
                                <w:sz w:val="18"/>
                              </w:rPr>
                              <w:t xml:space="preserve"> u dostupnoj bazi podataka (npr. FADN) pronaći uzorak korisnika PRR-a (npr. poljoprivredna gospodarstva / poljoprivrednici / nepoljoprivredna poduzeća / zajednice / područja / regije) te se koristiti sustavom za praćenje PRR-a kao referentnom točkom (npr. baza podataka agencije za plaćanja)</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2. korak:</w:t>
                            </w:r>
                            <w:r>
                              <w:rPr>
                                <w:color w:val="373737"/>
                                <w:sz w:val="18"/>
                              </w:rPr>
                              <w:t xml:space="preserve"> od svih relevantnih jedinica uključenih u bazu podataka odabrati one koje u istom razdoblju nisu primile potporu u okviru mjera PRR-a („nekorisnici”)</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3. korak:</w:t>
                            </w:r>
                            <w:r>
                              <w:rPr>
                                <w:color w:val="373737"/>
                                <w:sz w:val="18"/>
                              </w:rPr>
                              <w:t xml:space="preserve"> iz skupine nekorisnika odabrati one jedinice koje NISU ispunile uvjete prihvatljivosti za program (zbog visokog prihoda, veličine, lokacije itd.) te ih ukloniti iz analize</w:t>
                            </w:r>
                          </w:p>
                          <w:p w:rsidR="00496BA7" w:rsidRPr="007008C0" w:rsidRDefault="00496BA7" w:rsidP="005C7C25">
                            <w:pPr>
                              <w:pStyle w:val="Hlistbullet"/>
                              <w:spacing w:before="0" w:after="0" w:line="280" w:lineRule="atLeast"/>
                              <w:ind w:left="604" w:hanging="604"/>
                              <w:rPr>
                                <w:color w:val="373737"/>
                                <w:sz w:val="18"/>
                                <w:szCs w:val="18"/>
                              </w:rPr>
                            </w:pPr>
                            <w:r>
                              <w:rPr>
                                <w:b/>
                                <w:color w:val="F07E31" w:themeColor="accent1"/>
                                <w:sz w:val="18"/>
                              </w:rPr>
                              <w:t>4. korak:</w:t>
                            </w:r>
                            <w:r>
                              <w:rPr>
                                <w:color w:val="373737"/>
                                <w:sz w:val="18"/>
                              </w:rPr>
                              <w:t xml:space="preserve"> za sve jedinice u objema skupinama (korisnike i nekorisnike) prikupiti podatke o njihovim glavnim značajkama (varijablama) za 2013. (tj. godinu prije programa). Treba imati na umu da bi varijable obuhvaćene analizom trebale utjecati na odabir jedinice i na pokazatelje koji se izračunavaju na mikrorazini (zajednički i dodatni pokazatelji učinka). Jedna od predloženih varijabli (koja se upotrebljava kao važna kontrolna varijabla) može biti: i. razina potpore koju je primila određena jedinica („korisnik” i „nekorisnik”) tijekom prethodnog programskog razdoblja 2007.–2013. i/ili ii. razina potpore koju je primila određena jedinica („korisnik” i „nekorisnik”) iz drugih javnih izvora (npr. strukturnih fondova EU-a, stupa I.) u razdoblju koje se analizira</w:t>
                            </w:r>
                          </w:p>
                          <w:p w:rsidR="00496BA7" w:rsidRPr="00AF5661" w:rsidRDefault="00496BA7" w:rsidP="005C7C25">
                            <w:pPr>
                              <w:pStyle w:val="Hlistbullet"/>
                              <w:spacing w:before="0" w:after="0" w:line="280" w:lineRule="atLeast"/>
                              <w:ind w:left="604" w:hanging="604"/>
                              <w:rPr>
                                <w:color w:val="373737"/>
                                <w:sz w:val="18"/>
                                <w:szCs w:val="18"/>
                              </w:rPr>
                            </w:pPr>
                            <w:r>
                              <w:rPr>
                                <w:b/>
                                <w:color w:val="F07E31" w:themeColor="accent1"/>
                                <w:sz w:val="18"/>
                              </w:rPr>
                              <w:t>5. korak:</w:t>
                            </w:r>
                            <w:r>
                              <w:rPr>
                                <w:color w:val="373737"/>
                                <w:sz w:val="18"/>
                              </w:rPr>
                              <w:t xml:space="preserve"> primijeniti odgovarajuće tehnike (npr. uparivanje) koje omogućuju da se iz uzorka „nekorisnika” (vidjeti: 2. i 3. korak) odabere prikladna „kontrolna skupina” (neki od „nekorisnika” i/ili „korisnika” bit će isključeni iz analize zbog nedostatka odgovarajućih kontrolnih jedinica)</w:t>
                            </w:r>
                          </w:p>
                          <w:p w:rsidR="00496BA7" w:rsidRPr="0025164E" w:rsidRDefault="00496BA7" w:rsidP="005C7C25">
                            <w:pPr>
                              <w:pStyle w:val="Hlistbullet"/>
                              <w:spacing w:before="0" w:after="0" w:line="280" w:lineRule="atLeast"/>
                              <w:ind w:left="604" w:hanging="604"/>
                            </w:pPr>
                            <w:r>
                              <w:rPr>
                                <w:b/>
                                <w:color w:val="F07E31" w:themeColor="accent1"/>
                                <w:sz w:val="18"/>
                              </w:rPr>
                              <w:t>6. korak:</w:t>
                            </w:r>
                            <w:r>
                              <w:rPr>
                                <w:color w:val="373737"/>
                                <w:sz w:val="18"/>
                              </w:rPr>
                              <w:t xml:space="preserve"> statistički provjeriti „sličnost” između obiju skupina prije primanja potpore iz programa (npr. provedbom statističkih testova na kovarijatima uključenima u analizu). Prosječna vrijednost jedinice u skupini „korisnika” ne bi se trebala znatno razlikovati od odgovarajuće jedinice u „kontrolnoj skupini”.</w:t>
                            </w:r>
                          </w:p>
                          <w:p w:rsidR="00496BA7" w:rsidRPr="0025164E" w:rsidRDefault="00496BA7" w:rsidP="00735F08">
                            <w:pPr>
                              <w:pStyle w:val="Hlistbullet"/>
                              <w:numPr>
                                <w:ilvl w:val="0"/>
                                <w:numId w:val="0"/>
                              </w:numPr>
                              <w:jc w:val="center"/>
                              <w:rPr>
                                <w:i/>
                                <w:color w:val="F07E31" w:themeColor="accent1"/>
                                <w:sz w:val="18"/>
                                <w:szCs w:val="18"/>
                              </w:rPr>
                            </w:pPr>
                            <w:r>
                              <w:rPr>
                                <w:i/>
                                <w:color w:val="F07E31" w:themeColor="accent1"/>
                                <w:sz w:val="18"/>
                              </w:rPr>
                              <w:t>Više informacija o oblikovanju kontrolnih skupina, uparivanju itd. može se pronaći u</w:t>
                            </w:r>
                            <w:r>
                              <w:rPr>
                                <w:i/>
                                <w:color w:val="F07E31" w:themeColor="accent1"/>
                                <w:sz w:val="18"/>
                                <w:szCs w:val="18"/>
                              </w:rPr>
                              <w:br/>
                            </w:r>
                            <w:r>
                              <w:rPr>
                                <w:i/>
                                <w:color w:val="F07E31" w:themeColor="accent1"/>
                                <w:sz w:val="18"/>
                              </w:rPr>
                              <w:t xml:space="preserve"> </w:t>
                            </w:r>
                            <w:hyperlink r:id="rId42" w:history="1">
                              <w:r>
                                <w:rPr>
                                  <w:rStyle w:val="Hyperlink"/>
                                  <w:i/>
                                  <w:color w:val="F07E31" w:themeColor="accent1"/>
                                  <w:sz w:val="18"/>
                                </w:rPr>
                                <w:t xml:space="preserve">Smjernicama za </w:t>
                              </w:r>
                              <w:r>
                                <w:rPr>
                                  <w:rStyle w:val="Hyperlink"/>
                                  <w:color w:val="F07E31" w:themeColor="accent1"/>
                                  <w:sz w:val="18"/>
                                </w:rPr>
                                <w:t>ex post</w:t>
                              </w:r>
                              <w:r>
                                <w:rPr>
                                  <w:rStyle w:val="Hyperlink"/>
                                  <w:i/>
                                  <w:color w:val="F07E31" w:themeColor="accent1"/>
                                  <w:sz w:val="18"/>
                                </w:rPr>
                                <w:t xml:space="preserve"> evaluaciju programa ruralnog razvoja za razdoblje 2007.–2013.</w:t>
                              </w:r>
                            </w:hyperlink>
                            <w:r>
                              <w:rPr>
                                <w:rStyle w:val="Hyperlink"/>
                                <w:i/>
                                <w:color w:val="F07E31" w:themeColor="accent1"/>
                                <w:sz w:val="18"/>
                              </w:rPr>
                              <w:t>, poglavlju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275CFA58" wp14:editId="34FCCF25">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DD36A9" w:rsidRDefault="00496BA7" w:rsidP="006D4194">
                            <w:pPr>
                              <w:pStyle w:val="HHeading4"/>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KRATKI VODIČ br. 3: Kompromisi pri izboru evaluacijskih metoda</w:t>
                            </w:r>
                          </w:p>
                          <w:p w:rsidR="00496BA7" w:rsidRDefault="00496BA7" w:rsidP="006D4194">
                            <w:pPr>
                              <w:pStyle w:val="HStandard"/>
                              <w:spacing w:after="0"/>
                              <w:rPr>
                                <w:rFonts w:cs="Arial"/>
                                <w:color w:val="373737"/>
                                <w:sz w:val="18"/>
                                <w:szCs w:val="18"/>
                              </w:rPr>
                            </w:pPr>
                            <w:r>
                              <w:rPr>
                                <w:color w:val="373737"/>
                                <w:sz w:val="18"/>
                              </w:rPr>
                              <w:t>U evaluacijama se često smatra da je neraspoloživost podataka glavni čimbenik koji ograničava izbor evaluacijskih metoda. Međutim, primjena „jednostavnih” evaluacijskih tehnika (bez protučinjeničnog scenarija) u takvim slučajevima dovodi do znatnih slabosti u metodološkoj strogosti, vjerodostojnosti, pouzdanosti i valjanosti. Dionike se stoga potiče da uzmu u obzir kompromise između potrebe za podacima i moguće pristranosti u rezultatima do kojih se došlo slabijim metodama. Evaluacijske metode kojima se osigurava veća kvaliteta rezultata obično su zahtjevnije u pogledu podataka.</w:t>
                            </w:r>
                          </w:p>
                          <w:p w:rsidR="00496BA7" w:rsidRPr="006D4194" w:rsidRDefault="00496BA7" w:rsidP="006D4194">
                            <w:pPr>
                              <w:pStyle w:val="HStandard"/>
                              <w:spacing w:after="0"/>
                              <w:rPr>
                                <w:rFonts w:cs="Arial"/>
                                <w:color w:val="373737"/>
                                <w:sz w:val="18"/>
                                <w:szCs w:val="18"/>
                              </w:rPr>
                            </w:pPr>
                          </w:p>
                          <w:p w:rsidR="00496BA7" w:rsidRPr="009866F7" w:rsidRDefault="00496BA7" w:rsidP="006D4194">
                            <w:pPr>
                              <w:spacing w:before="0" w:after="0" w:line="240" w:lineRule="auto"/>
                              <w:rPr>
                                <w:rFonts w:cs="Arial"/>
                                <w:color w:val="373737"/>
                                <w:szCs w:val="18"/>
                                <w:highlight w:val="yellow"/>
                              </w:rPr>
                            </w:pPr>
                            <w:r>
                              <w:rPr>
                                <w:b/>
                                <w:color w:val="373737"/>
                              </w:rPr>
                              <w:t>Usporedba metoda</w:t>
                            </w:r>
                            <w:r>
                              <w:rPr>
                                <w:color w:val="373737"/>
                              </w:rPr>
                              <w:t xml:space="preserve"> (legenda: +++++ = najviša ocjena; + = najniža ocjena):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96BA7" w:rsidTr="00BB07C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96BA7" w:rsidRPr="0025164E" w:rsidRDefault="00496BA7" w:rsidP="009811C2">
                                  <w:pPr>
                                    <w:jc w:val="center"/>
                                    <w:rPr>
                                      <w:rFonts w:cs="Arial"/>
                                      <w:szCs w:val="18"/>
                                    </w:rPr>
                                  </w:pPr>
                                  <w:r>
                                    <w:t>Metoda</w:t>
                                  </w:r>
                                </w:p>
                              </w:tc>
                              <w:tc>
                                <w:tcPr>
                                  <w:tcW w:w="1701" w:type="dxa"/>
                                </w:tcPr>
                                <w:p w:rsidR="00496BA7" w:rsidRPr="0025164E" w:rsidRDefault="00496BA7"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Vjerodostojnost/strogost, pouzdanost itd.</w:t>
                                  </w:r>
                                </w:p>
                              </w:tc>
                              <w:tc>
                                <w:tcPr>
                                  <w:tcW w:w="1701"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Sposobnost smanjenja selektivnosti i drugi oblici pristranosti</w:t>
                                  </w:r>
                                </w:p>
                              </w:tc>
                              <w:tc>
                                <w:tcPr>
                                  <w:tcW w:w="1417"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Kvaliteta evaluacije</w:t>
                                  </w:r>
                                </w:p>
                              </w:tc>
                              <w:tc>
                                <w:tcPr>
                                  <w:tcW w:w="1418"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Potreba za podacima</w:t>
                                  </w:r>
                                </w:p>
                              </w:tc>
                            </w:tr>
                            <w:tr w:rsidR="00496BA7" w:rsidTr="00BB07C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Eksperimentalni pristup</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Kvazieksperimentalni pristupi</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Pristupi uparivanja (u kombinaciji s pristupom „razlika u razlikama”)</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RDD</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Metoda instrumentalnih varijabli</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Metoda „razlika u razlikama”</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Usporedbe s nekorisnicima u određenom razdoblju (jednostavan pristup)</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Usporedba korisnika programa prije i poslije (jednostavan pristup)</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Kvalitativni pristupi procjeni rezultata/učinaka programa</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96BA7" w:rsidRPr="00742E07" w:rsidRDefault="00496BA7" w:rsidP="00735F08">
                            <w:pPr>
                              <w:pStyle w:val="HStandard"/>
                              <w:jc w:val="center"/>
                              <w:rPr>
                                <w:i/>
                                <w:color w:val="F07E31" w:themeColor="accent1"/>
                              </w:rPr>
                            </w:pPr>
                            <w:r>
                              <w:rPr>
                                <w:i/>
                                <w:color w:val="F07E31" w:themeColor="accent1"/>
                                <w:sz w:val="18"/>
                              </w:rPr>
                              <w:t xml:space="preserve">Saznajte više o kriterijima za odabir pristupa evaluaciji </w:t>
                            </w:r>
                            <w:r>
                              <w:rPr>
                                <w:i/>
                                <w:color w:val="F07E31" w:themeColor="accent1"/>
                                <w:sz w:val="18"/>
                                <w:szCs w:val="18"/>
                              </w:rPr>
                              <w:br/>
                            </w:r>
                            <w:r>
                              <w:rPr>
                                <w:i/>
                                <w:color w:val="F07E31" w:themeColor="accent1"/>
                                <w:sz w:val="18"/>
                              </w:rPr>
                              <w:t xml:space="preserve">u </w:t>
                            </w:r>
                            <w:hyperlink r:id="rId43">
                              <w:r>
                                <w:rPr>
                                  <w:rStyle w:val="Hyperlink"/>
                                  <w:i/>
                                  <w:color w:val="F07E31" w:themeColor="accent1"/>
                                  <w:sz w:val="18"/>
                                </w:rPr>
                                <w:t xml:space="preserve">Smjernicama za </w:t>
                              </w:r>
                              <w:r>
                                <w:rPr>
                                  <w:rStyle w:val="Hyperlink"/>
                                  <w:color w:val="F07E31" w:themeColor="accent1"/>
                                  <w:sz w:val="18"/>
                                </w:rPr>
                                <w:t>ex post</w:t>
                              </w:r>
                              <w:r>
                                <w:rPr>
                                  <w:rStyle w:val="Hyperlink"/>
                                  <w:i/>
                                  <w:color w:val="F07E31" w:themeColor="accent1"/>
                                  <w:sz w:val="18"/>
                                </w:rPr>
                                <w:t xml:space="preserve"> evaluaciju programa ruralnog razvoja za razdoblje 2007.–2013.</w:t>
                              </w:r>
                            </w:hyperlink>
                            <w:r>
                              <w:rPr>
                                <w:rStyle w:val="Hyperlink"/>
                                <w:i/>
                                <w:color w:val="F07E31" w:themeColor="accent1"/>
                                <w:sz w:val="18"/>
                              </w:rPr>
                              <w:t>, poglavlju 4.3.4.2.</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6"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t7ew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496BA7" w:rsidRPr="00DD36A9" w:rsidRDefault="00496BA7" w:rsidP="006D4194">
                      <w:pPr>
                        <w:pStyle w:val="HHeading4"/>
                      </w:pPr>
                      <w:r>
                        <w:rPr>
                          <w:noProof/>
                          <w:lang w:val="en-GB" w:eastAsia="en-GB"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KRATKI VODIČ br. 3: Kompromisi pri izboru evaluacijskih metoda</w:t>
                      </w:r>
                    </w:p>
                    <w:p w:rsidR="00496BA7" w:rsidRDefault="00496BA7" w:rsidP="006D4194">
                      <w:pPr>
                        <w:pStyle w:val="HStandard"/>
                        <w:spacing w:after="0"/>
                        <w:rPr>
                          <w:rFonts w:cs="Arial"/>
                          <w:color w:val="373737"/>
                          <w:sz w:val="18"/>
                          <w:szCs w:val="18"/>
                        </w:rPr>
                      </w:pPr>
                      <w:r>
                        <w:rPr>
                          <w:color w:val="373737"/>
                          <w:sz w:val="18"/>
                        </w:rPr>
                        <w:t>U evaluacijama se često smatra da je neraspoloživost podataka glavni čimbenik koji ograničava izbor evaluacijskih metoda. Međutim, primjena „jednostavnih” evaluacijskih tehnika (bez protučinjeničnog scenarija) u takvim slučajevima dovodi do znatnih slabosti u metodološkoj strogosti, vjerodostojnosti, pouzdanosti i valjanosti. Dionike se stoga potiče da uzmu u obzir kompromise između potrebe za podacima i moguće pristranosti u rezultatima do kojih se došlo slabijim metodama. Evaluacijske metode kojima se osigurava veća kvaliteta rezultata obično su zahtjevnije u pogledu podataka.</w:t>
                      </w:r>
                    </w:p>
                    <w:p w:rsidR="00496BA7" w:rsidRPr="006D4194" w:rsidRDefault="00496BA7" w:rsidP="006D4194">
                      <w:pPr>
                        <w:pStyle w:val="HStandard"/>
                        <w:spacing w:after="0"/>
                        <w:rPr>
                          <w:rFonts w:cs="Arial"/>
                          <w:color w:val="373737"/>
                          <w:sz w:val="18"/>
                          <w:szCs w:val="18"/>
                        </w:rPr>
                      </w:pPr>
                    </w:p>
                    <w:p w:rsidR="00496BA7" w:rsidRPr="009866F7" w:rsidRDefault="00496BA7" w:rsidP="006D4194">
                      <w:pPr>
                        <w:spacing w:before="0" w:after="0" w:line="240" w:lineRule="auto"/>
                        <w:rPr>
                          <w:rFonts w:cs="Arial"/>
                          <w:color w:val="373737"/>
                          <w:szCs w:val="18"/>
                          <w:highlight w:val="yellow"/>
                        </w:rPr>
                      </w:pPr>
                      <w:r>
                        <w:rPr>
                          <w:b/>
                          <w:color w:val="373737"/>
                        </w:rPr>
                        <w:t>Usporedba metoda</w:t>
                      </w:r>
                      <w:r>
                        <w:rPr>
                          <w:color w:val="373737"/>
                        </w:rPr>
                        <w:t xml:space="preserve"> (legenda: +++++ = najviša ocjena; + = najniža ocjena):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96BA7" w:rsidTr="00BB07C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96BA7" w:rsidRPr="0025164E" w:rsidRDefault="00496BA7" w:rsidP="009811C2">
                            <w:pPr>
                              <w:jc w:val="center"/>
                              <w:rPr>
                                <w:rFonts w:cs="Arial"/>
                                <w:szCs w:val="18"/>
                              </w:rPr>
                            </w:pPr>
                            <w:r>
                              <w:t>Metoda</w:t>
                            </w:r>
                          </w:p>
                        </w:tc>
                        <w:tc>
                          <w:tcPr>
                            <w:tcW w:w="1701" w:type="dxa"/>
                          </w:tcPr>
                          <w:p w:rsidR="00496BA7" w:rsidRPr="0025164E" w:rsidRDefault="00496BA7"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Vjerodostojnost/strogost, pouzdanost itd.</w:t>
                            </w:r>
                          </w:p>
                        </w:tc>
                        <w:tc>
                          <w:tcPr>
                            <w:tcW w:w="1701"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Sposobnost smanjenja selektivnosti i drugi oblici pristranosti</w:t>
                            </w:r>
                          </w:p>
                        </w:tc>
                        <w:tc>
                          <w:tcPr>
                            <w:tcW w:w="1417"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Kvaliteta evaluacije</w:t>
                            </w:r>
                          </w:p>
                        </w:tc>
                        <w:tc>
                          <w:tcPr>
                            <w:tcW w:w="1418" w:type="dxa"/>
                          </w:tcPr>
                          <w:p w:rsidR="00496BA7" w:rsidRPr="0025164E" w:rsidRDefault="00496BA7"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Potreba za podacima</w:t>
                            </w:r>
                          </w:p>
                        </w:tc>
                      </w:tr>
                      <w:tr w:rsidR="00496BA7" w:rsidTr="00BB07C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Eksperimentalni pristup</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Kvazieksperimentalni pristupi</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Pristupi uparivanja (u kombinaciji s pristupom „razlika u razlikama”)</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RDD</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Metoda instrumentalnih varijabli</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Metoda „razlika u razlikama”</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Usporedbe s nekorisnicima u određenom razdoblju (jednostavan pristup)</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Usporedba korisnika programa prije i poslije (jednostavan pristup)</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96BA7" w:rsidTr="00BB0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96BA7" w:rsidRPr="009811C2" w:rsidRDefault="00496BA7" w:rsidP="00365997">
                            <w:pPr>
                              <w:jc w:val="left"/>
                              <w:rPr>
                                <w:rFonts w:cs="Arial"/>
                                <w:szCs w:val="18"/>
                              </w:rPr>
                            </w:pPr>
                            <w:r>
                              <w:t>Kvalitativni pristupi procjeni rezultata/učinaka programa</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96BA7" w:rsidRPr="00B9614C" w:rsidRDefault="00496BA7"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96BA7" w:rsidRPr="00742E07" w:rsidRDefault="00496BA7" w:rsidP="00735F08">
                      <w:pPr>
                        <w:pStyle w:val="HStandard"/>
                        <w:jc w:val="center"/>
                        <w:rPr>
                          <w:i/>
                          <w:color w:val="F07E31" w:themeColor="accent1"/>
                        </w:rPr>
                      </w:pPr>
                      <w:r>
                        <w:rPr>
                          <w:i/>
                          <w:color w:val="F07E31" w:themeColor="accent1"/>
                          <w:sz w:val="18"/>
                        </w:rPr>
                        <w:t xml:space="preserve">Saznajte više o kriterijima za odabir pristupa evaluaciji </w:t>
                      </w:r>
                      <w:r>
                        <w:rPr>
                          <w:i/>
                          <w:color w:val="F07E31" w:themeColor="accent1"/>
                          <w:sz w:val="18"/>
                          <w:szCs w:val="18"/>
                        </w:rPr>
                        <w:br/>
                      </w:r>
                      <w:r>
                        <w:rPr>
                          <w:i/>
                          <w:color w:val="F07E31" w:themeColor="accent1"/>
                          <w:sz w:val="18"/>
                        </w:rPr>
                        <w:t xml:space="preserve">u </w:t>
                      </w:r>
                      <w:hyperlink r:id="rId44">
                        <w:r>
                          <w:rPr>
                            <w:rStyle w:val="Hyperlink"/>
                            <w:i/>
                            <w:color w:val="F07E31" w:themeColor="accent1"/>
                            <w:sz w:val="18"/>
                          </w:rPr>
                          <w:t xml:space="preserve">Smjernicama za </w:t>
                        </w:r>
                        <w:r>
                          <w:rPr>
                            <w:rStyle w:val="Hyperlink"/>
                            <w:color w:val="F07E31" w:themeColor="accent1"/>
                            <w:sz w:val="18"/>
                          </w:rPr>
                          <w:t>ex post</w:t>
                        </w:r>
                        <w:r>
                          <w:rPr>
                            <w:rStyle w:val="Hyperlink"/>
                            <w:i/>
                            <w:color w:val="F07E31" w:themeColor="accent1"/>
                            <w:sz w:val="18"/>
                          </w:rPr>
                          <w:t xml:space="preserve"> evaluaciju programa ruralnog razvoja za razdoblje 2007.–2013.</w:t>
                        </w:r>
                      </w:hyperlink>
                      <w:r>
                        <w:rPr>
                          <w:rStyle w:val="Hyperlink"/>
                          <w:i/>
                          <w:color w:val="F07E31" w:themeColor="accent1"/>
                          <w:sz w:val="18"/>
                        </w:rPr>
                        <w:t>, poglavlju 4.3.4.2.</w:t>
                      </w:r>
                    </w:p>
                  </w:txbxContent>
                </v:textbox>
                <w10:anchorlock/>
              </v:shape>
            </w:pict>
          </mc:Fallback>
        </mc:AlternateContent>
      </w:r>
    </w:p>
    <w:p w:rsidR="00820050" w:rsidRPr="001C6ACF" w:rsidRDefault="004A3547" w:rsidP="00820050">
      <w:pPr>
        <w:pStyle w:val="HHeading4"/>
      </w:pPr>
      <w:r>
        <w:br w:type="column"/>
      </w:r>
      <w:r>
        <w:lastRenderedPageBreak/>
        <w:t>Ocjenjivanje na mikrorazini i makrorazini te utvrđivanje neto učinaka (treća faza modela)</w:t>
      </w:r>
    </w:p>
    <w:p w:rsidR="00820050" w:rsidRPr="00863E73" w:rsidRDefault="00820050" w:rsidP="00820050">
      <w:pPr>
        <w:pStyle w:val="HStandard"/>
        <w:rPr>
          <w:rFonts w:cs="Arial"/>
        </w:rPr>
      </w:pPr>
      <w:r>
        <w:t xml:space="preserve">U sljedećoj fazi logičkog modela razrađuju se mogući načini evaluacije na </w:t>
      </w:r>
      <w:r>
        <w:rPr>
          <w:b/>
        </w:rPr>
        <w:t>mikrorazini ili makrorazini</w:t>
      </w:r>
      <w:r>
        <w:t xml:space="preserve">. Tijek rada u toj fazi vodi evaluatora do metoda kojima se pridonosi dosljednoj procjeni </w:t>
      </w:r>
      <w:r>
        <w:rPr>
          <w:b/>
        </w:rPr>
        <w:t>neto učinaka na mikrorazini i makrorazini</w:t>
      </w:r>
      <w:r>
        <w:rPr>
          <w:rStyle w:val="FootnoteReference"/>
          <w:b/>
        </w:rPr>
        <w:footnoteReference w:id="28"/>
      </w:r>
      <w:r>
        <w:t xml:space="preserve">. Za svaki od mogućih protučinjeničnih scenarija izrađuje se zaseban logički model za mikrorazinu. Neke su evaluacije osmišljene tako da je ekstrapolacija nalaza dobivenih na mikrorazini osnova za procjenu na makrorazini. Druge su osmišljene tako da se procjene dobivene na mikrorazini i one dobivene na makrorazini dopunjuju pa je potrebno izvršiti provjeru dosljednosti.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61A39BBA" wp14:editId="5C9A0DE1">
                <wp:extent cx="5731510" cy="1447165"/>
                <wp:effectExtent l="19050" t="19050" r="21590" b="19685"/>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4716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044269" w:rsidRDefault="00496BA7"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Kvantitativne dokaze trebalo bi kritički tumačiti</w:t>
                            </w:r>
                            <w:r>
                              <w:rPr>
                                <w:rStyle w:val="CommentReference"/>
                                <w:color w:val="373737" w:themeColor="text1"/>
                              </w:rPr>
                              <w:t xml:space="preserve"> </w:t>
                            </w:r>
                            <w:r>
                              <w:rPr>
                                <w:color w:val="373737" w:themeColor="text1"/>
                              </w:rPr>
                              <w:t>s pomoću kvantitativne procjene.</w:t>
                            </w:r>
                            <w:r>
                              <w:rPr>
                                <w:b w:val="0"/>
                                <w:color w:val="373737" w:themeColor="text1"/>
                              </w:rPr>
                              <w:t xml:space="preserve"> Nadalje, kvalitativna procjena može pomoći u dopunjavanju kvantitativne procjene kako bi se: (a) procijenila reprezentativnost raspoloživih podataka, (b) unakrsno provjerila valjanost nalaza, (c) obuhvatile razne dimenzije iste pojave.</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7"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496BA7" w:rsidRPr="00044269" w:rsidRDefault="00496BA7"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Kvantitativne dokaze trebalo bi kritički tumačiti</w:t>
                      </w:r>
                      <w:r>
                        <w:rPr>
                          <w:rStyle w:val="CommentReference"/>
                          <w:color w:val="373737" w:themeColor="text1"/>
                        </w:rPr>
                        <w:t xml:space="preserve"> </w:t>
                      </w:r>
                      <w:r>
                        <w:rPr>
                          <w:color w:val="373737" w:themeColor="text1"/>
                        </w:rPr>
                        <w:t>s pomoću kvantitativne procjene.</w:t>
                      </w:r>
                      <w:r>
                        <w:rPr>
                          <w:b w:val="0"/>
                          <w:color w:val="373737" w:themeColor="text1"/>
                        </w:rPr>
                        <w:t xml:space="preserve"> Nadalje, kvalitativna procjena može pomoći u dopunjavanju kvantitativne procjene kako bi se: (a) procijenila reprezentativnost raspoloživih podataka, (b) unakrsno provjerila valjanost nalaza, (c) obuhvatile razne dimenzije iste pojave.</w:t>
                      </w:r>
                    </w:p>
                  </w:txbxContent>
                </v:textbox>
                <w10:anchorlock/>
              </v:shape>
            </w:pict>
          </mc:Fallback>
        </mc:AlternateContent>
      </w:r>
    </w:p>
    <w:p w:rsidR="00820050" w:rsidRPr="007645B4" w:rsidRDefault="00820050" w:rsidP="00820050">
      <w:pPr>
        <w:pStyle w:val="HStandard"/>
        <w:spacing w:after="0"/>
        <w:rPr>
          <w:rFonts w:cs="Arial"/>
        </w:rPr>
      </w:pPr>
      <w:r>
        <w:t>Koraci iz stabla odlučivanja u fazi koja se odnosi na mikrorazinu i makrorazinu pomažu u odgovaranju na sljedeća pitanja pri oblikovanju pristupa evaluaciji:</w:t>
      </w:r>
    </w:p>
    <w:p w:rsidR="00820050" w:rsidRPr="001C6ACF" w:rsidRDefault="00820050" w:rsidP="00C42303">
      <w:pPr>
        <w:pStyle w:val="Hlistbullet"/>
      </w:pPr>
      <w:r>
        <w:t>Mora li se upotrijebiti posebna metoda koja se odnosi na čimbenike povezane s okolišem, sektorske (poljoprivredno-gospodarske) ili društveno-gospodarske čimbenike da bi se kvantificirale promjene vrijednosti pokazatelja ili se vrijednosti pokazatelja mogu izravno upotrijebiti primjenom protučinjeničnih metoda?</w:t>
      </w:r>
    </w:p>
    <w:p w:rsidR="00820050" w:rsidRPr="001C6ACF" w:rsidRDefault="00820050" w:rsidP="00C42303">
      <w:pPr>
        <w:pStyle w:val="Hlistbullet"/>
      </w:pPr>
      <w:r>
        <w:t>Ako je potrebno primijeniti posebnu metodu, jesu li podaci koji su primjereni za provedbu jedne od metoda dostupni za evaluaciju učinaka na okoliš, sektorskih učinaka ili društveno-gospodarskih učinaka?</w:t>
      </w:r>
    </w:p>
    <w:p w:rsidR="00820050" w:rsidRPr="001C6ACF" w:rsidRDefault="00820050" w:rsidP="00C42303">
      <w:pPr>
        <w:pStyle w:val="Hlistbullet"/>
      </w:pPr>
      <w:r>
        <w:t>Treba li prikupiti nove osnovne podatke statističkim uzorkovanjem i koliko će to koštati?</w:t>
      </w:r>
    </w:p>
    <w:p w:rsidR="00820050" w:rsidRPr="001C6ACF" w:rsidRDefault="00820050" w:rsidP="00C42303">
      <w:pPr>
        <w:pStyle w:val="Hlistbullet"/>
      </w:pPr>
      <w:r>
        <w:t>Treba li izvršiti posebne zadaće kako bi se poboljšala kvaliteta podataka dobivenih istraživanjem/praćenjem?</w:t>
      </w:r>
    </w:p>
    <w:p w:rsidR="00820050" w:rsidRPr="001C6ACF" w:rsidRDefault="00820050" w:rsidP="00C42303">
      <w:pPr>
        <w:pStyle w:val="Hlistbullet"/>
      </w:pPr>
      <w:r>
        <w:t>Ako se promjene vrijednosti pokazatelja ne mogu kvantificirati ili je trošak kvantificiranja vrlo visok, koje alternativne (kvalitativne) metode postoje za procjenu promjena vrijednosti pokazatelja?</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1D134C61" wp14:editId="03650808">
                <wp:extent cx="5931535" cy="8750105"/>
                <wp:effectExtent l="0" t="0" r="12065" b="1333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50105"/>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DD36A9" w:rsidRDefault="00496BA7"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KRATKI VODIČ br. 4: Kako procijeniti neto učinke PRR-a? (odnosi se na treću fazu)</w:t>
                            </w:r>
                          </w:p>
                          <w:p w:rsidR="00496BA7" w:rsidRPr="00553149" w:rsidRDefault="00496BA7" w:rsidP="00AC0E3D">
                            <w:pPr>
                              <w:pStyle w:val="HStandard"/>
                              <w:spacing w:after="0"/>
                              <w:rPr>
                                <w:rFonts w:cs="Arial"/>
                                <w:szCs w:val="16"/>
                              </w:rPr>
                            </w:pPr>
                            <w:r>
                              <w:t xml:space="preserve">Procjena neto učinaka programa na </w:t>
                            </w:r>
                            <w:r>
                              <w:rPr>
                                <w:b/>
                              </w:rPr>
                              <w:t>makrorazini i na razini područja obuhvaćenog programom</w:t>
                            </w:r>
                            <w:r>
                              <w:t xml:space="preserve"> pri kojoj se upotrebljava protučinjenični scenarij može se provesti primjenom dvaju glavnih pristupa: </w:t>
                            </w:r>
                            <w:r>
                              <w:rPr>
                                <w:b/>
                              </w:rPr>
                              <w:t>prvi se pristup</w:t>
                            </w:r>
                            <w:r>
                              <w:t xml:space="preserve"> temelji na mikroanalizi i ekstrapolaciji rezultata na makrorazinu (prevođenje podataka na višu razinu). </w:t>
                            </w:r>
                            <w:r>
                              <w:rPr>
                                <w:b/>
                              </w:rPr>
                              <w:t>U drugom se pristupu</w:t>
                            </w:r>
                            <w:r>
                              <w:t xml:space="preserve"> upotrebljavaju analitički instrumenti, kao što su model </w:t>
                            </w:r>
                            <w:hyperlink r:id="rId45">
                              <w:r>
                                <w:rPr>
                                  <w:rStyle w:val="Hyperlink"/>
                                </w:rPr>
                                <w:t>izračuna opće ravnoteže</w:t>
                              </w:r>
                            </w:hyperlink>
                            <w:r>
                              <w:t xml:space="preserve">, model djelomične ravnoteže i prostorni ekonometrijski model ili druge tehnike izrade modela, u kojima se odgovarajući parametri modela (npr. produktivnost ili emisijski koeficijenti) procjenjuju ekonometrijski tako da se </w:t>
                            </w:r>
                            <w:r>
                              <w:rPr>
                                <w:b/>
                              </w:rPr>
                              <w:t>uzmu u obzir</w:t>
                            </w:r>
                            <w:r>
                              <w:t xml:space="preserve"> pouzdane uzročno-posljedične veze, moguće pristranosti u odabiru, endogenost i prostorne ovisnosti. Taj pristup uključuje i kombiniranje pristupa na makrorazini „odozgo prema dolje” (npr. modeli s nacionalnim ili regionalnim obuhvatom) kojim se procjenjuju učinci programa s pristupom na makrorazini „odozdo prema gore” kojim se procjenjuju neto učinci raznih mjera ili kombinacija mjera.</w:t>
                            </w:r>
                          </w:p>
                          <w:p w:rsidR="00496BA7" w:rsidRPr="00553149" w:rsidRDefault="00496BA7" w:rsidP="00AC0E3D">
                            <w:pPr>
                              <w:pStyle w:val="HStandard"/>
                              <w:spacing w:after="0"/>
                              <w:rPr>
                                <w:rFonts w:cs="Arial"/>
                                <w:szCs w:val="16"/>
                              </w:rPr>
                            </w:pPr>
                          </w:p>
                          <w:p w:rsidR="00496BA7" w:rsidRPr="00553149" w:rsidRDefault="00496BA7" w:rsidP="00AC0E3D">
                            <w:pPr>
                              <w:pStyle w:val="HStandard"/>
                              <w:spacing w:after="0"/>
                              <w:rPr>
                                <w:rFonts w:cs="Arial"/>
                                <w:szCs w:val="16"/>
                              </w:rPr>
                            </w:pPr>
                            <w:r>
                              <w:t xml:space="preserve">Važno je napomenuti da je, neovisno o odabranom pristupu, analiza neto učinaka PRR-a moguća jedino ako je na raspolaganju dovoljno kvantitativnih podataka i primjenjuju se napredne metodološke tehnike. Moguća primjena jednostavnih načina evaluacije (npr. prije-poslije, korištenje neodgovarajućim kontrolnim skupinama itd.) može znatno utjecati na dobivene rezultate za „neto učinke” u oba smjera (pozitivnom i negativnom). </w:t>
                            </w:r>
                          </w:p>
                          <w:p w:rsidR="00496BA7" w:rsidRPr="00553149" w:rsidRDefault="00496BA7" w:rsidP="00AC0E3D">
                            <w:pPr>
                              <w:pStyle w:val="HStandard"/>
                              <w:spacing w:after="0"/>
                              <w:rPr>
                                <w:rFonts w:cs="Arial"/>
                                <w:szCs w:val="16"/>
                              </w:rPr>
                            </w:pPr>
                          </w:p>
                          <w:p w:rsidR="00496BA7" w:rsidRPr="00502017" w:rsidRDefault="00496BA7" w:rsidP="00AC0E3D">
                            <w:pPr>
                              <w:pStyle w:val="HStandard"/>
                              <w:spacing w:after="0"/>
                              <w:rPr>
                                <w:rFonts w:cs="Arial"/>
                                <w:szCs w:val="16"/>
                              </w:rPr>
                            </w:pPr>
                            <w:r>
                              <w:t xml:space="preserve">S obzirom na to da je </w:t>
                            </w:r>
                            <w:r>
                              <w:rPr>
                                <w:b/>
                              </w:rPr>
                              <w:t>prvi pristup</w:t>
                            </w:r>
                            <w:r>
                              <w:t xml:space="preserve"> (ekstrapolacija rezultata mikroanalize na razinu makropodručja obuhvaćenog programom) najjednostavniji i daje najbolje rezultate, u nastavku se opisuju najvažniji koraci. Pet je glavnih koraka koji se mogu primijeniti na pokazatelje sektorskih učinaka, kao i na pokazatelje učinaka na okoliš i društveno-gospodarske učinke. Osnovna razlika između analiza neto učinaka PRR-a koje se provode u trima navedenim područjima jest u definiciji jedinica na kojima se analiza temelji: npr. za sektorske pokazatelje to su poljoprivredna gospodarstva (poduzeća) ili administrativne regije (npr. NUTS 4, NUTS 5 itd.), za pokazatelje učinka na okoliš to su zemljišta ili manje geografske regije (regionalni prostorni podaci), a za društveno-gospodarske pokazatelje to su administrativne regije (npr. NUTS 3, NUTS 4 ili NUTS 5). Koraci su sljedeći:</w:t>
                            </w:r>
                          </w:p>
                          <w:p w:rsidR="00496BA7" w:rsidRPr="00502017" w:rsidRDefault="00496BA7" w:rsidP="00AC0E3D">
                            <w:pPr>
                              <w:pStyle w:val="HStandard"/>
                              <w:spacing w:after="0"/>
                              <w:rPr>
                                <w:rFonts w:cs="Arial"/>
                                <w:szCs w:val="16"/>
                              </w:rPr>
                            </w:pPr>
                          </w:p>
                          <w:p w:rsidR="00496BA7" w:rsidRPr="00735F08" w:rsidRDefault="00496BA7" w:rsidP="00AC0E3D">
                            <w:pPr>
                              <w:pStyle w:val="Hlistbullet"/>
                              <w:numPr>
                                <w:ilvl w:val="0"/>
                                <w:numId w:val="0"/>
                              </w:numPr>
                              <w:jc w:val="left"/>
                              <w:rPr>
                                <w:szCs w:val="16"/>
                              </w:rPr>
                            </w:pPr>
                            <w:r>
                              <w:rPr>
                                <w:b/>
                                <w:color w:val="F07E31" w:themeColor="accent1"/>
                              </w:rPr>
                              <w:t>1. korak:</w:t>
                            </w:r>
                            <w:r>
                              <w:t xml:space="preserve"> procjena </w:t>
                            </w:r>
                            <w:r>
                              <w:rPr>
                                <w:b/>
                              </w:rPr>
                              <w:t>izravnih učinaka PRR-a</w:t>
                            </w:r>
                            <w:r>
                              <w:t xml:space="preserve"> </w:t>
                            </w:r>
                            <w:r>
                              <w:rPr>
                                <w:b/>
                              </w:rPr>
                              <w:t>na korisnike na mikrorazini</w:t>
                            </w:r>
                            <w:r>
                              <w:t>:</w:t>
                            </w:r>
                          </w:p>
                          <w:p w:rsidR="00496BA7" w:rsidRPr="00553149" w:rsidRDefault="00496BA7" w:rsidP="00EC01C3">
                            <w:pPr>
                              <w:pStyle w:val="HStandard"/>
                              <w:numPr>
                                <w:ilvl w:val="1"/>
                                <w:numId w:val="13"/>
                              </w:numPr>
                              <w:spacing w:after="0"/>
                              <w:ind w:left="924" w:hanging="357"/>
                              <w:rPr>
                                <w:rFonts w:cs="Arial"/>
                                <w:szCs w:val="16"/>
                              </w:rPr>
                            </w:pPr>
                            <w:r>
                              <w:t>na mikrorazini se za skupinu korisnika i kontrolnu skupinu izračuna prosječna vrijednost zajedničkih i dodatnih pokazatelja učinka prije potpore (npr. 2013.) i nakon potpore (npr. u 2018. ili 2019.);</w:t>
                            </w:r>
                          </w:p>
                          <w:p w:rsidR="00496BA7" w:rsidRPr="00553149" w:rsidRDefault="00496BA7" w:rsidP="00EC01C3">
                            <w:pPr>
                              <w:pStyle w:val="HStandard"/>
                              <w:numPr>
                                <w:ilvl w:val="1"/>
                                <w:numId w:val="13"/>
                              </w:numPr>
                              <w:spacing w:after="0"/>
                              <w:ind w:left="924" w:hanging="357"/>
                              <w:rPr>
                                <w:rFonts w:cs="Arial"/>
                                <w:szCs w:val="16"/>
                              </w:rPr>
                            </w:pPr>
                            <w:r>
                              <w:t xml:space="preserve">izračunaju se posebni pokazatelji politike (npr. prosječni učinak tretmana na primatelje tretmana (ATT)), pri čemu se kao ishod uzimaju odgovarajući zajednički ili dodatni pokazatelji učinka. Kombinacijom izračunanog ATT-a i metode „razlika u razlikama” izračunaju se </w:t>
                            </w:r>
                            <w:r>
                              <w:rPr>
                                <w:b/>
                              </w:rPr>
                              <w:t>neto izravni učinci na prethodno navedene pokazatelje</w:t>
                            </w:r>
                            <w:r>
                              <w:t>;</w:t>
                            </w:r>
                          </w:p>
                          <w:p w:rsidR="00496BA7" w:rsidRPr="00553149" w:rsidRDefault="00496BA7" w:rsidP="00EC01C3">
                            <w:pPr>
                              <w:pStyle w:val="HStandard"/>
                              <w:numPr>
                                <w:ilvl w:val="1"/>
                                <w:numId w:val="13"/>
                              </w:numPr>
                              <w:spacing w:after="0"/>
                              <w:ind w:left="924" w:hanging="357"/>
                              <w:rPr>
                                <w:rFonts w:cs="Arial"/>
                                <w:szCs w:val="16"/>
                              </w:rPr>
                            </w:pPr>
                            <w:r>
                              <w:t>provede se analiza osjetljivosti dobivenih rezultata.</w:t>
                            </w:r>
                          </w:p>
                          <w:p w:rsidR="00496BA7" w:rsidRDefault="00496BA7" w:rsidP="00AC0E3D">
                            <w:pPr>
                              <w:pStyle w:val="Hlistbullet"/>
                              <w:numPr>
                                <w:ilvl w:val="0"/>
                                <w:numId w:val="0"/>
                              </w:numPr>
                              <w:spacing w:before="0" w:after="120" w:line="280" w:lineRule="atLeast"/>
                              <w:rPr>
                                <w:rFonts w:cs="Arial"/>
                                <w:szCs w:val="16"/>
                              </w:rPr>
                            </w:pPr>
                            <w:r>
                              <w:rPr>
                                <w:b/>
                                <w:color w:val="F07E31" w:themeColor="accent1"/>
                              </w:rPr>
                              <w:t xml:space="preserve">2. korak: </w:t>
                            </w:r>
                            <w:r>
                              <w:t xml:space="preserve">procjena </w:t>
                            </w:r>
                            <w:r>
                              <w:rPr>
                                <w:b/>
                              </w:rPr>
                              <w:t>neizravnih učinaka PRR-a</w:t>
                            </w:r>
                            <w:r>
                              <w:t xml:space="preserve"> </w:t>
                            </w:r>
                            <w:r>
                              <w:rPr>
                                <w:b/>
                              </w:rPr>
                              <w:t>na korisnike</w:t>
                            </w:r>
                            <w:r>
                              <w:t xml:space="preserve"> na</w:t>
                            </w:r>
                            <w:r>
                              <w:rPr>
                                <w:b/>
                              </w:rPr>
                              <w:t xml:space="preserve"> mikrorazini</w:t>
                            </w:r>
                            <w:r>
                              <w:t>. Uočenu promjenu vrijednosti pokazatelja ponovno bi trebalo razdijeliti na promjene nastale zbog programa (ukupan učinak primarnih i sekundarnih doprinosa) i promjene prouzročene drugim čimbenicima.</w:t>
                            </w:r>
                            <w:r>
                              <w:rPr>
                                <w:color w:val="auto"/>
                              </w:rPr>
                              <w:t xml:space="preserve"> </w:t>
                            </w:r>
                            <w:r>
                              <w:t xml:space="preserve">Neizravne učinke PRR-a (npr. učinke zamjene, učinke premještanja, multiplikacijske učinke) trebalo bi izračunati i prikazati zasebno. </w:t>
                            </w:r>
                          </w:p>
                          <w:p w:rsidR="00496BA7" w:rsidRPr="00027601" w:rsidRDefault="00496BA7"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8" style="width:467.05pt;height:689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7355;5413534,8750105;0,8750105;0,8750105;0,522750;518001,0" o:connectangles="0,0,0,0,0,0,0,0,0" textboxrect="0,0,5931673,8670814"/>
                <v:textbox>
                  <w:txbxContent>
                    <w:p w:rsidR="00496BA7" w:rsidRPr="00DD36A9" w:rsidRDefault="00496BA7" w:rsidP="006D6205">
                      <w:pPr>
                        <w:pStyle w:val="HHeading4"/>
                      </w:pPr>
                      <w:r>
                        <w:rPr>
                          <w:noProof/>
                          <w:lang w:val="en-GB" w:eastAsia="en-GB"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KRATKI VODIČ br. 4: Kako procijeniti neto učinke PRR-a? (odnosi se na treću fazu)</w:t>
                      </w:r>
                    </w:p>
                    <w:p w:rsidR="00496BA7" w:rsidRPr="00553149" w:rsidRDefault="00496BA7" w:rsidP="00AC0E3D">
                      <w:pPr>
                        <w:pStyle w:val="HStandard"/>
                        <w:spacing w:after="0"/>
                        <w:rPr>
                          <w:rFonts w:cs="Arial"/>
                          <w:szCs w:val="16"/>
                        </w:rPr>
                      </w:pPr>
                      <w:r>
                        <w:t xml:space="preserve">Procjena neto učinaka programa na </w:t>
                      </w:r>
                      <w:r>
                        <w:rPr>
                          <w:b/>
                        </w:rPr>
                        <w:t>makrorazini i na razini područja obuhvaćenog programom</w:t>
                      </w:r>
                      <w:r>
                        <w:t xml:space="preserve"> pri kojoj se upotrebljava protučinjenični scenarij može se provesti primjenom dvaju glavnih pristupa: </w:t>
                      </w:r>
                      <w:r>
                        <w:rPr>
                          <w:b/>
                        </w:rPr>
                        <w:t>prvi se pristup</w:t>
                      </w:r>
                      <w:r>
                        <w:t xml:space="preserve"> temelji na mikroanalizi i ekstrapolaciji rezultata na makrorazinu (prevođenje podataka na višu razinu). </w:t>
                      </w:r>
                      <w:r>
                        <w:rPr>
                          <w:b/>
                        </w:rPr>
                        <w:t>U drugom se pristupu</w:t>
                      </w:r>
                      <w:r>
                        <w:t xml:space="preserve"> upotrebljavaju analitički instrumenti, kao što su model </w:t>
                      </w:r>
                      <w:hyperlink r:id="rId46">
                        <w:r>
                          <w:rPr>
                            <w:rStyle w:val="Hyperlink"/>
                          </w:rPr>
                          <w:t>izračuna opće ravnoteže</w:t>
                        </w:r>
                      </w:hyperlink>
                      <w:r>
                        <w:t xml:space="preserve">, model djelomične ravnoteže i prostorni ekonometrijski model ili druge tehnike izrade modela, u kojima se odgovarajući parametri modela (npr. produktivnost ili emisijski koeficijenti) procjenjuju ekonometrijski tako da se </w:t>
                      </w:r>
                      <w:r>
                        <w:rPr>
                          <w:b/>
                        </w:rPr>
                        <w:t>uzmu u obzir</w:t>
                      </w:r>
                      <w:r>
                        <w:t xml:space="preserve"> pouzdane uzročno-posljedične veze, moguće pristranosti u odabiru, endogenost i prostorne ovisnosti. Taj pristup uključuje i kombiniranje pristupa na makrorazini „odozgo prema dolje” (npr. modeli s nacionalnim ili regionalnim obuhvatom) kojim se procjenjuju učinci programa s pristupom na makrorazini „odozdo prema gore” kojim se procjenjuju neto učinci raznih mjera ili kombinacija mjera.</w:t>
                      </w:r>
                    </w:p>
                    <w:p w:rsidR="00496BA7" w:rsidRPr="00553149" w:rsidRDefault="00496BA7" w:rsidP="00AC0E3D">
                      <w:pPr>
                        <w:pStyle w:val="HStandard"/>
                        <w:spacing w:after="0"/>
                        <w:rPr>
                          <w:rFonts w:cs="Arial"/>
                          <w:szCs w:val="16"/>
                        </w:rPr>
                      </w:pPr>
                    </w:p>
                    <w:p w:rsidR="00496BA7" w:rsidRPr="00553149" w:rsidRDefault="00496BA7" w:rsidP="00AC0E3D">
                      <w:pPr>
                        <w:pStyle w:val="HStandard"/>
                        <w:spacing w:after="0"/>
                        <w:rPr>
                          <w:rFonts w:cs="Arial"/>
                          <w:szCs w:val="16"/>
                        </w:rPr>
                      </w:pPr>
                      <w:r>
                        <w:t xml:space="preserve">Važno je napomenuti da je, neovisno o odabranom pristupu, analiza neto učinaka PRR-a moguća jedino ako je na raspolaganju dovoljno kvantitativnih podataka i primjenjuju se napredne metodološke tehnike. Moguća primjena jednostavnih načina evaluacije (npr. prije-poslije, korištenje neodgovarajućim kontrolnim skupinama itd.) može znatno utjecati na dobivene rezultate za „neto učinke” u oba smjera (pozitivnom i negativnom). </w:t>
                      </w:r>
                    </w:p>
                    <w:p w:rsidR="00496BA7" w:rsidRPr="00553149" w:rsidRDefault="00496BA7" w:rsidP="00AC0E3D">
                      <w:pPr>
                        <w:pStyle w:val="HStandard"/>
                        <w:spacing w:after="0"/>
                        <w:rPr>
                          <w:rFonts w:cs="Arial"/>
                          <w:szCs w:val="16"/>
                        </w:rPr>
                      </w:pPr>
                    </w:p>
                    <w:p w:rsidR="00496BA7" w:rsidRPr="00502017" w:rsidRDefault="00496BA7" w:rsidP="00AC0E3D">
                      <w:pPr>
                        <w:pStyle w:val="HStandard"/>
                        <w:spacing w:after="0"/>
                        <w:rPr>
                          <w:rFonts w:cs="Arial"/>
                          <w:szCs w:val="16"/>
                        </w:rPr>
                      </w:pPr>
                      <w:r>
                        <w:t xml:space="preserve">S obzirom na to da je </w:t>
                      </w:r>
                      <w:r>
                        <w:rPr>
                          <w:b/>
                        </w:rPr>
                        <w:t>prvi pristup</w:t>
                      </w:r>
                      <w:r>
                        <w:t xml:space="preserve"> (ekstrapolacija rezultata mikroanalize na razinu makropodručja obuhvaćenog programom) najjednostavniji i daje najbolje rezultate, u nastavku se opisuju najvažniji koraci. Pet je glavnih koraka koji se mogu primijeniti na pokazatelje sektorskih učinaka, kao i na pokazatelje učinaka na okoliš i društveno-gospodarske učinke. Osnovna razlika između analiza neto učinaka PRR-a koje se provode u trima navedenim područjima jest u definiciji jedinica na kojima se analiza temelji: npr. za sektorske pokazatelje to su poljoprivredna gospodarstva (poduzeća) ili administrativne regije (npr. NUTS 4, NUTS 5 itd.), za pokazatelje učinka na okoliš to su zemljišta ili manje geografske regije (regionalni prostorni podaci), a za društveno-gospodarske pokazatelje to su administrativne regije (npr. NUTS 3, NUTS 4 ili NUTS 5). Koraci su sljedeći:</w:t>
                      </w:r>
                    </w:p>
                    <w:p w:rsidR="00496BA7" w:rsidRPr="00502017" w:rsidRDefault="00496BA7" w:rsidP="00AC0E3D">
                      <w:pPr>
                        <w:pStyle w:val="HStandard"/>
                        <w:spacing w:after="0"/>
                        <w:rPr>
                          <w:rFonts w:cs="Arial"/>
                          <w:szCs w:val="16"/>
                        </w:rPr>
                      </w:pPr>
                    </w:p>
                    <w:p w:rsidR="00496BA7" w:rsidRPr="00735F08" w:rsidRDefault="00496BA7" w:rsidP="00AC0E3D">
                      <w:pPr>
                        <w:pStyle w:val="Hlistbullet"/>
                        <w:numPr>
                          <w:ilvl w:val="0"/>
                          <w:numId w:val="0"/>
                        </w:numPr>
                        <w:jc w:val="left"/>
                        <w:rPr>
                          <w:szCs w:val="16"/>
                        </w:rPr>
                      </w:pPr>
                      <w:r>
                        <w:rPr>
                          <w:b/>
                          <w:color w:val="F07E31" w:themeColor="accent1"/>
                        </w:rPr>
                        <w:t>1. korak:</w:t>
                      </w:r>
                      <w:r>
                        <w:t xml:space="preserve"> procjena </w:t>
                      </w:r>
                      <w:r>
                        <w:rPr>
                          <w:b/>
                        </w:rPr>
                        <w:t>izravnih učinaka PRR-a</w:t>
                      </w:r>
                      <w:r>
                        <w:t xml:space="preserve"> </w:t>
                      </w:r>
                      <w:r>
                        <w:rPr>
                          <w:b/>
                        </w:rPr>
                        <w:t>na korisnike na mikrorazini</w:t>
                      </w:r>
                      <w:r>
                        <w:t>:</w:t>
                      </w:r>
                    </w:p>
                    <w:p w:rsidR="00496BA7" w:rsidRPr="00553149" w:rsidRDefault="00496BA7" w:rsidP="00EC01C3">
                      <w:pPr>
                        <w:pStyle w:val="HStandard"/>
                        <w:numPr>
                          <w:ilvl w:val="1"/>
                          <w:numId w:val="13"/>
                        </w:numPr>
                        <w:spacing w:after="0"/>
                        <w:ind w:left="924" w:hanging="357"/>
                        <w:rPr>
                          <w:rFonts w:cs="Arial"/>
                          <w:szCs w:val="16"/>
                        </w:rPr>
                      </w:pPr>
                      <w:r>
                        <w:t>na mikrorazini se za skupinu korisnika i kontrolnu skupinu izračuna prosječna vrijednost zajedničkih i dodatnih pokazatelja učinka prije potpore (npr. 2013.) i nakon potpore (npr. u 2018. ili 2019.);</w:t>
                      </w:r>
                    </w:p>
                    <w:p w:rsidR="00496BA7" w:rsidRPr="00553149" w:rsidRDefault="00496BA7" w:rsidP="00EC01C3">
                      <w:pPr>
                        <w:pStyle w:val="HStandard"/>
                        <w:numPr>
                          <w:ilvl w:val="1"/>
                          <w:numId w:val="13"/>
                        </w:numPr>
                        <w:spacing w:after="0"/>
                        <w:ind w:left="924" w:hanging="357"/>
                        <w:rPr>
                          <w:rFonts w:cs="Arial"/>
                          <w:szCs w:val="16"/>
                        </w:rPr>
                      </w:pPr>
                      <w:r>
                        <w:t xml:space="preserve">izračunaju se posebni pokazatelji politike (npr. prosječni učinak tretmana na primatelje tretmana (ATT)), pri čemu se kao ishod uzimaju odgovarajući zajednički ili dodatni pokazatelji učinka. Kombinacijom izračunanog ATT-a i metode „razlika u razlikama” izračunaju se </w:t>
                      </w:r>
                      <w:r>
                        <w:rPr>
                          <w:b/>
                        </w:rPr>
                        <w:t>neto izravni učinci na prethodno navedene pokazatelje</w:t>
                      </w:r>
                      <w:r>
                        <w:t>;</w:t>
                      </w:r>
                    </w:p>
                    <w:p w:rsidR="00496BA7" w:rsidRPr="00553149" w:rsidRDefault="00496BA7" w:rsidP="00EC01C3">
                      <w:pPr>
                        <w:pStyle w:val="HStandard"/>
                        <w:numPr>
                          <w:ilvl w:val="1"/>
                          <w:numId w:val="13"/>
                        </w:numPr>
                        <w:spacing w:after="0"/>
                        <w:ind w:left="924" w:hanging="357"/>
                        <w:rPr>
                          <w:rFonts w:cs="Arial"/>
                          <w:szCs w:val="16"/>
                        </w:rPr>
                      </w:pPr>
                      <w:r>
                        <w:t>provede se analiza osjetljivosti dobivenih rezultata.</w:t>
                      </w:r>
                    </w:p>
                    <w:p w:rsidR="00496BA7" w:rsidRDefault="00496BA7" w:rsidP="00AC0E3D">
                      <w:pPr>
                        <w:pStyle w:val="Hlistbullet"/>
                        <w:numPr>
                          <w:ilvl w:val="0"/>
                          <w:numId w:val="0"/>
                        </w:numPr>
                        <w:spacing w:before="0" w:after="120" w:line="280" w:lineRule="atLeast"/>
                        <w:rPr>
                          <w:rFonts w:cs="Arial"/>
                          <w:szCs w:val="16"/>
                        </w:rPr>
                      </w:pPr>
                      <w:r>
                        <w:rPr>
                          <w:b/>
                          <w:color w:val="F07E31" w:themeColor="accent1"/>
                        </w:rPr>
                        <w:t xml:space="preserve">2. korak: </w:t>
                      </w:r>
                      <w:r>
                        <w:t xml:space="preserve">procjena </w:t>
                      </w:r>
                      <w:r>
                        <w:rPr>
                          <w:b/>
                        </w:rPr>
                        <w:t>neizravnih učinaka PRR-a</w:t>
                      </w:r>
                      <w:r>
                        <w:t xml:space="preserve"> </w:t>
                      </w:r>
                      <w:r>
                        <w:rPr>
                          <w:b/>
                        </w:rPr>
                        <w:t>na korisnike</w:t>
                      </w:r>
                      <w:r>
                        <w:t xml:space="preserve"> na</w:t>
                      </w:r>
                      <w:r>
                        <w:rPr>
                          <w:b/>
                        </w:rPr>
                        <w:t xml:space="preserve"> mikrorazini</w:t>
                      </w:r>
                      <w:r>
                        <w:t>. Uočenu promjenu vrijednosti pokazatelja ponovno bi trebalo razdijeliti na promjene nastale zbog programa (ukupan učinak primarnih i sekundarnih doprinosa) i promjene prouzročene drugim čimbenicima.</w:t>
                      </w:r>
                      <w:r>
                        <w:rPr>
                          <w:color w:val="auto"/>
                        </w:rPr>
                        <w:t xml:space="preserve"> </w:t>
                      </w:r>
                      <w:r>
                        <w:t xml:space="preserve">Neizravne učinke PRR-a (npr. učinke zamjene, učinke premještanja, multiplikacijske učinke) trebalo bi izračunati i prikazati zasebno. </w:t>
                      </w:r>
                    </w:p>
                    <w:p w:rsidR="00496BA7" w:rsidRPr="00027601" w:rsidRDefault="00496BA7"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mc:AlternateContent>
          <mc:Choice Requires="wps">
            <w:drawing>
              <wp:inline distT="0" distB="0" distL="0" distR="0" wp14:anchorId="470F4C74" wp14:editId="52AF0EB5">
                <wp:extent cx="5731510" cy="4465320"/>
                <wp:effectExtent l="0" t="0" r="21590" b="1143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46532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5945BB" w:rsidRDefault="00496BA7" w:rsidP="00AC0E3D">
                            <w:pPr>
                              <w:pStyle w:val="Hlistbullet"/>
                              <w:numPr>
                                <w:ilvl w:val="0"/>
                                <w:numId w:val="0"/>
                              </w:numPr>
                              <w:spacing w:before="0" w:after="120" w:line="280" w:lineRule="atLeast"/>
                              <w:rPr>
                                <w:rFonts w:cs="Arial"/>
                                <w:szCs w:val="16"/>
                              </w:rPr>
                            </w:pPr>
                            <w:r>
                              <w:rPr>
                                <w:b/>
                                <w:color w:val="F07E31" w:themeColor="accent1"/>
                              </w:rPr>
                              <w:t xml:space="preserve">3. korak: </w:t>
                            </w:r>
                            <w:r>
                              <w:t xml:space="preserve">izračun </w:t>
                            </w:r>
                            <w:r>
                              <w:rPr>
                                <w:b/>
                              </w:rPr>
                              <w:t>neizravnih učinaka na nekorisnike</w:t>
                            </w:r>
                            <w:r>
                              <w:t xml:space="preserve"> </w:t>
                            </w:r>
                            <w:r>
                              <w:rPr>
                                <w:b/>
                              </w:rPr>
                              <w:t>na mikrorazini</w:t>
                            </w:r>
                            <w:r>
                              <w:t xml:space="preserve">. Uočenu promjenu vrijednosti pokazatelja i ovdje bi trebalo razdijeliti na dvije komponente: promjene nastale zbog programa (ukupan učinak primarnih i sekundarnih doprinosa) i promjene prouzročene drugim čimbenicima. Ova se faza odnosi na očekivanje da potpora koju primaju korisnici mjera PRR-a može imati „očekivane/neočekivane” učinke opće ravnoteže (npr. negativne učinke na nekorisnike u bliskom susjedstvu korisnika programa). </w:t>
                            </w:r>
                          </w:p>
                          <w:p w:rsidR="00496BA7" w:rsidRPr="005945BB" w:rsidRDefault="00496BA7" w:rsidP="00AC0E3D">
                            <w:pPr>
                              <w:pStyle w:val="HStandard"/>
                              <w:rPr>
                                <w:rFonts w:cs="Arial"/>
                                <w:szCs w:val="16"/>
                              </w:rPr>
                            </w:pPr>
                            <w:r>
                              <w:t>U ovoj je fazi evaluacije ključno provesti prethodnu kvalitativnu procjenu jer može pružiti vrijedna gledišta upućenih osoba i dovesti do formuliranja važnih evaluacijskih pitanja specifičnih za pojedini program (EPPP) usmjerenih na uspješnost programa, posebno u pogledu njegovih pozitivnih, negativnih, namjeravanih i nenamjeravanih učinaka na nekorisnike. Upotreba EPPP-ova dobrovoljna je, ali ako je ijedno takvo pitanje formulirano, na njega bi trebalo odgovoriti. Za prethodnu analizu sinergija ili mogućih negativnih poprečnih učinaka evaluatori se mogu koristiti alatima za kvalitativnu procjenu.</w:t>
                            </w:r>
                          </w:p>
                          <w:p w:rsidR="00496BA7" w:rsidRPr="005945BB" w:rsidRDefault="00496BA7" w:rsidP="00AC0E3D">
                            <w:pPr>
                              <w:pStyle w:val="Hlistbullet"/>
                              <w:numPr>
                                <w:ilvl w:val="0"/>
                                <w:numId w:val="0"/>
                              </w:numPr>
                              <w:spacing w:before="0" w:after="120" w:line="280" w:lineRule="atLeast"/>
                              <w:rPr>
                                <w:rFonts w:cs="Arial"/>
                                <w:szCs w:val="16"/>
                              </w:rPr>
                            </w:pPr>
                            <w:r>
                              <w:rPr>
                                <w:b/>
                                <w:color w:val="F07E31" w:themeColor="accent1"/>
                              </w:rPr>
                              <w:t xml:space="preserve">4. korak: </w:t>
                            </w:r>
                            <w:r>
                              <w:rPr>
                                <w:b/>
                              </w:rPr>
                              <w:t>agregiranje rezultata te izračun učinaka PRR-a na analizirane pokazatelje učinka na makrorazini i na razini programskog područja.</w:t>
                            </w:r>
                            <w:r>
                              <w:t xml:space="preserve"> U ovom bi koraku evaluator trebao izračunati neto izravne učinke PRR-a na pokazatelje učinka na razini programskog područja primjenom tehnika ekstrapolacije (tj. množenjem prosječnih mikrorezultata izračunanih na mikrorazini brojem korisnika/nekorisnika).</w:t>
                            </w:r>
                          </w:p>
                          <w:p w:rsidR="00496BA7" w:rsidRPr="005945BB" w:rsidRDefault="00496BA7" w:rsidP="00AC0E3D">
                            <w:pPr>
                              <w:pStyle w:val="HStandard"/>
                              <w:rPr>
                                <w:color w:val="auto"/>
                                <w:szCs w:val="16"/>
                              </w:rPr>
                            </w:pPr>
                            <w:r>
                              <w:rPr>
                                <w:b/>
                                <w:color w:val="F07E31" w:themeColor="accent1"/>
                              </w:rPr>
                              <w:t xml:space="preserve">5. korak: </w:t>
                            </w:r>
                            <w:r>
                              <w:rPr>
                                <w:b/>
                              </w:rPr>
                              <w:t>primjena kvalitativnih metoda</w:t>
                            </w:r>
                            <w:r>
                              <w:t xml:space="preserve"> za provjeru i potvrđivanje dobivenih rezultata (triangulacija).</w:t>
                            </w:r>
                          </w:p>
                          <w:p w:rsidR="00496BA7" w:rsidRPr="005945BB" w:rsidRDefault="00496BA7" w:rsidP="00735F08">
                            <w:pPr>
                              <w:pStyle w:val="Hlistbullet"/>
                              <w:numPr>
                                <w:ilvl w:val="0"/>
                                <w:numId w:val="0"/>
                              </w:numPr>
                              <w:jc w:val="center"/>
                              <w:rPr>
                                <w:i/>
                                <w:color w:val="F07E31" w:themeColor="accent1"/>
                                <w:szCs w:val="18"/>
                              </w:rPr>
                            </w:pPr>
                            <w:r>
                              <w:rPr>
                                <w:i/>
                                <w:color w:val="F07E31" w:themeColor="accent1"/>
                              </w:rPr>
                              <w:t>Više informacija o utvrđivanju neto vrijednosti učinaka programa može se pronaći u</w:t>
                            </w:r>
                            <w:r>
                              <w:rPr>
                                <w:i/>
                                <w:color w:val="F07E31" w:themeColor="accent1"/>
                                <w:szCs w:val="18"/>
                              </w:rPr>
                              <w:br/>
                            </w:r>
                            <w:r>
                              <w:rPr>
                                <w:i/>
                                <w:color w:val="F07E31" w:themeColor="accent1"/>
                              </w:rPr>
                              <w:t xml:space="preserve"> </w:t>
                            </w:r>
                            <w:hyperlink r:id="rId47" w:history="1">
                              <w:r>
                                <w:rPr>
                                  <w:rStyle w:val="Hyperlink"/>
                                  <w:i/>
                                  <w:color w:val="F07E31" w:themeColor="accent1"/>
                                </w:rPr>
                                <w:t xml:space="preserve">Smjernicama za </w:t>
                              </w:r>
                              <w:r>
                                <w:rPr>
                                  <w:rStyle w:val="Hyperlink"/>
                                  <w:color w:val="F07E31" w:themeColor="accent1"/>
                                </w:rPr>
                                <w:t>ex post</w:t>
                              </w:r>
                              <w:r>
                                <w:rPr>
                                  <w:rStyle w:val="Hyperlink"/>
                                  <w:i/>
                                  <w:color w:val="F07E31" w:themeColor="accent1"/>
                                </w:rPr>
                                <w:t xml:space="preserve"> evaluaciju programa ruralnog razvoja za razdoblje 2007.–2013.</w:t>
                              </w:r>
                            </w:hyperlink>
                            <w:r>
                              <w:rPr>
                                <w:rStyle w:val="Hyperlink"/>
                                <w:i/>
                                <w:color w:val="F07E31" w:themeColor="accent1"/>
                              </w:rPr>
                              <w:t>, poglavlju 4,2., a o izračunu opće ravnoteže u poglavlju 4.3.3.</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39" style="width:451.3pt;height:351.6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147568;5396180,4465320;0,4465320;0,4465320;0,317752;335330,0" o:connectangles="0,0,0,0,0,0,0,0,0" textboxrect="0,0,5731510,4712335"/>
                <v:textbox>
                  <w:txbxContent>
                    <w:p w:rsidR="00496BA7" w:rsidRPr="005945BB" w:rsidRDefault="00496BA7" w:rsidP="00AC0E3D">
                      <w:pPr>
                        <w:pStyle w:val="Hlistbullet"/>
                        <w:numPr>
                          <w:ilvl w:val="0"/>
                          <w:numId w:val="0"/>
                        </w:numPr>
                        <w:spacing w:before="0" w:after="120" w:line="280" w:lineRule="atLeast"/>
                        <w:rPr>
                          <w:rFonts w:cs="Arial"/>
                          <w:szCs w:val="16"/>
                        </w:rPr>
                      </w:pPr>
                      <w:r>
                        <w:rPr>
                          <w:b/>
                          <w:color w:val="F07E31" w:themeColor="accent1"/>
                        </w:rPr>
                        <w:t xml:space="preserve">3. korak: </w:t>
                      </w:r>
                      <w:r>
                        <w:t xml:space="preserve">izračun </w:t>
                      </w:r>
                      <w:r>
                        <w:rPr>
                          <w:b/>
                        </w:rPr>
                        <w:t>neizravnih učinaka na nekorisnike</w:t>
                      </w:r>
                      <w:r>
                        <w:t xml:space="preserve"> </w:t>
                      </w:r>
                      <w:r>
                        <w:rPr>
                          <w:b/>
                        </w:rPr>
                        <w:t>na mikrorazini</w:t>
                      </w:r>
                      <w:r>
                        <w:t xml:space="preserve">. Uočenu promjenu vrijednosti pokazatelja i ovdje bi trebalo razdijeliti na dvije komponente: promjene nastale zbog programa (ukupan učinak primarnih i sekundarnih doprinosa) i promjene prouzročene drugim čimbenicima. Ova se faza odnosi na očekivanje da potpora koju primaju korisnici mjera PRR-a može imati „očekivane/neočekivane” učinke opće ravnoteže (npr. negativne učinke na nekorisnike u bliskom susjedstvu korisnika programa). </w:t>
                      </w:r>
                    </w:p>
                    <w:p w:rsidR="00496BA7" w:rsidRPr="005945BB" w:rsidRDefault="00496BA7" w:rsidP="00AC0E3D">
                      <w:pPr>
                        <w:pStyle w:val="HStandard"/>
                        <w:rPr>
                          <w:rFonts w:cs="Arial"/>
                          <w:szCs w:val="16"/>
                        </w:rPr>
                      </w:pPr>
                      <w:r>
                        <w:t>U ovoj je fazi evaluacije ključno provesti prethodnu kvalitativnu procjenu jer može pružiti vrijedna gledišta upućenih osoba i dovesti do formuliranja važnih evaluacijskih pitanja specifičnih za pojedini program (EPPP) usmjerenih na uspješnost programa, posebno u pogledu njegovih pozitivnih, negativnih, namjeravanih i nenamjeravanih učinaka na nekorisnike. Upotreba EPPP-ova dobrovoljna je, ali ako je ijedno takvo pitanje formulirano, na njega bi trebalo odgovoriti. Za prethodnu analizu sinergija ili mogućih negativnih poprečnih učinaka evaluatori se mogu koristiti alatima za kvalitativnu procjenu.</w:t>
                      </w:r>
                    </w:p>
                    <w:p w:rsidR="00496BA7" w:rsidRPr="005945BB" w:rsidRDefault="00496BA7" w:rsidP="00AC0E3D">
                      <w:pPr>
                        <w:pStyle w:val="Hlistbullet"/>
                        <w:numPr>
                          <w:ilvl w:val="0"/>
                          <w:numId w:val="0"/>
                        </w:numPr>
                        <w:spacing w:before="0" w:after="120" w:line="280" w:lineRule="atLeast"/>
                        <w:rPr>
                          <w:rFonts w:cs="Arial"/>
                          <w:szCs w:val="16"/>
                        </w:rPr>
                      </w:pPr>
                      <w:r>
                        <w:rPr>
                          <w:b/>
                          <w:color w:val="F07E31" w:themeColor="accent1"/>
                        </w:rPr>
                        <w:t xml:space="preserve">4. korak: </w:t>
                      </w:r>
                      <w:r>
                        <w:rPr>
                          <w:b/>
                        </w:rPr>
                        <w:t>agregiranje rezultata te izračun učinaka PRR-a na analizirane pokazatelje učinka na makrorazini i na razini programskog područja.</w:t>
                      </w:r>
                      <w:r>
                        <w:t xml:space="preserve"> U ovom bi koraku evaluator trebao izračunati neto izravne učinke PRR-a na pokazatelje učinka na razini programskog područja primjenom tehnika ekstrapolacije (tj. množenjem prosječnih mikrorezultata izračunanih na mikrorazini brojem korisnika/nekorisnika).</w:t>
                      </w:r>
                    </w:p>
                    <w:p w:rsidR="00496BA7" w:rsidRPr="005945BB" w:rsidRDefault="00496BA7" w:rsidP="00AC0E3D">
                      <w:pPr>
                        <w:pStyle w:val="HStandard"/>
                        <w:rPr>
                          <w:color w:val="auto"/>
                          <w:szCs w:val="16"/>
                        </w:rPr>
                      </w:pPr>
                      <w:r>
                        <w:rPr>
                          <w:b/>
                          <w:color w:val="F07E31" w:themeColor="accent1"/>
                        </w:rPr>
                        <w:t xml:space="preserve">5. korak: </w:t>
                      </w:r>
                      <w:r>
                        <w:rPr>
                          <w:b/>
                        </w:rPr>
                        <w:t>primjena kvalitativnih metoda</w:t>
                      </w:r>
                      <w:r>
                        <w:t xml:space="preserve"> za provjeru i potvrđivanje dobivenih rezultata (triangulacija).</w:t>
                      </w:r>
                    </w:p>
                    <w:p w:rsidR="00496BA7" w:rsidRPr="005945BB" w:rsidRDefault="00496BA7" w:rsidP="00735F08">
                      <w:pPr>
                        <w:pStyle w:val="Hlistbullet"/>
                        <w:numPr>
                          <w:ilvl w:val="0"/>
                          <w:numId w:val="0"/>
                        </w:numPr>
                        <w:jc w:val="center"/>
                        <w:rPr>
                          <w:i/>
                          <w:color w:val="F07E31" w:themeColor="accent1"/>
                          <w:szCs w:val="18"/>
                        </w:rPr>
                      </w:pPr>
                      <w:r>
                        <w:rPr>
                          <w:i/>
                          <w:color w:val="F07E31" w:themeColor="accent1"/>
                        </w:rPr>
                        <w:t>Više informacija o utvrđivanju neto vrijednosti učinaka programa može se pronaći u</w:t>
                      </w:r>
                      <w:r>
                        <w:rPr>
                          <w:i/>
                          <w:color w:val="F07E31" w:themeColor="accent1"/>
                          <w:szCs w:val="18"/>
                        </w:rPr>
                        <w:br/>
                      </w:r>
                      <w:r>
                        <w:rPr>
                          <w:i/>
                          <w:color w:val="F07E31" w:themeColor="accent1"/>
                        </w:rPr>
                        <w:t xml:space="preserve"> </w:t>
                      </w:r>
                      <w:hyperlink r:id="rId48" w:history="1">
                        <w:r>
                          <w:rPr>
                            <w:rStyle w:val="Hyperlink"/>
                            <w:i/>
                            <w:color w:val="F07E31" w:themeColor="accent1"/>
                          </w:rPr>
                          <w:t xml:space="preserve">Smjernicama za </w:t>
                        </w:r>
                        <w:r>
                          <w:rPr>
                            <w:rStyle w:val="Hyperlink"/>
                            <w:color w:val="F07E31" w:themeColor="accent1"/>
                          </w:rPr>
                          <w:t>ex post</w:t>
                        </w:r>
                        <w:r>
                          <w:rPr>
                            <w:rStyle w:val="Hyperlink"/>
                            <w:i/>
                            <w:color w:val="F07E31" w:themeColor="accent1"/>
                          </w:rPr>
                          <w:t xml:space="preserve"> evaluaciju programa ruralnog razvoja za razdoblje 2007.–2013.</w:t>
                        </w:r>
                      </w:hyperlink>
                      <w:r>
                        <w:rPr>
                          <w:rStyle w:val="Hyperlink"/>
                          <w:i/>
                          <w:color w:val="F07E31" w:themeColor="accent1"/>
                        </w:rPr>
                        <w:t>, poglavlju 4,2., a o izračunu opće ravnoteže u poglavlju 4.3.3.</w:t>
                      </w:r>
                    </w:p>
                  </w:txbxContent>
                </v:textbox>
                <w10:anchorlock/>
              </v:shape>
            </w:pict>
          </mc:Fallback>
        </mc:AlternateContent>
      </w:r>
      <w:r>
        <w:br w:type="column"/>
      </w:r>
      <w:r>
        <w:lastRenderedPageBreak/>
        <w:t>Provjera dosljednosti između rezultata na mikrorazini i makrorazini i potvrda valjanosti rezultata (četvrta faza modela)</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3BA9EE62" wp14:editId="012AF5C7">
                <wp:extent cx="5731510" cy="1221740"/>
                <wp:effectExtent l="19050" t="1905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2174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044269" w:rsidRDefault="00496BA7"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Za procjenu neto učinka</w:t>
                            </w:r>
                            <w:r>
                              <w:rPr>
                                <w:b w:val="0"/>
                                <w:color w:val="373737" w:themeColor="text1"/>
                              </w:rPr>
                              <w:t xml:space="preserve"> važno je provjeriti dosljednost rezultata dobivenih procjenom na mikrorazini i makrorazini kako bi se potvrdila njihova valjanost. Utvrđuje se da dosljednost postoji kada nalazi dobiveni na objema razinama nisu međusobno proturječni.</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0" style="width:451.3pt;height:96.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496BA7" w:rsidRPr="00044269" w:rsidRDefault="00496BA7"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Za procjenu neto učinka</w:t>
                      </w:r>
                      <w:r>
                        <w:rPr>
                          <w:b w:val="0"/>
                          <w:color w:val="373737" w:themeColor="text1"/>
                        </w:rPr>
                        <w:t xml:space="preserve"> važno je provjeriti dosljednost rezultata dobivenih procjenom na mikrorazini i makrorazini kako bi se potvrdila njihova valjanost. Utvrđuje se da dosljednost postoji kada nalazi dobiveni na objema razinama nisu međusobno proturječni.</w:t>
                      </w:r>
                    </w:p>
                  </w:txbxContent>
                </v:textbox>
                <w10:anchorlock/>
              </v:shape>
            </w:pict>
          </mc:Fallback>
        </mc:AlternateContent>
      </w:r>
      <w:r>
        <w:t xml:space="preserve">U slučaju kvantitativne evaluacije „odozdo prema gore”, dosljednost se osigurava ekstrapolacijom podataka s mikrorazine na makrorazinu.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Kad je riječ o </w:t>
      </w:r>
      <w:r>
        <w:rPr>
          <w:i/>
          <w:color w:val="373737" w:themeColor="text1"/>
          <w:sz w:val="20"/>
        </w:rPr>
        <w:t>izravnim</w:t>
      </w:r>
      <w:r>
        <w:rPr>
          <w:color w:val="373737" w:themeColor="text1"/>
          <w:sz w:val="20"/>
        </w:rPr>
        <w:t xml:space="preserve"> učincima programa na jedinice kojima je dodijeljena potpora, neto izravni učinci programa izračunani primjenom </w:t>
      </w:r>
      <w:r>
        <w:rPr>
          <w:b/>
          <w:color w:val="373737" w:themeColor="text1"/>
          <w:sz w:val="20"/>
        </w:rPr>
        <w:t>pokazatelja rezultata</w:t>
      </w:r>
      <w:r>
        <w:rPr>
          <w:color w:val="373737" w:themeColor="text1"/>
          <w:sz w:val="20"/>
        </w:rPr>
        <w:t xml:space="preserve"> trebali bi u načelu biti dosljedni s neto učincima programa izračunanima primjenom pokazatelja </w:t>
      </w:r>
      <w:r>
        <w:rPr>
          <w:b/>
          <w:color w:val="373737" w:themeColor="text1"/>
          <w:sz w:val="20"/>
        </w:rPr>
        <w:t>učinka</w:t>
      </w:r>
      <w:r>
        <w:rPr>
          <w:color w:val="373737" w:themeColor="text1"/>
          <w:sz w:val="20"/>
        </w:rPr>
        <w:t xml:space="preserve"> te slijediti isti trend. Međutim, ovisno o veličini i smjeru neizravnih učinaka, rezultati na makrorazini mogu u načelu pokazivati i smjer učinka suprotan smjeru učinaka na mikrorazini. U tim je slučajevima suprotne smjerove učinaka potrebno objasniti s pomoću dokaza o uzročno-posljedičnoj vezi s neizravnim učincima i/ili kvantificiranih dokaza o njima. Za provjeru dosljednosti rezultata dobivenih na mikrorazini i makrorazini potrebno je dobro razumjeti ključne čimbenike koji utječu na svaki pokazatelj.</w:t>
      </w:r>
    </w:p>
    <w:p w:rsidR="00FC012D" w:rsidRPr="001C6ACF" w:rsidRDefault="00FC012D" w:rsidP="00FC012D">
      <w:pPr>
        <w:pStyle w:val="HStandard"/>
        <w:rPr>
          <w:rFonts w:cs="Arial"/>
        </w:rPr>
      </w:pPr>
      <w:r>
        <w:t xml:space="preserve">Kad je riječ o </w:t>
      </w:r>
      <w:r>
        <w:rPr>
          <w:i/>
        </w:rPr>
        <w:t>neizravnim učincima</w:t>
      </w:r>
      <w:r>
        <w:t xml:space="preserve"> na poljoprivredna gospodarstva kojima je dodijeljena potpora i na ona kojima nije dodijeljena potpora, mikroekonomski nalazi nakon agregiranja mogu samo približno odgovarati razmjerima svih mogućih neizravnih učinaka PRR-a (uključujući one izračunane sektorskim modelima). Glavni je razlog za to činjenica da je teško izraditi modele za </w:t>
      </w:r>
      <w:r>
        <w:rPr>
          <w:b/>
        </w:rPr>
        <w:t xml:space="preserve">sve </w:t>
      </w:r>
      <w:r>
        <w:t xml:space="preserve">moguće neizravne učinke s kojima su se „barem teorijski” mogle suočiti jedinice kojima je potpora dodijeljena i one kojima nije. </w:t>
      </w:r>
    </w:p>
    <w:p w:rsidR="00FC012D" w:rsidRPr="00571D58" w:rsidRDefault="00FC012D" w:rsidP="00FC012D">
      <w:pPr>
        <w:pStyle w:val="HStandard"/>
        <w:rPr>
          <w:rFonts w:cs="Arial"/>
        </w:rPr>
      </w:pPr>
      <w:r>
        <w:t>Evaluacija „odozdo prema gore” koja se temelji na agregiranju podataka iz različitih izvora s različitim parametrima i terminologijom može prouzročiti nejasnoće. Jedan je od glavnih izazova pri provjeri dosljednosti za mikrorazinu i makrorazinu odrediti uzročno-posljedičnu vezu između promjena i učinaka izmjerenih na razini poljoprivrednog gospodarstva ili zemljišne čestice i promjena i učinaka izvan granica poljoprivrednog gospodarstva (npr. na razini NUTS 3 i razini programa).</w:t>
      </w:r>
      <w:r>
        <w:rPr>
          <w:color w:val="373737"/>
        </w:rPr>
        <w:t xml:space="preserve"> U tom je kontekstu važno da se pri izboru jedinica analize i ljestvica koje će se primjenjivati vodi računa o tome u kojem će se opsegu i na kojoj razini učinci vjerojatno pojaviti. Ako se primjenjuju samo utvrđene administrativne granice, rezultati mogu biti narušeni. </w:t>
      </w:r>
      <w:r>
        <w:t>Mogu se uložiti određeni trud da se metode uzorkovanja primjenjuju na dosljedan način na razini polja, poljoprivrednog gospodarstva i krajobraza kako bi se uzele u obzir razne vrste taksonomije koje se ispituju te interakcije među varijablama kojima se opisuju klima, topografija, upotreba zemljišta te društveno-gospodarski i pedološki uvjeti</w:t>
      </w:r>
      <w:r>
        <w:rPr>
          <w:rStyle w:val="FootnoteReference"/>
        </w:rPr>
        <w:footnoteReference w:id="29"/>
      </w:r>
      <w:r>
        <w:t>. Pristup „odozdo prema gore” u kojem se istraživanje provodi na razini zemljišne čestice ili polja omogućuje da se rezultati dobiju prikupljanjem podataka iz istraživanja specifičnih za određene lokacije u skladu s protokolom pokusa te da se ekstrapoliraju s mikrorazine na makrorazinu s pomoću geografskog informacijskog sustava (GIS), satelitskih snimaka ili prostornih analiza</w:t>
      </w:r>
      <w:r>
        <w:rPr>
          <w:rStyle w:val="FootnoteReference"/>
        </w:rPr>
        <w:footnoteReference w:id="30"/>
      </w:r>
      <w:r>
        <w:t>.</w:t>
      </w:r>
    </w:p>
    <w:p w:rsidR="00FC012D" w:rsidRPr="00571D58" w:rsidRDefault="00535279" w:rsidP="00FC012D">
      <w:pPr>
        <w:pStyle w:val="HStandard"/>
        <w:rPr>
          <w:rFonts w:cs="Arial"/>
        </w:rPr>
      </w:pPr>
      <w:r>
        <w:br w:type="column"/>
      </w:r>
      <w:bookmarkStart w:id="0" w:name="_GoBack"/>
      <w:r>
        <w:rPr>
          <w:noProof/>
          <w:lang w:val="en-GB" w:eastAsia="en-GB" w:bidi="ar-SA"/>
        </w:rPr>
        <w:lastRenderedPageBreak/>
        <mc:AlternateContent>
          <mc:Choice Requires="wps">
            <w:drawing>
              <wp:anchor distT="0" distB="0" distL="114300" distR="114300" simplePos="0" relativeHeight="251673088" behindDoc="0" locked="0" layoutInCell="1" allowOverlap="1" wp14:anchorId="68239467" wp14:editId="631007A2">
                <wp:simplePos x="0" y="0"/>
                <wp:positionH relativeFrom="column">
                  <wp:posOffset>-121920</wp:posOffset>
                </wp:positionH>
                <wp:positionV relativeFrom="paragraph">
                  <wp:posOffset>198120</wp:posOffset>
                </wp:positionV>
                <wp:extent cx="6038850" cy="4495800"/>
                <wp:effectExtent l="0" t="0" r="19050"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49580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1EFA0" id="Rectangle: Diagonal Corners Rounded 15" o:spid="_x0000_s1026" style="position:absolute;margin-left:-9.6pt;margin-top:15.6pt;width:475.5pt;height:3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49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" path="m368790,l6038850,r,l6038850,4127010v,203677,-165113,368790,-368790,368790l,4495800r,l,368790c,165113,165113,,368790,xe" filled="f" strokecolor="#be4a35 [3205]" strokeweight="2pt">
                <v:path arrowok="t" o:connecttype="custom" o:connectlocs="368790,0;6038850,0;6038850,0;6038850,4127010;5670060,4495800;0,4495800;0,4495800;0,368790;368790,0" o:connectangles="0,0,0,0,0,0,0,0,0"/>
              </v:shape>
            </w:pict>
          </mc:Fallback>
        </mc:AlternateConten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FC012D" w:rsidP="00EC01C3">
            <w:pPr>
              <w:pStyle w:val="HHeading4"/>
              <w:jc w:val="both"/>
              <w:rPr>
                <w:rFonts w:cs="Arial"/>
              </w:rPr>
            </w:pPr>
            <w:r>
              <w:rPr>
                <w:noProof/>
                <w:color w:val="373737"/>
                <w:lang w:val="en-GB" w:eastAsia="en-GB"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KRATKI VODIČ br. 5: Kako najbolje iskoristiti kvalitativne pristupe?</w:t>
            </w:r>
          </w:p>
        </w:tc>
      </w:tr>
    </w:tbl>
    <w:p w:rsidR="00696B10" w:rsidRDefault="00696B10" w:rsidP="00EC01C3">
      <w:pPr>
        <w:pStyle w:val="HStandard"/>
        <w:spacing w:after="0"/>
        <w:ind w:left="709" w:hanging="709"/>
        <w:rPr>
          <w:rFonts w:cs="Arial"/>
          <w:sz w:val="18"/>
          <w:szCs w:val="18"/>
        </w:rPr>
      </w:pPr>
      <w:r>
        <w:rPr>
          <w:b/>
          <w:sz w:val="18"/>
        </w:rPr>
        <w:t>Kvalitativni pristupi</w:t>
      </w:r>
      <w:r>
        <w:rPr>
          <w:sz w:val="18"/>
        </w:rPr>
        <w:t xml:space="preserve"> mogu se primijeniti s trostrukim ciljem:</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kao alternativa</w:t>
      </w:r>
      <w:r>
        <w:rPr>
          <w:rFonts w:ascii="Arial" w:hAnsi="Arial"/>
          <w:color w:val="373737" w:themeColor="text1"/>
          <w:sz w:val="18"/>
        </w:rPr>
        <w:t xml:space="preserve"> </w:t>
      </w:r>
      <w:r>
        <w:rPr>
          <w:rFonts w:ascii="Arial" w:hAnsi="Arial"/>
          <w:b/>
          <w:color w:val="373737" w:themeColor="text1"/>
          <w:sz w:val="18"/>
        </w:rPr>
        <w:t>kvantitativnim metodama</w:t>
      </w:r>
      <w:r>
        <w:rPr>
          <w:rFonts w:ascii="Arial" w:hAnsi="Arial"/>
          <w:color w:val="373737" w:themeColor="text1"/>
          <w:sz w:val="18"/>
        </w:rPr>
        <w:t xml:space="preserve"> u slučaju nedostatka podataka. Na primjer, kvalitativna evaluacija utemeljena na teoriji (EUT) može se primijeniti kako bi se pokazalo kako će i zašto program djelovati te zašto se očekuje da će donijeti željene rezultate. EUT slijedi sve korake logike intervencije programa kojom se utvrđuju uzročno-posljedične veze i mehanizmi promjene te dolazi do rezultata i učinaka. Različite veze u logici intervencije mogu se analizirati raznim metodama. U ovim se smjernicama predlažu fokusne skupine (to jest metoda MAPP) ili razgovori s dionicima/stručnjacima;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kao dopuna kvantitativnoj evaluaciji s protučinjeničnim scenarijem</w:t>
      </w:r>
      <w:r>
        <w:rPr>
          <w:rFonts w:ascii="Arial" w:hAnsi="Arial"/>
          <w:color w:val="373737" w:themeColor="text1"/>
          <w:sz w:val="18"/>
        </w:rPr>
        <w:t xml:space="preserve"> kako bi se bolje utvrdili načini i razlozi nastanka učinaka. Treba napomenuti da se EUT-om ne može ispitati „neto učinak” (tj. </w:t>
      </w:r>
      <w:r w:rsidR="00C15E30">
        <w:rPr>
          <w:rFonts w:ascii="Arial" w:hAnsi="Arial"/>
          <w:color w:val="373737" w:themeColor="text1"/>
          <w:sz w:val="18"/>
        </w:rPr>
        <w:t>M</w:t>
      </w:r>
      <w:r>
        <w:rPr>
          <w:rFonts w:ascii="Arial" w:hAnsi="Arial"/>
          <w:color w:val="373737" w:themeColor="text1"/>
          <w:sz w:val="18"/>
        </w:rPr>
        <w:t>jera u kojoj se promjena uočena na programskom području može pripisati programu) niti se može razaznati što su učinci programa, a što doprinos ostalih čimbenika;</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kao dio triangulacije</w:t>
      </w:r>
      <w:r>
        <w:rPr>
          <w:rFonts w:ascii="Arial" w:hAnsi="Arial"/>
          <w:color w:val="373737" w:themeColor="text1"/>
          <w:sz w:val="18"/>
        </w:rPr>
        <w:t xml:space="preserve"> za potvrđivanje valjanosti nalaza dobivenih kvantitativnim metodama.</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Više informacija o evaluaciji utemeljenoj na teoriji može se pronaći u „</w:t>
      </w:r>
      <w:hyperlink r:id="rId49">
        <w:r>
          <w:rPr>
            <w:rStyle w:val="Hyperlink"/>
            <w:i/>
            <w:sz w:val="18"/>
          </w:rPr>
          <w:t>Potpora ulaganjima u okviru politike ruralnog razvoja”</w:t>
        </w:r>
      </w:hyperlink>
      <w:r>
        <w:rPr>
          <w:i/>
          <w:color w:val="F07E31" w:themeColor="accent1"/>
          <w:sz w:val="18"/>
        </w:rPr>
        <w:t xml:space="preserve">, poglavlje 3.3.4. (EK, 2014.), a o tome kako se kvalitativne metode mogu upotrijebiti za prikupljanje kvantitativnih podataka u </w:t>
      </w:r>
      <w:hyperlink r:id="rId50" w:anchor="v=onepage&amp;amp;q=distinguishing%20between%20types%20of%20data%20and%20methods%20of%20collecting%20them%2C&amp;amp;f=false">
        <w:r>
          <w:rPr>
            <w:rStyle w:val="Hyperlink"/>
            <w:sz w:val="18"/>
          </w:rPr>
          <w:t xml:space="preserve">Distinguishing Between Types of </w:t>
        </w:r>
        <w:r w:rsidR="00C15E30">
          <w:rPr>
            <w:rStyle w:val="Hyperlink"/>
            <w:sz w:val="18"/>
          </w:rPr>
          <w:t>Dana</w:t>
        </w:r>
        <w:r>
          <w:rPr>
            <w:rStyle w:val="Hyperlink"/>
            <w:sz w:val="18"/>
          </w:rPr>
          <w:t xml:space="preserve"> and Methods of Collecting Them</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Pregled preporučenih pristupa evaluaciji za procjenu pokazatelja učinka ZPP-a</w:t>
      </w:r>
    </w:p>
    <w:p w:rsidR="00186FCF" w:rsidRPr="00336531" w:rsidRDefault="00186FCF" w:rsidP="00186FCF">
      <w:pPr>
        <w:pStyle w:val="HStandard"/>
        <w:rPr>
          <w:rFonts w:cs="Arial"/>
        </w:rPr>
      </w:pPr>
      <w:r>
        <w:t xml:space="preserve">U programskom razdoblju 2014.–2020. </w:t>
      </w:r>
      <w:r w:rsidR="00C15E30">
        <w:t>P</w:t>
      </w:r>
      <w:r>
        <w:t>rocjena učinaka PRR-a prvi će se put provesti 2019., u vrijeme kada bi nedostaci u podacima i dalje mogli biti problem za razne PRR-ove zbog slabog/kasnog prihvaćanja određenih mjera ili nedostatka statističkih podataka za evaluaciju. S obzirom na to da nedostaci u podacima uvelike otežavaju promatranje učinaka PRR-a, u ovim se Smjernicama predlažu barem dva različita pristupa za izračun svakog od zajedničkih pokazatelja učinka stupa II. ZPP-a:</w:t>
      </w:r>
    </w:p>
    <w:p w:rsidR="00186FCF" w:rsidRPr="00FB6C06" w:rsidRDefault="00186FCF" w:rsidP="00C42303">
      <w:pPr>
        <w:pStyle w:val="Hlistbullet"/>
      </w:pPr>
      <w:r>
        <w:rPr>
          <w:b/>
        </w:rPr>
        <w:t xml:space="preserve">pristup A </w:t>
      </w:r>
      <w:r>
        <w:t xml:space="preserve">primjer je </w:t>
      </w:r>
      <w:r>
        <w:rPr>
          <w:b/>
        </w:rPr>
        <w:t xml:space="preserve">pristupa evaluaciji u situaciji kada je raspoloživost podataka optimalna. </w:t>
      </w:r>
      <w:r>
        <w:t xml:space="preserve">Može se primijeniti 2019. i/ili bi ga trebalo planirati primijeniti za </w:t>
      </w:r>
      <w:r>
        <w:rPr>
          <w:i/>
        </w:rPr>
        <w:t>ex post</w:t>
      </w:r>
      <w:r>
        <w:t xml:space="preserve"> evaluaciju. Pristup A napredniji je od pristupa B, a i stroži je </w:t>
      </w:r>
    </w:p>
    <w:p w:rsidR="00186FCF" w:rsidRPr="001C6ACF" w:rsidRDefault="00186FCF" w:rsidP="00C42303">
      <w:pPr>
        <w:pStyle w:val="Hlistbullet"/>
      </w:pPr>
      <w:r>
        <w:rPr>
          <w:b/>
        </w:rPr>
        <w:t xml:space="preserve">pristup B </w:t>
      </w:r>
      <w:r>
        <w:t>primjer je</w:t>
      </w:r>
      <w:r>
        <w:rPr>
          <w:b/>
        </w:rPr>
        <w:t xml:space="preserve"> alternativnog pristupa evaluaciji u slučaju nedostataka u podacima </w:t>
      </w:r>
      <w:r>
        <w:t xml:space="preserve">(npr. prouzročenih sporim iskorištavanjem programa, zbog čega nije moguće promatrati učinke PRR-a) ili ako drugi čimbenici (resursi, vrijeme, vještine) sprečavaju primjenu naprednijeg pristupa. Pristup B u nekoliko slučajeva sadržava kvalitativnu komponentu. </w:t>
      </w:r>
    </w:p>
    <w:p w:rsidR="00186FCF" w:rsidRPr="00336531" w:rsidRDefault="00CB3881" w:rsidP="00186FCF">
      <w:pPr>
        <w:pStyle w:val="HStandard"/>
        <w:rPr>
          <w:rFonts w:cs="Arial"/>
        </w:rPr>
      </w:pPr>
      <w:r>
        <w:rPr>
          <w:b/>
        </w:rPr>
        <w:t>Oba pristupa, i A i B, u skladu su s evaluacijskim normama</w:t>
      </w:r>
      <w:r>
        <w:t>. Pristup A definira se kao pristup kojim se osiguravaju najp</w:t>
      </w:r>
      <w:r w:rsidR="006547A0">
        <w:t>s</w:t>
      </w:r>
      <w:r>
        <w:t xml:space="preserve">ouzdaniji rezultati evaluacije u situaciji kada je raspoloživost podataka idealna. S obzirom na situaciju u pogledu podataka 2019., priznaje se da za mnoge PRR-ove pristup A možda ipak neće biti najpraktičniji (vidjeti: tablice o prikladnosti predloženih pristupa evaluaciji u poglavljima od 4.1. do 4.7. Tehničkog priloga). Dodatni primjeri evaluacijskih metoda navedeni su na odgovarajućim slikama logičkog modela za svaki pokazatelj učinka. </w:t>
      </w:r>
    </w:p>
    <w:p w:rsidR="0095652F" w:rsidRPr="001C6ACF" w:rsidRDefault="008F39E9" w:rsidP="00C15E30">
      <w:pPr>
        <w:pStyle w:val="HHeadingtables"/>
        <w:numPr>
          <w:ilvl w:val="0"/>
          <w:numId w:val="0"/>
        </w:numPr>
      </w:pPr>
      <w:r>
        <w:br w:type="column"/>
      </w:r>
      <w:r w:rsidR="00C15E30">
        <w:lastRenderedPageBreak/>
        <w:t xml:space="preserve">Tablica </w:t>
      </w:r>
      <w:r w:rsidR="006547A0">
        <w:t>3</w:t>
      </w:r>
      <w:r w:rsidR="00C15E30">
        <w:t xml:space="preserve">. </w:t>
      </w:r>
      <w:r w:rsidR="00C15E30">
        <w:tab/>
      </w:r>
      <w:r>
        <w:t xml:space="preserve">Primjeri preporučenih pristupa evaluaciji za procjenu pokazatelja učinka ZPP-a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03"/>
        <w:gridCol w:w="1598"/>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Oznaka</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Pokazatelj</w:t>
            </w:r>
          </w:p>
        </w:tc>
        <w:tc>
          <w:tcPr>
            <w:tcW w:w="340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Pristup A</w:t>
            </w:r>
            <w:r>
              <w:rPr>
                <w:color w:val="FFFFFF" w:themeColor="background1"/>
              </w:rPr>
              <w:t xml:space="preserve"> </w:t>
            </w:r>
            <w:r>
              <w:rPr>
                <w:color w:val="FFFFFF" w:themeColor="background1"/>
                <w:sz w:val="16"/>
              </w:rPr>
              <w:br/>
              <w:t>Primjer pristupa u situaciji kada je raspoloživost podataka optimalna</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Pristup B</w:t>
            </w:r>
            <w:r>
              <w:rPr>
                <w:color w:val="FFFFFF" w:themeColor="background1"/>
              </w:rPr>
              <w:t xml:space="preserve"> </w:t>
            </w:r>
            <w:r>
              <w:rPr>
                <w:color w:val="FFFFFF" w:themeColor="background1"/>
              </w:rPr>
              <w:br/>
            </w:r>
            <w:r>
              <w:rPr>
                <w:color w:val="FFFFFF" w:themeColor="background1"/>
                <w:sz w:val="16"/>
              </w:rPr>
              <w:t>Primjer alternativnog pristupa u slučaju nedostataka u podacima</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Mikrorazina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Makrorazina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Mikrorazina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Makrorazina</w:t>
            </w:r>
          </w:p>
        </w:tc>
      </w:tr>
      <w:tr w:rsidR="00515FD4" w:rsidRPr="001C6ACF" w:rsidTr="00670F92">
        <w:trPr>
          <w:trHeight w:val="255"/>
        </w:trPr>
        <w:tc>
          <w:tcPr>
            <w:tcW w:w="9209" w:type="dxa"/>
            <w:gridSpan w:val="7"/>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Sektorski učinci</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57F8A6D1" wp14:editId="79248C0B">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Poljoprivredni poduzetnički prihod</w:t>
            </w:r>
          </w:p>
        </w:tc>
        <w:tc>
          <w:tcPr>
            <w:tcW w:w="1701" w:type="dxa"/>
            <w:gridSpan w:val="2"/>
            <w:vMerge w:val="restart"/>
            <w:vAlign w:val="center"/>
            <w:hideMark/>
          </w:tcPr>
          <w:p w:rsidR="00515FD4" w:rsidRPr="001C6ACF" w:rsidRDefault="00515FD4" w:rsidP="007008C0">
            <w:pPr>
              <w:pStyle w:val="HStandard"/>
              <w:spacing w:after="0" w:line="240" w:lineRule="auto"/>
              <w:jc w:val="center"/>
              <w:rPr>
                <w:sz w:val="16"/>
                <w:szCs w:val="18"/>
              </w:rPr>
            </w:pPr>
            <w:r>
              <w:rPr>
                <w:sz w:val="16"/>
              </w:rPr>
              <w:t>Kombinacija metode uparivanja prema vjerojatnosti sklonosti i metode „razlika u razlikama”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Pristupi „odozdo prema gore” s ekstrapolacijom nalaza s mikrorazine </w:t>
            </w:r>
            <w:r>
              <w:rPr>
                <w:sz w:val="16"/>
                <w:szCs w:val="18"/>
              </w:rPr>
              <w:br/>
            </w:r>
            <w:r>
              <w:rPr>
                <w:sz w:val="16"/>
                <w:szCs w:val="18"/>
              </w:rPr>
              <w:br/>
            </w:r>
            <w:r>
              <w:rPr>
                <w:sz w:val="16"/>
              </w:rPr>
              <w:t>Primjena sektorskog modela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Analiza regresije diskontinuiteta (RDD)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Pristupi „odozdo prema gore” s ekstrapolacijom nalaza s mikrorazine</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0A1D8653" wp14:editId="29B6C917">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Poljoprivredni faktorski prihod</w:t>
            </w:r>
          </w:p>
        </w:tc>
        <w:tc>
          <w:tcPr>
            <w:tcW w:w="1701" w:type="dxa"/>
            <w:gridSpan w:val="2"/>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644D2DE7" wp14:editId="7FE6D9BF">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Ukupna faktorska produktivnost u poljoprivredi</w:t>
            </w:r>
          </w:p>
        </w:tc>
        <w:tc>
          <w:tcPr>
            <w:tcW w:w="1701" w:type="dxa"/>
            <w:gridSpan w:val="2"/>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7"/>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Učinci na okoliš</w:t>
            </w:r>
          </w:p>
        </w:tc>
      </w:tr>
      <w:tr w:rsidR="00515FD4" w:rsidRPr="001C6ACF" w:rsidTr="002F4727">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563C64A1" wp14:editId="65ED5212">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520" w:type="dxa"/>
            <w:gridSpan w:val="2"/>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Emisije iz poljoprivrede </w:t>
            </w:r>
          </w:p>
        </w:tc>
        <w:tc>
          <w:tcPr>
            <w:tcW w:w="1598" w:type="dxa"/>
            <w:vAlign w:val="center"/>
            <w:hideMark/>
          </w:tcPr>
          <w:p w:rsidR="00515FD4" w:rsidRPr="007645B4" w:rsidRDefault="00BB68D4" w:rsidP="007008C0">
            <w:pPr>
              <w:pStyle w:val="HStandard"/>
              <w:spacing w:line="240" w:lineRule="auto"/>
              <w:jc w:val="center"/>
              <w:rPr>
                <w:rFonts w:cs="Arial"/>
                <w:sz w:val="16"/>
                <w:szCs w:val="18"/>
              </w:rPr>
            </w:pPr>
            <w:r>
              <w:rPr>
                <w:sz w:val="16"/>
              </w:rPr>
              <w:t>Regresijske tehnike i tehnike uparivanja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Opća metoda uparivanja prema vjerojatnosti sklonosti (GPSM) u kojoj se upotrebljavaju NUTS 3 ili drugi prostorni podaci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Nema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Jednostavne osnovne </w:t>
            </w:r>
            <w:r>
              <w:rPr>
                <w:rFonts w:cs="Arial"/>
                <w:sz w:val="16"/>
                <w:szCs w:val="18"/>
              </w:rPr>
              <w:br/>
            </w:r>
            <w:r>
              <w:rPr>
                <w:sz w:val="16"/>
              </w:rPr>
              <w:t>usporedbe (uključujući kvalitativne metode)</w:t>
            </w:r>
          </w:p>
        </w:tc>
      </w:tr>
      <w:tr w:rsidR="00515FD4" w:rsidRPr="001C6ACF" w:rsidTr="002F4727">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5C7277B8" wp14:editId="2E67BF5D">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520" w:type="dxa"/>
            <w:gridSpan w:val="2"/>
            <w:tcBorders>
              <w:left w:val="nil"/>
            </w:tcBorders>
            <w:vAlign w:val="center"/>
            <w:hideMark/>
          </w:tcPr>
          <w:p w:rsidR="00515FD4" w:rsidRPr="00FB6C06" w:rsidRDefault="002F4727" w:rsidP="002F4727">
            <w:pPr>
              <w:pStyle w:val="HStandard"/>
              <w:jc w:val="left"/>
              <w:rPr>
                <w:rFonts w:cs="Arial"/>
                <w:b/>
                <w:color w:val="57825E" w:themeColor="accent4"/>
                <w:sz w:val="16"/>
                <w:szCs w:val="18"/>
              </w:rPr>
            </w:pPr>
            <w:r>
              <w:rPr>
                <w:b/>
                <w:color w:val="57825E" w:themeColor="accent4"/>
                <w:sz w:val="16"/>
              </w:rPr>
              <w:t>Popis</w:t>
            </w:r>
            <w:r w:rsidR="00515FD4">
              <w:rPr>
                <w:b/>
                <w:color w:val="57825E" w:themeColor="accent4"/>
                <w:sz w:val="16"/>
              </w:rPr>
              <w:t xml:space="preserve"> ptica </w:t>
            </w:r>
            <w:r>
              <w:rPr>
                <w:b/>
                <w:color w:val="57825E" w:themeColor="accent4"/>
                <w:sz w:val="16"/>
              </w:rPr>
              <w:t>povezanih s poljoprivrednim</w:t>
            </w:r>
            <w:r w:rsidR="00515FD4">
              <w:rPr>
                <w:b/>
                <w:color w:val="57825E" w:themeColor="accent4"/>
                <w:sz w:val="16"/>
              </w:rPr>
              <w:t xml:space="preserve"> </w:t>
            </w:r>
            <w:r>
              <w:rPr>
                <w:b/>
                <w:color w:val="57825E" w:themeColor="accent4"/>
                <w:sz w:val="16"/>
              </w:rPr>
              <w:t>površinama</w:t>
            </w:r>
          </w:p>
        </w:tc>
        <w:tc>
          <w:tcPr>
            <w:tcW w:w="1598"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Uparivanje prema vjerojatnosti sklonosti (PSM) i metoda „razlika u razlikama”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Uparivanje prema vjerojatnosti sklonosti (PSM) i metoda „razlika u razlikama” (DiD)</w:t>
            </w:r>
          </w:p>
          <w:p w:rsidR="00515FD4" w:rsidRPr="001C6ACF" w:rsidRDefault="00515FD4" w:rsidP="007008C0">
            <w:pPr>
              <w:pStyle w:val="HStandard"/>
              <w:spacing w:line="240" w:lineRule="auto"/>
              <w:jc w:val="center"/>
              <w:rPr>
                <w:rFonts w:cs="Arial"/>
                <w:sz w:val="16"/>
                <w:szCs w:val="18"/>
              </w:rPr>
            </w:pPr>
            <w:r>
              <w:rPr>
                <w:sz w:val="16"/>
              </w:rPr>
              <w:t>Prostorni ekonometrijski modeli za biogeografska područja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Statistička analiza </w:t>
            </w:r>
            <w:r>
              <w:rPr>
                <w:i/>
                <w:sz w:val="16"/>
              </w:rPr>
              <w:t>ad hoc</w:t>
            </w:r>
            <w:r>
              <w:rPr>
                <w:sz w:val="16"/>
              </w:rPr>
              <w:t xml:space="preserve"> usporedbi u parovima ili većeg broja skupina za usporedbu primjenom metode DiD</w:t>
            </w:r>
            <w:r>
              <w:rPr>
                <w:color w:val="373737"/>
                <w:sz w:val="16"/>
              </w:rPr>
              <w:t xml:space="preserve"> popraćene kvalitativnim procjenama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Pristupi „odozdo prema gore” s ekstrapolacijom nalaza s mikrorazine</w:t>
            </w:r>
            <w:r>
              <w:rPr>
                <w:color w:val="373737"/>
                <w:sz w:val="16"/>
              </w:rPr>
              <w:t xml:space="preserve"> popraćeni kvalitativnim procjenama</w:t>
            </w:r>
          </w:p>
        </w:tc>
      </w:tr>
      <w:tr w:rsidR="00515FD4" w:rsidRPr="001C6ACF" w:rsidTr="002F4727">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5D250D61" wp14:editId="717F1DB9">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520" w:type="dxa"/>
            <w:gridSpan w:val="2"/>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Poljoprivreda visoke prirodne vrijednosti (HNV)</w:t>
            </w:r>
          </w:p>
        </w:tc>
        <w:tc>
          <w:tcPr>
            <w:tcW w:w="1598"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2F4727">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34A43A18" wp14:editId="1B55762D">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520" w:type="dxa"/>
            <w:gridSpan w:val="2"/>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Zahvaćanje vode u poljoprivredi </w:t>
            </w:r>
          </w:p>
        </w:tc>
        <w:tc>
          <w:tcPr>
            <w:tcW w:w="1598"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Regresijske tehnike i tehnike uparivanja za I.10, I.11-1 i, ovisno o raspoloživosti podataka, za I.11-2</w:t>
            </w:r>
            <w:r>
              <w:rPr>
                <w:rFonts w:cs="Arial"/>
                <w:sz w:val="16"/>
                <w:szCs w:val="18"/>
              </w:rPr>
              <w:br/>
            </w:r>
            <w:r>
              <w:rPr>
                <w:sz w:val="16"/>
              </w:rPr>
              <w:t>Simulacija „studije slučaja” za područje riječnih slivova (RBD) ili njegovu podjedinicu samo za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Opća metoda uparivanja prema vjerojatnosti sklonosti (GPSM) </w:t>
            </w:r>
            <w:r>
              <w:rPr>
                <w:rFonts w:cs="Arial"/>
                <w:sz w:val="16"/>
                <w:szCs w:val="18"/>
              </w:rPr>
              <w:br/>
            </w:r>
            <w:r>
              <w:rPr>
                <w:rFonts w:cs="Arial"/>
                <w:sz w:val="16"/>
                <w:szCs w:val="18"/>
              </w:rPr>
              <w:br/>
            </w:r>
            <w:r>
              <w:rPr>
                <w:sz w:val="16"/>
              </w:rPr>
              <w:t>Prostorne ekonometrijske metode</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Kvalitativne metode</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Jednostavna usporedba skupina podržana kvalitativnim metodama</w:t>
            </w:r>
          </w:p>
        </w:tc>
      </w:tr>
      <w:tr w:rsidR="00273775" w:rsidRPr="001C6ACF" w:rsidTr="002F4727">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38A34C74" wp14:editId="6BB8C92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520" w:type="dxa"/>
            <w:gridSpan w:val="2"/>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Kvaliteta vode </w:t>
            </w:r>
          </w:p>
        </w:tc>
        <w:tc>
          <w:tcPr>
            <w:tcW w:w="1598"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2F4727">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5072" behindDoc="1" locked="0" layoutInCell="1" allowOverlap="1" wp14:anchorId="2B096377" wp14:editId="22398999">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520" w:type="dxa"/>
            <w:gridSpan w:val="2"/>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Organske tvari u obradivoj zemlji </w:t>
            </w:r>
          </w:p>
        </w:tc>
        <w:tc>
          <w:tcPr>
            <w:tcW w:w="1598" w:type="dxa"/>
            <w:vAlign w:val="center"/>
            <w:hideMark/>
          </w:tcPr>
          <w:p w:rsidR="00515FD4" w:rsidRPr="001C6ACF" w:rsidRDefault="00FF2060" w:rsidP="007008C0">
            <w:pPr>
              <w:pStyle w:val="HStandard"/>
              <w:spacing w:line="240" w:lineRule="auto"/>
              <w:jc w:val="center"/>
              <w:rPr>
                <w:rFonts w:cs="Arial"/>
                <w:sz w:val="16"/>
                <w:szCs w:val="18"/>
              </w:rPr>
            </w:pPr>
            <w:r>
              <w:rPr>
                <w:sz w:val="16"/>
              </w:rPr>
              <w:t>Procjena organskih tvari u tlu (OTT) u sloju tla dubine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Nema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Procjena OTT-a </w:t>
            </w:r>
            <w:r>
              <w:rPr>
                <w:rFonts w:cs="Arial"/>
                <w:sz w:val="16"/>
                <w:szCs w:val="18"/>
              </w:rPr>
              <w:br/>
            </w:r>
            <w:r>
              <w:rPr>
                <w:sz w:val="16"/>
              </w:rPr>
              <w:t>na temelju pojednostavnjenog programa praćenja tla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Procjena OTT-a na temelju </w:t>
            </w:r>
            <w:r>
              <w:rPr>
                <w:rFonts w:cs="Arial"/>
                <w:sz w:val="16"/>
                <w:szCs w:val="18"/>
              </w:rPr>
              <w:br/>
            </w:r>
            <w:r>
              <w:rPr>
                <w:sz w:val="16"/>
              </w:rPr>
              <w:t>baze podataka LUCAS</w:t>
            </w:r>
          </w:p>
        </w:tc>
      </w:tr>
      <w:tr w:rsidR="00515FD4" w:rsidRPr="001C6ACF" w:rsidTr="002F4727">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1460835C" wp14:editId="559C0C8E">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520" w:type="dxa"/>
            <w:gridSpan w:val="2"/>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Erozija tla vodom</w:t>
            </w:r>
          </w:p>
        </w:tc>
        <w:tc>
          <w:tcPr>
            <w:tcW w:w="1598"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Evaluacijske tehnike koje se temelje na statističkim podacima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GPSM s prostornom ekonometrijom u kombinaciji s metodom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Jednostavne osnovne ili dinamičke usporedbe skupina</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Kvantitativna jednostavna procjena prostornih jedinica u odnosu na nacionalni prosjek</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7"/>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Društveno-gospodarski učinci</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27009BDF" wp14:editId="5D6884CA">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Stopa zaposlenosti u ruralnim područjima </w:t>
            </w:r>
          </w:p>
        </w:tc>
        <w:tc>
          <w:tcPr>
            <w:tcW w:w="1701" w:type="dxa"/>
            <w:gridSpan w:val="2"/>
            <w:vMerge w:val="restart"/>
            <w:vAlign w:val="center"/>
            <w:hideMark/>
          </w:tcPr>
          <w:p w:rsidR="00515FD4" w:rsidRPr="00FB6C06" w:rsidRDefault="00515FD4" w:rsidP="007008C0">
            <w:pPr>
              <w:pStyle w:val="HStandard"/>
              <w:spacing w:line="240" w:lineRule="auto"/>
              <w:jc w:val="center"/>
              <w:rPr>
                <w:sz w:val="16"/>
                <w:szCs w:val="18"/>
              </w:rPr>
            </w:pPr>
            <w:r>
              <w:rPr>
                <w:sz w:val="16"/>
              </w:rPr>
              <w:t>Nema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Rekurzivno-dinamički model izračuna opće ravnoteže (CGE) </w:t>
            </w:r>
            <w:r>
              <w:rPr>
                <w:sz w:val="16"/>
                <w:szCs w:val="18"/>
              </w:rPr>
              <w:br/>
            </w:r>
            <w:r>
              <w:rPr>
                <w:sz w:val="16"/>
                <w:szCs w:val="18"/>
              </w:rPr>
              <w:br/>
            </w:r>
            <w:r>
              <w:rPr>
                <w:sz w:val="16"/>
              </w:rPr>
              <w:t>Uparivanje prema vjerojatnosti sklonosti (PSM) i opća metoda uparivanja prema vjerojatnosti sklonosti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Nema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Analiza </w:t>
            </w:r>
            <w:r>
              <w:rPr>
                <w:i/>
                <w:sz w:val="16"/>
              </w:rPr>
              <w:t>inputa</w:t>
            </w:r>
            <w:r>
              <w:rPr>
                <w:sz w:val="16"/>
              </w:rPr>
              <w:t xml:space="preserve"> i </w:t>
            </w:r>
            <w:r>
              <w:rPr>
                <w:i/>
                <w:sz w:val="16"/>
              </w:rPr>
              <w:t>outputa</w:t>
            </w:r>
            <w:r>
              <w:rPr>
                <w:sz w:val="16"/>
              </w:rPr>
              <w:t xml:space="preserve"> (IO)</w:t>
            </w:r>
          </w:p>
          <w:p w:rsidR="00186FCF" w:rsidRPr="001C6ACF" w:rsidRDefault="00186FCF" w:rsidP="007008C0">
            <w:pPr>
              <w:pStyle w:val="HStandard"/>
              <w:spacing w:line="240" w:lineRule="auto"/>
              <w:jc w:val="center"/>
              <w:rPr>
                <w:sz w:val="16"/>
                <w:szCs w:val="18"/>
              </w:rPr>
            </w:pPr>
            <w:r>
              <w:rPr>
                <w:sz w:val="16"/>
              </w:rPr>
              <w:t>(podržana kvalitativnom analizom)</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1569432A" wp14:editId="02426A91">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Stupanj siromaštva u ruralnim područjima</w:t>
            </w:r>
          </w:p>
        </w:tc>
        <w:tc>
          <w:tcPr>
            <w:tcW w:w="1701" w:type="dxa"/>
            <w:gridSpan w:val="2"/>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3299EF1A" wp14:editId="56769009">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BDP po glavi stanovnika u ruralnim područjima </w:t>
            </w:r>
          </w:p>
        </w:tc>
        <w:tc>
          <w:tcPr>
            <w:tcW w:w="1701" w:type="dxa"/>
            <w:gridSpan w:val="2"/>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U tablici se za svaki od pokazatelja učinka stupa II. ZPP-a daje pregled preporučenih pristupa evaluaciji za procjenu na mikrorazini i makrorazini, koji su detaljnije opisani u poglavljima od 2.2. do 2.9. Smjernica i u tehničkom prilogu. </w:t>
      </w:r>
    </w:p>
    <w:p w:rsidR="00186FCF" w:rsidRPr="001C6ACF" w:rsidRDefault="00186FCF"/>
    <w:p w:rsidR="008D4934" w:rsidRPr="00571D58" w:rsidRDefault="000B213F" w:rsidP="00B34DDC">
      <w:pPr>
        <w:pStyle w:val="HStandard"/>
        <w:jc w:val="center"/>
      </w:pPr>
      <w:r>
        <w:rPr>
          <w:b/>
          <w:i/>
          <w:noProof/>
          <w:color w:val="F07E31" w:themeColor="accent1"/>
          <w:lang w:val="en-GB" w:eastAsia="en-GB" w:bidi="ar-SA"/>
        </w:rPr>
        <mc:AlternateContent>
          <mc:Choice Requires="wps">
            <w:drawing>
              <wp:inline distT="0" distB="0" distL="0" distR="0" wp14:anchorId="00E1CACC" wp14:editId="17E0884F">
                <wp:extent cx="5819775" cy="2393343"/>
                <wp:effectExtent l="0" t="0" r="28575" b="2603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393343"/>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96BA7" w:rsidRPr="00D43E45" w:rsidRDefault="00496BA7"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Pristupi</w:t>
                            </w:r>
                            <w:r>
                              <w:rPr>
                                <w:b w:val="0"/>
                                <w:color w:val="373737" w:themeColor="text1"/>
                              </w:rPr>
                              <w:t xml:space="preserve"> evaluaciji opisani u smjernicama primjeri su mogućih opcija, iako postoje i druge opcije. Evaluatori mogu izabrati druge pristupe za procjenu učinaka PRR-a, uzimajući u obzir najbolju opciju za prikupljanje pouzdanih dokaza, ali i vodeći računa o </w:t>
                            </w:r>
                            <w:r>
                              <w:rPr>
                                <w:color w:val="373737" w:themeColor="text1"/>
                              </w:rPr>
                              <w:t>specifičnosti PRR-a</w:t>
                            </w:r>
                            <w:r>
                              <w:rPr>
                                <w:b w:val="0"/>
                                <w:color w:val="373737" w:themeColor="text1"/>
                              </w:rPr>
                              <w:t xml:space="preserve"> s obzirom na:</w:t>
                            </w:r>
                          </w:p>
                          <w:p w:rsidR="00496BA7" w:rsidRPr="00D43E45" w:rsidRDefault="00496BA7" w:rsidP="00EC01C3">
                            <w:pPr>
                              <w:pStyle w:val="Hlistbullet"/>
                              <w:rPr>
                                <w:i/>
                                <w:sz w:val="18"/>
                              </w:rPr>
                            </w:pPr>
                            <w:r>
                              <w:t xml:space="preserve">veličinu PRR-a </w:t>
                            </w:r>
                          </w:p>
                          <w:p w:rsidR="00496BA7" w:rsidRPr="00D43E45" w:rsidRDefault="00496BA7" w:rsidP="00EC01C3">
                            <w:pPr>
                              <w:pStyle w:val="Hlistbullet"/>
                              <w:rPr>
                                <w:i/>
                                <w:sz w:val="18"/>
                              </w:rPr>
                            </w:pPr>
                            <w:r>
                              <w:t xml:space="preserve">prihvaćenost PRR-a </w:t>
                            </w:r>
                          </w:p>
                          <w:p w:rsidR="00496BA7" w:rsidRPr="00D43E45" w:rsidRDefault="00496BA7" w:rsidP="00EC01C3">
                            <w:pPr>
                              <w:pStyle w:val="Hlistbullet"/>
                              <w:rPr>
                                <w:i/>
                                <w:sz w:val="18"/>
                              </w:rPr>
                            </w:pPr>
                            <w:r>
                              <w:t>raspoloživost i kvalitetu podataka za evaluaciju.</w:t>
                            </w:r>
                          </w:p>
                          <w:p w:rsidR="00496BA7" w:rsidRPr="00E53246" w:rsidRDefault="00496BA7" w:rsidP="00EC01C3">
                            <w:pPr>
                              <w:pStyle w:val="HHeading4"/>
                              <w:spacing w:before="0"/>
                              <w:jc w:val="both"/>
                              <w:rPr>
                                <w:b w:val="0"/>
                                <w:color w:val="373737" w:themeColor="text1"/>
                              </w:rPr>
                            </w:pPr>
                            <w:r>
                              <w:rPr>
                                <w:b w:val="0"/>
                                <w:color w:val="373737" w:themeColor="text1"/>
                              </w:rPr>
                              <w:t>Logički modeli predstavljeni u ovim Smjernicama trebali bi evaluatorima služiti kao korisni alati za utvrđivanje mogućih evaluacijskih opcija u određenom stvarnom kontekstu.</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1" style="width:458.25pt;height:188.4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184332;5662230,2393343;0,2393343;0,2393343;0,209011;157545,0" o:connectangles="0,0,0,0,0,0,0,0,0" textboxrect="0,0,5819775,1804016"/>
                <v:textbox>
                  <w:txbxContent>
                    <w:p w:rsidR="00496BA7" w:rsidRPr="00D43E45" w:rsidRDefault="00496BA7"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Pristupi</w:t>
                      </w:r>
                      <w:r>
                        <w:rPr>
                          <w:b w:val="0"/>
                          <w:color w:val="373737" w:themeColor="text1"/>
                        </w:rPr>
                        <w:t xml:space="preserve"> evaluaciji opisani u smjernicama primjeri su mogućih opcija, iako postoje i druge opcije. Evaluatori mogu izabrati druge pristupe za procjenu učinaka PRR-a, uzimajući u obzir najbolju opciju za prikupljanje pouzdanih dokaza, ali i vodeći računa o </w:t>
                      </w:r>
                      <w:r>
                        <w:rPr>
                          <w:color w:val="373737" w:themeColor="text1"/>
                        </w:rPr>
                        <w:t>specifičnosti PRR-a</w:t>
                      </w:r>
                      <w:r>
                        <w:rPr>
                          <w:b w:val="0"/>
                          <w:color w:val="373737" w:themeColor="text1"/>
                        </w:rPr>
                        <w:t xml:space="preserve"> s obzirom na:</w:t>
                      </w:r>
                    </w:p>
                    <w:p w:rsidR="00496BA7" w:rsidRPr="00D43E45" w:rsidRDefault="00496BA7" w:rsidP="00EC01C3">
                      <w:pPr>
                        <w:pStyle w:val="Hlistbullet"/>
                        <w:rPr>
                          <w:i/>
                          <w:sz w:val="18"/>
                        </w:rPr>
                      </w:pPr>
                      <w:r>
                        <w:t xml:space="preserve">veličinu PRR-a </w:t>
                      </w:r>
                    </w:p>
                    <w:p w:rsidR="00496BA7" w:rsidRPr="00D43E45" w:rsidRDefault="00496BA7" w:rsidP="00EC01C3">
                      <w:pPr>
                        <w:pStyle w:val="Hlistbullet"/>
                        <w:rPr>
                          <w:i/>
                          <w:sz w:val="18"/>
                        </w:rPr>
                      </w:pPr>
                      <w:r>
                        <w:t xml:space="preserve">prihvaćenost PRR-a </w:t>
                      </w:r>
                    </w:p>
                    <w:p w:rsidR="00496BA7" w:rsidRPr="00D43E45" w:rsidRDefault="00496BA7" w:rsidP="00EC01C3">
                      <w:pPr>
                        <w:pStyle w:val="Hlistbullet"/>
                        <w:rPr>
                          <w:i/>
                          <w:sz w:val="18"/>
                        </w:rPr>
                      </w:pPr>
                      <w:r>
                        <w:t>raspoloživost i kvalitetu podataka za evaluaciju.</w:t>
                      </w:r>
                    </w:p>
                    <w:p w:rsidR="00496BA7" w:rsidRPr="00E53246" w:rsidRDefault="00496BA7" w:rsidP="00EC01C3">
                      <w:pPr>
                        <w:pStyle w:val="HHeading4"/>
                        <w:spacing w:before="0"/>
                        <w:jc w:val="both"/>
                        <w:rPr>
                          <w:b w:val="0"/>
                          <w:color w:val="373737" w:themeColor="text1"/>
                        </w:rPr>
                      </w:pPr>
                      <w:r>
                        <w:rPr>
                          <w:b w:val="0"/>
                          <w:color w:val="373737" w:themeColor="text1"/>
                        </w:rPr>
                        <w:t>Logički modeli predstavljeni u ovim Smjernicama trebali bi evaluatorima služiti kao korisni alati za utvrđivanje mogućih evaluacijskih opcija u određenom stvarnom kontekstu.</w:t>
                      </w:r>
                    </w:p>
                  </w:txbxContent>
                </v:textbox>
                <w10:anchorlock/>
              </v:shape>
            </w:pict>
          </mc:Fallback>
        </mc:AlternateContent>
      </w:r>
    </w:p>
    <w:p w:rsidR="003F30B5" w:rsidRDefault="003F30B5">
      <w:pPr>
        <w:spacing w:before="0" w:after="0" w:line="240" w:lineRule="auto"/>
        <w:jc w:val="left"/>
        <w:rPr>
          <w:color w:val="373737" w:themeColor="text1"/>
          <w:sz w:val="20"/>
          <w:szCs w:val="20"/>
        </w:rPr>
      </w:pPr>
    </w:p>
    <w:sectPr w:rsidR="003F30B5" w:rsidSect="005F79DE">
      <w:headerReference w:type="default" r:id="rId64"/>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98F" w:rsidRDefault="00AF198F">
      <w:pPr>
        <w:spacing w:before="0" w:after="0" w:line="240" w:lineRule="auto"/>
      </w:pPr>
      <w:r>
        <w:separator/>
      </w:r>
    </w:p>
  </w:endnote>
  <w:endnote w:type="continuationSeparator" w:id="0">
    <w:p w:rsidR="00AF198F" w:rsidRDefault="00AF19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496BA7" w:rsidRDefault="00496BA7">
        <w:pPr>
          <w:pStyle w:val="Footer"/>
        </w:pPr>
        <w:r>
          <w:fldChar w:fldCharType="begin"/>
        </w:r>
        <w:r>
          <w:instrText xml:space="preserve"> PAGE   \* MERGEFORMAT </w:instrText>
        </w:r>
        <w:r>
          <w:fldChar w:fldCharType="separate"/>
        </w:r>
        <w:r w:rsidR="00C15E30">
          <w:rPr>
            <w:noProof/>
          </w:rPr>
          <w:t>1</w:t>
        </w:r>
        <w:r>
          <w:rPr>
            <w:noProof/>
          </w:rPr>
          <w:fldChar w:fldCharType="end"/>
        </w:r>
      </w:p>
    </w:sdtContent>
  </w:sdt>
  <w:p w:rsidR="00496BA7" w:rsidRDefault="00496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BA7" w:rsidRDefault="00496BA7">
    <w:pPr>
      <w:pStyle w:val="Footer"/>
    </w:pPr>
  </w:p>
  <w:p w:rsidR="00496BA7" w:rsidRDefault="0049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496BA7" w:rsidRDefault="00496BA7">
        <w:pPr>
          <w:pStyle w:val="Footer"/>
        </w:pPr>
        <w:r>
          <w:fldChar w:fldCharType="begin"/>
        </w:r>
        <w:r>
          <w:instrText xml:space="preserve"> PAGE   \* MERGEFORMAT </w:instrText>
        </w:r>
        <w:r>
          <w:fldChar w:fldCharType="separate"/>
        </w:r>
        <w:r w:rsidR="006547A0">
          <w:rPr>
            <w:noProof/>
          </w:rPr>
          <w:t>23</w:t>
        </w:r>
        <w:r>
          <w:rPr>
            <w:noProof/>
          </w:rPr>
          <w:fldChar w:fldCharType="end"/>
        </w:r>
      </w:p>
    </w:sdtContent>
  </w:sdt>
  <w:p w:rsidR="00496BA7" w:rsidRDefault="00496B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496BA7" w:rsidRDefault="00496BA7">
        <w:pPr>
          <w:pStyle w:val="Footer"/>
        </w:pPr>
        <w:r>
          <w:fldChar w:fldCharType="begin"/>
        </w:r>
        <w:r>
          <w:instrText xml:space="preserve"> PAGE   \* MERGEFORMAT </w:instrText>
        </w:r>
        <w:r>
          <w:fldChar w:fldCharType="separate"/>
        </w:r>
        <w:r w:rsidR="00CE2BAE">
          <w:rPr>
            <w:noProof/>
          </w:rPr>
          <w:t>1</w:t>
        </w:r>
        <w:r>
          <w:rPr>
            <w:noProof/>
          </w:rPr>
          <w:fldChar w:fldCharType="end"/>
        </w:r>
      </w:p>
    </w:sdtContent>
  </w:sdt>
  <w:p w:rsidR="00496BA7" w:rsidRDefault="00496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98F" w:rsidRPr="005B2AAC" w:rsidRDefault="00AF198F">
      <w:pPr>
        <w:spacing w:before="0" w:after="0" w:line="240" w:lineRule="auto"/>
        <w:rPr>
          <w:color w:val="F07E31" w:themeColor="accent1"/>
        </w:rPr>
      </w:pPr>
      <w:r>
        <w:rPr>
          <w:color w:val="F07E31" w:themeColor="accent1"/>
        </w:rPr>
        <w:separator/>
      </w:r>
    </w:p>
  </w:footnote>
  <w:footnote w:type="continuationSeparator" w:id="0">
    <w:p w:rsidR="00AF198F" w:rsidRDefault="00AF198F">
      <w:pPr>
        <w:spacing w:before="0" w:after="0" w:line="240" w:lineRule="auto"/>
      </w:pPr>
      <w:r>
        <w:continuationSeparator/>
      </w:r>
    </w:p>
  </w:footnote>
  <w:footnote w:id="1">
    <w:p w:rsidR="00496BA7" w:rsidRPr="003563F4" w:rsidRDefault="00496BA7">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54. i članak 56. stavak 3. Uredbe (EU) br. 1303/2013.</w:t>
      </w:r>
    </w:p>
  </w:footnote>
  <w:footnote w:id="2">
    <w:p w:rsidR="00496BA7" w:rsidRPr="00E53246" w:rsidRDefault="00496BA7" w:rsidP="00CD63F6">
      <w:pPr>
        <w:pStyle w:val="FootnoteText"/>
      </w:pPr>
      <w:r>
        <w:rPr>
          <w:rStyle w:val="FootnoteReference"/>
          <w:color w:val="878787" w:themeColor="text2" w:themeTint="99"/>
        </w:rPr>
        <w:footnoteRef/>
      </w:r>
      <w:r>
        <w:rPr>
          <w:color w:val="878787" w:themeColor="text2" w:themeTint="99"/>
        </w:rPr>
        <w:t xml:space="preserve"> Prilog VII. Uredbi (EU) br. 808/2014.</w:t>
      </w:r>
    </w:p>
  </w:footnote>
  <w:footnote w:id="3">
    <w:p w:rsidR="00496BA7" w:rsidRPr="003563F4" w:rsidRDefault="00496BA7"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Članak 75. </w:t>
      </w:r>
      <w:hyperlink r:id="rId1">
        <w:r>
          <w:rPr>
            <w:color w:val="878787" w:themeColor="text2" w:themeTint="99"/>
          </w:rPr>
          <w:t>Uredbe (EU) br. 1305/2013</w:t>
        </w:r>
      </w:hyperlink>
      <w:r>
        <w:rPr>
          <w:color w:val="878787" w:themeColor="text2" w:themeTint="99"/>
        </w:rPr>
        <w:t>.</w:t>
      </w:r>
    </w:p>
  </w:footnote>
  <w:footnote w:id="4">
    <w:p w:rsidR="00496BA7" w:rsidRPr="003563F4" w:rsidRDefault="00496BA7"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Smjernice „Uspostava i provedba plana evaluacije PRR-ova za razdoblje 2014.–2020.”. </w:t>
        </w:r>
      </w:hyperlink>
    </w:p>
  </w:footnote>
  <w:footnote w:id="5">
    <w:p w:rsidR="00496BA7" w:rsidRPr="003563F4" w:rsidRDefault="00496BA7"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Provedbena uredba Komisije (EU) br. 808/2014, Prilog I. točka 9. i Prilog VII. točka 7</w:t>
        </w:r>
      </w:hyperlink>
      <w:r>
        <w:rPr>
          <w:rStyle w:val="Hyperlink"/>
          <w:color w:val="878787" w:themeColor="text2" w:themeTint="99"/>
          <w:sz w:val="16"/>
          <w:u w:val="none"/>
        </w:rPr>
        <w:t>.</w:t>
      </w:r>
    </w:p>
  </w:footnote>
  <w:footnote w:id="6">
    <w:p w:rsidR="00496BA7" w:rsidRPr="003563F4" w:rsidRDefault="00496BA7"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Služba za podršku evaluaciji sažela je nalaze GIP-ova podnesenih 2017. u </w:t>
      </w:r>
      <w:hyperlink r:id="rId4">
        <w:r>
          <w:rPr>
            <w:color w:val="878787" w:themeColor="text2" w:themeTint="99"/>
          </w:rPr>
          <w:t>Sažetom izvješću o evaluacijskim komponentama proširenog GIP-a za 2017. (</w:t>
        </w:r>
        <w:r>
          <w:rPr>
            <w:i/>
            <w:color w:val="878787" w:themeColor="text2" w:themeTint="99"/>
          </w:rPr>
          <w:t>Summary Report Synthesis of the Evaluation Components of the 2017 Enhanced AIR</w:t>
        </w:r>
        <w:r>
          <w:rPr>
            <w:color w:val="878787" w:themeColor="text2" w:themeTint="99"/>
          </w:rPr>
          <w:t>): poglavlje 7</w:t>
        </w:r>
      </w:hyperlink>
      <w:r>
        <w:rPr>
          <w:color w:val="878787" w:themeColor="text2" w:themeTint="99"/>
        </w:rPr>
        <w:t>.</w:t>
      </w:r>
    </w:p>
  </w:footnote>
  <w:footnote w:id="7">
    <w:p w:rsidR="00496BA7" w:rsidRPr="00E53246" w:rsidRDefault="00496BA7">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Prilog VII. Uredbi (EU) br. 808/2014.</w:t>
      </w:r>
    </w:p>
  </w:footnote>
  <w:footnote w:id="8">
    <w:p w:rsidR="00496BA7" w:rsidRPr="003563F4" w:rsidRDefault="00496BA7"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Članci od 67. do 79. Uredbe (EU) br. 1305/2014</w:t>
        </w:r>
      </w:hyperlink>
      <w:r>
        <w:rPr>
          <w:color w:val="878787" w:themeColor="text2" w:themeTint="99"/>
        </w:rPr>
        <w:t xml:space="preserve">, </w:t>
      </w:r>
      <w:hyperlink r:id="rId6">
        <w:r>
          <w:rPr>
            <w:color w:val="878787" w:themeColor="text2" w:themeTint="99"/>
          </w:rPr>
          <w:t>članak 110. Uredbe (EU) br. 1306/2013,</w:t>
        </w:r>
      </w:hyperlink>
      <w:r>
        <w:rPr>
          <w:color w:val="878787" w:themeColor="text2" w:themeTint="99"/>
        </w:rPr>
        <w:t xml:space="preserve"> </w:t>
      </w:r>
      <w:hyperlink r:id="rId7">
        <w:r>
          <w:rPr>
            <w:color w:val="878787" w:themeColor="text2" w:themeTint="99"/>
          </w:rPr>
          <w:t>članak 1. točka (a) Uredbe (EU) br. 834/2014 i Prilog I. toj uredbi</w:t>
        </w:r>
      </w:hyperlink>
      <w:r>
        <w:rPr>
          <w:color w:val="878787" w:themeColor="text2" w:themeTint="99"/>
        </w:rPr>
        <w:t xml:space="preserve">, </w:t>
      </w:r>
      <w:hyperlink r:id="rId8">
        <w:r>
          <w:rPr>
            <w:color w:val="878787" w:themeColor="text2" w:themeTint="99"/>
          </w:rPr>
          <w:t>članak 14. Uredbe (EU) br. 808/2014 i prilozi IV., V., VI. i VII. toj uredbi</w:t>
        </w:r>
      </w:hyperlink>
      <w:r>
        <w:rPr>
          <w:color w:val="878787" w:themeColor="text2" w:themeTint="99"/>
        </w:rPr>
        <w:t>.</w:t>
      </w:r>
    </w:p>
  </w:footnote>
  <w:footnote w:id="9">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54. Uredbe (EU) br. 1303/2013.</w:t>
      </w:r>
    </w:p>
  </w:footnote>
  <w:footnote w:id="10">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56. Uredbe (EU) br. 1303/2013.</w:t>
      </w:r>
    </w:p>
  </w:footnote>
  <w:footnote w:id="11">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110. Uredbe (EU) br. 1306/2013.</w:t>
      </w:r>
    </w:p>
  </w:footnote>
  <w:footnote w:id="12">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110. stavak 3. i članak 110. stavak 4. Uredbe (EU) br. 1306/2013.</w:t>
      </w:r>
    </w:p>
  </w:footnote>
  <w:footnote w:id="13">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Članci 67. i 68. Uredbe (EU) br. 1305/2013.</w:t>
      </w:r>
    </w:p>
  </w:footnote>
  <w:footnote w:id="14">
    <w:p w:rsidR="00496BA7" w:rsidRPr="00E53246" w:rsidRDefault="00496BA7" w:rsidP="001C2076">
      <w:pPr>
        <w:pStyle w:val="FootnoteText"/>
      </w:pPr>
      <w:r>
        <w:rPr>
          <w:rStyle w:val="FootnoteReference"/>
          <w:color w:val="878787" w:themeColor="text2" w:themeTint="99"/>
        </w:rPr>
        <w:footnoteRef/>
      </w:r>
      <w:r>
        <w:rPr>
          <w:color w:val="878787" w:themeColor="text2" w:themeTint="99"/>
        </w:rPr>
        <w:t xml:space="preserve"> Članak 69. Uredbe (EU) br. 1305/2013.</w:t>
      </w:r>
    </w:p>
  </w:footnote>
  <w:footnote w:id="15">
    <w:p w:rsidR="00496BA7" w:rsidRPr="003563F4" w:rsidRDefault="00496BA7"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w:t>
        </w:r>
        <w:r>
          <w:rPr>
            <w:i/>
            <w:color w:val="878787" w:themeColor="text2" w:themeTint="99"/>
          </w:rPr>
          <w:t>Technical Handbook on the Monitoring and Evaluation of the Common Agriculture Policy 2014-2020</w:t>
        </w:r>
        <w:r>
          <w:rPr>
            <w:color w:val="878787" w:themeColor="text2" w:themeTint="99"/>
          </w:rPr>
          <w:t xml:space="preserve"> (Tehnički priručnik za praćenje i evaluaciju zajedničke poljoprivredne politike u razdoblju 2014.–2020.), Europska komisija, lipanj 2017.</w:t>
        </w:r>
      </w:hyperlink>
      <w:r>
        <w:rPr>
          <w:rStyle w:val="Hyperlink"/>
          <w:color w:val="878787" w:themeColor="text2" w:themeTint="99"/>
          <w:sz w:val="16"/>
          <w:u w:val="none"/>
        </w:rPr>
        <w:t>.</w:t>
      </w:r>
    </w:p>
  </w:footnote>
  <w:footnote w:id="16">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Članak 14. Uredbe (EU) br. 808/2014.</w:t>
      </w:r>
    </w:p>
  </w:footnote>
  <w:footnote w:id="17">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Prilog IV. Uredbi (EU) br. 808/2014.</w:t>
      </w:r>
    </w:p>
  </w:footnote>
  <w:footnote w:id="18">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Prilog V. Uredbi (EU) br. 808/2014.</w:t>
      </w:r>
    </w:p>
  </w:footnote>
  <w:footnote w:id="19">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Točka 2. Prilog VII. Uredbi (EU) br. 808/2014.</w:t>
      </w:r>
    </w:p>
  </w:footnote>
  <w:footnote w:id="20">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Dio I. točka 9. Priloga I. Uredbi (EU) br. 808/2014.</w:t>
      </w:r>
    </w:p>
  </w:footnote>
  <w:footnote w:id="21">
    <w:p w:rsidR="00496BA7" w:rsidRPr="003563F4" w:rsidRDefault="00496BA7"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Točka 7. Priloga VII. Uredbi (EU) br. 808/2014.</w:t>
      </w:r>
    </w:p>
  </w:footnote>
  <w:footnote w:id="22">
    <w:p w:rsidR="00496BA7" w:rsidRPr="00E53246" w:rsidRDefault="00496BA7" w:rsidP="00FC0340">
      <w:pPr>
        <w:pStyle w:val="FootnoteText"/>
      </w:pPr>
      <w:r>
        <w:rPr>
          <w:rStyle w:val="FootnoteReference"/>
          <w:color w:val="878787" w:themeColor="text2" w:themeTint="99"/>
        </w:rPr>
        <w:footnoteRef/>
      </w:r>
      <w:r>
        <w:rPr>
          <w:color w:val="878787" w:themeColor="text2" w:themeTint="99"/>
        </w:rPr>
        <w:t xml:space="preserve"> Prilog VI. Uredbi (EU) br. 808/2014.</w:t>
      </w:r>
    </w:p>
  </w:footnote>
  <w:footnote w:id="23">
    <w:p w:rsidR="00496BA7" w:rsidRPr="00E53246" w:rsidRDefault="00496BA7">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w:t>
        </w:r>
        <w:r>
          <w:rPr>
            <w:i/>
            <w:color w:val="878787" w:themeColor="text2" w:themeTint="99"/>
          </w:rPr>
          <w:t>Technical Handbook on the Monitoring and Evaluation of the Common Agriculture Policy 2014-2020</w:t>
        </w:r>
        <w:r>
          <w:rPr>
            <w:color w:val="878787" w:themeColor="text2" w:themeTint="99"/>
          </w:rPr>
          <w:t xml:space="preserve"> (Tehnički priručnik za praćenje i evaluaciju zajedničke poljoprivredne politike u razdoblju 2014.–2020.), Europska komisija, lipanj 2017.</w:t>
        </w:r>
      </w:hyperlink>
      <w:r>
        <w:rPr>
          <w:rStyle w:val="Hyperlink"/>
          <w:color w:val="878787" w:themeColor="text2" w:themeTint="99"/>
          <w:sz w:val="16"/>
          <w:u w:val="none"/>
        </w:rPr>
        <w:t>.</w:t>
      </w:r>
    </w:p>
  </w:footnote>
  <w:footnote w:id="24">
    <w:p w:rsidR="00496BA7" w:rsidRPr="000D3DB8" w:rsidRDefault="00496BA7"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Više informacija o ciklusu evaluacije može se pronaći u smjernicama </w:t>
      </w:r>
      <w:hyperlink r:id="rId11">
        <w:r>
          <w:rPr>
            <w:rStyle w:val="Hyperlink"/>
            <w:sz w:val="16"/>
          </w:rPr>
          <w:t>„Procjena rezultata PRR-a: kako se pripremiti za izvješćivanje o evaluaciji 2017</w:t>
        </w:r>
      </w:hyperlink>
      <w:r>
        <w:rPr>
          <w:rStyle w:val="Hyperlink"/>
          <w:sz w:val="16"/>
        </w:rPr>
        <w:t>.”</w:t>
      </w:r>
    </w:p>
  </w:footnote>
  <w:footnote w:id="25">
    <w:p w:rsidR="00496BA7" w:rsidRPr="00E53246" w:rsidRDefault="00496BA7" w:rsidP="000D3DB8">
      <w:pPr>
        <w:pStyle w:val="FootnoteText"/>
      </w:pPr>
      <w:r>
        <w:rPr>
          <w:rStyle w:val="FootnoteReference"/>
          <w:color w:val="878787" w:themeColor="text2" w:themeTint="99"/>
        </w:rPr>
        <w:footnoteRef/>
      </w:r>
      <w:r>
        <w:t xml:space="preserve"> UT – upravljačko tijelo, OP – odbor za praćenje, AP – </w:t>
      </w:r>
      <w:r>
        <w:t>agencija za plaćanja, EvS – služba za evaluacije, EUS – evaluacijska upravljačka skupina, Ev – evaluatori, PP – pružatelji podataka, O – ostali.</w:t>
      </w:r>
    </w:p>
  </w:footnote>
  <w:footnote w:id="26">
    <w:p w:rsidR="00496BA7" w:rsidRPr="00274AB7" w:rsidRDefault="00496BA7">
      <w:pPr>
        <w:pStyle w:val="FootnoteText"/>
      </w:pPr>
      <w:r>
        <w:rPr>
          <w:rStyle w:val="FootnoteReference"/>
          <w:color w:val="878787" w:themeColor="text2" w:themeTint="99"/>
        </w:rPr>
        <w:footnoteRef/>
      </w:r>
      <w:r>
        <w:rPr>
          <w:color w:val="878787" w:themeColor="text2" w:themeTint="99"/>
        </w:rPr>
        <w:t xml:space="preserve"> ENVIEVAL je bio projekt suradnje na razini EU-a (Sporazum o dodjeli bespovratnih sredstava br. 312071) koji se od siječnja 2013. do prosinca 2015. financirao sredstvima iz Sedmog okvirnog programa Europske unije za istraživanja, tehnološki razvoj i demonstracijske aktivnosti.</w:t>
      </w:r>
    </w:p>
  </w:footnote>
  <w:footnote w:id="27">
    <w:p w:rsidR="00496BA7" w:rsidRPr="00E53246" w:rsidRDefault="00496BA7">
      <w:pPr>
        <w:pStyle w:val="FootnoteText"/>
      </w:pPr>
      <w:r>
        <w:rPr>
          <w:rStyle w:val="FootnoteReference"/>
          <w:color w:val="878787" w:themeColor="text2" w:themeTint="99"/>
        </w:rPr>
        <w:footnoteRef/>
      </w:r>
      <w:r>
        <w:t xml:space="preserve"> Methodological Handbook for the evaluation of environmental impacts of RDPs: Report D9.5, projekt ENVIEVAL (Sporazum o dodjeli bespovratnih sredstava br. 312071)]. Bruxelles: Europska komisija, Morkvenas, Z., Navickas, K., Gulbinas, J., Jefanovas, A., Schwarz, G., Wolff, A., Offermann, F., Osterburg, B., Aalders, I., Miller, D., Morrice, J., Vlahos, G., Smyrniotopoulou, A., Artell, J., Aakkula, J., Toikkanen, H., Povellato, A., Longhitano, D., Lasorella, V., Balazs, K., i dr. (2015.), str. 152.</w:t>
      </w:r>
    </w:p>
  </w:footnote>
  <w:footnote w:id="28">
    <w:p w:rsidR="00496BA7" w:rsidRPr="00E53246" w:rsidRDefault="00496BA7" w:rsidP="00820050">
      <w:pPr>
        <w:pStyle w:val="FootnoteText"/>
      </w:pPr>
      <w:r>
        <w:rPr>
          <w:rStyle w:val="FootnoteReference"/>
          <w:color w:val="878787" w:themeColor="text2" w:themeTint="99"/>
        </w:rPr>
        <w:footnoteRef/>
      </w:r>
      <w:r>
        <w:rPr>
          <w:color w:val="878787" w:themeColor="text2" w:themeTint="99"/>
        </w:rPr>
        <w:t xml:space="preserve"> </w:t>
      </w:r>
      <w:r>
        <w:t xml:space="preserve">Koraci koje treba poduzeti pri procjeni neto učinaka PRR-a detaljnije su opisani u </w:t>
      </w:r>
      <w:hyperlink r:id="rId12">
        <w:r>
          <w:rPr>
            <w:rStyle w:val="Hyperlink"/>
            <w:sz w:val="16"/>
          </w:rPr>
          <w:t xml:space="preserve">Smjernicama za </w:t>
        </w:r>
        <w:r>
          <w:rPr>
            <w:rStyle w:val="Hyperlink"/>
            <w:i/>
            <w:sz w:val="16"/>
          </w:rPr>
          <w:t>ex post</w:t>
        </w:r>
        <w:r>
          <w:rPr>
            <w:rStyle w:val="Hyperlink"/>
            <w:sz w:val="16"/>
          </w:rPr>
          <w:t xml:space="preserve"> evaluaciju programa ruralnog razvoja za razdoblje 2007.–2013.</w:t>
        </w:r>
      </w:hyperlink>
      <w:r>
        <w:t>, i to u poglavljima 4.2.3. i 4.2.4.</w:t>
      </w:r>
    </w:p>
  </w:footnote>
  <w:footnote w:id="29">
    <w:p w:rsidR="00496BA7" w:rsidRPr="003563F4" w:rsidRDefault="00496BA7" w:rsidP="00B9614C">
      <w:pPr>
        <w:pStyle w:val="FootnoteText"/>
      </w:pPr>
      <w:r>
        <w:rPr>
          <w:rStyle w:val="FootnoteReference"/>
          <w:color w:val="878787" w:themeColor="text2" w:themeTint="99"/>
        </w:rPr>
        <w:footnoteRef/>
      </w:r>
      <w:r>
        <w:t xml:space="preserve"> Za dodatne informacije vidjeti: </w:t>
      </w:r>
      <w:r>
        <w:rPr>
          <w:i/>
        </w:rPr>
        <w:t>Landscape-moderated biodiversity effects of agri-environmental management:</w:t>
      </w:r>
      <w:r>
        <w:t xml:space="preserve"> </w:t>
      </w:r>
      <w:r>
        <w:rPr>
          <w:i/>
        </w:rPr>
        <w:t>a meta-analysis</w:t>
      </w:r>
      <w:r>
        <w:t xml:space="preserve">, Proceedings. Biological sciences / The Royal Society, 278(1713): 1894–1902, Batáry, P., Báldi, A., Kleijn, D., Tscharntke, T., (2011.). </w:t>
      </w:r>
    </w:p>
  </w:footnote>
  <w:footnote w:id="30">
    <w:p w:rsidR="00496BA7" w:rsidRPr="00E53246" w:rsidRDefault="00496BA7" w:rsidP="00FC012D">
      <w:pPr>
        <w:pStyle w:val="FootnoteText"/>
      </w:pPr>
      <w:r>
        <w:rPr>
          <w:rStyle w:val="FootnoteReference"/>
          <w:color w:val="878787" w:themeColor="text2" w:themeTint="99"/>
        </w:rPr>
        <w:footnoteRef/>
      </w:r>
      <w:r>
        <w:rPr>
          <w:color w:val="878787" w:themeColor="text2" w:themeTint="99"/>
        </w:rPr>
        <w:t xml:space="preserve"> </w:t>
      </w:r>
      <w:r>
        <w:t xml:space="preserve">Za dodatne informacije vidjeti: </w:t>
      </w:r>
      <w:r>
        <w:rPr>
          <w:i/>
        </w:rPr>
        <w:t>Organic farming at local and landscape scales benefits plant diversity</w:t>
      </w:r>
      <w:r>
        <w:t xml:space="preserve">,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BA7" w:rsidRPr="00E4509B" w:rsidRDefault="00496BA7" w:rsidP="008D52EA">
    <w:pPr>
      <w:pStyle w:val="Header"/>
    </w:pPr>
    <w:r>
      <w:tab/>
      <w:t>Dio I. – Što treba sadržavati izvješće o evaluaciji u GIP-u za 2019.?</w:t>
    </w:r>
  </w:p>
  <w:p w:rsidR="00496BA7" w:rsidRPr="002C3379" w:rsidRDefault="00496BA7"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BA7" w:rsidRDefault="00496BA7" w:rsidP="000412E5">
    <w:pPr>
      <w:pStyle w:val="Header"/>
      <w:tabs>
        <w:tab w:val="clear" w:pos="9072"/>
        <w:tab w:val="right" w:pos="14175"/>
      </w:tabs>
    </w:pPr>
    <w:r>
      <w:tab/>
      <w:t>Dio III. – Opisni listovi za odgovaranje na ZEP-ove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1532"/>
        </w:tabs>
        <w:ind w:left="1532"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F44A53D4"/>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541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727"/>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BA7"/>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2A0"/>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81"/>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7EC"/>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7A0"/>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1C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8D5"/>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147"/>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98F"/>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07CB"/>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5E30"/>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2DEC"/>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2BAE"/>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4C68"/>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42"/>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96F"/>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0F87"/>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3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hr-HR"/>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hr-HR"/>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spacing w:before="240" w:after="140" w:line="240" w:lineRule="exact"/>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hr-HR"/>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hr-H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hr-HR"/>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hr-H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hr-HR"/>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hr-HR"/>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hr-HR" w:eastAsia="hr-HR"/>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hr-HR"/>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hr-HR" w:eastAsia="hr-HR"/>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hr-HR"/>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hr-HR"/>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hr-HR"/>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299960127">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5" Type="http://schemas.openxmlformats.org/officeDocument/2006/relationships/image" Target="media/image12.pn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emf"/><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rural-development-reports/2014/investment-support-rdp/fulltext_en.pdf"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nrd.ec.europa.eu/news-events/news/ex-post-evaluation-rdps-2007-2013_en"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3.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en" TargetMode="External"/><Relationship Id="rId33" Type="http://schemas.openxmlformats.org/officeDocument/2006/relationships/footer" Target="footer4.xml"/><Relationship Id="rId38" Type="http://schemas.openxmlformats.org/officeDocument/2006/relationships/image" Target="media/image7.emf"/><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hr/ALL/?uri=CELEX:32014R0808" TargetMode="External"/><Relationship Id="rId3" Type="http://schemas.openxmlformats.org/officeDocument/2006/relationships/hyperlink" Target="http://eur-lex.europa.eu/legal-content/hr/ALL/?uri=CELEX:32014R0808" TargetMode="External"/><Relationship Id="rId7" Type="http://schemas.openxmlformats.org/officeDocument/2006/relationships/hyperlink" Target="http://eur-lex.europa.eu/legal-content/HR/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HR/ALL/?uri=CELEX%3A32013R1305" TargetMode="External"/><Relationship Id="rId6" Type="http://schemas.openxmlformats.org/officeDocument/2006/relationships/hyperlink" Target="http://eur-lex.europa.eu/legal-content/HR/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6497-DCA7-47D0-8948-D906F287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7493</Words>
  <Characters>42716</Characters>
  <Application>Microsoft Office Word</Application>
  <DocSecurity>0</DocSecurity>
  <Lines>355</Lines>
  <Paragraphs>100</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50109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2018-11-19T10:41:00Z</dcterms:created>
  <dcterms:modified xsi:type="dcterms:W3CDTF">2018-11-19T10:41:00Z</dcterms:modified>
</cp:coreProperties>
</file>