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571D58" w:rsidRDefault="000B213F" w:rsidP="005E7B7E">
      <w:pPr>
        <w:pStyle w:val="HHeadingboxes"/>
        <w:numPr>
          <w:ilvl w:val="0"/>
          <w:numId w:val="0"/>
        </w:numPr>
      </w:pPr>
      <w:r>
        <w:rPr>
          <w:noProof/>
          <w:szCs w:val="24"/>
          <w:lang w:val="en-GB" w:eastAsia="en-GB" w:bidi="ar-SA"/>
        </w:rPr>
        <mc:AlternateContent>
          <mc:Choice Requires="wps">
            <w:drawing>
              <wp:anchor distT="0" distB="0" distL="114300" distR="114300" simplePos="0" relativeHeight="251658240" behindDoc="1" locked="0" layoutInCell="1" allowOverlap="1" wp14:anchorId="59E4466D" wp14:editId="256EB497">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73B" w:rsidRPr="00E76949" w:rsidRDefault="0067073B" w:rsidP="00E76949">
                            <w:pPr>
                              <w:pStyle w:val="HTitle1"/>
                            </w:pPr>
                            <w:r>
                              <w:t>ΚΑΤΕΥΘΥΝΤΗΡΙΕΣ ΓΡΑΜΜΕΣ</w:t>
                            </w:r>
                          </w:p>
                          <w:p w:rsidR="0067073B" w:rsidRPr="00196DF6" w:rsidRDefault="0067073B" w:rsidP="00196DF6">
                            <w:pPr>
                              <w:pStyle w:val="HTitle2"/>
                            </w:pPr>
                            <w:r>
                              <w:t>Αξιολόγηση των επιτευγμάτων και των επιπτώσεων του ΠΑΑ το 2019</w:t>
                            </w:r>
                          </w:p>
                          <w:p w:rsidR="0067073B" w:rsidRPr="00F15219" w:rsidRDefault="0067073B" w:rsidP="00196DF6">
                            <w:pPr>
                              <w:pStyle w:val="HTitle2"/>
                            </w:pPr>
                          </w:p>
                          <w:p w:rsidR="0067073B" w:rsidRPr="00435F02" w:rsidRDefault="0067073B" w:rsidP="00196DF6">
                            <w:pPr>
                              <w:pStyle w:val="HTitle3"/>
                              <w:rPr>
                                <w:color w:val="auto"/>
                              </w:rPr>
                            </w:pPr>
                            <w:r>
                              <w:rPr>
                                <w:color w:val="auto"/>
                              </w:rPr>
                              <w:t>Αύγουστος 2018</w:t>
                            </w:r>
                          </w:p>
                          <w:p w:rsidR="0067073B" w:rsidRDefault="0067073B"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4466D" id="_x0000_t202" coordsize="21600,21600" o:spt="202" path="m,l,21600r21600,l21600,xe">
                <v:stroke joinstyle="miter"/>
                <v:path gradientshapeok="t" o:connecttype="rect"/>
              </v:shapetype>
              <v:shape id="Text Box 5" o:spid="_x0000_s1026" type="#_x0000_t202" style="position:absolute;margin-left:161.7pt;margin-top:395.45pt;width:376.05pt;height:248.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67073B" w:rsidRPr="00E76949" w:rsidRDefault="0067073B" w:rsidP="00E76949">
                      <w:pPr>
                        <w:pStyle w:val="HTitle1"/>
                      </w:pPr>
                      <w:r>
                        <w:t>ΚΑΤΕΥΘΥΝΤΗΡΙΕΣ ΓΡΑΜΜΕΣ</w:t>
                      </w:r>
                    </w:p>
                    <w:p w:rsidR="0067073B" w:rsidRPr="00196DF6" w:rsidRDefault="0067073B" w:rsidP="00196DF6">
                      <w:pPr>
                        <w:pStyle w:val="HTitle2"/>
                      </w:pPr>
                      <w:r>
                        <w:t>Αξιολόγηση των επιτευγμάτων και των επιπτώσεων του ΠΑΑ το 2019</w:t>
                      </w:r>
                    </w:p>
                    <w:p w:rsidR="0067073B" w:rsidRPr="00F15219" w:rsidRDefault="0067073B" w:rsidP="00196DF6">
                      <w:pPr>
                        <w:pStyle w:val="HTitle2"/>
                      </w:pPr>
                    </w:p>
                    <w:p w:rsidR="0067073B" w:rsidRPr="00435F02" w:rsidRDefault="0067073B" w:rsidP="00196DF6">
                      <w:pPr>
                        <w:pStyle w:val="HTitle3"/>
                        <w:rPr>
                          <w:color w:val="auto"/>
                        </w:rPr>
                      </w:pPr>
                      <w:r>
                        <w:rPr>
                          <w:color w:val="auto"/>
                        </w:rPr>
                        <w:t>Αύγουστος 2018</w:t>
                      </w:r>
                    </w:p>
                    <w:p w:rsidR="0067073B" w:rsidRDefault="0067073B" w:rsidP="00196DF6">
                      <w:pPr>
                        <w:pStyle w:val="HTitle3"/>
                      </w:pPr>
                    </w:p>
                  </w:txbxContent>
                </v:textbox>
                <w10:wrap type="tight" anchorx="page" anchory="page"/>
              </v:shape>
            </w:pict>
          </mc:Fallback>
        </mc:AlternateContent>
      </w:r>
      <w:r>
        <w:rPr>
          <w:noProof/>
          <w:lang w:val="en-GB" w:eastAsia="en-GB" w:bidi="ar-SA"/>
        </w:rPr>
        <w:drawing>
          <wp:anchor distT="0" distB="0" distL="114300" distR="114300" simplePos="0" relativeHeight="251656192" behindDoc="1" locked="0" layoutInCell="1" allowOverlap="1" wp14:anchorId="2312DB66" wp14:editId="2577AA07">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t xml:space="preserve"> </w:t>
      </w:r>
      <w:r>
        <w:br w:type="page"/>
      </w:r>
    </w:p>
    <w:p w:rsidR="00016061" w:rsidRPr="00571D58" w:rsidRDefault="000B213F" w:rsidP="007C6797">
      <w:pPr>
        <w:pStyle w:val="HStandard"/>
      </w:pPr>
      <w:r>
        <w:rPr>
          <w:noProof/>
          <w:lang w:val="en-GB" w:eastAsia="en-GB" w:bidi="ar-SA"/>
        </w:rPr>
        <w:lastRenderedPageBreak/>
        <mc:AlternateContent>
          <mc:Choice Requires="wps">
            <w:drawing>
              <wp:anchor distT="0" distB="0" distL="114300" distR="114300" simplePos="0" relativeHeight="251664896" behindDoc="0" locked="0" layoutInCell="1" allowOverlap="1" wp14:anchorId="7AC29D70" wp14:editId="171EDC28">
                <wp:simplePos x="0" y="0"/>
                <wp:positionH relativeFrom="margin">
                  <wp:posOffset>-426085</wp:posOffset>
                </wp:positionH>
                <wp:positionV relativeFrom="paragraph">
                  <wp:posOffset>4095115</wp:posOffset>
                </wp:positionV>
                <wp:extent cx="6583680" cy="5161915"/>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67073B" w:rsidRPr="00811EF1" w:rsidRDefault="0067073B" w:rsidP="00811EF1">
                            <w:pPr>
                              <w:pStyle w:val="Hdisclaimer"/>
                            </w:pPr>
                            <w:r>
                              <w:t>Επιφύλαξη δικαιωμάτων πνευματικής ιδιοκτησίας</w:t>
                            </w:r>
                          </w:p>
                          <w:p w:rsidR="0067073B" w:rsidRPr="00811EF1" w:rsidRDefault="0067073B" w:rsidP="00811EF1">
                            <w:pPr>
                              <w:pStyle w:val="Hdisclaimer"/>
                            </w:pPr>
                            <w:r>
                              <w:t>© Ευρωπαϊκή Ένωση, 2018.</w:t>
                            </w:r>
                          </w:p>
                          <w:p w:rsidR="0067073B" w:rsidRPr="00811EF1" w:rsidRDefault="0067073B" w:rsidP="00811EF1">
                            <w:pPr>
                              <w:pStyle w:val="Hdisclaimer"/>
                            </w:pPr>
                            <w:r>
                              <w:t>Επιτρέπεται η αναπαραγωγή, εφόσον γίνεται μνεία της πηγής.</w:t>
                            </w:r>
                          </w:p>
                          <w:p w:rsidR="0067073B" w:rsidRPr="00811EF1" w:rsidRDefault="0067073B" w:rsidP="00811EF1">
                            <w:pPr>
                              <w:pStyle w:val="Hdisclaimer"/>
                            </w:pPr>
                            <w:r>
                              <w:t xml:space="preserve">Προτεινόμενη παραπομπή: </w:t>
                            </w:r>
                          </w:p>
                          <w:p w:rsidR="0067073B" w:rsidRDefault="0067073B" w:rsidP="00435F02">
                            <w:pPr>
                              <w:pStyle w:val="Hdisclaimer"/>
                            </w:pPr>
                            <w:r>
                              <w:t xml:space="preserve">ΕΥΡΩΠΑΪΚΗ ΕΠΙΤΡΟΠΗ – Γενική Διεύθυνση Γεωργίας και Αγροτικής Ανάπτυξης – Διοικητική μονάδα C.4 (2018): Κατευθυντήριες γραμμές. Αξιολόγηση των επιτευγμάτων και των επιπτώσεων του ΠΑΑ το 2019. Βρυξέλλες, Αύγουστος 2018 </w:t>
                            </w:r>
                          </w:p>
                          <w:p w:rsidR="0067073B" w:rsidRPr="00811EF1" w:rsidRDefault="0067073B" w:rsidP="00811EF1">
                            <w:pPr>
                              <w:pStyle w:val="Hdisclaimer"/>
                            </w:pPr>
                            <w:r>
                              <w:t>Δήλωση αποποίησης ευθύνης:</w:t>
                            </w:r>
                          </w:p>
                          <w:p w:rsidR="0067073B" w:rsidRPr="00811EF1" w:rsidRDefault="0067073B" w:rsidP="00811EF1">
                            <w:pPr>
                              <w:pStyle w:val="Hdisclaimer"/>
                            </w:pPr>
                            <w:r>
                              <w:t>Οι πληροφορίες και οι απόψεις που διατυπώνονται στις παρούσες κατευθυντήριες γραμμές εκφράζουν τον συντάκτη/τους συντάκτες τους και δεν απηχούν κατ’ ανάγκη την επίσημη θέση της Επιτροπής. Η Επιτροπή δεν εγγυάται την ακρίβεια των στοιχείων που περιλαμβάνονται στις παρούσες κατευθυντήριες γραμμές. Η Επιτροπή και οποιοδήποτε άλλο πρόσωπο που ενεργεί εξ ονόματός της δεν φέρουν ευθύνη για την ενδεχόμενη χρήση των πληροφοριών που περιέχονται σε αυτές.</w:t>
                            </w:r>
                          </w:p>
                          <w:p w:rsidR="0067073B" w:rsidRPr="00811EF1" w:rsidRDefault="0067073B" w:rsidP="005B24FC">
                            <w:pPr>
                              <w:pStyle w:val="Hdisclaimer"/>
                              <w:tabs>
                                <w:tab w:val="right" w:pos="10065"/>
                              </w:tabs>
                            </w:pPr>
                            <w:r>
                              <w:rPr>
                                <w:noProof/>
                                <w:color w:val="auto"/>
                                <w:lang w:val="en-GB" w:eastAsia="en-GB"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67073B" w:rsidRPr="00811EF1" w:rsidRDefault="0067073B" w:rsidP="00811EF1">
                            <w:pPr>
                              <w:pStyle w:val="Hdisclaimer"/>
                            </w:pPr>
                            <w:r>
                              <w:t>Η Υπηρεσία Υποστήριξης της Αξιολόγησης (Evaluation Helpdesk) είναι αρμόδια για την αξιολόγηση στο πλαίσιο του Ευρωπαϊκού Δικτύου Αγροτικής Ανάπτυξης (ΕΔΑΑ) και παρέχει καθοδήγηση σχετικά με την αξιολόγηση των προγραμμάτων αγροτικής ανάπτυξης (ΠΑΑ) και των πολιτικών που εμπίπτουν στην αρμοδιότητα και στον καθοδηγητικό ρόλο της Μονάδας C.4 «Παρακολούθηση και αξιολόγηση» της ΓΔ AGRI της Ευρωπαϊκής Επιτροπής. Προκειμένου να βελτιωθεί η αξιολόγηση της πολιτικής αγροτικής ανάπτυξης της ΕΕ, η Υπηρεσία Υποστήριξης της Αξιολόγησης παρέχει υποστήριξη σε όλους τους εμπλεκόμενους στην αξιολόγηση, και ειδικότερα στη ΓΔ AGRI, τις εθνικές αρχές, τις διαχειριστικές αρχές και τους αξιολογητές του ΠΑΑ, μέσω της ανάπτυξης και της διάδοσης κατάλληλων μεθοδολογιών και εργαλείων· της συλλογής και ανταλλαγής ορθών πρακτικών· της ανάπτυξης ικανοτήτων και της επικοινωνίας με μέλη του δικτύου σχετικά με θέματα που αφορούν την αξιολόγηση.</w:t>
                            </w:r>
                          </w:p>
                          <w:p w:rsidR="0067073B" w:rsidRPr="00811EF1" w:rsidRDefault="0067073B" w:rsidP="00811EF1">
                            <w:pPr>
                              <w:pStyle w:val="Hdisclaimer"/>
                            </w:pPr>
                            <w:r>
                              <w:t>Συμπληρωματικές πληροφορίες σχετικά με τις δραστηριότητες της Ευρωπαϊκής Υπηρεσίας Υποστήριξης της Αξιολόγησης για την Αγροτική Ανάπτυξη (European Evaluation Helpdesk for Rural Development) διατίθενται στο διαδίκτυο μέσω του διακομιστή Europa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9D70" id="Text Box 7" o:spid="_x0000_s1027" type="#_x0000_t202" style="position:absolute;left:0;text-align:left;margin-left:-33.55pt;margin-top:322.45pt;width:518.4pt;height:406.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rsidR="0067073B" w:rsidRPr="00811EF1" w:rsidRDefault="0067073B" w:rsidP="00811EF1">
                      <w:pPr>
                        <w:pStyle w:val="Hdisclaimer"/>
                      </w:pPr>
                      <w:r>
                        <w:t>Επιφύλαξη δικαιωμάτων πνευματικής ιδιοκτησίας</w:t>
                      </w:r>
                    </w:p>
                    <w:p w:rsidR="0067073B" w:rsidRPr="00811EF1" w:rsidRDefault="0067073B" w:rsidP="00811EF1">
                      <w:pPr>
                        <w:pStyle w:val="Hdisclaimer"/>
                      </w:pPr>
                      <w:r>
                        <w:t>© Ευρωπαϊκή Ένωση, 2018.</w:t>
                      </w:r>
                    </w:p>
                    <w:p w:rsidR="0067073B" w:rsidRPr="00811EF1" w:rsidRDefault="0067073B" w:rsidP="00811EF1">
                      <w:pPr>
                        <w:pStyle w:val="Hdisclaimer"/>
                      </w:pPr>
                      <w:r>
                        <w:t>Επιτρέπεται η αναπαραγωγή, εφόσον γίνεται μνεία της πηγής.</w:t>
                      </w:r>
                    </w:p>
                    <w:p w:rsidR="0067073B" w:rsidRPr="00811EF1" w:rsidRDefault="0067073B" w:rsidP="00811EF1">
                      <w:pPr>
                        <w:pStyle w:val="Hdisclaimer"/>
                      </w:pPr>
                      <w:r>
                        <w:t xml:space="preserve">Προτεινόμενη παραπομπή: </w:t>
                      </w:r>
                    </w:p>
                    <w:p w:rsidR="0067073B" w:rsidRDefault="0067073B" w:rsidP="00435F02">
                      <w:pPr>
                        <w:pStyle w:val="Hdisclaimer"/>
                      </w:pPr>
                      <w:r>
                        <w:t xml:space="preserve">ΕΥΡΩΠΑΪΚΗ ΕΠΙΤΡΟΠΗ – Γενική Διεύθυνση Γεωργίας και Αγροτικής Ανάπτυξης – Διοικητική μονάδα C.4 (2018): Κατευθυντήριες γραμμές. Αξιολόγηση των επιτευγμάτων και των επιπτώσεων του ΠΑΑ το 2019. Βρυξέλλες, Αύγουστος 2018 </w:t>
                      </w:r>
                    </w:p>
                    <w:p w:rsidR="0067073B" w:rsidRPr="00811EF1" w:rsidRDefault="0067073B" w:rsidP="00811EF1">
                      <w:pPr>
                        <w:pStyle w:val="Hdisclaimer"/>
                      </w:pPr>
                      <w:r>
                        <w:t>Δήλωση αποποίησης ευθύνης:</w:t>
                      </w:r>
                    </w:p>
                    <w:p w:rsidR="0067073B" w:rsidRPr="00811EF1" w:rsidRDefault="0067073B" w:rsidP="00811EF1">
                      <w:pPr>
                        <w:pStyle w:val="Hdisclaimer"/>
                      </w:pPr>
                      <w:r>
                        <w:t>Οι πληροφορίες και οι απόψεις που διατυπώνονται στις παρούσες κατευθυντήριες γραμμές εκφράζουν τον συντάκτη/τους συντάκτες τους και δεν απηχούν κατ’ ανάγκη την επίσημη θέση της Επιτροπής. Η Επιτροπή δεν εγγυάται την ακρίβεια των στοιχείων που περιλαμβάνονται στις παρούσες κατευθυντήριες γραμμές. Η Επιτροπή και οποιοδήποτε άλλο πρόσωπο που ενεργεί εξ ονόματός της δεν φέρουν ευθύνη για την ενδεχόμενη χρήση των πληροφοριών που περιέχονται σε αυτές.</w:t>
                      </w:r>
                    </w:p>
                    <w:p w:rsidR="0067073B" w:rsidRPr="00811EF1" w:rsidRDefault="0067073B" w:rsidP="005B24FC">
                      <w:pPr>
                        <w:pStyle w:val="Hdisclaimer"/>
                        <w:tabs>
                          <w:tab w:val="right" w:pos="10065"/>
                        </w:tabs>
                      </w:pPr>
                      <w:r>
                        <w:rPr>
                          <w:noProof/>
                          <w:color w:val="auto"/>
                          <w:lang w:val="en-GB" w:eastAsia="en-GB"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67073B" w:rsidRPr="00811EF1" w:rsidRDefault="0067073B" w:rsidP="00811EF1">
                      <w:pPr>
                        <w:pStyle w:val="Hdisclaimer"/>
                      </w:pPr>
                      <w:r>
                        <w:t>Η Υπηρεσία Υποστήριξης της Αξιολόγησης (Evaluation Helpdesk) είναι αρμόδια για την αξιολόγηση στο πλαίσιο του Ευρωπαϊκού Δικτύου Αγροτικής Ανάπτυξης (ΕΔΑΑ) και παρέχει καθοδήγηση σχετικά με την αξιολόγηση των προγραμμάτων αγροτικής ανάπτυξης (ΠΑΑ) και των πολιτικών που εμπίπτουν στην αρμοδιότητα και στον καθοδηγητικό ρόλο της Μονάδας C.4 «Παρακολούθηση και αξιολόγηση» της ΓΔ AGRI της Ευρωπαϊκής Επιτροπής. Προκειμένου να βελτιωθεί η αξιολόγηση της πολιτικής αγροτικής ανάπτυξης της ΕΕ, η Υπηρεσία Υποστήριξης της Αξιολόγησης παρέχει υποστήριξη σε όλους τους εμπλεκόμενους στην αξιολόγηση, και ειδικότερα στη ΓΔ AGRI, τις εθνικές αρχές, τις διαχειριστικές αρχές και τους αξιολογητές του ΠΑΑ, μέσω της ανάπτυξης και της διάδοσης κατάλληλων μεθοδολογιών και εργαλείων· της συλλογής και ανταλλαγής ορθών πρακτικών· της ανάπτυξης ικανοτήτων και της επικοινωνίας με μέλη του δικτύου σχετικά με θέματα που αφορούν την αξιολόγηση.</w:t>
                      </w:r>
                    </w:p>
                    <w:p w:rsidR="0067073B" w:rsidRPr="00811EF1" w:rsidRDefault="0067073B" w:rsidP="00811EF1">
                      <w:pPr>
                        <w:pStyle w:val="Hdisclaimer"/>
                      </w:pPr>
                      <w:r>
                        <w:t>Συμπληρωματικές πληροφορίες σχετικά με τις δραστηριότητες της Ευρωπαϊκής Υπηρεσίας Υποστήριξης της Αξιολόγησης για την Αγροτική Ανάπτυξη (European Evaluation Helpdesk for Rural Development) διατίθενται στο διαδίκτυο μέσω του διακομιστή Europa (http://enrd.ec.europa.eu).</w:t>
                      </w:r>
                    </w:p>
                  </w:txbxContent>
                </v:textbox>
                <w10:wrap anchorx="margin"/>
              </v:shape>
            </w:pict>
          </mc:Fallback>
        </mc:AlternateContent>
      </w:r>
      <w:r>
        <w:br w:type="page"/>
      </w:r>
    </w:p>
    <w:p w:rsidR="00016061" w:rsidRPr="00571D58" w:rsidRDefault="00016061" w:rsidP="007C6797">
      <w:pPr>
        <w:pStyle w:val="HStandard"/>
      </w:pPr>
    </w:p>
    <w:p w:rsidR="00016061" w:rsidRPr="00571D58" w:rsidRDefault="00016061" w:rsidP="007C6797">
      <w:pPr>
        <w:pStyle w:val="HStandard"/>
      </w:pPr>
    </w:p>
    <w:p w:rsidR="00016061" w:rsidRPr="00571D58" w:rsidRDefault="00016061" w:rsidP="007C6797">
      <w:pPr>
        <w:pStyle w:val="HStandard"/>
      </w:pPr>
    </w:p>
    <w:p w:rsidR="00016061" w:rsidRPr="00571D58" w:rsidRDefault="000B213F" w:rsidP="007C6797">
      <w:pPr>
        <w:pStyle w:val="HStandard"/>
      </w:pPr>
      <w:r>
        <w:rPr>
          <w:noProof/>
          <w:lang w:val="en-GB" w:eastAsia="en-GB" w:bidi="ar-SA"/>
        </w:rPr>
        <mc:AlternateContent>
          <mc:Choice Requires="wps">
            <w:drawing>
              <wp:anchor distT="0" distB="0" distL="114300" distR="114300" simplePos="0" relativeHeight="251665920" behindDoc="1" locked="0" layoutInCell="1" allowOverlap="1" wp14:anchorId="15F0B7C9" wp14:editId="4EC757E9">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73B" w:rsidRPr="00F15219" w:rsidRDefault="0067073B" w:rsidP="00E76949">
                            <w:pPr>
                              <w:pStyle w:val="HTitle1"/>
                            </w:pPr>
                            <w:r>
                              <w:t>Κατευθυντήριες γραμμές</w:t>
                            </w:r>
                          </w:p>
                          <w:p w:rsidR="0067073B" w:rsidRPr="00F15219" w:rsidRDefault="0067073B" w:rsidP="00BE49CF">
                            <w:pPr>
                              <w:pStyle w:val="HTitle2"/>
                            </w:pPr>
                            <w:r>
                              <w:t>ΑΞΙΟΛΟΓΗΣΗ ΤΩΝ ΕΠΙΤΕΥΓΜΑΤΩΝ ΚΑΙ ΤΩΝ ΕΠΙΠΤΩΣΕΩΝ ΤΟΥ ΠΑΑ ΤΟ 2019</w:t>
                            </w:r>
                          </w:p>
                          <w:p w:rsidR="0067073B" w:rsidRPr="00F15219" w:rsidRDefault="0067073B" w:rsidP="00196DF6">
                            <w:pPr>
                              <w:pStyle w:val="HTitle2"/>
                            </w:pPr>
                          </w:p>
                          <w:p w:rsidR="0067073B" w:rsidRPr="00D46054" w:rsidRDefault="0067073B" w:rsidP="00BE49CF">
                            <w:pPr>
                              <w:pStyle w:val="HTitle3"/>
                              <w:rPr>
                                <w:color w:val="auto"/>
                              </w:rPr>
                            </w:pPr>
                            <w:r>
                              <w:rPr>
                                <w:color w:val="auto"/>
                              </w:rPr>
                              <w:t>Αύγουστος 2018</w:t>
                            </w:r>
                          </w:p>
                          <w:p w:rsidR="0067073B" w:rsidRPr="00D46054" w:rsidRDefault="0067073B"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0B7C9"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67073B" w:rsidRPr="00F15219" w:rsidRDefault="0067073B" w:rsidP="00E76949">
                      <w:pPr>
                        <w:pStyle w:val="HTitle1"/>
                      </w:pPr>
                      <w:r>
                        <w:t>Κατευθυντήριες γραμμές</w:t>
                      </w:r>
                    </w:p>
                    <w:p w:rsidR="0067073B" w:rsidRPr="00F15219" w:rsidRDefault="0067073B" w:rsidP="00BE49CF">
                      <w:pPr>
                        <w:pStyle w:val="HTitle2"/>
                      </w:pPr>
                      <w:r>
                        <w:t>ΑΞΙΟΛΟΓΗΣΗ ΤΩΝ ΕΠΙΤΕΥΓΜΑΤΩΝ ΚΑΙ ΤΩΝ ΕΠΙΠΤΩΣΕΩΝ ΤΟΥ ΠΑΑ ΤΟ 2019</w:t>
                      </w:r>
                    </w:p>
                    <w:p w:rsidR="0067073B" w:rsidRPr="00F15219" w:rsidRDefault="0067073B" w:rsidP="00196DF6">
                      <w:pPr>
                        <w:pStyle w:val="HTitle2"/>
                      </w:pPr>
                    </w:p>
                    <w:p w:rsidR="0067073B" w:rsidRPr="00D46054" w:rsidRDefault="0067073B" w:rsidP="00BE49CF">
                      <w:pPr>
                        <w:pStyle w:val="HTitle3"/>
                        <w:rPr>
                          <w:color w:val="auto"/>
                        </w:rPr>
                      </w:pPr>
                      <w:r>
                        <w:rPr>
                          <w:color w:val="auto"/>
                        </w:rPr>
                        <w:t>Αύγουστος 2018</w:t>
                      </w:r>
                    </w:p>
                    <w:p w:rsidR="0067073B" w:rsidRPr="00D46054" w:rsidRDefault="0067073B" w:rsidP="00196DF6">
                      <w:pPr>
                        <w:pStyle w:val="HTitle3"/>
                        <w:rPr>
                          <w:color w:val="auto"/>
                        </w:rPr>
                      </w:pPr>
                    </w:p>
                  </w:txbxContent>
                </v:textbox>
                <w10:wrap type="tight" anchorx="page" anchory="page"/>
              </v:shape>
            </w:pict>
          </mc:Fallback>
        </mc:AlternateContent>
      </w:r>
    </w:p>
    <w:p w:rsidR="00016061" w:rsidRPr="00571D58" w:rsidRDefault="00016061" w:rsidP="007C6797">
      <w:pPr>
        <w:pStyle w:val="HStandard"/>
        <w:sectPr w:rsidR="00016061" w:rsidRPr="00571D58" w:rsidSect="00FA7E7B">
          <w:footerReference w:type="first" r:id="rId11"/>
          <w:pgSz w:w="11906" w:h="16838" w:code="9"/>
          <w:pgMar w:top="1440" w:right="1440" w:bottom="1134" w:left="1440" w:header="284" w:footer="709" w:gutter="0"/>
          <w:cols w:space="708"/>
          <w:titlePg/>
          <w:docGrid w:linePitch="360"/>
        </w:sectPr>
      </w:pPr>
    </w:p>
    <w:p w:rsidR="008B6E5C" w:rsidRPr="00571D58" w:rsidRDefault="008B6E5C">
      <w:pPr>
        <w:spacing w:before="0" w:after="0" w:line="240" w:lineRule="auto"/>
        <w:jc w:val="left"/>
        <w:rPr>
          <w:rFonts w:cs="Arial"/>
          <w:b/>
          <w:bCs/>
          <w:caps/>
          <w:color w:val="F07E31" w:themeColor="accent1"/>
          <w:kern w:val="32"/>
          <w:sz w:val="20"/>
          <w:szCs w:val="32"/>
        </w:rPr>
      </w:pPr>
      <w:r>
        <w:lastRenderedPageBreak/>
        <w:br w:type="page"/>
      </w:r>
    </w:p>
    <w:p w:rsidR="000B62C2" w:rsidRPr="00571D58" w:rsidRDefault="000B62C2" w:rsidP="000B62C2">
      <w:pPr>
        <w:pStyle w:val="HContent"/>
      </w:pPr>
      <w:r>
        <w:lastRenderedPageBreak/>
        <w:t>Περιεχόμενα</w:t>
      </w:r>
    </w:p>
    <w:p w:rsidR="00FB5A40" w:rsidRDefault="00FB5A40" w:rsidP="00FB5A40">
      <w:r>
        <w:t>Ευχαριστίες</w:t>
      </w:r>
      <w:r>
        <w:tab/>
        <w:t>1</w:t>
      </w:r>
    </w:p>
    <w:p w:rsidR="00FB5A40" w:rsidRDefault="00FB5A40" w:rsidP="00FB5A40">
      <w:r>
        <w:t>ΕΙΣΑΓΩΓΗ</w:t>
      </w:r>
      <w:r>
        <w:tab/>
        <w:t>2</w:t>
      </w:r>
    </w:p>
    <w:p w:rsidR="00FB5A40" w:rsidRDefault="00FB5A40" w:rsidP="00FB5A40">
      <w:r>
        <w:t>1</w:t>
      </w:r>
      <w:r>
        <w:tab/>
        <w:t>Ποια στοιχεία σχετικά με την αξιολόγηση πρέπει να περιλαμβάνει η ΕΕΥ που θα υποβληθεί το 2019; (Μέρος I)</w:t>
      </w:r>
      <w:r>
        <w:tab/>
        <w:t>3</w:t>
      </w:r>
    </w:p>
    <w:p w:rsidR="00FB5A40" w:rsidRDefault="00FB5A40" w:rsidP="00FB5A40">
      <w:r>
        <w:t>1.1</w:t>
      </w:r>
      <w:r>
        <w:tab/>
        <w:t>Νομικό πλαίσιο και επίκεντρο της αξιολόγησης το 2019</w:t>
      </w:r>
      <w:r>
        <w:tab/>
        <w:t>3</w:t>
      </w:r>
    </w:p>
    <w:p w:rsidR="00FB5A40" w:rsidRDefault="00FB5A40" w:rsidP="00FB5A40">
      <w:r>
        <w:t>1.2</w:t>
      </w:r>
      <w:r>
        <w:tab/>
        <w:t>Πώς θα γίνει η υποβολή έκθεσης σχετικά με τα ΚΕΑ το 2019;</w:t>
      </w:r>
      <w:r>
        <w:tab/>
      </w:r>
      <w:r w:rsidR="0067073B" w:rsidRPr="0067073B">
        <w:tab/>
      </w:r>
      <w:r w:rsidR="0067073B" w:rsidRPr="0067073B">
        <w:tab/>
      </w:r>
      <w:r>
        <w:t>6</w:t>
      </w:r>
    </w:p>
    <w:p w:rsidR="00FB5A40" w:rsidRDefault="00FB5A40" w:rsidP="00FB5A40">
      <w:r>
        <w:t>1.3</w:t>
      </w:r>
      <w:r>
        <w:tab/>
        <w:t>Προετοιμασία για την ΕΕΥ του 2019</w:t>
      </w:r>
      <w:r>
        <w:tab/>
      </w:r>
      <w:r w:rsidR="0067073B" w:rsidRPr="0067073B">
        <w:tab/>
      </w:r>
      <w:r w:rsidR="0067073B" w:rsidRPr="0067073B">
        <w:tab/>
      </w:r>
      <w:r>
        <w:t>8</w:t>
      </w:r>
    </w:p>
    <w:p w:rsidR="00FB5A40" w:rsidRDefault="00FB5A40" w:rsidP="00FB5A40">
      <w:r>
        <w:t>2</w:t>
      </w:r>
      <w:r>
        <w:tab/>
        <w:t>Προσεγγίσεις για την εκτίμηση των επιπτώσεων του ΠΑΑ το 2019 (ΜΕΡΟΣ II)</w:t>
      </w:r>
      <w:r>
        <w:tab/>
      </w:r>
      <w:r w:rsidR="0067073B" w:rsidRPr="0067073B">
        <w:tab/>
      </w:r>
      <w:r>
        <w:t>12</w:t>
      </w:r>
    </w:p>
    <w:p w:rsidR="00FB5A40" w:rsidRDefault="00FB5A40" w:rsidP="0067073B">
      <w:pPr>
        <w:jc w:val="left"/>
      </w:pPr>
      <w:r>
        <w:t>2.1</w:t>
      </w:r>
      <w:r>
        <w:tab/>
        <w:t xml:space="preserve">Επιλογή κατάλληλων προσεγγίσεων αξιολόγησης για την εκτίμηση </w:t>
      </w:r>
      <w:r w:rsidR="0067073B" w:rsidRPr="0067073B">
        <w:br/>
      </w:r>
      <w:r>
        <w:t>των</w:t>
      </w:r>
      <w:r w:rsidR="0067073B" w:rsidRPr="0067073B">
        <w:t xml:space="preserve"> </w:t>
      </w:r>
      <w:r>
        <w:t>επιπτώσεων του ΠΑΑ</w:t>
      </w:r>
      <w:r>
        <w:tab/>
      </w:r>
      <w:r w:rsidR="0067073B" w:rsidRPr="0067073B">
        <w:tab/>
      </w:r>
      <w:r w:rsidR="0067073B" w:rsidRPr="0067073B">
        <w:tab/>
      </w:r>
      <w:r w:rsidR="0067073B" w:rsidRPr="0067073B">
        <w:tab/>
      </w:r>
      <w:r w:rsidR="0067073B" w:rsidRPr="0067073B">
        <w:tab/>
      </w:r>
      <w:r w:rsidR="0067073B" w:rsidRPr="0067073B">
        <w:tab/>
      </w:r>
      <w:r w:rsidR="0067073B" w:rsidRPr="0067073B">
        <w:tab/>
      </w:r>
      <w:r w:rsidR="0067073B" w:rsidRPr="0067073B">
        <w:tab/>
      </w:r>
      <w:r>
        <w:t>12</w:t>
      </w:r>
    </w:p>
    <w:p w:rsidR="00FB5A40" w:rsidRDefault="00FB5A40" w:rsidP="00FB5A40">
      <w:r>
        <w:t>2.1.1</w:t>
      </w:r>
      <w:r>
        <w:tab/>
        <w:t xml:space="preserve">Πώς μπορούν να χρησιμοποιούνται τα λογικά μοντέλα για τον προσδιορισμό </w:t>
      </w:r>
      <w:r w:rsidR="0067073B" w:rsidRPr="0067073B">
        <w:br/>
      </w:r>
      <w:r>
        <w:t>των κατάλληλων προσεγγίσεων αξιολόγησης;</w:t>
      </w:r>
      <w:r>
        <w:tab/>
      </w:r>
      <w:r w:rsidR="0067073B" w:rsidRPr="005E7B7E">
        <w:tab/>
      </w:r>
      <w:r w:rsidR="0067073B" w:rsidRPr="005E7B7E">
        <w:tab/>
      </w:r>
      <w:r w:rsidR="0067073B" w:rsidRPr="005E7B7E">
        <w:tab/>
      </w:r>
      <w:r w:rsidR="0067073B" w:rsidRPr="005E7B7E">
        <w:tab/>
      </w:r>
      <w:r w:rsidR="0067073B" w:rsidRPr="005E7B7E">
        <w:tab/>
      </w:r>
      <w:r>
        <w:t>12</w:t>
      </w:r>
    </w:p>
    <w:p w:rsidR="00FB5A40" w:rsidRDefault="00FB5A40" w:rsidP="00FB5A40">
      <w:r>
        <w:t>2.1.2</w:t>
      </w:r>
      <w:r>
        <w:tab/>
        <w:t xml:space="preserve">Επισκόπηση των συνιστώμενων προσεγγίσεων αξιολόγησης για την εκτίμηση των δεικτών </w:t>
      </w:r>
      <w:r w:rsidR="0067073B" w:rsidRPr="0067073B">
        <w:br/>
      </w:r>
      <w:r>
        <w:t>αντικτύπου της ΚΓΠ</w:t>
      </w:r>
      <w:r>
        <w:tab/>
      </w:r>
      <w:r w:rsidR="0067073B" w:rsidRPr="0067073B">
        <w:tab/>
      </w:r>
      <w:r w:rsidR="0067073B" w:rsidRPr="0067073B">
        <w:tab/>
      </w:r>
      <w:r w:rsidR="0067073B" w:rsidRPr="0067073B">
        <w:tab/>
      </w:r>
      <w:r w:rsidR="0067073B" w:rsidRPr="0067073B">
        <w:tab/>
      </w:r>
      <w:r w:rsidR="0067073B" w:rsidRPr="0067073B">
        <w:tab/>
      </w:r>
      <w:r w:rsidR="0067073B" w:rsidRPr="0067073B">
        <w:tab/>
      </w:r>
      <w:r w:rsidR="0067073B" w:rsidRPr="0067073B">
        <w:tab/>
      </w:r>
      <w:r>
        <w:t>23</w:t>
      </w:r>
    </w:p>
    <w:p w:rsidR="00016061" w:rsidRPr="001C6ACF" w:rsidRDefault="00542440" w:rsidP="000B62C2">
      <w:pPr>
        <w:pStyle w:val="HContent"/>
      </w:pPr>
      <w:r>
        <w:lastRenderedPageBreak/>
        <w:t xml:space="preserve">Πίνακες και σχήματα </w:t>
      </w:r>
    </w:p>
    <w:p w:rsidR="00FB5A40" w:rsidRDefault="00FB5A40" w:rsidP="00FB5A40">
      <w:r>
        <w:t>Πίνακας 1.</w:t>
      </w:r>
      <w:r>
        <w:tab/>
        <w:t>Καθοδήγηση σχετικά με τις απαντήσεις στα ΚΕΑ στο πλαίσιο της ΕΕΥ του 2019</w:t>
      </w:r>
      <w:r>
        <w:tab/>
        <w:t>7</w:t>
      </w:r>
    </w:p>
    <w:p w:rsidR="00FB5A40" w:rsidRDefault="00FB5A40" w:rsidP="00FB5A40">
      <w:r>
        <w:t>Πίνακας 2.</w:t>
      </w:r>
      <w:r>
        <w:tab/>
        <w:t>Κατάλογος ελέγχου των συνιστώμενων βημάτων για την αξιολόγηση το 2019</w:t>
      </w:r>
      <w:r>
        <w:tab/>
        <w:t>9</w:t>
      </w:r>
    </w:p>
    <w:p w:rsidR="00FB5A40" w:rsidRDefault="00FB5A40" w:rsidP="00FB5A40">
      <w:r>
        <w:t>Πίνακας 3</w:t>
      </w:r>
      <w:r>
        <w:tab/>
        <w:t>Παραδείγματα συνιστώμενων προσεγγίσεων αξιολόγησης για την εκτίμηση των δεικτών αντικτύπου της ΚΓΠ</w:t>
      </w:r>
      <w:r>
        <w:tab/>
      </w:r>
      <w:r w:rsidR="0067073B" w:rsidRPr="0067073B">
        <w:tab/>
      </w:r>
      <w:r w:rsidR="0067073B" w:rsidRPr="0067073B">
        <w:tab/>
      </w:r>
      <w:r w:rsidR="0067073B" w:rsidRPr="0067073B">
        <w:tab/>
      </w:r>
      <w:r w:rsidR="0067073B" w:rsidRPr="0067073B">
        <w:tab/>
      </w:r>
      <w:r w:rsidR="0067073B" w:rsidRPr="0067073B">
        <w:tab/>
      </w:r>
      <w:r w:rsidR="0067073B" w:rsidRPr="0067073B">
        <w:tab/>
      </w:r>
      <w:r w:rsidR="0067073B" w:rsidRPr="0067073B">
        <w:tab/>
      </w:r>
      <w:r w:rsidR="0067073B" w:rsidRPr="0067073B">
        <w:tab/>
      </w:r>
      <w:r>
        <w:t>24</w:t>
      </w:r>
    </w:p>
    <w:p w:rsidR="00FE491B" w:rsidRPr="00571D58" w:rsidRDefault="00FE491B" w:rsidP="00FE491B">
      <w:pPr>
        <w:pStyle w:val="HContent"/>
      </w:pPr>
      <w:r>
        <w:lastRenderedPageBreak/>
        <w:t>Κατάλογος αρκτικόλεξων</w:t>
      </w:r>
    </w:p>
    <w:p w:rsidR="00FE491B" w:rsidRPr="00336531" w:rsidRDefault="00FE491B" w:rsidP="00FE491B">
      <w:pPr>
        <w:pStyle w:val="HStandard"/>
        <w:ind w:left="993" w:hanging="993"/>
      </w:pPr>
      <w:r>
        <w:t>AEI/ΓΕΕ</w:t>
      </w:r>
      <w:r>
        <w:tab/>
      </w:r>
      <w:r>
        <w:tab/>
        <w:t>Agricultural Entrepreneurial Income/Γεωργικό επιχειρηματικό εισόδημα</w:t>
      </w:r>
    </w:p>
    <w:p w:rsidR="00FE491B" w:rsidRPr="00FB6C06" w:rsidRDefault="00FE491B" w:rsidP="00FE491B">
      <w:pPr>
        <w:pStyle w:val="HStandard"/>
        <w:ind w:left="993" w:hanging="993"/>
      </w:pPr>
      <w:r>
        <w:t>AEI/ΓΠΔ</w:t>
      </w:r>
      <w:r>
        <w:tab/>
      </w:r>
      <w:r>
        <w:tab/>
        <w:t>Agri-Environmental Indicators/Γεωργοπεριβαλλοντικοί δείκτες</w:t>
      </w:r>
    </w:p>
    <w:p w:rsidR="00FE491B" w:rsidRPr="007645B4" w:rsidRDefault="00FE491B" w:rsidP="00FE491B">
      <w:pPr>
        <w:pStyle w:val="HStandard"/>
        <w:ind w:left="993" w:hanging="993"/>
      </w:pPr>
      <w:r>
        <w:t>AFI/ΓΕΣΠ</w:t>
      </w:r>
      <w:r>
        <w:tab/>
      </w:r>
      <w:r>
        <w:tab/>
        <w:t>Agricultural Factor Income/Γεωργικό εισόδημα συντελεστών παραγωγής</w:t>
      </w:r>
    </w:p>
    <w:p w:rsidR="00FE491B" w:rsidRPr="001C6ACF" w:rsidRDefault="00FE491B" w:rsidP="00FE491B">
      <w:pPr>
        <w:pStyle w:val="HStandard"/>
        <w:ind w:left="993" w:hanging="993"/>
      </w:pPr>
      <w:r>
        <w:t>AIR/ΕΕΥ</w:t>
      </w:r>
      <w:r>
        <w:tab/>
      </w:r>
      <w:r>
        <w:tab/>
        <w:t>Annual Implementation Report/Ετήσια έκθεση υλοποίησης</w:t>
      </w:r>
    </w:p>
    <w:p w:rsidR="00FE491B" w:rsidRPr="001C6ACF" w:rsidRDefault="00FE491B" w:rsidP="00FE491B">
      <w:pPr>
        <w:pStyle w:val="HStandard"/>
        <w:ind w:left="993" w:hanging="993"/>
      </w:pPr>
      <w:r>
        <w:t>ANC/ΠΦΠ</w:t>
      </w:r>
      <w:r>
        <w:tab/>
      </w:r>
      <w:r>
        <w:tab/>
        <w:t>Areas-facing Natural Constraints/Περιοχές με φυσικούς περιορισμούς</w:t>
      </w:r>
    </w:p>
    <w:p w:rsidR="00FE491B" w:rsidRPr="001C6ACF" w:rsidRDefault="00FE491B" w:rsidP="00FE491B">
      <w:pPr>
        <w:pStyle w:val="HStandard"/>
        <w:ind w:left="993" w:hanging="993"/>
      </w:pPr>
      <w:r>
        <w:t>ATT/ΜΑΕΔ</w:t>
      </w:r>
      <w:r>
        <w:tab/>
      </w:r>
      <w:r>
        <w:tab/>
        <w:t xml:space="preserve">Average Treatment Effects on Treated/Μέσο αποτέλεσμα εφαρμογής στους δικαιούχους </w:t>
      </w:r>
    </w:p>
    <w:p w:rsidR="00FE491B" w:rsidRPr="001C6ACF" w:rsidRDefault="00FE491B" w:rsidP="00FE491B">
      <w:pPr>
        <w:pStyle w:val="HStandard"/>
        <w:ind w:left="993" w:hanging="993"/>
      </w:pPr>
      <w:r>
        <w:t>AROPE/ΑΚΦΚΑ</w:t>
      </w:r>
      <w:r>
        <w:tab/>
      </w:r>
      <w:r>
        <w:tab/>
        <w:t>At Risk Of Poverty Or Social Exclusion/Άτομα σε κίνδυνο φτώχειας και κοινωνικού αποκλεισμού</w:t>
      </w:r>
    </w:p>
    <w:p w:rsidR="00FE491B" w:rsidRPr="001C6ACF" w:rsidRDefault="00FE491B" w:rsidP="00FE491B">
      <w:pPr>
        <w:pStyle w:val="HStandard"/>
        <w:ind w:left="993" w:hanging="993"/>
      </w:pPr>
      <w:r>
        <w:t>AWU/ΕΜΕ</w:t>
      </w:r>
      <w:r>
        <w:tab/>
      </w:r>
      <w:r>
        <w:tab/>
        <w:t>Annual Work Units/Ετήσιες μονάδες εργασίας</w:t>
      </w:r>
    </w:p>
    <w:p w:rsidR="00FE491B" w:rsidRPr="001C6ACF" w:rsidRDefault="00FE491B" w:rsidP="00FE491B">
      <w:pPr>
        <w:pStyle w:val="HStandard"/>
        <w:ind w:left="993" w:hanging="993"/>
      </w:pPr>
      <w:r>
        <w:t>CAP/ΚΓΠ</w:t>
      </w:r>
      <w:r>
        <w:tab/>
      </w:r>
      <w:r>
        <w:tab/>
        <w:t xml:space="preserve">Common Agricultural Policy/Κοινή γεωργική πολιτική </w:t>
      </w:r>
    </w:p>
    <w:p w:rsidR="00FE491B" w:rsidRPr="001C6ACF" w:rsidRDefault="00FE491B" w:rsidP="00FE491B">
      <w:pPr>
        <w:pStyle w:val="HStandard"/>
        <w:ind w:left="993" w:hanging="993"/>
      </w:pPr>
      <w:r>
        <w:t>CCI/ΚΔΠ</w:t>
      </w:r>
      <w:r>
        <w:tab/>
      </w:r>
      <w:r>
        <w:tab/>
        <w:t>Common Context Indicators/Κοινοί δείκτες πλαισίου</w:t>
      </w:r>
    </w:p>
    <w:p w:rsidR="00FE491B" w:rsidRPr="001C6ACF" w:rsidRDefault="00FE491B" w:rsidP="00FE491B">
      <w:pPr>
        <w:pStyle w:val="HStandard"/>
        <w:ind w:left="993" w:hanging="993"/>
      </w:pPr>
      <w:r>
        <w:t>CEQ/ΚΕΑ</w:t>
      </w:r>
      <w:r>
        <w:tab/>
      </w:r>
      <w:r>
        <w:tab/>
        <w:t>Common Evaluation Questions/Κοινά ερωτήματα αξιολόγησης</w:t>
      </w:r>
    </w:p>
    <w:p w:rsidR="00FE491B" w:rsidRPr="001C6ACF" w:rsidRDefault="00FE491B" w:rsidP="00FE491B">
      <w:pPr>
        <w:pStyle w:val="HStandard"/>
        <w:ind w:left="993" w:hanging="993"/>
      </w:pPr>
      <w:r>
        <w:t>CLLD/ΤΑΠΤΚ</w:t>
      </w:r>
      <w:r>
        <w:tab/>
      </w:r>
      <w:r>
        <w:tab/>
        <w:t xml:space="preserve">Community-Led Local Development/Τοπική ανάπτυξη με πρωτοβουλία των τοπικών κοινοτήτων </w:t>
      </w:r>
    </w:p>
    <w:p w:rsidR="00FE491B" w:rsidRPr="001C6ACF" w:rsidRDefault="00FE491B" w:rsidP="00FE491B">
      <w:pPr>
        <w:pStyle w:val="HStandard"/>
        <w:ind w:left="993" w:hanging="993"/>
      </w:pPr>
      <w:r>
        <w:t xml:space="preserve">CGE/ΥΓΥ </w:t>
      </w:r>
      <w:r>
        <w:tab/>
      </w:r>
      <w:r>
        <w:tab/>
        <w:t xml:space="preserve">Computable General Equilibrium/Υπολογίσιμη γενική ισορροπία </w:t>
      </w:r>
    </w:p>
    <w:p w:rsidR="00FE491B" w:rsidRPr="001C6ACF" w:rsidRDefault="00FE491B" w:rsidP="00FE491B">
      <w:pPr>
        <w:pStyle w:val="HStandard"/>
        <w:ind w:left="993" w:hanging="993"/>
      </w:pPr>
      <w:r>
        <w:t xml:space="preserve">CMES/ΚΣΠΑ </w:t>
      </w:r>
      <w:r>
        <w:tab/>
      </w:r>
      <w:r>
        <w:tab/>
        <w:t>Common Monitoring and Evaluation System/Κοινό σύστημα παρακολούθησης και αξιολόγησης</w:t>
      </w:r>
    </w:p>
    <w:p w:rsidR="00FE491B" w:rsidRPr="001C6ACF" w:rsidRDefault="00FE491B" w:rsidP="00FE491B">
      <w:pPr>
        <w:pStyle w:val="HStandard"/>
        <w:ind w:left="993" w:hanging="993"/>
      </w:pPr>
      <w:r>
        <w:t>CORINE/ΣΠΠ</w:t>
      </w:r>
      <w:r>
        <w:tab/>
      </w:r>
      <w:r>
        <w:tab/>
        <w:t>Coordination of information on the environment/Συντονισμός πληροφοριών για το περιβάλλον</w:t>
      </w:r>
    </w:p>
    <w:p w:rsidR="00FE491B" w:rsidRPr="001C6ACF" w:rsidRDefault="00FE491B" w:rsidP="00FE491B">
      <w:pPr>
        <w:pStyle w:val="HStandard"/>
        <w:ind w:left="993" w:hanging="993"/>
      </w:pPr>
      <w:r>
        <w:t>DG AGRI/ΓΔ AGRI</w:t>
      </w:r>
      <w:r>
        <w:tab/>
      </w:r>
      <w:r>
        <w:tab/>
        <w:t>Directorate-General for Agriculture and Rural Development/Γενική Διεύθυνση Γεωργίας και Αγροτικής Ανάπτυξης</w:t>
      </w:r>
    </w:p>
    <w:p w:rsidR="00FE491B" w:rsidRPr="001C6ACF" w:rsidRDefault="007008C0" w:rsidP="00FE491B">
      <w:pPr>
        <w:pStyle w:val="HStandard"/>
        <w:ind w:left="993" w:hanging="993"/>
      </w:pPr>
      <w:r>
        <w:t>DiD/ΔτΔ</w:t>
      </w:r>
      <w:r>
        <w:tab/>
      </w:r>
      <w:r>
        <w:tab/>
        <w:t xml:space="preserve">Difference in Differences/Διαφορά των διαφορών </w:t>
      </w:r>
    </w:p>
    <w:p w:rsidR="00FE491B" w:rsidRPr="001C6ACF" w:rsidRDefault="00FE491B" w:rsidP="00FE491B">
      <w:pPr>
        <w:pStyle w:val="HStandard"/>
        <w:ind w:left="993" w:hanging="993"/>
      </w:pPr>
      <w:r>
        <w:t>DP/ΠΔ</w:t>
      </w:r>
      <w:r>
        <w:tab/>
      </w:r>
      <w:r>
        <w:tab/>
        <w:t>Data provider/Πάροχος δεδομένων</w:t>
      </w:r>
    </w:p>
    <w:p w:rsidR="00FE491B" w:rsidRPr="001C6ACF" w:rsidRDefault="00FE491B" w:rsidP="00FE491B">
      <w:pPr>
        <w:pStyle w:val="HStandard"/>
        <w:ind w:left="993" w:hanging="993"/>
      </w:pPr>
      <w:r>
        <w:t>EAA/ΟΛΓ</w:t>
      </w:r>
      <w:r>
        <w:tab/>
      </w:r>
      <w:r>
        <w:tab/>
        <w:t>Economic Account for Agriculture/Οικονομικοί λογαριασμοί της γεωργίας</w:t>
      </w:r>
    </w:p>
    <w:p w:rsidR="00FE491B" w:rsidRPr="001C6ACF" w:rsidRDefault="00FE491B" w:rsidP="00FE491B">
      <w:pPr>
        <w:pStyle w:val="HStandard"/>
        <w:ind w:left="993" w:hanging="993"/>
      </w:pPr>
      <w:r>
        <w:t>EAP/ΠΔΠ</w:t>
      </w:r>
      <w:r>
        <w:tab/>
      </w:r>
      <w:r>
        <w:tab/>
        <w:t>Environment Action Programme/Πρόγραμμα δράσης για το περιβάλλον</w:t>
      </w:r>
    </w:p>
    <w:p w:rsidR="00FE491B" w:rsidRPr="001C6ACF" w:rsidRDefault="00FE491B" w:rsidP="00FE491B">
      <w:pPr>
        <w:pStyle w:val="HStandard"/>
        <w:ind w:left="993" w:hanging="993"/>
      </w:pPr>
      <w:r>
        <w:t>EARDF/ΕΓΤΑΑ</w:t>
      </w:r>
      <w:r>
        <w:tab/>
      </w:r>
      <w:r>
        <w:tab/>
        <w:t>European Agricultural Fund for Rural Development/Ευρωπαϊκό Γεωργικό Ταμείο Αγροτικής Ανάπτυξης</w:t>
      </w:r>
    </w:p>
    <w:p w:rsidR="00FE491B" w:rsidRPr="001C6ACF" w:rsidRDefault="00FE491B" w:rsidP="00FE491B">
      <w:pPr>
        <w:pStyle w:val="HStandard"/>
        <w:ind w:left="993" w:hanging="993"/>
      </w:pPr>
      <w:r>
        <w:t>EDGAR/ΒΔΕΠΑΕ</w:t>
      </w:r>
      <w:r>
        <w:tab/>
      </w:r>
      <w:r>
        <w:tab/>
        <w:t>Emissions Database for Global Atmospheric Research/Βάση δεδομένων των εκπομπών για την παγκόσμια ατμοσφαιρική έρευνα</w:t>
      </w:r>
    </w:p>
    <w:p w:rsidR="00FE491B" w:rsidRPr="001C6ACF" w:rsidRDefault="00FE491B" w:rsidP="00FE491B">
      <w:pPr>
        <w:pStyle w:val="HStandard"/>
        <w:ind w:left="993" w:hanging="993"/>
      </w:pPr>
      <w:r>
        <w:t>EIP/ΕΣΚ</w:t>
      </w:r>
      <w:r>
        <w:tab/>
      </w:r>
      <w:r>
        <w:tab/>
        <w:t>European Innovation Partnership/Ευρωπαϊκή Σύμπραξη Καινοτομίας</w:t>
      </w:r>
    </w:p>
    <w:p w:rsidR="00FE491B" w:rsidRPr="001C6ACF" w:rsidRDefault="000F0463" w:rsidP="00FE491B">
      <w:pPr>
        <w:pStyle w:val="HStandard"/>
        <w:ind w:left="993" w:hanging="993"/>
      </w:pPr>
      <w:r>
        <w:t>ESDAC/ΕΚΔΕ</w:t>
      </w:r>
      <w:r>
        <w:tab/>
      </w:r>
      <w:r>
        <w:tab/>
        <w:t>European Soil Data Centre/Ευρωπαϊκό Κέντρο Δεδομένων για το Έδαφος</w:t>
      </w:r>
    </w:p>
    <w:p w:rsidR="00FE491B" w:rsidRPr="001C6ACF" w:rsidRDefault="00FE491B" w:rsidP="00FE491B">
      <w:pPr>
        <w:pStyle w:val="HStandard"/>
        <w:ind w:left="993" w:hanging="993"/>
      </w:pPr>
      <w:r>
        <w:t xml:space="preserve">ESG/ΟΣΑ </w:t>
      </w:r>
      <w:r>
        <w:tab/>
      </w:r>
      <w:r>
        <w:tab/>
        <w:t>Evaluation Steering Group/Ομάδα συντονισμού αξιολόγησης</w:t>
      </w:r>
    </w:p>
    <w:p w:rsidR="00FE491B" w:rsidRPr="001C6ACF" w:rsidRDefault="00FE491B" w:rsidP="00FE491B">
      <w:pPr>
        <w:pStyle w:val="HStandard"/>
        <w:ind w:left="993" w:hanging="993"/>
      </w:pPr>
      <w:r>
        <w:t>ESI/ΕΔΕΤ</w:t>
      </w:r>
      <w:r>
        <w:tab/>
      </w:r>
      <w:r>
        <w:tab/>
        <w:t>European Structural and Investment/Ευρωπαϊκά διαρθρωτικά και επενδυτικά ταμεία</w:t>
      </w:r>
    </w:p>
    <w:p w:rsidR="00FE491B" w:rsidRPr="001C6ACF" w:rsidRDefault="00FE491B" w:rsidP="00FE491B">
      <w:pPr>
        <w:pStyle w:val="HStandard"/>
        <w:ind w:left="993" w:hanging="993"/>
      </w:pPr>
      <w:r>
        <w:t>EU/ΕΕ</w:t>
      </w:r>
      <w:r>
        <w:tab/>
      </w:r>
      <w:r>
        <w:tab/>
        <w:t>European Union/Ευρωπαϊκή Ένωση</w:t>
      </w:r>
    </w:p>
    <w:p w:rsidR="00FE491B" w:rsidRPr="001C6ACF" w:rsidRDefault="00FE491B" w:rsidP="00FE491B">
      <w:pPr>
        <w:pStyle w:val="HStandard"/>
        <w:ind w:left="993" w:hanging="993"/>
      </w:pPr>
      <w:r>
        <w:t>Ev/Αξ</w:t>
      </w:r>
      <w:r>
        <w:tab/>
      </w:r>
      <w:r>
        <w:tab/>
        <w:t>Evaluator/Αξιολογητής</w:t>
      </w:r>
    </w:p>
    <w:p w:rsidR="008A59FC" w:rsidRPr="001C6ACF" w:rsidRDefault="008A59FC" w:rsidP="00FE491B">
      <w:pPr>
        <w:pStyle w:val="HStandard"/>
        <w:ind w:left="993" w:hanging="993"/>
      </w:pPr>
      <w:r>
        <w:lastRenderedPageBreak/>
        <w:t>EvU/ΜΑ</w:t>
      </w:r>
      <w:r>
        <w:tab/>
      </w:r>
      <w:r>
        <w:tab/>
        <w:t>Evaluation Unit/Μονάδα αξιολόγησης</w:t>
      </w:r>
    </w:p>
    <w:p w:rsidR="00FE491B" w:rsidRPr="001C6ACF" w:rsidRDefault="00FE491B" w:rsidP="00FE491B">
      <w:pPr>
        <w:pStyle w:val="HStandard"/>
        <w:ind w:left="993" w:hanging="993"/>
      </w:pPr>
      <w:r>
        <w:t>FA/ΤΕ</w:t>
      </w:r>
      <w:r>
        <w:tab/>
      </w:r>
      <w:r>
        <w:tab/>
        <w:t>Focus Area/Τομέας επικέντρωσης</w:t>
      </w:r>
    </w:p>
    <w:p w:rsidR="00FE491B" w:rsidRPr="001C6ACF" w:rsidRDefault="00FE491B" w:rsidP="00FE491B">
      <w:pPr>
        <w:pStyle w:val="HStandard"/>
        <w:ind w:left="993" w:hanging="993"/>
      </w:pPr>
      <w:r>
        <w:t>FADN/ΔΓΛΠ</w:t>
      </w:r>
      <w:r>
        <w:tab/>
      </w:r>
      <w:r>
        <w:tab/>
        <w:t>Farm Accountancy Data Network/Δίκτυο Γεωργικής Λογιστικής Πληροφόρησης</w:t>
      </w:r>
    </w:p>
    <w:p w:rsidR="00FE491B" w:rsidRPr="001C6ACF" w:rsidRDefault="00FE491B" w:rsidP="00FE491B">
      <w:pPr>
        <w:pStyle w:val="HStandard"/>
        <w:ind w:left="993" w:hanging="993"/>
      </w:pPr>
      <w:r>
        <w:t>FBI/ΔΠΖΓΕ</w:t>
      </w:r>
      <w:r>
        <w:tab/>
      </w:r>
      <w:r>
        <w:tab/>
        <w:t>Farmland Birds Index/Δείκτης πτηνών που ζουν σε γεωργικές εκτάσεις</w:t>
      </w:r>
    </w:p>
    <w:p w:rsidR="00FE491B" w:rsidRPr="001C6ACF" w:rsidRDefault="00FE491B" w:rsidP="00FE491B">
      <w:pPr>
        <w:pStyle w:val="HStandard"/>
        <w:ind w:left="993" w:hanging="993"/>
      </w:pPr>
      <w:r>
        <w:t>FWU/ΜΟΕ</w:t>
      </w:r>
      <w:r>
        <w:tab/>
      </w:r>
      <w:r>
        <w:tab/>
        <w:t xml:space="preserve">Family Work Unit/Μονάδα οικογενειακής εργασίας </w:t>
      </w:r>
    </w:p>
    <w:p w:rsidR="00FE491B" w:rsidRPr="001C6ACF" w:rsidRDefault="00FE491B" w:rsidP="00FE491B">
      <w:pPr>
        <w:pStyle w:val="HStandard"/>
        <w:ind w:left="993" w:hanging="993"/>
      </w:pPr>
      <w:r>
        <w:t>GAEC/ΚΓΠΣ</w:t>
      </w:r>
      <w:r>
        <w:tab/>
      </w:r>
      <w:r>
        <w:tab/>
        <w:t>Good Agricultural and Environmental Conditions/Καλές γεωργικές και περιβαλλοντικές συνθήκες</w:t>
      </w:r>
    </w:p>
    <w:p w:rsidR="00FE491B" w:rsidRPr="001C6ACF" w:rsidRDefault="00FE491B" w:rsidP="00FE491B">
      <w:pPr>
        <w:pStyle w:val="HStandard"/>
        <w:ind w:left="993" w:hanging="993"/>
      </w:pPr>
      <w:r>
        <w:t>GDP/ΑΕγχΠ</w:t>
      </w:r>
      <w:r>
        <w:tab/>
      </w:r>
      <w:r>
        <w:tab/>
        <w:t xml:space="preserve">Gross Domestic Product/Ακαθάριστο εγχώριο προϊόν </w:t>
      </w:r>
    </w:p>
    <w:p w:rsidR="00FE491B" w:rsidRPr="001C6ACF" w:rsidRDefault="00FE491B" w:rsidP="00FE491B">
      <w:pPr>
        <w:pStyle w:val="HStandard"/>
        <w:ind w:left="993" w:hanging="993"/>
      </w:pPr>
      <w:r>
        <w:t>GERD/ΑΔΔΕΑ</w:t>
      </w:r>
      <w:r>
        <w:tab/>
      </w:r>
      <w:r>
        <w:tab/>
        <w:t>Gross Domestic Expenditure On R&amp;D/Ακαθάριστη δημόσια δαπάνη για Ε&amp;Α)</w:t>
      </w:r>
    </w:p>
    <w:p w:rsidR="00FE491B" w:rsidRPr="001C6ACF" w:rsidRDefault="00FE491B" w:rsidP="00FE491B">
      <w:pPr>
        <w:pStyle w:val="HStandard"/>
        <w:ind w:left="993" w:hanging="993"/>
      </w:pPr>
      <w:r>
        <w:t>GES/ΚΠΚ</w:t>
      </w:r>
      <w:r>
        <w:tab/>
      </w:r>
      <w:r>
        <w:tab/>
        <w:t xml:space="preserve">Good Ecological Status/Καλή περιβαλλοντική κατάσταση </w:t>
      </w:r>
    </w:p>
    <w:p w:rsidR="00FE491B" w:rsidRPr="001C6ACF" w:rsidRDefault="00FE491B" w:rsidP="00FE491B">
      <w:pPr>
        <w:pStyle w:val="HStandard"/>
        <w:ind w:left="993" w:hanging="993"/>
      </w:pPr>
      <w:r>
        <w:t>GHG/ΑΘ</w:t>
      </w:r>
      <w:r>
        <w:tab/>
      </w:r>
      <w:r>
        <w:tab/>
        <w:t>Greenhouse Gas/Αέρια του θερμοκηπίου</w:t>
      </w:r>
    </w:p>
    <w:p w:rsidR="00FE491B" w:rsidRPr="001C6ACF" w:rsidRDefault="00FE491B" w:rsidP="00FE491B">
      <w:pPr>
        <w:pStyle w:val="HStandard"/>
        <w:ind w:left="993" w:hanging="993"/>
      </w:pPr>
      <w:r>
        <w:t>GIS/ΣΓΠ</w:t>
      </w:r>
      <w:r>
        <w:tab/>
      </w:r>
      <w:r>
        <w:tab/>
        <w:t>Geographic Information System/Σύστημα γεωγραφικών πληροφοριών</w:t>
      </w:r>
    </w:p>
    <w:p w:rsidR="00FE491B" w:rsidRPr="001C6ACF" w:rsidRDefault="00FE491B" w:rsidP="00FE491B">
      <w:pPr>
        <w:pStyle w:val="HStandard"/>
        <w:ind w:left="993" w:hanging="993"/>
      </w:pPr>
      <w:r>
        <w:t>GNB/ΑΙΘΟ</w:t>
      </w:r>
      <w:r>
        <w:tab/>
      </w:r>
      <w:r>
        <w:tab/>
        <w:t>Gross Nutrient Balance/Ακαθάριστο ισοζύγιο θρεπτικών ουσιών</w:t>
      </w:r>
    </w:p>
    <w:p w:rsidR="00FE491B" w:rsidRPr="001C6ACF" w:rsidRDefault="00FE491B" w:rsidP="00FE491B">
      <w:pPr>
        <w:pStyle w:val="HStandard"/>
        <w:ind w:left="993" w:hanging="993"/>
      </w:pPr>
      <w:r>
        <w:t>GPSM/ΓΑΠΒΤ</w:t>
      </w:r>
      <w:r>
        <w:tab/>
      </w:r>
      <w:r>
        <w:tab/>
        <w:t xml:space="preserve">Generalised Propensity Score Matching/Γενικευμένη αντιστοίχιση παρατηρήσεων με βάση την τάση </w:t>
      </w:r>
    </w:p>
    <w:p w:rsidR="00FE491B" w:rsidRPr="001C6ACF" w:rsidRDefault="00FE491B" w:rsidP="00FE491B">
      <w:pPr>
        <w:pStyle w:val="HStandard"/>
        <w:ind w:left="993" w:hanging="993"/>
      </w:pPr>
      <w:r>
        <w:t>GRIT/ΔΠΠΕΕ</w:t>
      </w:r>
      <w:r>
        <w:tab/>
      </w:r>
      <w:r>
        <w:tab/>
        <w:t>Generation of Regional Input–output Tables/Δημιουργία πινάκων περιφερειακών εισροών-εκροών</w:t>
      </w:r>
    </w:p>
    <w:p w:rsidR="00FE491B" w:rsidRPr="001C6ACF" w:rsidRDefault="00FE491B" w:rsidP="00FE491B">
      <w:pPr>
        <w:pStyle w:val="HStandard"/>
        <w:ind w:left="993" w:hanging="993"/>
      </w:pPr>
      <w:r>
        <w:t>HNV/ΥΦΑ</w:t>
      </w:r>
      <w:r>
        <w:tab/>
      </w:r>
      <w:r>
        <w:tab/>
        <w:t xml:space="preserve">High Nature Value farming/Γεωργία υψηλής φυσικής αξίας </w:t>
      </w:r>
    </w:p>
    <w:p w:rsidR="00FE491B" w:rsidRPr="001C6ACF" w:rsidRDefault="00FE491B" w:rsidP="00FE491B">
      <w:pPr>
        <w:pStyle w:val="HStandard"/>
        <w:ind w:left="993" w:hanging="993"/>
      </w:pPr>
      <w:r>
        <w:t>I/Δ</w:t>
      </w:r>
      <w:r>
        <w:tab/>
      </w:r>
      <w:r>
        <w:tab/>
        <w:t>Impact Indicator/Δείκτης αντικτύπου</w:t>
      </w:r>
    </w:p>
    <w:p w:rsidR="00FE491B" w:rsidRPr="001C6ACF" w:rsidRDefault="00FE491B" w:rsidP="00FE491B">
      <w:pPr>
        <w:pStyle w:val="HStandard"/>
        <w:ind w:left="993" w:hanging="993"/>
      </w:pPr>
      <w:r>
        <w:t>IACS/ΟΣΔΕ</w:t>
      </w:r>
      <w:r>
        <w:tab/>
      </w:r>
      <w:r>
        <w:tab/>
        <w:t>Ολοκληρωμένο σύστημα διαχείρισης και ελέγχου</w:t>
      </w:r>
    </w:p>
    <w:p w:rsidR="00FE491B" w:rsidRPr="00482ABA" w:rsidRDefault="00FE491B" w:rsidP="00FE491B">
      <w:pPr>
        <w:pStyle w:val="HStandard"/>
        <w:ind w:left="993" w:hanging="993"/>
      </w:pPr>
      <w:r>
        <w:t xml:space="preserve">ICT/ΤΠΕ </w:t>
      </w:r>
      <w:r>
        <w:tab/>
      </w:r>
      <w:r>
        <w:tab/>
        <w:t>Information &amp; Communication Technologies/Τεχνολογίες πληροφοριών και επικοινωνιών</w:t>
      </w:r>
    </w:p>
    <w:p w:rsidR="00FE491B" w:rsidRPr="00482ABA" w:rsidRDefault="00FE491B" w:rsidP="00FE491B">
      <w:pPr>
        <w:pStyle w:val="HStandard"/>
        <w:ind w:left="993" w:hanging="993"/>
      </w:pPr>
      <w:r>
        <w:t>IL/ΛΠ</w:t>
      </w:r>
      <w:r>
        <w:tab/>
      </w:r>
      <w:r>
        <w:tab/>
        <w:t>Intervention Logic/Λογική παρέμβασης</w:t>
      </w:r>
    </w:p>
    <w:p w:rsidR="00FE491B" w:rsidRPr="001C6ACF" w:rsidRDefault="00FE491B" w:rsidP="00FE491B">
      <w:pPr>
        <w:pStyle w:val="HStandard"/>
        <w:ind w:left="993" w:hanging="993"/>
      </w:pPr>
      <w:r>
        <w:t>IO/ΑΕΕ</w:t>
      </w:r>
      <w:r>
        <w:tab/>
      </w:r>
      <w:r>
        <w:tab/>
        <w:t>Input-Output Analysis/Ανάλυση εισροών-εκροών</w:t>
      </w:r>
    </w:p>
    <w:p w:rsidR="00FE491B" w:rsidRPr="001C6ACF" w:rsidRDefault="00FE491B" w:rsidP="00FE491B">
      <w:pPr>
        <w:pStyle w:val="HStandard"/>
        <w:ind w:left="993" w:hanging="993"/>
      </w:pPr>
      <w:r>
        <w:t>IPPC/ΟΠΕΡ</w:t>
      </w:r>
      <w:r>
        <w:tab/>
      </w:r>
      <w:r>
        <w:tab/>
        <w:t>Integrated Pollution Prevention and Control/Ολοκληρωμένη πρόληψη και έλεγχος της ρύπανσης</w:t>
      </w:r>
    </w:p>
    <w:p w:rsidR="00FE491B" w:rsidRPr="00FB5A40" w:rsidRDefault="00FE491B" w:rsidP="00FE491B">
      <w:pPr>
        <w:pStyle w:val="HStandard"/>
        <w:ind w:left="993" w:hanging="993"/>
      </w:pPr>
      <w:r>
        <w:t>IV/ΒΜ</w:t>
      </w:r>
      <w:r>
        <w:tab/>
      </w:r>
      <w:r>
        <w:tab/>
        <w:t>Instrumental Variables/Βοηθητικές μεταβλητές</w:t>
      </w:r>
    </w:p>
    <w:p w:rsidR="00FE491B" w:rsidRPr="00FB5A40" w:rsidRDefault="00FE491B" w:rsidP="00FE491B">
      <w:pPr>
        <w:pStyle w:val="HStandard"/>
        <w:ind w:left="993" w:hanging="993"/>
      </w:pPr>
      <w:r>
        <w:t>JC/ΚΑ</w:t>
      </w:r>
      <w:r>
        <w:tab/>
      </w:r>
      <w:r>
        <w:tab/>
        <w:t>Judgement Criteria/Κριτήρια απόφασης</w:t>
      </w:r>
    </w:p>
    <w:p w:rsidR="00FE491B" w:rsidRPr="001C6ACF" w:rsidRDefault="00FE491B" w:rsidP="00FE491B">
      <w:pPr>
        <w:pStyle w:val="HStandard"/>
        <w:ind w:left="993" w:hanging="993"/>
      </w:pPr>
      <w:r>
        <w:t>JRC/ΚΚΕρ</w:t>
      </w:r>
      <w:r>
        <w:tab/>
      </w:r>
      <w:r>
        <w:tab/>
        <w:t>Joint Research Center/Κοινό Κέντρο Ερευνών</w:t>
      </w:r>
    </w:p>
    <w:p w:rsidR="00FE491B" w:rsidRPr="001C6ACF" w:rsidRDefault="00FE491B" w:rsidP="00FE491B">
      <w:pPr>
        <w:pStyle w:val="HStandard"/>
        <w:ind w:left="993" w:hanging="993"/>
      </w:pPr>
      <w:r>
        <w:t>LAU/ΔΜΓ</w:t>
      </w:r>
      <w:r>
        <w:tab/>
      </w:r>
      <w:r>
        <w:tab/>
        <w:t>Land Administrative Unit/Διοικητική μονάδα γης</w:t>
      </w:r>
    </w:p>
    <w:p w:rsidR="00FE491B" w:rsidRPr="001C6ACF" w:rsidRDefault="00FE491B" w:rsidP="00FE491B">
      <w:pPr>
        <w:pStyle w:val="HStandard"/>
        <w:ind w:left="993" w:hanging="993"/>
      </w:pPr>
      <w:r>
        <w:t>LPIS/ΣΑΑ</w:t>
      </w:r>
      <w:r>
        <w:tab/>
      </w:r>
      <w:r>
        <w:tab/>
        <w:t>Land Parcel Identification System/Σύστημα αναγνώρισης αγροτεμαχίων</w:t>
      </w:r>
    </w:p>
    <w:p w:rsidR="00FE491B" w:rsidRPr="001C6ACF" w:rsidRDefault="00FE491B" w:rsidP="00FE491B">
      <w:pPr>
        <w:pStyle w:val="HStandard"/>
        <w:ind w:left="993" w:hanging="993"/>
      </w:pPr>
      <w:r>
        <w:t>LU/MZK</w:t>
      </w:r>
      <w:r>
        <w:tab/>
      </w:r>
      <w:r>
        <w:tab/>
        <w:t>Livestock Unit/Μονάδες ζωικού κεφαλαίου</w:t>
      </w:r>
    </w:p>
    <w:p w:rsidR="00FE491B" w:rsidRPr="001C6ACF" w:rsidRDefault="00FE491B" w:rsidP="00FE491B">
      <w:pPr>
        <w:pStyle w:val="HStandard"/>
        <w:ind w:left="993" w:hanging="993"/>
      </w:pPr>
      <w:r>
        <w:t>LUCAS/ΣΕΠΧΚΓ</w:t>
      </w:r>
      <w:r>
        <w:tab/>
      </w:r>
      <w:r>
        <w:tab/>
        <w:t xml:space="preserve">Land Use and Coverage Area Frame SurveyΣτατιστική έρευνα του πλαισίου χρήσης/κάλυψης γης </w:t>
      </w:r>
    </w:p>
    <w:p w:rsidR="00FE491B" w:rsidRPr="001C6ACF" w:rsidRDefault="00FE491B" w:rsidP="00FE491B">
      <w:pPr>
        <w:pStyle w:val="HStandard"/>
        <w:ind w:left="993" w:hanging="993"/>
      </w:pPr>
      <w:r>
        <w:t>LULUCF/ΧΓΑΧΓΔ</w:t>
      </w:r>
      <w:r>
        <w:tab/>
      </w:r>
      <w:r>
        <w:tab/>
        <w:t>Land Use, Land Use Change and Forestry/Χρήση γης, αλλαγή χρήσης γης και δασοκομία</w:t>
      </w:r>
    </w:p>
    <w:p w:rsidR="00FE491B" w:rsidRPr="001C6ACF" w:rsidRDefault="00FE491B" w:rsidP="00FE491B">
      <w:pPr>
        <w:pStyle w:val="HStandard"/>
        <w:ind w:left="993" w:hanging="993"/>
      </w:pPr>
      <w:r>
        <w:t>Μ/Μ</w:t>
      </w:r>
      <w:r>
        <w:tab/>
      </w:r>
      <w:r>
        <w:tab/>
        <w:t xml:space="preserve">Measure/Μέτρο </w:t>
      </w:r>
    </w:p>
    <w:p w:rsidR="00FE491B" w:rsidRPr="001C6ACF" w:rsidRDefault="00FE491B" w:rsidP="00FE491B">
      <w:pPr>
        <w:pStyle w:val="HStandard"/>
        <w:ind w:left="993" w:hanging="993"/>
      </w:pPr>
      <w:r>
        <w:lastRenderedPageBreak/>
        <w:t>MA/ΔΑ</w:t>
      </w:r>
      <w:r>
        <w:tab/>
      </w:r>
      <w:r>
        <w:tab/>
        <w:t>Managing Authority/Διαχειριστική αρχή</w:t>
      </w:r>
    </w:p>
    <w:p w:rsidR="00FE491B" w:rsidRPr="001C6ACF" w:rsidRDefault="00FE491B" w:rsidP="00FE491B">
      <w:pPr>
        <w:pStyle w:val="HStandard"/>
        <w:ind w:left="993" w:hanging="993"/>
      </w:pPr>
      <w:r>
        <w:t>MC/ΕΠ</w:t>
      </w:r>
      <w:r>
        <w:tab/>
      </w:r>
      <w:r>
        <w:tab/>
        <w:t>Monitoring Committee/Επιτροπή παρακολούθησης</w:t>
      </w:r>
    </w:p>
    <w:p w:rsidR="00FE491B" w:rsidRPr="001C6ACF" w:rsidRDefault="00FE491B" w:rsidP="00FE491B">
      <w:pPr>
        <w:pStyle w:val="HStandard"/>
        <w:ind w:left="993" w:hanging="993"/>
      </w:pPr>
      <w:r>
        <w:t>MAPP/ΜΕΕΠΕ</w:t>
      </w:r>
      <w:r>
        <w:tab/>
      </w:r>
      <w:r>
        <w:tab/>
        <w:t>Method for Impact Assessment of Programmes and Project/Μέθοδος εκτίμησης των επιπτώσεων προγράμματος και έργου</w:t>
      </w:r>
    </w:p>
    <w:p w:rsidR="00FE491B" w:rsidRPr="001C6ACF" w:rsidRDefault="00FE491B" w:rsidP="00FE491B">
      <w:pPr>
        <w:pStyle w:val="HStandard"/>
        <w:ind w:left="993" w:hanging="993"/>
      </w:pPr>
      <w:r>
        <w:t>MS/ΚΜ</w:t>
      </w:r>
      <w:r>
        <w:tab/>
      </w:r>
      <w:r>
        <w:tab/>
        <w:t>Member State/Κράτος μέλος</w:t>
      </w:r>
    </w:p>
    <w:p w:rsidR="00FE491B" w:rsidRPr="001C6ACF" w:rsidRDefault="00FE491B" w:rsidP="00FE491B">
      <w:pPr>
        <w:pStyle w:val="HStandard"/>
        <w:ind w:left="993" w:hanging="993"/>
      </w:pPr>
      <w:r>
        <w:t>ND/ΟΝ</w:t>
      </w:r>
      <w:r>
        <w:tab/>
      </w:r>
      <w:r>
        <w:tab/>
        <w:t>Οδηγία για τη νιτρορρύπανση</w:t>
      </w:r>
    </w:p>
    <w:p w:rsidR="00FE491B" w:rsidRPr="001C6ACF" w:rsidRDefault="00FE491B" w:rsidP="00FE491B">
      <w:pPr>
        <w:pStyle w:val="HStandard"/>
        <w:ind w:left="993" w:hanging="993"/>
      </w:pPr>
      <w:r>
        <w:t>NGO/ΜΚΟ</w:t>
      </w:r>
      <w:r>
        <w:tab/>
      </w:r>
      <w:r>
        <w:tab/>
        <w:t>Non-Governmental Organisation/Μη κυβερνητική οργάνωση</w:t>
      </w:r>
    </w:p>
    <w:p w:rsidR="00FE491B" w:rsidRPr="001C6ACF" w:rsidRDefault="00FE491B" w:rsidP="00FE491B">
      <w:pPr>
        <w:pStyle w:val="HStandard"/>
        <w:ind w:left="993" w:hanging="993"/>
      </w:pPr>
      <w:r>
        <w:t>NRN/ΕΑΔ</w:t>
      </w:r>
      <w:r>
        <w:tab/>
      </w:r>
      <w:r>
        <w:tab/>
        <w:t>National Rural Network/Εθνικό αγροτικό δίκτυο</w:t>
      </w:r>
    </w:p>
    <w:p w:rsidR="00FE491B" w:rsidRPr="001C6ACF" w:rsidRDefault="00FE491B" w:rsidP="00FE491B">
      <w:pPr>
        <w:pStyle w:val="HStandard"/>
        <w:ind w:left="993" w:hanging="993"/>
      </w:pPr>
      <w:r>
        <w:t>NUTS/ΚΟΕΣΜ</w:t>
      </w:r>
      <w:r>
        <w:tab/>
      </w:r>
      <w:r>
        <w:tab/>
        <w:t>omenclature of Units for Territorial Statistics/Κοινή ονοματολογία των εδαφικών στατιστικών μονάδων</w:t>
      </w:r>
      <w:r>
        <w:tab/>
      </w:r>
    </w:p>
    <w:p w:rsidR="00FE491B" w:rsidRPr="001C6ACF" w:rsidRDefault="00FE491B" w:rsidP="00FE491B">
      <w:pPr>
        <w:pStyle w:val="HStandard"/>
        <w:ind w:left="993" w:hanging="993"/>
      </w:pPr>
      <w:r>
        <w:t>PA/ΟΠ</w:t>
      </w:r>
      <w:r>
        <w:tab/>
      </w:r>
      <w:r>
        <w:tab/>
        <w:t>Paying Agency/Οργανισμός πληρωμών</w:t>
      </w:r>
    </w:p>
    <w:p w:rsidR="00FE491B" w:rsidRPr="001C6ACF" w:rsidRDefault="00FE491B" w:rsidP="00FE491B">
      <w:pPr>
        <w:pStyle w:val="HStandard"/>
        <w:ind w:left="993" w:hanging="993"/>
      </w:pPr>
      <w:r>
        <w:t>PSEQ/ΕΠΕΑ</w:t>
      </w:r>
      <w:r>
        <w:tab/>
      </w:r>
      <w:r>
        <w:tab/>
        <w:t>Programme Specific Evaluation Question/Ειδικό ανά πρόγραμμα ερώτημα αξιολόγησης</w:t>
      </w:r>
    </w:p>
    <w:p w:rsidR="00FE491B" w:rsidRPr="001C6ACF" w:rsidRDefault="00FE491B" w:rsidP="00FE491B">
      <w:pPr>
        <w:pStyle w:val="HStandard"/>
        <w:ind w:left="993" w:hanging="993"/>
      </w:pPr>
      <w:r>
        <w:t>PSM/ΑΠΒΤ</w:t>
      </w:r>
      <w:r>
        <w:tab/>
      </w:r>
      <w:r>
        <w:tab/>
        <w:t>Propensity Score Matching/Αντιστοίχιση παρατηρήσεων με βάση την τάση</w:t>
      </w:r>
    </w:p>
    <w:p w:rsidR="00FE491B" w:rsidRPr="001C6ACF" w:rsidRDefault="00FE491B" w:rsidP="00FE491B">
      <w:pPr>
        <w:pStyle w:val="HStandard"/>
        <w:ind w:left="993" w:hanging="993"/>
      </w:pPr>
      <w:r>
        <w:t>R/Α</w:t>
      </w:r>
      <w:r>
        <w:tab/>
      </w:r>
      <w:r>
        <w:tab/>
        <w:t>Δείκτης αποτελεσμάτων</w:t>
      </w:r>
    </w:p>
    <w:p w:rsidR="00FE491B" w:rsidRPr="001C6ACF" w:rsidRDefault="00FE491B" w:rsidP="00FE491B">
      <w:pPr>
        <w:pStyle w:val="HStandard"/>
        <w:ind w:left="993" w:hanging="993"/>
      </w:pPr>
      <w:r>
        <w:t>RBD/ΠΛΑΠ</w:t>
      </w:r>
      <w:r>
        <w:tab/>
      </w:r>
      <w:r>
        <w:tab/>
        <w:t>River Basin District/Περιοχή λεκάνης απορροής ποταμού</w:t>
      </w:r>
    </w:p>
    <w:p w:rsidR="00FE491B" w:rsidRPr="001C6ACF" w:rsidRDefault="00FE491B" w:rsidP="00FE491B">
      <w:pPr>
        <w:pStyle w:val="HStandard"/>
        <w:ind w:left="993" w:hanging="993"/>
      </w:pPr>
      <w:r>
        <w:t>RDD/ΣΑΠ</w:t>
      </w:r>
      <w:r>
        <w:tab/>
      </w:r>
      <w:r>
        <w:tab/>
        <w:t xml:space="preserve">Regression Discontinuity Design/Σχεδιασμός ασυνεχούς παλινδρόμησης </w:t>
      </w:r>
    </w:p>
    <w:p w:rsidR="00FE491B" w:rsidRPr="001C6ACF" w:rsidRDefault="00FE491B" w:rsidP="00FE491B">
      <w:pPr>
        <w:pStyle w:val="HStandard"/>
        <w:ind w:left="993" w:hanging="993"/>
      </w:pPr>
      <w:r>
        <w:t>RDP/ΠΑΑ</w:t>
      </w:r>
      <w:r>
        <w:tab/>
      </w:r>
      <w:r>
        <w:tab/>
        <w:t>Rural Development Programme/Πρόγραμμα αγροτικής ανάπτυξης</w:t>
      </w:r>
    </w:p>
    <w:p w:rsidR="00FE491B" w:rsidRPr="001C6ACF" w:rsidRDefault="00FE491B" w:rsidP="00FE491B">
      <w:pPr>
        <w:pStyle w:val="HStandard"/>
        <w:ind w:left="993" w:hanging="993"/>
      </w:pPr>
      <w:r>
        <w:t>RUSLE/ΑΓΕΕΔ</w:t>
      </w:r>
      <w:r>
        <w:tab/>
      </w:r>
      <w:r>
        <w:tab/>
        <w:t>Revised Universal Soil Loss Equation/Αναθεωρημένη Γενική Εξίσωση της Εδαφικής Διάβρωσης</w:t>
      </w:r>
    </w:p>
    <w:p w:rsidR="00FE491B" w:rsidRPr="001C6ACF" w:rsidRDefault="00FE491B" w:rsidP="00FE491B">
      <w:pPr>
        <w:pStyle w:val="HStandard"/>
        <w:ind w:left="993" w:hanging="993"/>
      </w:pPr>
      <w:r>
        <w:t>SAPM/ΕΜΓΠ</w:t>
      </w:r>
      <w:r>
        <w:tab/>
      </w:r>
      <w:r>
        <w:tab/>
        <w:t>Survey on Agricultural Production Methods/Έρευνα για τις μεθόδους γεωργικής παραγωγής</w:t>
      </w:r>
    </w:p>
    <w:p w:rsidR="00FE491B" w:rsidRPr="001C6ACF" w:rsidRDefault="00FE491B" w:rsidP="00FE491B">
      <w:pPr>
        <w:pStyle w:val="HStandard"/>
        <w:ind w:left="993" w:hanging="993"/>
      </w:pPr>
      <w:r>
        <w:t>SAM/ΜΚΛ</w:t>
      </w:r>
      <w:r>
        <w:tab/>
      </w:r>
      <w:r>
        <w:tab/>
        <w:t xml:space="preserve">Social Accounting Matrix/Μήτρα κοινωνικής λογιστικής </w:t>
      </w:r>
    </w:p>
    <w:p w:rsidR="00FE491B" w:rsidRPr="001C6ACF" w:rsidRDefault="00FE491B" w:rsidP="00FE491B">
      <w:pPr>
        <w:pStyle w:val="HStandard"/>
        <w:ind w:left="993" w:hanging="993"/>
      </w:pPr>
      <w:r>
        <w:t>SEBI/ΕΕΔΒ</w:t>
      </w:r>
      <w:r>
        <w:tab/>
      </w:r>
      <w:r>
        <w:tab/>
        <w:t>Streamlining European Biodiversity Indicators/Εκλογίκευση των ευρωπαϊκών δεικτών βιοποικιλότητας</w:t>
      </w:r>
    </w:p>
    <w:p w:rsidR="00FE491B" w:rsidRPr="001C6ACF" w:rsidRDefault="00FE491B" w:rsidP="00FE491B">
      <w:pPr>
        <w:pStyle w:val="HStandard"/>
        <w:ind w:left="993" w:hanging="993"/>
      </w:pPr>
      <w:r>
        <w:t>SFC/ΚΣΕΔΤ</w:t>
      </w:r>
      <w:r>
        <w:tab/>
      </w:r>
      <w:r>
        <w:tab/>
        <w:t>Shared Fund Management Common System/Κοινό Σύστημα Επιμερισμένης Διαχείρισης Ταμείων</w:t>
      </w:r>
    </w:p>
    <w:p w:rsidR="00FE491B" w:rsidRPr="00FB5A40" w:rsidRDefault="00FE491B" w:rsidP="00FE491B">
      <w:pPr>
        <w:pStyle w:val="HStandard"/>
        <w:ind w:left="993" w:hanging="993"/>
      </w:pPr>
      <w:r>
        <w:t>SOC/ΟΑΕ</w:t>
      </w:r>
      <w:r>
        <w:tab/>
      </w:r>
      <w:r>
        <w:tab/>
        <w:t xml:space="preserve">Soil Organic Carbon/Oργανικός άνθρακας του εδάφους </w:t>
      </w:r>
    </w:p>
    <w:p w:rsidR="00FE491B" w:rsidRPr="00FB5A40" w:rsidRDefault="00FE491B" w:rsidP="00FE491B">
      <w:pPr>
        <w:pStyle w:val="HStandard"/>
        <w:ind w:left="993" w:hanging="993"/>
      </w:pPr>
      <w:r>
        <w:t>SOM/ΟΥΕ</w:t>
      </w:r>
      <w:r>
        <w:tab/>
      </w:r>
      <w:r>
        <w:tab/>
        <w:t xml:space="preserve">Soil Organic Matter/Οργανική ύλη του εδάφους </w:t>
      </w:r>
    </w:p>
    <w:p w:rsidR="00FE491B" w:rsidRPr="001C6ACF" w:rsidRDefault="00FE491B" w:rsidP="00FE491B">
      <w:pPr>
        <w:pStyle w:val="HStandard"/>
        <w:ind w:left="993" w:hanging="993"/>
      </w:pPr>
      <w:r>
        <w:t>SWOT/ΠΑΕΑ</w:t>
      </w:r>
      <w:r>
        <w:tab/>
      </w:r>
      <w:r>
        <w:tab/>
        <w:t xml:space="preserve">Strengths, Weaknesses, Opportunities, Threats/Πλεονεκτήματα, αδυναμίες, ευκαιρίες,απειλές </w:t>
      </w:r>
    </w:p>
    <w:p w:rsidR="00FE491B" w:rsidRPr="001C6ACF" w:rsidRDefault="00FE491B" w:rsidP="00FE491B">
      <w:pPr>
        <w:pStyle w:val="HStandard"/>
        <w:ind w:left="993" w:hanging="993"/>
      </w:pPr>
      <w:r>
        <w:t>Τ/Σ</w:t>
      </w:r>
      <w:r>
        <w:tab/>
      </w:r>
      <w:r>
        <w:tab/>
        <w:t>Target Indicator/Δείκτης στόχων</w:t>
      </w:r>
    </w:p>
    <w:p w:rsidR="00FE491B" w:rsidRPr="001C6ACF" w:rsidRDefault="00FE491B" w:rsidP="00FE491B">
      <w:pPr>
        <w:pStyle w:val="HStandard"/>
        <w:ind w:left="993" w:hanging="993"/>
      </w:pPr>
      <w:r>
        <w:t>TA/ΤΒ</w:t>
      </w:r>
      <w:r>
        <w:tab/>
      </w:r>
      <w:r>
        <w:tab/>
        <w:t>Technical Assistance/Τεχνική βοήθεια</w:t>
      </w:r>
    </w:p>
    <w:p w:rsidR="00FE491B" w:rsidRPr="001C6ACF" w:rsidRDefault="00FE491B" w:rsidP="00FE491B">
      <w:pPr>
        <w:pStyle w:val="HStandard"/>
        <w:ind w:left="993" w:hanging="993"/>
      </w:pPr>
      <w:r>
        <w:t>TBE/ΑΒΘ</w:t>
      </w:r>
      <w:r>
        <w:tab/>
      </w:r>
      <w:r>
        <w:tab/>
        <w:t>Theory-Based Evaluation/Αξιολόγηση βασισμένη στη θεωρία</w:t>
      </w:r>
    </w:p>
    <w:p w:rsidR="00FE491B" w:rsidRPr="0067073B" w:rsidRDefault="00FE491B" w:rsidP="00FE491B">
      <w:pPr>
        <w:pStyle w:val="HStandard"/>
        <w:ind w:left="993" w:hanging="993"/>
        <w:rPr>
          <w:lang w:val="en-GB"/>
        </w:rPr>
      </w:pPr>
      <w:proofErr w:type="spellStart"/>
      <w:r w:rsidRPr="0067073B">
        <w:rPr>
          <w:lang w:val="en-GB"/>
        </w:rPr>
        <w:t>ToR</w:t>
      </w:r>
      <w:proofErr w:type="spellEnd"/>
      <w:r w:rsidRPr="0067073B">
        <w:rPr>
          <w:lang w:val="en-GB"/>
        </w:rPr>
        <w:t>/</w:t>
      </w:r>
      <w:r>
        <w:t>ΟΑ</w:t>
      </w:r>
      <w:r w:rsidRPr="0067073B">
        <w:rPr>
          <w:lang w:val="en-GB"/>
        </w:rPr>
        <w:tab/>
      </w:r>
      <w:r w:rsidRPr="0067073B">
        <w:rPr>
          <w:lang w:val="en-GB"/>
        </w:rPr>
        <w:tab/>
        <w:t>Terms of Reference/</w:t>
      </w:r>
      <w:r>
        <w:t>Όροι</w:t>
      </w:r>
      <w:r w:rsidRPr="0067073B">
        <w:rPr>
          <w:lang w:val="en-GB"/>
        </w:rPr>
        <w:t xml:space="preserve"> </w:t>
      </w:r>
      <w:r>
        <w:t>αναφοράς</w:t>
      </w:r>
    </w:p>
    <w:p w:rsidR="00FE491B" w:rsidRPr="001C6ACF" w:rsidRDefault="00FE491B" w:rsidP="00FE491B">
      <w:pPr>
        <w:pStyle w:val="HStandard"/>
        <w:ind w:left="993" w:hanging="993"/>
      </w:pPr>
      <w:r>
        <w:t>TFP/ΣΠΣΠ</w:t>
      </w:r>
      <w:r>
        <w:tab/>
      </w:r>
      <w:r>
        <w:tab/>
        <w:t>Total Factor Productivity/Συνολική παραγωγικότητα των συντελεστών παραγωγής</w:t>
      </w:r>
    </w:p>
    <w:p w:rsidR="00FE491B" w:rsidRPr="001C6ACF" w:rsidRDefault="00FE491B" w:rsidP="00FE491B">
      <w:pPr>
        <w:pStyle w:val="HStandard"/>
        <w:ind w:left="993" w:hanging="993"/>
      </w:pPr>
      <w:r>
        <w:t>UAA/ΧΓΕ</w:t>
      </w:r>
      <w:r>
        <w:tab/>
      </w:r>
      <w:r>
        <w:tab/>
        <w:t>Utilised Agricultural Area/Χρησιμοποιούμενη γεωργική έκταση</w:t>
      </w:r>
    </w:p>
    <w:p w:rsidR="00FE491B" w:rsidRPr="001C6ACF" w:rsidRDefault="00FE491B" w:rsidP="00FE491B">
      <w:pPr>
        <w:pStyle w:val="HStandard"/>
        <w:ind w:left="993" w:hanging="993"/>
      </w:pPr>
      <w:r>
        <w:t>WD/ΕΕ</w:t>
      </w:r>
      <w:r>
        <w:tab/>
      </w:r>
      <w:r>
        <w:tab/>
        <w:t>Working Document/Έγγραφο εργασίας</w:t>
      </w:r>
    </w:p>
    <w:p w:rsidR="00FE491B" w:rsidRPr="001C6ACF" w:rsidRDefault="00FE491B" w:rsidP="00FE491B">
      <w:pPr>
        <w:pStyle w:val="HStandard"/>
        <w:ind w:left="993" w:hanging="993"/>
      </w:pPr>
      <w:r>
        <w:lastRenderedPageBreak/>
        <w:t>WDF/ΟΠΥ</w:t>
      </w:r>
      <w:r>
        <w:tab/>
      </w:r>
      <w:r>
        <w:tab/>
        <w:t>Water Framework Directive/Οδηγία πλαίσιο για τα ύδατα</w:t>
      </w:r>
    </w:p>
    <w:p w:rsidR="00D32538" w:rsidRPr="001C6ACF" w:rsidRDefault="00D32538" w:rsidP="0095356C">
      <w:pPr>
        <w:pStyle w:val="HStandard"/>
        <w:ind w:left="993" w:hanging="993"/>
        <w:sectPr w:rsidR="00D32538" w:rsidRPr="001C6ACF" w:rsidSect="00C702ED">
          <w:headerReference w:type="default" r:id="rId12"/>
          <w:footerReference w:type="first" r:id="rId13"/>
          <w:pgSz w:w="11906" w:h="16838" w:code="9"/>
          <w:pgMar w:top="1440" w:right="1440" w:bottom="1134" w:left="1440" w:header="567" w:footer="737" w:gutter="0"/>
          <w:cols w:space="708"/>
          <w:titlePg/>
          <w:docGrid w:linePitch="360"/>
        </w:sectPr>
      </w:pPr>
    </w:p>
    <w:p w:rsidR="006F7D30" w:rsidRPr="001C6ACF" w:rsidRDefault="006F7D30" w:rsidP="006F7D30">
      <w:pPr>
        <w:pStyle w:val="HHeading1"/>
        <w:numPr>
          <w:ilvl w:val="0"/>
          <w:numId w:val="0"/>
        </w:numPr>
        <w:rPr>
          <w:sz w:val="28"/>
        </w:rPr>
      </w:pPr>
      <w:r>
        <w:rPr>
          <w:sz w:val="28"/>
        </w:rPr>
        <w:lastRenderedPageBreak/>
        <w:t>Ευχαριστίες</w:t>
      </w:r>
    </w:p>
    <w:p w:rsidR="00EB120C" w:rsidRPr="001C6ACF" w:rsidRDefault="00EB120C" w:rsidP="00EB120C">
      <w:pPr>
        <w:spacing w:after="120" w:line="280" w:lineRule="atLeast"/>
        <w:rPr>
          <w:rFonts w:ascii="Calibri" w:hAnsi="Calibri"/>
          <w:i/>
          <w:iCs/>
          <w:color w:val="373737" w:themeColor="text1"/>
          <w:sz w:val="20"/>
          <w:szCs w:val="20"/>
        </w:rPr>
      </w:pPr>
      <w:r>
        <w:rPr>
          <w:i/>
          <w:color w:val="373737" w:themeColor="text1"/>
          <w:sz w:val="20"/>
        </w:rPr>
        <w:t xml:space="preserve">Οι κατευθυντήριες γραμμές εκπονήθηκαν από διεθνή ομάδα εμπειρογνωμόνων στον τομέα της αξιολόγησης της αγροτικής ανάπτυξης, μεταξύ των οποίων οι Jerzy Michalek (τομεακές επιπτώσεις), Δημήτριος Ψαλτόπουλος (κοινωνικοοικονομικές επιπτώσεις), Marili Parissaki (ποιοτικές μέθοδοι), Tomáš Ratinger (τομεακές επιπτώσεις), Gerald Schwarz (περιβαλλοντικές επιπτώσεις), Δημήτρης Σκούρας (περιβαλλοντικές επιπτώσεις), Darko Znaor (περιβαλλοντικές επιπτώσεις). Ο συντονισμός της σχετικής θεματικής ομάδας εργασίας έγινε από την Υπηρεσία Υποστήριξης της Αξιολόγησης (Evaluation Helpdesk) υπό την καθοδήγηση των Jela Tvrdonova και Hannes Wimmer. Οι Valérie Dumont, Myles Stiffler, Matteo Metta, Valdis Kudins και Harriet Mackaill-Hill παρείχαν υποστήριξη στο έργο της εκπόνησης των τελικών κατευθυντήριων γραμμών και διασφάλισαν την ποιότητα και την αισθητική εμφάνισή τους. </w:t>
      </w:r>
    </w:p>
    <w:p w:rsidR="00EB120C" w:rsidRPr="001C6ACF" w:rsidRDefault="00EB120C" w:rsidP="00EB120C">
      <w:pPr>
        <w:spacing w:after="120" w:line="280" w:lineRule="atLeast"/>
        <w:rPr>
          <w:i/>
          <w:iCs/>
          <w:color w:val="373737" w:themeColor="text1"/>
          <w:sz w:val="20"/>
          <w:szCs w:val="20"/>
        </w:rPr>
      </w:pPr>
      <w:r>
        <w:rPr>
          <w:i/>
          <w:color w:val="373737" w:themeColor="text1"/>
          <w:sz w:val="20"/>
        </w:rPr>
        <w:t>Διάφοροι εμπειρογνώμονες εργάστηκαν ως ομότιμοι αξιολογητές (Rolf Bergs, Kit Macleod, Žymantas Morkvėnas). Εκπρόσωποι της ΓΔ Γεωργίας και Αγροτικής Ανάπτυξης διασφάλισαν τη συνοχή των κατευθυντηρίων γραμμών με το πλαίσιο πολιτικής της ΕΕ.</w:t>
      </w:r>
    </w:p>
    <w:p w:rsidR="006F7D30" w:rsidRPr="001C6ACF" w:rsidRDefault="00EB120C" w:rsidP="00EB120C">
      <w:pPr>
        <w:pStyle w:val="HStandard"/>
      </w:pPr>
      <w:r>
        <w:rPr>
          <w:i/>
        </w:rPr>
        <w:t>Εκπρόσωποι των κρατών μελών διατύπωσαν παρατηρήσεις σχετικά με τα σχέδια των κατευθυντήριων γραμμών κατά τη διάρκεια των συνεδριάσεων της ομάδας διαβούλευσης τον Ιανουάριο και τον Απρίλιο του 2018. Μέλη της ομάδας εμπειρογνωμόνων για την παρακολούθηση και αξιολόγηση της ΚΓΠ διατύπωσαν παρατηρήσεις σχετικά με το τελικό σχέδιο τον Ιούνιο του 2018. </w:t>
      </w:r>
    </w:p>
    <w:p w:rsidR="00860B72" w:rsidRPr="001C6ACF" w:rsidRDefault="00860B72" w:rsidP="000B2A17">
      <w:pPr>
        <w:pStyle w:val="HStandard"/>
      </w:pPr>
    </w:p>
    <w:p w:rsidR="008E728A" w:rsidRPr="001C6ACF" w:rsidRDefault="008549B5" w:rsidP="008E3ACB">
      <w:pPr>
        <w:pStyle w:val="HHeading1"/>
        <w:numPr>
          <w:ilvl w:val="0"/>
          <w:numId w:val="0"/>
        </w:numPr>
        <w:rPr>
          <w:sz w:val="28"/>
        </w:rPr>
      </w:pPr>
      <w:r>
        <w:rPr>
          <w:sz w:val="28"/>
        </w:rPr>
        <w:lastRenderedPageBreak/>
        <w:t>ΕΙΣΑΓΩΓΗ</w:t>
      </w:r>
    </w:p>
    <w:p w:rsidR="00CD63F6" w:rsidRPr="001C6ACF" w:rsidRDefault="00CD63F6" w:rsidP="00CD63F6">
      <w:pPr>
        <w:pStyle w:val="HHeading4"/>
      </w:pPr>
      <w:r>
        <w:t>Σημασία της αξιολόγησης</w:t>
      </w:r>
    </w:p>
    <w:p w:rsidR="00CD63F6" w:rsidRPr="001C6ACF" w:rsidRDefault="00CD63F6" w:rsidP="00CD63F6">
      <w:pPr>
        <w:pStyle w:val="HStandard"/>
      </w:pPr>
      <w:r>
        <w:t xml:space="preserve">Τα ευρωπαϊκά διαρθρωτικά και επενδυτικά ταμεία (ΕΔΕΤ) αποτελούν σημαντικά </w:t>
      </w:r>
      <w:r>
        <w:rPr>
          <w:b/>
        </w:rPr>
        <w:t>δημόσια μέσα</w:t>
      </w:r>
      <w:r>
        <w:t xml:space="preserve"> για τηστήριξη δράσεων που σχετίζονται με βασικές ενωσιακές προτεραιότητες, οι οποίες υλοποιούνται μέσω πολυετών προγραμμάτων στα κράτη μέλη και τις περιφέρειες. Ως εκ τούτου, οι φορείς χάραξης πολιτικής και το ευρύ κοινό έχουν συμφέρον να γνωρίζουν κατά πόσον τα χρήματα δαπανώνται υπεύθυνα και αποφέρουν τα αναμενόμενα αποτελέσματα, καθώς και κατά πόσον οι παρεμβάσεις εστιάζονται στους κατάλληλους δικαιούχους για την επίτευξη των στόχων πολιτικής της ΕΕ. </w:t>
      </w:r>
    </w:p>
    <w:p w:rsidR="00CD63F6" w:rsidRPr="001C6ACF" w:rsidRDefault="00CD63F6" w:rsidP="00CC00DA">
      <w:pPr>
        <w:pStyle w:val="HStandard"/>
      </w:pPr>
      <w:r>
        <w:t xml:space="preserve">Η </w:t>
      </w:r>
      <w:r>
        <w:rPr>
          <w:b/>
        </w:rPr>
        <w:t>αξιολόγηση</w:t>
      </w:r>
      <w:r>
        <w:t xml:space="preserve"> είναι ένα εργαλείο για τη μέτρηση της αποτελεσματικότητας, της αποδοτικότητας, των αποτελεσμάτων και των επιπτώσεων</w:t>
      </w:r>
      <w:r>
        <w:rPr>
          <w:rStyle w:val="FootnoteReference"/>
        </w:rPr>
        <w:footnoteReference w:id="1"/>
      </w:r>
      <w:r>
        <w:t>, της συνάφειας, της συνοχής και της προστιθέμενης αξίας που έχει η πολιτική για την ΕΕ, ώστε να διασφαλίζεται η λογοδοσία και η διαφάνειά της και, εν τέλει, να βελτιώνεται ο σχεδιασμός της. Στο πλαίσιο της</w:t>
      </w:r>
      <w:r>
        <w:rPr>
          <w:b/>
        </w:rPr>
        <w:t xml:space="preserve"> </w:t>
      </w:r>
      <w:r>
        <w:t xml:space="preserve">αγροτικής ανάπτυξης, υπάρχουν δύο ορόσημα αξιολόγησης </w:t>
      </w:r>
      <w:r>
        <w:rPr>
          <w:b/>
        </w:rPr>
        <w:t>κατά τη διάρκεια της περιόδου προγραμματισμού 2014-2020</w:t>
      </w:r>
      <w:r>
        <w:t xml:space="preserve">. Το ένα εντός του 2017 και αφορά την αξιολόγηση των αποτελεσμάτων της πολιτικής από τους ενδιαφερόμενους φορείς, και το δεύτερο εντός του 2019 και αφορά τη μέτρηση των αποτελεσμάτων και των επιπτώσεων της πολιτικής. Επιπλέον, προβλέπεται η διενέργεια εκ των υστέρων αξιολόγησης </w:t>
      </w:r>
      <w:r>
        <w:rPr>
          <w:b/>
        </w:rPr>
        <w:t>μετά την περίοδο προγραμματισμού</w:t>
      </w:r>
      <w:r>
        <w:t>.</w:t>
      </w:r>
      <w:r>
        <w:rPr>
          <w:b/>
        </w:rPr>
        <w:t xml:space="preserve"> </w:t>
      </w:r>
    </w:p>
    <w:p w:rsidR="00CD63F6" w:rsidRPr="001C6ACF" w:rsidRDefault="00CD63F6" w:rsidP="005C0884">
      <w:pPr>
        <w:pStyle w:val="HHeading4"/>
      </w:pPr>
      <w:r>
        <w:t xml:space="preserve">Σκοπός των κατευθυντήριων γραμμών </w:t>
      </w:r>
    </w:p>
    <w:p w:rsidR="00CD63F6" w:rsidRPr="00571D58" w:rsidRDefault="00BD7C99" w:rsidP="00CD63F6">
      <w:pPr>
        <w:pStyle w:val="HStandard"/>
      </w:pPr>
      <w:r>
        <w:t>Το νομικό πλαίσιο προβλέπει ότι το 2019 τα κράτη μέλη θα πρέπει να αναφέρουν την πρόοδο που έχει επιτευχθεί ως προς τους στόχους του προγράμματος αγροτικής ανάπτυξης (ΠΑΑ) και τη συμβολή του στη στρατηγική της ΕΕ για έξυπνη, βιώσιμη και χωρίς αποκλεισμούς ανάπτυξη. Αυτό θα πραγματοποιηθεί μέσω των ετήσιων εκθέσεων υλοποίησης (ΕΕΥ) που θα υποβληθούν το 2019. Στο πλαίσιο των αξιολογήσεων θα πρέπει να αξιολογηθεί η καθαρή συμβολή του προγράμματος στις αλλαγές στις τιμές των δεικτών αντικτύπου της ΚΓΠ, και να δοθούν απαντήσεις στα ερωτήματα αξιολόγησης</w:t>
      </w:r>
      <w:r>
        <w:rPr>
          <w:rStyle w:val="FootnoteReference"/>
        </w:rPr>
        <w:footnoteReference w:id="2"/>
      </w:r>
      <w:r>
        <w:t xml:space="preserve">. </w:t>
      </w:r>
    </w:p>
    <w:p w:rsidR="00CD63F6" w:rsidRPr="001C6ACF" w:rsidRDefault="009642AA" w:rsidP="009F77FD">
      <w:pPr>
        <w:pStyle w:val="HStandard"/>
      </w:pPr>
      <w:r>
        <w:t xml:space="preserve">Στόχος των παρουσών κατευθυντήριων γραμμών είναι η </w:t>
      </w:r>
      <w:r>
        <w:rPr>
          <w:b/>
        </w:rPr>
        <w:t>εξέταση των προκλήσεων</w:t>
      </w:r>
      <w:r>
        <w:t xml:space="preserve"> σε σχέση με τις δραστηριότητες αξιολόγησης για την ΕΕΥ το 2019, η </w:t>
      </w:r>
      <w:r>
        <w:rPr>
          <w:b/>
        </w:rPr>
        <w:t>παρουσίαση πρακτικών προσεγγίσεων</w:t>
      </w:r>
      <w:r>
        <w:t xml:space="preserve"> για την εκτίμηση της καθαρής συμβολής του ΠΑΑ στους κοινούς δείκτες αντικτύπου της ΚΓΠ και την εκτίμηση της προόδου ως προς την επίτευξη των στόχων σε επίπεδο ΕΕ, και η </w:t>
      </w:r>
      <w:r>
        <w:rPr>
          <w:b/>
        </w:rPr>
        <w:t>παροχή στήριξης για τις απαντήσεις</w:t>
      </w:r>
      <w:r>
        <w:t xml:space="preserve"> στα κοινά ερωτήματα αξιολόγησης (ΚΕΑ) αριθ. 22-30 και για την αναφορά των πορισμάτων αξιολόγησης στην Ευρωπαϊκή Επιτροπή εντός των ΕΕΥ που θα υποβληθούν το 2019.</w:t>
      </w:r>
    </w:p>
    <w:p w:rsidR="00CD63F6" w:rsidRPr="001C6ACF" w:rsidRDefault="00CD63F6" w:rsidP="005C0884">
      <w:pPr>
        <w:pStyle w:val="HHeading4"/>
      </w:pPr>
      <w:r>
        <w:t xml:space="preserve">Διάρθρωση και περιεχόμενο των κατευθυντήριων γραμμών </w:t>
      </w:r>
    </w:p>
    <w:p w:rsidR="00CD63F6" w:rsidRPr="001C6ACF" w:rsidRDefault="00BD7C99" w:rsidP="005C0884">
      <w:pPr>
        <w:pStyle w:val="HStandard"/>
      </w:pPr>
      <w:r>
        <w:t xml:space="preserve">Στις </w:t>
      </w:r>
      <w:r>
        <w:rPr>
          <w:b/>
        </w:rPr>
        <w:t>ΜΗ ΔΕΣΜΕΥΤΙΚΕΣ κατευθυντήριες γραμμές,</w:t>
      </w:r>
      <w:r>
        <w:t xml:space="preserve"> </w:t>
      </w:r>
      <w:r>
        <w:rPr>
          <w:i/>
        </w:rPr>
        <w:t>Αξιολόγηση των επιτευγμάτων και των επιπτώσεων του ΠΑΑ το 2019,</w:t>
      </w:r>
      <w:r>
        <w:t xml:space="preserve"> καλύπτονται τα ακόλουθα: </w:t>
      </w:r>
    </w:p>
    <w:p w:rsidR="00CD63F6" w:rsidRPr="001C6ACF" w:rsidRDefault="008358D0" w:rsidP="00AD4DC6">
      <w:pPr>
        <w:pStyle w:val="Hlistbullet"/>
        <w:spacing w:line="276" w:lineRule="auto"/>
      </w:pPr>
      <w:r>
        <w:rPr>
          <w:b/>
          <w:color w:val="F07E31" w:themeColor="accent1"/>
        </w:rPr>
        <w:t>ΜΕΡΟΣ I</w:t>
      </w:r>
      <w:r>
        <w:t xml:space="preserve"> </w:t>
      </w:r>
      <w:r>
        <w:rPr>
          <w:b/>
          <w:color w:val="F07E31" w:themeColor="accent1"/>
        </w:rPr>
        <w:t xml:space="preserve">(αφορά κυρίως τις διαχειριστικές αρχές): </w:t>
      </w:r>
      <w:r>
        <w:t xml:space="preserve">παρέχεται ενημέρωση σχετικά με τις νομικές απαιτήσεις και γίνεται συνοπτική περιγραφή του τρόπου υποβολής έκθεσης σχετικά  με τα ΚΕΑ αριθ. 22-30 το 2019. Το μέρος I περιλαμβάνει παραπομπές σε άλλα υφιστάμενα έγγραφα καθοδήγησης. </w:t>
      </w:r>
    </w:p>
    <w:p w:rsidR="00CD63F6" w:rsidRPr="001C6ACF" w:rsidRDefault="008358D0" w:rsidP="00AD4DC6">
      <w:pPr>
        <w:pStyle w:val="Hlistbullet"/>
        <w:spacing w:line="276" w:lineRule="auto"/>
      </w:pPr>
      <w:r>
        <w:rPr>
          <w:b/>
          <w:color w:val="F07E31" w:themeColor="accent1"/>
        </w:rPr>
        <w:t>ΜΕΡΟΣ II</w:t>
      </w:r>
      <w:r>
        <w:t xml:space="preserve"> </w:t>
      </w:r>
      <w:r>
        <w:rPr>
          <w:b/>
          <w:color w:val="F07E31" w:themeColor="accent1"/>
        </w:rPr>
        <w:t>(αφορά κυρίως τους αξιολογητές):</w:t>
      </w:r>
      <w:r>
        <w:t xml:space="preserve"> παρέχεται μεθοδολογική στήριξη για την αξιολόγηση των κοινών δεικτών αντικτύπου του δεύτερου πυλώνα (τομεακές, περιβαλλοντικές </w:t>
      </w:r>
      <w:r>
        <w:lastRenderedPageBreak/>
        <w:t xml:space="preserve">και κοινωνικοοικονομικές επιπτώσεις). Σε αυτό το μέρος επεξηγείται η λογική παρέμβασης και η χρήση πρόσθετων στοιχείων αξιολόγησης, επεξηγούνται οι απαιτήσεις σε δεδομένα και οι μονάδες αξιολόγησης, και παρέχεται καθοδήγηση στον αναγνώστη για την επιλογή των πλέον κατάλληλων προσεγγίσεων αξιολόγησης για τον προσδιορισμό της συμβολής του ΠΑΑ στις τιμές των δεικτών αντικτύπου της ΚΓΠ. Επιπροσθέτως, στο μέρος II προτείνονται επίσης προσεγγίσεις για την εκτίμηση της συμβολής του ΠΑΑ στην επίτευξη της στρατηγικής «Ευρώπη 2020» και της καινοτομίας </w:t>
      </w:r>
    </w:p>
    <w:p w:rsidR="00800238" w:rsidRPr="001C6ACF" w:rsidRDefault="00800238" w:rsidP="00AD4DC6">
      <w:pPr>
        <w:pStyle w:val="Hlistbullet"/>
        <w:spacing w:line="276" w:lineRule="auto"/>
      </w:pPr>
      <w:r>
        <w:rPr>
          <w:b/>
          <w:color w:val="F07E31" w:themeColor="accent1"/>
        </w:rPr>
        <w:t>ΜΕΡΟΣ III:</w:t>
      </w:r>
      <w:r>
        <w:rPr>
          <w:color w:val="F07E31" w:themeColor="accent1"/>
        </w:rPr>
        <w:t xml:space="preserve"> </w:t>
      </w:r>
      <w:r>
        <w:t>περιέχει τα δελτία σχετικά με τις απαντήσεις στα ΚΕΑ αριθ. 22-30.</w:t>
      </w:r>
    </w:p>
    <w:p w:rsidR="00CD63F6" w:rsidRPr="001C6ACF" w:rsidRDefault="00FE491B" w:rsidP="00AD4DC6">
      <w:pPr>
        <w:pStyle w:val="Hlistbullet"/>
        <w:spacing w:line="276" w:lineRule="auto"/>
      </w:pPr>
      <w:r>
        <w:rPr>
          <w:b/>
          <w:color w:val="F07E31" w:themeColor="accent1"/>
        </w:rPr>
        <w:t xml:space="preserve">ΜΕΡΟΣ VI: </w:t>
      </w:r>
      <w:r>
        <w:t>περιέχει το</w:t>
      </w:r>
      <w:r>
        <w:rPr>
          <w:b/>
        </w:rPr>
        <w:t xml:space="preserve"> </w:t>
      </w:r>
      <w:r>
        <w:t xml:space="preserve">τεχνικό παράρτημα που περιλαμβάνει λεπτομερέστερες πληροφορίες για τις προσεγγίσεις εκτίμησης των δεικτών αντικτύπου της ΚΓΠ, και το γλωσσάριο όρων. </w:t>
      </w:r>
    </w:p>
    <w:p w:rsidR="001C2076" w:rsidRPr="001C6ACF" w:rsidRDefault="001C2076" w:rsidP="008D52EA">
      <w:pPr>
        <w:pStyle w:val="HHeading1"/>
        <w:tabs>
          <w:tab w:val="clear" w:pos="474"/>
          <w:tab w:val="clear" w:pos="567"/>
        </w:tabs>
        <w:rPr>
          <w:sz w:val="28"/>
        </w:rPr>
      </w:pPr>
      <w:r>
        <w:rPr>
          <w:sz w:val="28"/>
        </w:rPr>
        <w:lastRenderedPageBreak/>
        <w:t>Ποιαστοχεία σχετικά με την αξιολόγηση πρέπει να περιλαμβάνει η ΕΕΥ που θα υποβληθεί το 2019; (Μέρος I)</w:t>
      </w:r>
    </w:p>
    <w:p w:rsidR="001C2076" w:rsidRPr="001C6ACF" w:rsidRDefault="000C5796" w:rsidP="00E35440">
      <w:pPr>
        <w:pStyle w:val="HHeading2"/>
      </w:pPr>
      <w:r>
        <w:t xml:space="preserve">Νομικό πλαίσιο και επίκεντρο της αξιολόγησης το 2019 </w:t>
      </w:r>
    </w:p>
    <w:p w:rsidR="00B013D7" w:rsidRPr="00571D58" w:rsidRDefault="006A3698" w:rsidP="001C2076">
      <w:pPr>
        <w:pStyle w:val="HStandard"/>
      </w:pPr>
      <w:r>
        <w:t>Αρχής γενομένης από τον Ιούνιο του 2016 και σε ετήσια βάση έως το 2024</w:t>
      </w:r>
      <w:r>
        <w:rPr>
          <w:rStyle w:val="FootnoteReference"/>
        </w:rPr>
        <w:footnoteReference w:id="3"/>
      </w:r>
      <w:r>
        <w:t>, τα κράτη μέλη υποβάλλουν ΕΕΥ στην Ευρωπαϊκή Επιτροπή. Η ΕΕΥ παρέχει πληροφορίες σχετικά με την υλοποίηση του ΠΑΑ, καθώς και πληροφορίες σχετικά με την πρόοδο ως προς την εφαρμογή του σχεδίου αξιολόγησης</w:t>
      </w:r>
      <w:r>
        <w:rPr>
          <w:rStyle w:val="FootnoteReference"/>
        </w:rPr>
        <w:footnoteReference w:id="4"/>
      </w:r>
      <w:r>
        <w:t xml:space="preserve">. </w:t>
      </w:r>
    </w:p>
    <w:p w:rsidR="001C2076" w:rsidRPr="0036731C" w:rsidRDefault="001C2076" w:rsidP="001C2076">
      <w:pPr>
        <w:pStyle w:val="HStandard"/>
      </w:pPr>
      <w:r>
        <w:t xml:space="preserve">Η </w:t>
      </w:r>
      <w:r>
        <w:rPr>
          <w:b/>
        </w:rPr>
        <w:t>ΕΕΥ</w:t>
      </w:r>
      <w:r>
        <w:t xml:space="preserve"> </w:t>
      </w:r>
      <w:r>
        <w:rPr>
          <w:b/>
        </w:rPr>
        <w:t>του 2017</w:t>
      </w:r>
      <w:r>
        <w:t xml:space="preserve"> περιελάμβανε τον ποσοτικό προσδιορισμό των επιτευγμάτων του προγράμματος (μέσω της εκτίμησης των δεικτών αποτελεσμάτων, συμπεριλαμβανομένων των συμπληρωματικών δεικτών αποτελεσμάτων). Για την ερμηνεία των δεικτών αποτελεσμάτων και τις απαντήσεις στα ΚΕΑ</w:t>
      </w:r>
      <w:r>
        <w:rPr>
          <w:rStyle w:val="FootnoteReference"/>
        </w:rPr>
        <w:footnoteReference w:id="5"/>
      </w:r>
      <w:r>
        <w:t xml:space="preserve"> αριθ. 1-21 χρησιμοποιήθηκαν κριτήρια απόφασης. Οι </w:t>
      </w:r>
      <w:r>
        <w:rPr>
          <w:i/>
        </w:rPr>
        <w:t xml:space="preserve">κατευθυντήριες γραμμές: </w:t>
      </w:r>
      <w:hyperlink r:id="rId14">
        <w:r>
          <w:rPr>
            <w:rStyle w:val="Hyperlink"/>
            <w:i/>
          </w:rPr>
          <w:t>Assessment of RDP Results: how to prepare for reporting on evaluation in 2017 (Αξιολόγηση των αποτελεσμάτων του ΠΑΑ: τρόπος προετοιμασίας για την υποβολή εκθέσεων σχετικά με την αξιολόγηση το 2017)</w:t>
        </w:r>
      </w:hyperlink>
      <w:r>
        <w:t xml:space="preserve"> μπορούν επίσης να παρέχουν στήριξη στις εν λόγω δραστηριότητες, και, ως εκ τούτου, έχουν σημασία για την ΕΕΥ που θα υποβληθεί το 2019</w:t>
      </w:r>
      <w:r>
        <w:rPr>
          <w:rStyle w:val="FootnoteReference"/>
        </w:rPr>
        <w:footnoteReference w:id="6"/>
      </w:r>
      <w:r>
        <w:t xml:space="preserve">. </w:t>
      </w:r>
    </w:p>
    <w:p w:rsidR="00BA41C1" w:rsidRPr="001C6ACF" w:rsidRDefault="001C2076" w:rsidP="001C2076">
      <w:pPr>
        <w:pStyle w:val="HStandard"/>
      </w:pPr>
      <w:r>
        <w:t>Στο πλαίσιο της</w:t>
      </w:r>
      <w:r>
        <w:rPr>
          <w:b/>
        </w:rPr>
        <w:t xml:space="preserve"> ΕΕΥ</w:t>
      </w:r>
      <w:r>
        <w:t xml:space="preserve"> που θα υποβληθεί </w:t>
      </w:r>
      <w:r>
        <w:rPr>
          <w:b/>
        </w:rPr>
        <w:t>το 2019</w:t>
      </w:r>
      <w:r>
        <w:t xml:space="preserve"> πρέπει να γίνει επικαιροποίηση των πορισμάτων αξιολόγησης που υποβλήθηκαν το 2017, και </w:t>
      </w:r>
      <w:r>
        <w:rPr>
          <w:u w:val="single"/>
        </w:rPr>
        <w:t xml:space="preserve">επιπροσθέτως </w:t>
      </w:r>
      <w:r>
        <w:t>η ΕΕΥ πρέπει να περιλαμβάνει:</w:t>
      </w:r>
    </w:p>
    <w:p w:rsidR="00BA41C1" w:rsidRPr="001C6ACF" w:rsidRDefault="001C2076" w:rsidP="00BA41C1">
      <w:pPr>
        <w:pStyle w:val="Hlistbullet"/>
      </w:pPr>
      <w:r>
        <w:t xml:space="preserve">τα πορίσματα της αξιολόγησης των επιπτώσεων του ΠΑΑ, όπως αυτά προκύπτουν από τον υπολογισμό και την ερμηνεία των καθαρών τιμών των δεικτών αντικτύπου της ΚΓΠ· </w:t>
      </w:r>
    </w:p>
    <w:p w:rsidR="00BA41C1" w:rsidRPr="001C6ACF" w:rsidRDefault="00BA41C1" w:rsidP="00BA41C1">
      <w:pPr>
        <w:pStyle w:val="Hlistbullet"/>
      </w:pPr>
      <w:r>
        <w:t xml:space="preserve">τη συμβολή του ΠΑΑ στη στρατηγική της ΕΕ για έξυπνη, βιώσιμη και χωρίς αποκλεισμούς ανάπτυξη, καθώς και στη στρατηγική για τη βιοποικιλότητα· και </w:t>
      </w:r>
    </w:p>
    <w:p w:rsidR="001C2076" w:rsidRPr="001C6ACF" w:rsidRDefault="00BA41C1" w:rsidP="00BA41C1">
      <w:pPr>
        <w:pStyle w:val="Hlistbullet"/>
      </w:pPr>
      <w:r>
        <w:t>τις απαντήσεις στα ΚΕΑ για τα ΠΑΑ της περιόδου 2014-2020, σε σχέση με τους στόχους σε επίπεδο ΕΕ (δηλ. τα ΚΕΑ αριθ. 22–30).</w:t>
      </w:r>
    </w:p>
    <w:p w:rsidR="001C2076" w:rsidRPr="0036731C" w:rsidRDefault="00CA1C02" w:rsidP="001C2076">
      <w:pPr>
        <w:pStyle w:val="HStandard"/>
      </w:pPr>
      <w:r>
        <w:t>Στο παρακάτω σχήμα παρουσιάζεται επισκόπηση των κυριότερων απαιτήσεων για την υποβολή έκθεσης σχετικά με την αξιολόγηση στο πλαίσιο των ΕΕΥ καθ’ όλη τη διάρκεια της περιόδου προγραμματισμού, όπως ορίζεται στον νομικό πλαίσιο</w:t>
      </w:r>
      <w:r>
        <w:rPr>
          <w:rStyle w:val="FootnoteReference"/>
        </w:rPr>
        <w:footnoteReference w:id="7"/>
      </w:r>
      <w:r>
        <w:t xml:space="preserve"> καθώς και στα σχετικά έγγραφα καθοδήγησης. </w:t>
      </w:r>
    </w:p>
    <w:p w:rsidR="001C2076" w:rsidRPr="00FB6C06" w:rsidRDefault="0067073B" w:rsidP="0067073B">
      <w:pPr>
        <w:pStyle w:val="HHeadingfigures"/>
        <w:numPr>
          <w:ilvl w:val="0"/>
          <w:numId w:val="0"/>
        </w:numPr>
        <w:ind w:left="1080" w:hanging="1080"/>
      </w:pPr>
      <w:r>
        <w:lastRenderedPageBreak/>
        <w:t xml:space="preserve">Διάγραμμα 1: </w:t>
      </w:r>
      <w:r w:rsidR="00CA1C02">
        <w:t xml:space="preserve">Υποβολή έκθεσης σχετικά με την αξιολόγηση (σύμφωνα με το παράρτημα VII του κανονισμού (ΕΕ) αριθ. 808/2014) </w:t>
      </w:r>
    </w:p>
    <w:p w:rsidR="001C2076" w:rsidRPr="00571D58" w:rsidRDefault="0067073B" w:rsidP="00744BAA">
      <w:pPr>
        <w:pStyle w:val="HStandard"/>
        <w:jc w:val="center"/>
      </w:pPr>
      <w:r w:rsidRPr="0067073B">
        <w:rPr>
          <w:noProof/>
        </w:rPr>
        <w:drawing>
          <wp:inline distT="0" distB="0" distL="0" distR="0" wp14:anchorId="03948E0F" wp14:editId="751A7A50">
            <wp:extent cx="5731510" cy="3219116"/>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19116"/>
                    </a:xfrm>
                    <a:prstGeom prst="rect">
                      <a:avLst/>
                    </a:prstGeom>
                    <a:noFill/>
                    <a:ln>
                      <a:noFill/>
                    </a:ln>
                  </pic:spPr>
                </pic:pic>
              </a:graphicData>
            </a:graphic>
          </wp:inline>
        </w:drawing>
      </w:r>
    </w:p>
    <w:p w:rsidR="001C2076" w:rsidRPr="007645B4" w:rsidRDefault="001C2076" w:rsidP="008D52EA">
      <w:pPr>
        <w:pStyle w:val="HSource"/>
        <w:rPr>
          <w:i w:val="0"/>
        </w:rPr>
      </w:pPr>
      <w:r>
        <w:t>Πηγή: European Evaluation Helpdesk for Rural Development  [Ευρωπαϊκή Υπηρεσία Υποστήριξης της Αξιολόγησης για την Αγροτική Ανάπτυξη  (2018)]</w:t>
      </w:r>
    </w:p>
    <w:p w:rsidR="00E52E73" w:rsidRPr="007645B4" w:rsidRDefault="00E52E73" w:rsidP="00E52E73">
      <w:pPr>
        <w:pStyle w:val="HHeading4"/>
      </w:pPr>
      <w:r>
        <w:t xml:space="preserve">Το νομικό πλαίσιο </w:t>
      </w:r>
    </w:p>
    <w:p w:rsidR="00DE65AB" w:rsidRPr="001C6ACF" w:rsidRDefault="00BA41C1" w:rsidP="001C2076">
      <w:pPr>
        <w:pStyle w:val="HStandard"/>
      </w:pPr>
      <w:r>
        <w:t xml:space="preserve">Η αξιολόγηση των ΠΑΑ εδράζεται στο νομικό πλαίσιο και το κοινό σύστημα παρακολούθησης και αξιολόγησης (ΚΣΠΑ). </w:t>
      </w:r>
    </w:p>
    <w:p w:rsidR="001A2395" w:rsidRPr="00863E73" w:rsidRDefault="00BA41C1" w:rsidP="001C2076">
      <w:pPr>
        <w:pStyle w:val="HStandard"/>
      </w:pPr>
      <w:r>
        <w:rPr>
          <w:b/>
        </w:rPr>
        <w:t>Το νομικό πλαίσιο</w:t>
      </w:r>
      <w:r>
        <w:rPr>
          <w:rStyle w:val="FootnoteReference"/>
        </w:rPr>
        <w:footnoteReference w:id="8"/>
      </w:r>
      <w:r>
        <w:t xml:space="preserve"> αποτελεί τη βάση για την αξιολόγηση των επιτευγμάτων και της συμβολής των ΠΑΑ στους απώτερους στόχους πολιτικής της ΕΕ. </w:t>
      </w:r>
    </w:p>
    <w:p w:rsidR="001C2076" w:rsidRPr="001C6ACF" w:rsidRDefault="00CA1C02" w:rsidP="001C2076">
      <w:pPr>
        <w:pStyle w:val="HStandard"/>
      </w:pPr>
      <w:r>
        <w:t xml:space="preserve">Οι </w:t>
      </w:r>
      <w:r>
        <w:rPr>
          <w:b/>
        </w:rPr>
        <w:t>γενικές διατάξεις</w:t>
      </w:r>
      <w:r>
        <w:t xml:space="preserve"> για την αξιολόγηση ορίζονται στον </w:t>
      </w:r>
      <w:r>
        <w:rPr>
          <w:b/>
        </w:rPr>
        <w:t>κανονισμό (ΕΕ) αριθ. 1303/2013</w:t>
      </w:r>
      <w:r>
        <w:t xml:space="preserve"> και εξειδικεύουν τον ρόλο της αξιολόγησης όσον αφορά:</w:t>
      </w:r>
    </w:p>
    <w:p w:rsidR="001C2076" w:rsidRPr="001C6ACF" w:rsidRDefault="001C2076" w:rsidP="008D52EA">
      <w:pPr>
        <w:pStyle w:val="Hlistbullet"/>
      </w:pPr>
      <w:r>
        <w:t xml:space="preserve">τη βελτίωση της ποιότητας του σχεδιασμού και της εφαρμογής των προγραμμάτων και </w:t>
      </w:r>
    </w:p>
    <w:p w:rsidR="001C2076" w:rsidRPr="00571D58" w:rsidRDefault="001C2076" w:rsidP="008D52EA">
      <w:pPr>
        <w:pStyle w:val="Hlistbullet"/>
      </w:pPr>
      <w:r>
        <w:t>την εκτίμηση της αποτελεσματικότητας, της απόδοσης και των επιπτώσεών τους</w:t>
      </w:r>
      <w:r>
        <w:rPr>
          <w:rStyle w:val="FootnoteReference"/>
        </w:rPr>
        <w:footnoteReference w:id="9"/>
      </w:r>
      <w:r>
        <w:t xml:space="preserve">. </w:t>
      </w:r>
    </w:p>
    <w:p w:rsidR="00087412" w:rsidRPr="001C6ACF" w:rsidRDefault="00D42EC7" w:rsidP="001C2076">
      <w:pPr>
        <w:pStyle w:val="HStandard"/>
      </w:pPr>
      <w:r>
        <w:t xml:space="preserve">Για τον σκοπό αυτό, τα κράτη μέλη χορηγούν τους </w:t>
      </w:r>
      <w:r>
        <w:rPr>
          <w:b/>
        </w:rPr>
        <w:t>απαραίτητους πόρους για τη διενέργεια των αξιολογήσεων</w:t>
      </w:r>
      <w:r>
        <w:t xml:space="preserve"> και εξασφαλίζουν ότι έχουν τεθεί σε λειτουργία οι διαδικασίες για την </w:t>
      </w:r>
      <w:r>
        <w:rPr>
          <w:b/>
        </w:rPr>
        <w:t>παραγωγή και συλλογή των δεδομένων που είναι απαραίτητα για τις αξιολογήσεις</w:t>
      </w:r>
      <w:r>
        <w:t xml:space="preserve">, συμπεριλαμβανομένων των δεδομένων που αφορούν τους κοινούς και, ανάλογα με την περίπτωση, τους ειδικούς δείκτες προγράμματος. </w:t>
      </w:r>
    </w:p>
    <w:p w:rsidR="001C2076" w:rsidRPr="00571D58" w:rsidRDefault="001C2076" w:rsidP="001C2076">
      <w:pPr>
        <w:pStyle w:val="HStandard"/>
      </w:pPr>
      <w:r>
        <w:t xml:space="preserve">Η αξιολόγηση διενεργείται σύμφωνα με το </w:t>
      </w:r>
      <w:r>
        <w:rPr>
          <w:b/>
        </w:rPr>
        <w:t>σχέδιο αξιολόγησης</w:t>
      </w:r>
      <w:r>
        <w:t xml:space="preserve"> και στα πορίσματά της δίνεται συνέχεια σύμφωνα με τους ειδικούς κανόνες για κάθε ταμείο. Τουλάχιστον μία φορά κατά τη διάρκεια της περιόδου προγραμματισμού, μια αξιολόγηση εκτιμά τον τρόπο με τον οποίο η υποστήριξη από τα ΕΔΕΤ έχει συμβάλει στην επίτευξη των στόχων για κάθε προτεραιότητα</w:t>
      </w:r>
      <w:r>
        <w:rPr>
          <w:rStyle w:val="FootnoteReference"/>
        </w:rPr>
        <w:footnoteReference w:id="10"/>
      </w:r>
      <w:r>
        <w:t>.</w:t>
      </w:r>
    </w:p>
    <w:p w:rsidR="001C2076" w:rsidRPr="00571D58" w:rsidRDefault="001C2076" w:rsidP="001C2076">
      <w:pPr>
        <w:pStyle w:val="HStandard"/>
      </w:pPr>
      <w:r>
        <w:t xml:space="preserve">Ο </w:t>
      </w:r>
      <w:r>
        <w:rPr>
          <w:b/>
        </w:rPr>
        <w:t>κανονισμός (ΕΕ) αριθ. 1306/2013</w:t>
      </w:r>
      <w:r>
        <w:t xml:space="preserve"> καθορίζει τις απαιτήσεις παρακολούθησης και αξιολόγησης της κοινής γεωργικής πολιτικής (ΚΓΠ)</w:t>
      </w:r>
      <w:r>
        <w:rPr>
          <w:rStyle w:val="FootnoteReference"/>
        </w:rPr>
        <w:footnoteReference w:id="11"/>
      </w:r>
      <w:r>
        <w:t xml:space="preserve">. Ορίζει ότι η Ευρωπαϊκή Επιτροπή μεριμνά για την απόδοση της </w:t>
      </w:r>
      <w:r>
        <w:lastRenderedPageBreak/>
        <w:t xml:space="preserve">ΚΓΠ όσον αφορά την επίτευξη των </w:t>
      </w:r>
      <w:r>
        <w:rPr>
          <w:b/>
        </w:rPr>
        <w:t>κοινών στόχων</w:t>
      </w:r>
      <w:r>
        <w:t>. Ο συνδυασμένος αντίκτυπος όλων των μέσων της ΚΓΠ μετράται και εκτιμάται βάσει των στοιχείων από τις δραστηριότητες παρακολούθησης και αξιολόγησης που πραγματοποιούνται στα κράτη μέλη.</w:t>
      </w:r>
      <w:r>
        <w:rPr>
          <w:b/>
        </w:rPr>
        <w:t xml:space="preserve"> </w:t>
      </w:r>
      <w:r>
        <w:t xml:space="preserve">Οι κοινοί στόχοι αξιολογούνται βάσει </w:t>
      </w:r>
      <w:r>
        <w:rPr>
          <w:b/>
        </w:rPr>
        <w:t>κοινών δεικτών αντίκτυπου</w:t>
      </w:r>
      <w:r>
        <w:t xml:space="preserve">, ενώ οι υποκείμενοι ειδικοί στόχοι αξιολογούνται με τη χρήση </w:t>
      </w:r>
      <w:r>
        <w:rPr>
          <w:b/>
        </w:rPr>
        <w:t>κοινών</w:t>
      </w:r>
      <w:r>
        <w:t xml:space="preserve"> </w:t>
      </w:r>
      <w:r>
        <w:rPr>
          <w:b/>
        </w:rPr>
        <w:t>δεικτών αποτελεσμάτων</w:t>
      </w:r>
      <w:r>
        <w:t>. Τα στοιχεία που συλλέγονται βασίζονται σε καθιερωμένες πηγές δεδομένων, όπως το Δίκτυο Γεωργικής Λογιστικής Πληροφόρησης (ΔΓΛΠ) και η Στατιστική Υπηρεσία της Ευρωπαϊκής Ένωσης (Eurostat). Η Ευρωπαϊκή Επιτροπή λαμβάνει υπόψη τις ανάγκες σε δεδομένα και τις συνέργειες μεταξύ δυνητικών πηγών δεδομένων, και ιδίως τη χρήση τους για στατιστικούς σκοπούς, όταν ενδείκνυται</w:t>
      </w:r>
      <w:r>
        <w:rPr>
          <w:rStyle w:val="FootnoteReference"/>
        </w:rPr>
        <w:footnoteReference w:id="12"/>
      </w:r>
      <w:r>
        <w:t>.</w:t>
      </w:r>
    </w:p>
    <w:p w:rsidR="001C2076" w:rsidRPr="001C6ACF" w:rsidRDefault="001C2076" w:rsidP="001C2076">
      <w:pPr>
        <w:pStyle w:val="HStandard"/>
      </w:pPr>
      <w:r>
        <w:t xml:space="preserve">O </w:t>
      </w:r>
      <w:r>
        <w:rPr>
          <w:b/>
        </w:rPr>
        <w:t>κανονισμός (ΕΕ) αριθ. 1305/2013 θεσπίζει το</w:t>
      </w:r>
      <w:r>
        <w:t xml:space="preserve"> </w:t>
      </w:r>
      <w:r>
        <w:rPr>
          <w:b/>
        </w:rPr>
        <w:t>κοινό σύστημα παρακολούθησης και αξιολόγησης</w:t>
      </w:r>
      <w:r>
        <w:t>, τους στόχους του</w:t>
      </w:r>
      <w:r>
        <w:rPr>
          <w:rStyle w:val="FootnoteReference"/>
        </w:rPr>
        <w:footnoteReference w:id="13"/>
      </w:r>
      <w:r>
        <w:t xml:space="preserve"> και τους κοινούς δείκτες</w:t>
      </w:r>
      <w:r>
        <w:rPr>
          <w:rStyle w:val="FootnoteReference"/>
        </w:rPr>
        <w:footnoteReference w:id="14"/>
      </w:r>
      <w:r>
        <w:t>. Οι στόχοι αυτοί σχετίζονται με την αρχική κατάσταση (δείκτες πλαισίου) καθώς και τη δημοσιονομική εκτέλεση, τις εκροές, τα αποτελέσματα και τις επιπτώσεις του προγράμματος. Οι κοινοί δείκτες βασίζονται σε διαθέσιμα δεδομένα, συνδέονται με τη δομή και τους στόχους του πλαισίου της πολιτικής αγροτικής ανάπτυξης και επιτρέπουν την εκτίμηση της προόδου, της αποδοτικότητας και της αποτελεσματικότητας της εφαρμογής της πολιτικής με γνώμονα τους σκοπούς και τους στόχους σε επίπεδο ενωσιακό, εθνικό και προγράμματος.</w:t>
      </w:r>
    </w:p>
    <w:p w:rsidR="001C2076" w:rsidRPr="001C6ACF" w:rsidRDefault="001C2076" w:rsidP="001C2076">
      <w:pPr>
        <w:pStyle w:val="HStandard"/>
        <w:rPr>
          <w:b/>
        </w:rPr>
      </w:pPr>
      <w:r>
        <w:t xml:space="preserve">Η εκτίμηση των επιπτώσεων των προγραμμάτων αγροτικής ανάπτυξης γίνεται με τη βοήθεια κοινών (καθώς και πρόσθετων και ειδικών ανά πρόγραμμα) δεικτών αντικτύπου. </w:t>
      </w:r>
      <w:r>
        <w:rPr>
          <w:b/>
        </w:rPr>
        <w:t xml:space="preserve">H </w:t>
      </w:r>
      <w:r>
        <w:t xml:space="preserve"> </w:t>
      </w:r>
      <w:r>
        <w:rPr>
          <w:b/>
        </w:rPr>
        <w:t xml:space="preserve">εκτίμηση των επιπτώσεων του προγράμματος αποτελεί ευθύνη κάθε κράτους μέλους. </w:t>
      </w:r>
    </w:p>
    <w:p w:rsidR="00E52E73" w:rsidRPr="001C6ACF" w:rsidRDefault="00E52E73" w:rsidP="00E52E73">
      <w:pPr>
        <w:pStyle w:val="HHeading4"/>
      </w:pPr>
      <w:r>
        <w:t>Τα κοινά στοιχεία αξιολόγησης</w:t>
      </w:r>
    </w:p>
    <w:p w:rsidR="00D42EC7" w:rsidRPr="00CB20AA" w:rsidRDefault="00D42EC7" w:rsidP="00D42EC7">
      <w:pPr>
        <w:pStyle w:val="HStandard"/>
      </w:pPr>
      <w:r>
        <w:t>Το ΚΣΠΑ αποτελεί μέρος του κοινού πλαισίου παρακολούθησης και αξιολόγησης της κοινής γεωργικής πολιτικής (ΚΠΠΑ)</w:t>
      </w:r>
      <w:r>
        <w:rPr>
          <w:rStyle w:val="FootnoteReference"/>
        </w:rPr>
        <w:footnoteReference w:id="15"/>
      </w:r>
      <w:r>
        <w:t xml:space="preserve"> και περιλαμβάνει αρκετά έγγραφα καθοδήγησης σχετικά με τη χρήση κοινών ερωτημάτων αξιολόγησης και δεικτών στο πλαίσιο της παρακολούθησης και αξιολόγησης της πολιτικής αγροτικής ανάπτυξης. Ο εκτελεστικός </w:t>
      </w:r>
      <w:r>
        <w:rPr>
          <w:b/>
        </w:rPr>
        <w:t>κανονισμός (ΕΕ) αριθ. 808/2014</w:t>
      </w:r>
      <w:r>
        <w:rPr>
          <w:rStyle w:val="FootnoteReference"/>
          <w:b/>
        </w:rPr>
        <w:footnoteReference w:id="16"/>
      </w:r>
      <w:r>
        <w:rPr>
          <w:b/>
        </w:rPr>
        <w:t xml:space="preserve"> </w:t>
      </w:r>
      <w:r>
        <w:t xml:space="preserve">της Επιτροπής περιγράφει λεπτομερέστερα το ΚΣΠΑ και εξειδικεύει τα επιμέρους στοιχεία του: </w:t>
      </w:r>
    </w:p>
    <w:p w:rsidR="001C2076" w:rsidRPr="00FB6C06" w:rsidRDefault="001C2076" w:rsidP="008D52EA">
      <w:pPr>
        <w:pStyle w:val="Hlistbullet"/>
      </w:pPr>
      <w:r>
        <w:t xml:space="preserve">τη λογική παρέμβασης που καταδεικνύει τις αλληλεπιδράσεις μεταξύ προτεραιοτήτων, τομέων επικέντρωσης και μέτρων· </w:t>
      </w:r>
    </w:p>
    <w:p w:rsidR="001C2076" w:rsidRPr="00571D58" w:rsidRDefault="001C2076" w:rsidP="008D52EA">
      <w:pPr>
        <w:pStyle w:val="Hlistbullet"/>
      </w:pPr>
      <w:r>
        <w:t>ένα σύνολο κοινών δεικτών πλαισίου, αποτελεσμάτων και εκροών, συμπεριλαμβανομένων των δεικτών που προορίζονται να χρησιμοποιηθούν για τον καθορισμό ποσοτικών στόχων σε σχέση με τους τομείς επικέντρωσης της αγροτικής ανάπτυξης</w:t>
      </w:r>
      <w:r>
        <w:rPr>
          <w:rStyle w:val="FootnoteReference"/>
        </w:rPr>
        <w:footnoteReference w:id="17"/>
      </w:r>
      <w:r>
        <w:t xml:space="preserve">· </w:t>
      </w:r>
    </w:p>
    <w:p w:rsidR="001C2076" w:rsidRPr="00571D58" w:rsidRDefault="001C2076" w:rsidP="008D52EA">
      <w:pPr>
        <w:pStyle w:val="Hlistbullet"/>
      </w:pPr>
      <w:r>
        <w:t>κοινά ερωτήματα αξιολόγησης</w:t>
      </w:r>
      <w:r>
        <w:rPr>
          <w:rStyle w:val="FootnoteReference"/>
        </w:rPr>
        <w:footnoteReference w:id="18"/>
      </w:r>
      <w:r>
        <w:t>·</w:t>
      </w:r>
    </w:p>
    <w:p w:rsidR="001C2076" w:rsidRPr="00FB6C06" w:rsidRDefault="001C2076" w:rsidP="008D52EA">
      <w:pPr>
        <w:pStyle w:val="Hlistbullet"/>
      </w:pPr>
      <w:r>
        <w:t xml:space="preserve">συλλογή, αποθήκευση και διαβίβαση δεδομένων· </w:t>
      </w:r>
    </w:p>
    <w:p w:rsidR="001C2076" w:rsidRPr="00571D58" w:rsidRDefault="001C2076" w:rsidP="008D52EA">
      <w:pPr>
        <w:pStyle w:val="Hlistbullet"/>
      </w:pPr>
      <w:r>
        <w:t>τακτική υποβολή εκθέσεων για τις δραστηριότητες παρακολούθησης και αξιολόγησης</w:t>
      </w:r>
      <w:r>
        <w:rPr>
          <w:rStyle w:val="FootnoteReference"/>
        </w:rPr>
        <w:footnoteReference w:id="19"/>
      </w:r>
      <w:r>
        <w:t xml:space="preserve">· </w:t>
      </w:r>
    </w:p>
    <w:p w:rsidR="001C2076" w:rsidRPr="00571D58" w:rsidRDefault="001C2076" w:rsidP="008D52EA">
      <w:pPr>
        <w:pStyle w:val="Hlistbullet"/>
      </w:pPr>
      <w:r>
        <w:t>το σχέδιο αξιολόγησης</w:t>
      </w:r>
      <w:r>
        <w:rPr>
          <w:rStyle w:val="FootnoteReference"/>
        </w:rPr>
        <w:footnoteReference w:id="20"/>
      </w:r>
      <w:r>
        <w:t xml:space="preserve">· </w:t>
      </w:r>
    </w:p>
    <w:p w:rsidR="001C2076" w:rsidRPr="00571D58" w:rsidRDefault="001C2076" w:rsidP="008D52EA">
      <w:pPr>
        <w:pStyle w:val="Hlistbullet"/>
      </w:pPr>
      <w:r>
        <w:t>τις εκ των προτέρων και εκ των υστέρων αξιολογήσεις και όλες τις άλλες δραστηριότητες αξιολόγησης που συνδέονται με το πρόγραμμα αγροτικής ανάπτυξης, συμπεριλαμβανομένων αυτών που απαιτούνται για την εκπλήρωση των αυξημένων απαιτήσεων των ετήσιων εκθέσεων υλοποίησης του 2017 και του 2019</w:t>
      </w:r>
      <w:r>
        <w:rPr>
          <w:rStyle w:val="FootnoteReference"/>
        </w:rPr>
        <w:footnoteReference w:id="21"/>
      </w:r>
      <w:r>
        <w:t>·</w:t>
      </w:r>
    </w:p>
    <w:p w:rsidR="001C2076" w:rsidRPr="00571D58" w:rsidRDefault="001C2076" w:rsidP="008D52EA">
      <w:pPr>
        <w:pStyle w:val="Hlistbullet"/>
      </w:pPr>
      <w:r>
        <w:lastRenderedPageBreak/>
        <w:t>παροχή στήριξης σε όλους τους φορείς που είναι αρμόδιοι για την παρακολούθηση και αξιολόγηση ώστε να μπορούν να εκπληρώνουν τις υποχρεώσεις τους</w:t>
      </w:r>
      <w:r>
        <w:rPr>
          <w:rStyle w:val="FootnoteReference"/>
        </w:rPr>
        <w:footnoteReference w:id="22"/>
      </w:r>
      <w:r>
        <w:t xml:space="preserve">. </w:t>
      </w:r>
    </w:p>
    <w:p w:rsidR="00F40273" w:rsidRPr="00CB20AA" w:rsidRDefault="00D42EC7" w:rsidP="001C2076">
      <w:pPr>
        <w:pStyle w:val="HStandard"/>
      </w:pPr>
      <w:r>
        <w:t xml:space="preserve">Η Ευρωπαϊκή Επιτροπή παρέχει επίσης λεπτομερή </w:t>
      </w:r>
      <w:r>
        <w:rPr>
          <w:b/>
        </w:rPr>
        <w:t xml:space="preserve">δελτία </w:t>
      </w:r>
      <w:r>
        <w:t xml:space="preserve">για καθέναν από τους κοινούς δείκτες προς συμπερίληψη στις ΕΕΥ του 2017 και του 2019, στους οποίους συγκαταλέγονται οι 16 κοινοί </w:t>
      </w:r>
      <w:hyperlink r:id="rId16">
        <w:r>
          <w:rPr>
            <w:rStyle w:val="Hyperlink"/>
          </w:rPr>
          <w:t>δείκτες αντικτύπου της ΚΓΠ</w:t>
        </w:r>
      </w:hyperlink>
      <w:r>
        <w:t xml:space="preserve">. </w:t>
      </w:r>
      <w:r>
        <w:rPr>
          <w:b/>
        </w:rPr>
        <w:t>Κάθε δελτίο δείκτη αντικτύπου</w:t>
      </w:r>
      <w:r>
        <w:t xml:space="preserve"> περιέχει σύνδεση με το έγγραφο:</w:t>
      </w:r>
    </w:p>
    <w:p w:rsidR="00F40273" w:rsidRPr="001C6ACF" w:rsidRDefault="00A3244E" w:rsidP="00DA263D">
      <w:pPr>
        <w:pStyle w:val="Hlistbullet"/>
      </w:pPr>
      <w:r>
        <w:t xml:space="preserve">τον σχετικό στόχο πολιτικής, </w:t>
      </w:r>
    </w:p>
    <w:p w:rsidR="00F40273" w:rsidRPr="001C6ACF" w:rsidRDefault="001C2076" w:rsidP="00DA263D">
      <w:pPr>
        <w:pStyle w:val="Hlistbullet"/>
      </w:pPr>
      <w:r>
        <w:t xml:space="preserve">τον ορισμό του δείκτη, </w:t>
      </w:r>
    </w:p>
    <w:p w:rsidR="00F40273" w:rsidRPr="001C6ACF" w:rsidRDefault="001C2076" w:rsidP="00DA263D">
      <w:pPr>
        <w:pStyle w:val="Hlistbullet"/>
      </w:pPr>
      <w:r>
        <w:t xml:space="preserve">τη μονάδα μέτρησης, </w:t>
      </w:r>
    </w:p>
    <w:p w:rsidR="00F40273" w:rsidRPr="001C6ACF" w:rsidRDefault="001C2076" w:rsidP="00DA263D">
      <w:pPr>
        <w:pStyle w:val="Hlistbullet"/>
      </w:pPr>
      <w:r>
        <w:t xml:space="preserve">τη μεθοδολογία/τον μαθηματικό τύπο υπολογισμού, </w:t>
      </w:r>
    </w:p>
    <w:p w:rsidR="00F40273" w:rsidRPr="001C6ACF" w:rsidRDefault="001C2076" w:rsidP="00DA263D">
      <w:pPr>
        <w:pStyle w:val="Hlistbullet"/>
      </w:pPr>
      <w:r>
        <w:t xml:space="preserve">τα δεδομένα που απαιτούνται και τις πηγές δεδομένων, </w:t>
      </w:r>
    </w:p>
    <w:p w:rsidR="00F40273" w:rsidRPr="001C6ACF" w:rsidRDefault="003304E5" w:rsidP="00DA263D">
      <w:pPr>
        <w:pStyle w:val="Hlistbullet"/>
      </w:pPr>
      <w:r>
        <w:t xml:space="preserve">το επίπεδο και τη συχνότητα συλλογής δεδομένων, </w:t>
      </w:r>
    </w:p>
    <w:p w:rsidR="001C2076" w:rsidRPr="001C6ACF" w:rsidRDefault="001C2076" w:rsidP="00DA263D">
      <w:pPr>
        <w:pStyle w:val="Hlistbullet"/>
      </w:pPr>
      <w:r>
        <w:t xml:space="preserve">τα στοιχεία σχετικά με καθυστερήσεις στη συλλογή δεδομένων. </w:t>
      </w:r>
    </w:p>
    <w:p w:rsidR="001C2076" w:rsidRPr="001C6ACF" w:rsidRDefault="001C2076" w:rsidP="001C2076">
      <w:pPr>
        <w:pStyle w:val="HStandard"/>
      </w:pPr>
      <w:r>
        <w:t xml:space="preserve">Για την εκτίμηση των επιπτώσεων των ΠΑΑ θα χρησιμοποιηθούν </w:t>
      </w:r>
      <w:r>
        <w:rPr>
          <w:b/>
        </w:rPr>
        <w:t>13 από τους 16 κοινούς δείκτες αντικτύπου της ΚΓΠ</w:t>
      </w:r>
      <w:r>
        <w:t>:</w:t>
      </w:r>
    </w:p>
    <w:p w:rsidR="001C2076" w:rsidRPr="001C6ACF" w:rsidRDefault="001C2076" w:rsidP="008D52EA">
      <w:pPr>
        <w:pStyle w:val="Hlistbullet"/>
      </w:pPr>
      <w:r>
        <w:t>Δ.01 Γεωργικό επιχειρηματικό εισόδημα</w:t>
      </w:r>
    </w:p>
    <w:p w:rsidR="001C2076" w:rsidRPr="001C6ACF" w:rsidRDefault="001C2076" w:rsidP="008D52EA">
      <w:pPr>
        <w:pStyle w:val="Hlistbullet"/>
      </w:pPr>
      <w:r>
        <w:t>Δ.02 Γεωργικό εισόδημα συντελεστών παραγωγής</w:t>
      </w:r>
    </w:p>
    <w:p w:rsidR="001C2076" w:rsidRPr="001C6ACF" w:rsidRDefault="001C2076" w:rsidP="008D52EA">
      <w:pPr>
        <w:pStyle w:val="Hlistbullet"/>
      </w:pPr>
      <w:r>
        <w:t>Δ.03 Συνολική παραγωγικότητα των συντελεστών παραγωγής στον τομέα της γεωργίας</w:t>
      </w:r>
    </w:p>
    <w:p w:rsidR="001C2076" w:rsidRPr="001C6ACF" w:rsidRDefault="001C2076" w:rsidP="008D52EA">
      <w:pPr>
        <w:pStyle w:val="Hlistbullet"/>
      </w:pPr>
      <w:r>
        <w:t>Δ.07 Εκπομπές από τη γεωργία</w:t>
      </w:r>
    </w:p>
    <w:p w:rsidR="001C2076" w:rsidRPr="001C6ACF" w:rsidRDefault="001C2076" w:rsidP="008D52EA">
      <w:pPr>
        <w:pStyle w:val="Hlistbullet"/>
      </w:pPr>
      <w:r>
        <w:t>Δ.08 Δείκτης πτηνών που ζουν σε γεωργικές εκτάσεις</w:t>
      </w:r>
    </w:p>
    <w:p w:rsidR="001C2076" w:rsidRPr="001C6ACF" w:rsidRDefault="001C2076" w:rsidP="008D52EA">
      <w:pPr>
        <w:pStyle w:val="Hlistbullet"/>
      </w:pPr>
      <w:r>
        <w:t>Δ.09 Γεωργία υψηλής φυσικής αξίας</w:t>
      </w:r>
    </w:p>
    <w:p w:rsidR="001C2076" w:rsidRPr="001C6ACF" w:rsidRDefault="001C2076" w:rsidP="008D52EA">
      <w:pPr>
        <w:pStyle w:val="Hlistbullet"/>
      </w:pPr>
      <w:r>
        <w:t>Δ.10 Άντληση υδάτων στον τομέα της γεωργίας</w:t>
      </w:r>
    </w:p>
    <w:p w:rsidR="001C2076" w:rsidRPr="001C6ACF" w:rsidRDefault="001C2076" w:rsidP="008D52EA">
      <w:pPr>
        <w:pStyle w:val="Hlistbullet"/>
      </w:pPr>
      <w:r>
        <w:t>Δ.11 Ποιότητα των υδάτων</w:t>
      </w:r>
    </w:p>
    <w:p w:rsidR="001C2076" w:rsidRPr="001C6ACF" w:rsidRDefault="001C2076" w:rsidP="008D52EA">
      <w:pPr>
        <w:pStyle w:val="Hlistbullet"/>
      </w:pPr>
      <w:r>
        <w:t>Δ.12 Οργανικές ύλες του εδάφους σε αρόσιμη γη</w:t>
      </w:r>
    </w:p>
    <w:p w:rsidR="001C2076" w:rsidRPr="001C6ACF" w:rsidRDefault="001C2076" w:rsidP="008D52EA">
      <w:pPr>
        <w:pStyle w:val="Hlistbullet"/>
      </w:pPr>
      <w:r>
        <w:t>Δ.13 Διάβρωση εδάφους από το νερό</w:t>
      </w:r>
    </w:p>
    <w:p w:rsidR="001C2076" w:rsidRPr="001C6ACF" w:rsidRDefault="001C2076" w:rsidP="008D52EA">
      <w:pPr>
        <w:pStyle w:val="Hlistbullet"/>
      </w:pPr>
      <w:r>
        <w:t>Δ.14 Ποσοστό απασχόλησης στις αγροτικές περιοχές</w:t>
      </w:r>
    </w:p>
    <w:p w:rsidR="001C2076" w:rsidRPr="001C6ACF" w:rsidRDefault="001C2076" w:rsidP="008D52EA">
      <w:pPr>
        <w:pStyle w:val="Hlistbullet"/>
      </w:pPr>
      <w:r>
        <w:t>Δ.15 Βαθμός φτώχειας στις αγροτικές περιοχές</w:t>
      </w:r>
    </w:p>
    <w:p w:rsidR="001C2076" w:rsidRPr="001C6ACF" w:rsidRDefault="001C2076" w:rsidP="008D52EA">
      <w:pPr>
        <w:pStyle w:val="Hlistbullet"/>
      </w:pPr>
      <w:r>
        <w:t>Δ.16 Κατά κεφαλήν ΑΕγχΠ στις αγροτικές περιοχές</w:t>
      </w:r>
    </w:p>
    <w:p w:rsidR="001C2076" w:rsidRPr="001C6ACF" w:rsidRDefault="00B21618" w:rsidP="00E35440">
      <w:pPr>
        <w:pStyle w:val="HHeading2"/>
      </w:pPr>
      <w:r>
        <w:t xml:space="preserve"> Πώς θα γίνει η υποβολή έκθεσης σχετικά με τα ΚΕΑ το 2019;</w:t>
      </w:r>
    </w:p>
    <w:p w:rsidR="001C2076" w:rsidRPr="001C6ACF" w:rsidRDefault="003304E5" w:rsidP="003304E5">
      <w:pPr>
        <w:pStyle w:val="HStandard"/>
      </w:pPr>
      <w:r>
        <w:t xml:space="preserve">Το 2019 τα κράτη μέλη θα υποβάλουν έκθεση σχετικά με τα πορίσματα της αξιολόγησής τους απαντώντας σε όλα τα σχετικά κοινά και ειδικά ανά πρόγραμμα ερωτήματα αξιολόγησης που τους αφορούν, σε κάθε σχετική ενότητα της ΕΕΥ. </w:t>
      </w:r>
    </w:p>
    <w:p w:rsidR="001C2076" w:rsidRPr="001C6ACF" w:rsidRDefault="00906DAF" w:rsidP="003304E5">
      <w:pPr>
        <w:pStyle w:val="HStandard"/>
      </w:pPr>
      <w:r>
        <w:t>Όπως ισχύει και για τα ΚΕΑ αριθ. 1-21, οι απαντήσεις στα ΚΕΑ που αφορούν τους στόχους σε επίπεδα ΕΕ (ΚΕΑ αριθ. 22–30) θα πρέπει να βασίζονται σε στοιχεία τεκμηρίωσης από τα πορίσματα της αξιολόγησης. Οι κρίσεις σχετικά με την επιτυχία των παρεμβάσεων διατυπώνονται με τη βοήθεια κριτηρίων απόφασης και η μέτρηση της επιτυχίας γίνεται με βάση κοινούς και πρόσθετους δείκτες αντικτύπου, καθώς και με δείκτες που συνδέονται με τη στρατηγική της ΕΕ για έξυπνη, βιώσιμη και χωρίς αποκλεισμούς ανάπτυξη. Επιπλέον, μπορεί να συλλέγονται ποιοτικές πληροφορίες ώστε να δίνεται απάντηση στα ερωτήματα αξιολόγησης στις περιπτώσεις που τα δεδομένα είναι ανεπαρκή.</w:t>
      </w:r>
    </w:p>
    <w:p w:rsidR="00970A15" w:rsidRPr="001C6ACF" w:rsidRDefault="00C16EB2" w:rsidP="00970A15">
      <w:pPr>
        <w:pStyle w:val="HHeading4"/>
      </w:pPr>
      <w:r>
        <w:t>Ποια είναι τα γενικά βήματα για την παροχή απαντήσεων στα ερωτήματα αξιολόγησης;</w:t>
      </w:r>
    </w:p>
    <w:p w:rsidR="001C2076" w:rsidRPr="001C6ACF" w:rsidRDefault="001C2076" w:rsidP="007D2D54">
      <w:pPr>
        <w:pStyle w:val="HStandard"/>
        <w:rPr>
          <w:rFonts w:cs="Arial"/>
        </w:rPr>
      </w:pPr>
      <w:r>
        <w:t>Για τη διατύπωση απαντήσεων στα ΚΕΑ αριθ. 22–30 συνιστώνται τα ακόλουθα γενικά βήματα:</w:t>
      </w:r>
    </w:p>
    <w:p w:rsidR="001C2076" w:rsidRPr="001C6ACF" w:rsidRDefault="007B324B" w:rsidP="00E35440">
      <w:pPr>
        <w:pStyle w:val="Hlistbullet"/>
      </w:pPr>
      <w:r>
        <w:t>επανεξέταση της λογικής παρέμβασης του προγράμματος που συνδέεται με τους στόχους της ΚΓΠ/τους στόχους της στρατηγικής «Ευρώπη 2020», την/τις προτεραιότητα/-ες, τον/τους τομέα/-είς επικέντρωσης και τα μέτρα αγροτικής ανάπτυξης που αφορά το κάθε κοινό ερώτημα αξιολόγησης·</w:t>
      </w:r>
    </w:p>
    <w:p w:rsidR="001C2076" w:rsidRPr="001C6ACF" w:rsidRDefault="00DA263D" w:rsidP="00E35440">
      <w:pPr>
        <w:pStyle w:val="Hlistbullet"/>
      </w:pPr>
      <w:r>
        <w:lastRenderedPageBreak/>
        <w:t xml:space="preserve">καθορισμός κριτηρίων απόφασης και σύνδεσή τους με κοινούς (και πρόσθετους) δείκτες αντικτύπου που θα χρησιμοποιηθούν για να απαντηθεί το ερώτημα αξιολόγησης· </w:t>
      </w:r>
    </w:p>
    <w:p w:rsidR="001C2076" w:rsidRPr="00863E73" w:rsidRDefault="007B324B" w:rsidP="00E35440">
      <w:pPr>
        <w:pStyle w:val="Hlistbullet"/>
      </w:pPr>
      <w:r>
        <w:t xml:space="preserve">επιλογή ποσοτικών και ποιοτικών μεθόδων για την εκτίμηση των καθαρών τιμών </w:t>
      </w:r>
      <w:r>
        <w:rPr>
          <w:rStyle w:val="FootnoteReference"/>
          <w:i w:val="0"/>
          <w:position w:val="0"/>
          <w:sz w:val="20"/>
          <w:vertAlign w:val="superscript"/>
        </w:rPr>
        <w:footnoteReference w:id="23"/>
      </w:r>
      <w:r>
        <w:t>των δεικτών αντικτύπου·</w:t>
      </w:r>
    </w:p>
    <w:p w:rsidR="001C2076" w:rsidRPr="001C6ACF" w:rsidRDefault="007B324B" w:rsidP="00E35440">
      <w:pPr>
        <w:pStyle w:val="Hlistbullet"/>
      </w:pPr>
      <w:r>
        <w:t xml:space="preserve">παροχή ποσοτικών τιμών για τους δείκτες αποτελεσμάτων και αντικτύπου, καθώς και συναφών ποιοτικών πορισμάτων προκειμένου να απαντηθούν τα ερωτήματα αξιολόγησης· </w:t>
      </w:r>
    </w:p>
    <w:p w:rsidR="001C2076" w:rsidRPr="001C6ACF" w:rsidRDefault="007B324B" w:rsidP="00E35440">
      <w:pPr>
        <w:pStyle w:val="Hlistbullet"/>
      </w:pPr>
      <w:r>
        <w:t>απάντηση στα ερωτήματα αξιολόγησης.</w:t>
      </w:r>
    </w:p>
    <w:p w:rsidR="001C2076" w:rsidRPr="001C6ACF" w:rsidRDefault="00217482" w:rsidP="007D2D54">
      <w:pPr>
        <w:pStyle w:val="HStandard"/>
      </w:pPr>
      <w:r>
        <w:t xml:space="preserve">Τα προαναφερθέντα βήματα είναι παρόμοια με εκείνα που προτάθηκαν για την αξιολόγηση του 2017. Ωστόσο, το 2019 ενδέχεται να προκύψουν κάποιες νέες προκλήσεις, οι οποίες αναλύονται λεπτομερώς στο </w:t>
      </w:r>
      <w:r>
        <w:rPr>
          <w:color w:val="F07E31" w:themeColor="accent1"/>
        </w:rPr>
        <w:t xml:space="preserve">Μέρος II </w:t>
      </w:r>
      <w:r>
        <w:t xml:space="preserve">των κατευθυντήριων γραμμών. </w:t>
      </w:r>
    </w:p>
    <w:p w:rsidR="001C2076" w:rsidRPr="001C6ACF" w:rsidRDefault="001C2076" w:rsidP="00812032">
      <w:pPr>
        <w:pStyle w:val="HHeading4"/>
      </w:pPr>
      <w:r>
        <w:t xml:space="preserve">Πού παρέχεται καθοδήγηση σχετικά με τα ΚΕΑ που πρέπει να απαντηθούν το 2019; </w:t>
      </w:r>
    </w:p>
    <w:p w:rsidR="00217482" w:rsidRPr="001C6ACF" w:rsidRDefault="00217482" w:rsidP="00217482">
      <w:pPr>
        <w:pStyle w:val="HStandard"/>
      </w:pPr>
      <w:r>
        <w:t xml:space="preserve">Στις παρούσες κατευθυντήριες γραμμές παρέχονται λεπτομερείς πληροφορίες σχετικά με τον τρόπο απάντησης των κοινών ερωτημάτων αξιολόγησης που συνδέονται με τους στόχους σε επίπεδο ΕΕ (ΚΕΑ αριθ. 22–30. Όταν είναι αναγκαίο, οι κατευθυντήριες γραμμές παραπέμπουν σε άλλα σχετικά έγγραφα καθοδήγησης, τα οποία παρατίθενται στον πίνακα 1. </w:t>
      </w:r>
    </w:p>
    <w:p w:rsidR="001C2076" w:rsidRPr="001C6ACF" w:rsidRDefault="001C2076" w:rsidP="001C2076">
      <w:pPr>
        <w:spacing w:after="0" w:line="280" w:lineRule="atLeast"/>
        <w:rPr>
          <w:rFonts w:cs="Arial"/>
          <w:color w:val="373737" w:themeColor="text1"/>
          <w:sz w:val="20"/>
          <w:szCs w:val="20"/>
        </w:rPr>
      </w:pPr>
      <w:r>
        <w:rPr>
          <w:color w:val="373737" w:themeColor="text1"/>
          <w:sz w:val="20"/>
        </w:rPr>
        <w:t>Καθοδήγηση σχετικά με τις απαντήσεις στα κοινά ερωτήματα αξιολόγησης που συνδέονται με τους τομείς επικέντρωσης της αγροτικής ανάπτυξης, τις συνέργειες του προγράμματος, την τεχνική βοήθεια και τα εθνικά αγροτικά δίκτυα (ΚΕΑ αριθ. 1–21) παρέχεται στα ακόλουθα έγγραφα:</w:t>
      </w:r>
    </w:p>
    <w:p w:rsidR="008E3ACB" w:rsidRPr="001C6ACF" w:rsidRDefault="00217482" w:rsidP="00E35440">
      <w:pPr>
        <w:pStyle w:val="Hlistbullet"/>
      </w:pPr>
      <w:r>
        <w:rPr>
          <w:i/>
        </w:rPr>
        <w:t xml:space="preserve">Guidelines </w:t>
      </w:r>
      <w:hyperlink r:id="rId17">
        <w:r>
          <w:rPr>
            <w:rStyle w:val="Hyperlink"/>
            <w:i/>
            <w:color w:val="373737" w:themeColor="text1"/>
            <w:u w:val="none"/>
          </w:rPr>
          <w:t>Assessment of RDP results: how to prepare for reporting on evaluation in 2017 (Κατευθυντήριες γραμμές - Αξιολόγηση των αποτελεσμάτων του ΠΑΑ: τρόπος προετοιμασίας για την υποβολή εκθέσεων σχετικά με την αξιολόγηση το 2017)</w:t>
        </w:r>
      </w:hyperlink>
      <w:r>
        <w:t xml:space="preserve"> : Στο εν λόγω έγγραφο παρουσιάζεται ο τρόπος υποβολής έκθεσης σχετικά με τις αξιολογήσεις στο πλαίσιο των ΕΕΥ που θα υποβάλλονται από το 2017 και μετά. Στις κατευθυντήριες γραμμές προτείνονται πιθανές προσεγγίσεις για την αξιολόγηση των αποτελεσμάτων του ΠΑΑ το 2017, οι οποίες, σε σχέση με τα ΚΕΑ αριθ. 1–21 παραμένουν σε ισχύ και για το 2019. </w:t>
      </w:r>
    </w:p>
    <w:p w:rsidR="001C2076" w:rsidRPr="001C6ACF" w:rsidRDefault="00485F31" w:rsidP="00E35440">
      <w:pPr>
        <w:pStyle w:val="Hlistbullet"/>
      </w:pPr>
      <w:hyperlink r:id="rId18">
        <w:r w:rsidR="006F62E2">
          <w:rPr>
            <w:rStyle w:val="Hyperlink"/>
            <w:i/>
            <w:color w:val="373737" w:themeColor="text1"/>
            <w:u w:val="none"/>
          </w:rPr>
          <w:t>Παράρτημα 11 - Fiches for answering Common Evaluation Questions for Rural Development Programmes 2014-2020(Δελτία σχετικά με τις απαντήσεις στα κοινά ερωτήματα αξιολόγησης για τα προγράμματα αγροτικής ανάπτυξης της περιόδου 2014-2020)</w:t>
        </w:r>
      </w:hyperlink>
      <w:r w:rsidR="006F62E2">
        <w:t xml:space="preserve"> : στο εν λόγω παράρτημα παρέχεται τεχνική υποστήριξη σχετικά με τον τρόπο απάντησης στα ΚΕΑ αριθ. 1 – 21. Παρουσιάζεται η λογική παρέμβασης που συνδέεται με κάθε ΚΕΑ, περιγράφονται χρήσιμα στοιχεία της αξιολόγησης και προτείνονται μέθοδοι αξιολόγησης.</w:t>
      </w:r>
    </w:p>
    <w:p w:rsidR="0020488A" w:rsidRPr="001C6ACF" w:rsidRDefault="0020488A" w:rsidP="005A56B7">
      <w:pPr>
        <w:pStyle w:val="HStandard"/>
      </w:pPr>
      <w:r>
        <w:t xml:space="preserve">Στον πίνακα 1 παρουσιάζονται συνοπτικά τα πιο συναφή έγγραφα για την παροχή απαντήσεων στα ΚΕΑ στο πλαίσιο της ΕΕΥ του 2019: </w:t>
      </w:r>
    </w:p>
    <w:p w:rsidR="00AB3BA1" w:rsidRPr="001C6ACF" w:rsidRDefault="009F77FD" w:rsidP="00F00876">
      <w:pPr>
        <w:pStyle w:val="HHeadingtables"/>
        <w:numPr>
          <w:ilvl w:val="0"/>
          <w:numId w:val="0"/>
        </w:numPr>
      </w:pPr>
      <w:r>
        <w:br w:type="column"/>
      </w:r>
      <w:r w:rsidR="00F00876">
        <w:lastRenderedPageBreak/>
        <w:t xml:space="preserve">Πίνακας 1: </w:t>
      </w:r>
      <w:r>
        <w:t>Έγγραφα καθοδήγησης σχετικά με τις απαντήσεις στα ΚΕΑ στο πλαίσιο της ΕΕΥ του 2019</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2410"/>
        <w:gridCol w:w="5477"/>
      </w:tblGrid>
      <w:tr w:rsidR="00AB3BA1" w:rsidRPr="001C6ACF" w:rsidTr="00A746BC">
        <w:trPr>
          <w:tblHeader/>
        </w:trPr>
        <w:tc>
          <w:tcPr>
            <w:tcW w:w="1129" w:type="dxa"/>
            <w:shd w:val="clear" w:color="auto" w:fill="F07E31" w:themeFill="accent1"/>
          </w:tcPr>
          <w:p w:rsidR="00AB3BA1" w:rsidRPr="001C6ACF" w:rsidRDefault="007038B3" w:rsidP="00A746BC">
            <w:pPr>
              <w:pStyle w:val="HStandard"/>
              <w:jc w:val="center"/>
              <w:rPr>
                <w:b/>
                <w:color w:val="FFFFFF" w:themeColor="background1"/>
              </w:rPr>
            </w:pPr>
            <w:r>
              <w:rPr>
                <w:b/>
                <w:color w:val="FFFFFF" w:themeColor="background1"/>
              </w:rPr>
              <w:t>ΚΕΑ αριθ.</w:t>
            </w:r>
          </w:p>
        </w:tc>
        <w:tc>
          <w:tcPr>
            <w:tcW w:w="2410" w:type="dxa"/>
            <w:shd w:val="clear" w:color="auto" w:fill="F07E31" w:themeFill="accent1"/>
          </w:tcPr>
          <w:p w:rsidR="00AB3BA1" w:rsidRPr="001C6ACF" w:rsidRDefault="00116A79" w:rsidP="008D52EA">
            <w:pPr>
              <w:pStyle w:val="HStandard"/>
              <w:jc w:val="center"/>
              <w:rPr>
                <w:b/>
                <w:color w:val="FFFFFF" w:themeColor="background1"/>
              </w:rPr>
            </w:pPr>
            <w:r>
              <w:rPr>
                <w:b/>
                <w:color w:val="FFFFFF" w:themeColor="background1"/>
              </w:rPr>
              <w:t>Έγγραφο</w:t>
            </w:r>
          </w:p>
        </w:tc>
        <w:tc>
          <w:tcPr>
            <w:tcW w:w="5477" w:type="dxa"/>
            <w:shd w:val="clear" w:color="auto" w:fill="F07E31" w:themeFill="accent1"/>
          </w:tcPr>
          <w:p w:rsidR="00AB3BA1" w:rsidRPr="001C6ACF" w:rsidRDefault="00146C75" w:rsidP="008D52EA">
            <w:pPr>
              <w:pStyle w:val="HStandard"/>
              <w:jc w:val="center"/>
              <w:rPr>
                <w:b/>
                <w:color w:val="FFFFFF" w:themeColor="background1"/>
              </w:rPr>
            </w:pPr>
            <w:r>
              <w:rPr>
                <w:b/>
                <w:color w:val="FFFFFF" w:themeColor="background1"/>
              </w:rPr>
              <w:t>Συνάφεια με την ΕΕΥ του 2019</w:t>
            </w:r>
          </w:p>
        </w:tc>
      </w:tr>
      <w:tr w:rsidR="009F7952" w:rsidRPr="001C6ACF" w:rsidTr="00A746BC">
        <w:trPr>
          <w:trHeight w:val="1091"/>
        </w:trPr>
        <w:tc>
          <w:tcPr>
            <w:tcW w:w="1129" w:type="dxa"/>
            <w:vMerge w:val="restart"/>
          </w:tcPr>
          <w:p w:rsidR="009F7952" w:rsidRPr="001C6ACF" w:rsidRDefault="009F7952" w:rsidP="00A746BC">
            <w:pPr>
              <w:pStyle w:val="HStandard"/>
              <w:jc w:val="center"/>
            </w:pPr>
            <w:r>
              <w:t>1 – 21.</w:t>
            </w:r>
          </w:p>
        </w:tc>
        <w:tc>
          <w:tcPr>
            <w:tcW w:w="2410" w:type="dxa"/>
          </w:tcPr>
          <w:p w:rsidR="009F7952" w:rsidRPr="00571D58" w:rsidRDefault="00485F31" w:rsidP="00DF22D0">
            <w:pPr>
              <w:pStyle w:val="HStandard"/>
              <w:jc w:val="left"/>
            </w:pPr>
            <w:hyperlink r:id="rId19">
              <w:r w:rsidR="006F62E2">
                <w:rPr>
                  <w:rStyle w:val="Hyperlink"/>
                </w:rPr>
                <w:t>Target indicator fiches for Pillar II (Priorities I and II) [Δελτία δεικτών που αφορούν στόχους του δεύτερου πυλώνα (προτεραιότητες 1 και II)]</w:t>
              </w:r>
            </w:hyperlink>
          </w:p>
        </w:tc>
        <w:tc>
          <w:tcPr>
            <w:tcW w:w="5477" w:type="dxa"/>
          </w:tcPr>
          <w:p w:rsidR="009F7952" w:rsidRPr="00FB6C06" w:rsidRDefault="009F7952" w:rsidP="005A56B7">
            <w:pPr>
              <w:pStyle w:val="HStandard"/>
            </w:pPr>
            <w:r>
              <w:t>Παρουσιάζουν, για κάθε δείκτη, τη σύνδεση με τη σχετική προτεραιότητα και τον τομέα επικέντρωσης, τον ορισμό και τη μονάδα μέτρησης, τη μεθοδολογία για τον υπολογισμό του, τα δεδομένα που απαιτούνται και τις πηγές δεδομένων, τη συχνότητα συλλογής των δεδομένων και το μέσο διαβίβασής τους στην Ευρωπαϊκή Επιτροπή.</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485F31" w:rsidP="00DF22D0">
            <w:pPr>
              <w:pStyle w:val="HStandard"/>
              <w:jc w:val="left"/>
            </w:pPr>
            <w:hyperlink r:id="rId20">
              <w:r w:rsidR="006F62E2">
                <w:rPr>
                  <w:rStyle w:val="Hyperlink"/>
                </w:rPr>
                <w:t>Complementary result indicators fiches for Pillar II (Δελτία συμπληρωματικών δεικτών αποτελεσμάτων για τον δεύτερο πυλώνα)</w:t>
              </w:r>
            </w:hyperlink>
          </w:p>
        </w:tc>
        <w:tc>
          <w:tcPr>
            <w:tcW w:w="5477" w:type="dxa"/>
          </w:tcPr>
          <w:p w:rsidR="009F7952" w:rsidRPr="00336531" w:rsidRDefault="009F7952" w:rsidP="005A56B7">
            <w:pPr>
              <w:pStyle w:val="HStandard"/>
            </w:pPr>
            <w:r>
              <w:t>Παρέχουν ανάλογη καθοδήγηση για κάθε συμπληρωματικό δείκτη αποτελεσμάτων.</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863E73" w:rsidRDefault="00485F31" w:rsidP="00DF22D0">
            <w:pPr>
              <w:pStyle w:val="HStandard"/>
              <w:jc w:val="left"/>
            </w:pPr>
            <w:hyperlink r:id="rId21">
              <w:r w:rsidR="006F62E2">
                <w:rPr>
                  <w:rStyle w:val="Hyperlink"/>
                </w:rPr>
                <w:t>Guidelines Assessment of RDP results: How to prepare for reporting on evaluation in 2017(Κατευθυντήριες γραμμές - Αξιολόγηση των αποτελεσμάτων του ΠΑΑ: τρόπος προετοιμασίας για την υποβολή εκθέσεων σχετικά με την αξιολόγηση το 2017)</w:t>
              </w:r>
            </w:hyperlink>
            <w:r w:rsidR="006F62E2">
              <w:rPr>
                <w:rStyle w:val="Hyperlink"/>
              </w:rPr>
              <w:t>, (χωριστό παράρτημα 11)</w:t>
            </w:r>
          </w:p>
        </w:tc>
        <w:tc>
          <w:tcPr>
            <w:tcW w:w="5477" w:type="dxa"/>
          </w:tcPr>
          <w:p w:rsidR="009F7952" w:rsidRPr="001C6ACF" w:rsidRDefault="00116A79" w:rsidP="00593F3E">
            <w:pPr>
              <w:pStyle w:val="HStandard"/>
            </w:pPr>
            <w:r>
              <w:t>Προτείνουν τρόπους για την υποβολή έκθεσης σχετικά με τις αξιολογήσεις στο πλαίσιο της ΕΕΥ του 2017 και τη διεξαγωγή των δραστηριοτήτων αξιολόγησης, καθώς και μεθόδους για την παροχή απαντήσεων στα ΚΕΑ αριθ. 1 – 21.</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485F31" w:rsidP="00DF22D0">
            <w:pPr>
              <w:pStyle w:val="HStandard"/>
              <w:jc w:val="left"/>
            </w:pPr>
            <w:hyperlink r:id="rId22">
              <w:r w:rsidR="006F62E2">
                <w:rPr>
                  <w:rStyle w:val="Hyperlink"/>
                </w:rPr>
                <w:t>Evaluation of LEADER/CLLD [Κατευθυντήριες γραμμές - Αξιολόγηση του μέτρου LEADER/ΤΑΠΤΚ (τοπική ανάπτυξη με πρωτοβουλία των τοπικών κοινοτήτων)]</w:t>
              </w:r>
            </w:hyperlink>
          </w:p>
        </w:tc>
        <w:tc>
          <w:tcPr>
            <w:tcW w:w="5477" w:type="dxa"/>
          </w:tcPr>
          <w:p w:rsidR="009F7952" w:rsidRPr="007645B4" w:rsidRDefault="00116A79" w:rsidP="005A56B7">
            <w:pPr>
              <w:pStyle w:val="HStandard"/>
            </w:pPr>
            <w:r>
              <w:t xml:space="preserve">Παρουσιάζουν τον τρόπο εκτίμησης των κύριων και των δευτερευουσών συνεισφορών του μέτρου LEADER/ΤΑΠΤΚ στους τομείς επικέντρωσης της αγροτικής ανάπτυξης. </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485F31" w:rsidP="00DF22D0">
            <w:pPr>
              <w:pStyle w:val="HStandard"/>
              <w:jc w:val="left"/>
            </w:pPr>
            <w:hyperlink r:id="rId23">
              <w:r w:rsidR="006F62E2">
                <w:rPr>
                  <w:rStyle w:val="Hyperlink"/>
                </w:rPr>
                <w:t xml:space="preserve">Guidelines Evaluation of innovation in RDPs 2014-2020 (Κατευθυντήριες γραμμές - Αξιολόγηση της καινοτομίας στο πλαίσιο των ΠΑΑ της </w:t>
              </w:r>
              <w:r w:rsidR="006F62E2">
                <w:rPr>
                  <w:rStyle w:val="Hyperlink"/>
                </w:rPr>
                <w:lastRenderedPageBreak/>
                <w:t>περιόδου 2014-2020)</w:t>
              </w:r>
            </w:hyperlink>
          </w:p>
        </w:tc>
        <w:tc>
          <w:tcPr>
            <w:tcW w:w="5477" w:type="dxa"/>
          </w:tcPr>
          <w:p w:rsidR="009F7952" w:rsidRPr="00863E73" w:rsidRDefault="009F7952" w:rsidP="005A56B7">
            <w:pPr>
              <w:pStyle w:val="HStandard"/>
            </w:pPr>
            <w:r>
              <w:lastRenderedPageBreak/>
              <w:t xml:space="preserve">Παρέχουν πληροφορίες σχετικά με την αξιολόγηση της καινοτομίας που συνδέεται με τους τομείς επικέντρωσης 1A και 1B, καθώς και σχετικά με τη στήριξη της καινοτομίας μέσω δραστηριοτήτων των εθνικών αγροτικών δικτύων. Επίσης, παρέχουν στήριξη για τις απαντήσεις στα ΚΕΑ αριθ. 1, 2 και 21 από την άποψη της καινοτομίας. </w:t>
            </w:r>
          </w:p>
        </w:tc>
      </w:tr>
      <w:tr w:rsidR="002C57D4" w:rsidRPr="001C6ACF" w:rsidTr="00A746BC">
        <w:tc>
          <w:tcPr>
            <w:tcW w:w="1129" w:type="dxa"/>
            <w:vMerge w:val="restart"/>
          </w:tcPr>
          <w:p w:rsidR="002C57D4" w:rsidRPr="001C6ACF" w:rsidRDefault="002C57D4" w:rsidP="00A746BC">
            <w:pPr>
              <w:pStyle w:val="HStandard"/>
              <w:jc w:val="center"/>
            </w:pPr>
            <w:r>
              <w:t>22 - 30</w:t>
            </w:r>
          </w:p>
        </w:tc>
        <w:tc>
          <w:tcPr>
            <w:tcW w:w="2410" w:type="dxa"/>
          </w:tcPr>
          <w:p w:rsidR="002C57D4" w:rsidRPr="00571D58" w:rsidRDefault="00485F31" w:rsidP="00DF22D0">
            <w:pPr>
              <w:pStyle w:val="HStandard"/>
              <w:jc w:val="left"/>
            </w:pPr>
            <w:hyperlink r:id="rId24">
              <w:r w:rsidR="006F62E2">
                <w:rPr>
                  <w:rStyle w:val="Hyperlink"/>
                </w:rPr>
                <w:t>Δελτία δεικτών αντικτύπου</w:t>
              </w:r>
            </w:hyperlink>
            <w:r w:rsidR="006F62E2">
              <w:t xml:space="preserve"> </w:t>
            </w:r>
          </w:p>
        </w:tc>
        <w:tc>
          <w:tcPr>
            <w:tcW w:w="5477" w:type="dxa"/>
          </w:tcPr>
          <w:p w:rsidR="002C57D4" w:rsidRPr="001C6ACF" w:rsidRDefault="002C57D4" w:rsidP="005A56B7">
            <w:pPr>
              <w:pStyle w:val="HStandard"/>
            </w:pPr>
            <w:r>
              <w:t>Παρέχουν πληροφορίες σχετικά με τη σύνδεση των δεικτών με τους συνολικούς στόχους της ΚΓΠ, τον ορισμό των δεικτών, τη μονάδα μέτρησης, τη μεθοδολογία/τον μαθηματικό τύπο για τον υπολογισμό, τα δεδομένα που απαιτούνται, τις πηγές και τη συχνότητα/καθυστέρηση της συλλογής και την τοποθεσία των δεδομένων.</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485F31">
            <w:pPr>
              <w:pStyle w:val="HStandard"/>
              <w:jc w:val="left"/>
            </w:pPr>
            <w:hyperlink r:id="rId25">
              <w:r w:rsidR="006F62E2">
                <w:rPr>
                  <w:rStyle w:val="Hyperlink"/>
                </w:rPr>
                <w:t>Πιο πρόσφατα δεδομένα για τους δείκτες πλαισίου από τα κράτη μέλη</w:t>
              </w:r>
            </w:hyperlink>
          </w:p>
        </w:tc>
        <w:tc>
          <w:tcPr>
            <w:tcW w:w="5477" w:type="dxa"/>
          </w:tcPr>
          <w:p w:rsidR="00A75E50" w:rsidRPr="00336531" w:rsidRDefault="00A75E50" w:rsidP="00FF4127">
            <w:pPr>
              <w:pStyle w:val="HStandard"/>
            </w:pPr>
            <w:r>
              <w:t>Η Ευρωπαϊκή Επιτροπή παρέχει ετήσια επικαιροποίηση δεδομένων (εφόσον είναι διαθέσιμα) για τους κοινούς δείκτες πλαισίου βάσει των δεδομένων που αποστέλλουν τα κράτη μέλη.</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485F31" w:rsidP="00DF22D0">
            <w:pPr>
              <w:pStyle w:val="HStandard"/>
              <w:jc w:val="left"/>
              <w:rPr>
                <w:color w:val="F07E31" w:themeColor="accent1"/>
              </w:rPr>
            </w:pPr>
            <w:hyperlink r:id="rId26">
              <w:r w:rsidR="006F62E2">
                <w:rPr>
                  <w:rStyle w:val="Hyperlink"/>
                </w:rPr>
                <w:t>Κατευθυντήριες γραμμές «Αξιολόγηση της καινοτομίας στο πλαίσιο των προγραμμάτων αγροτικής ανάπτυξης της περιόδου 2014-2020»</w:t>
              </w:r>
            </w:hyperlink>
          </w:p>
          <w:p w:rsidR="00A75E50" w:rsidRPr="00336531" w:rsidRDefault="00A75E50">
            <w:pPr>
              <w:pStyle w:val="HStandard"/>
              <w:jc w:val="left"/>
            </w:pPr>
          </w:p>
        </w:tc>
        <w:tc>
          <w:tcPr>
            <w:tcW w:w="5477" w:type="dxa"/>
          </w:tcPr>
          <w:p w:rsidR="00A75E50" w:rsidRPr="001C6ACF" w:rsidRDefault="00A75E50" w:rsidP="00FF4127">
            <w:pPr>
              <w:pStyle w:val="HStandard"/>
            </w:pPr>
            <w:r>
              <w:t>Παρέχουν πληροφορίες σχετικά με την αξιολόγηση της συμβολής του ΠΑΑ στην επίτευξη του πρωταρχικού στόχου της στρατηγικής «Ευρώπη 2020» όσον αφορά την επένδυση του 3 % του ΑΕγχΠ της ΕΕ στην έρευνα, την ανάπτυξη και την καινοτομία, καθώς και σχετικά με τις απαντήσεις στα ΚΕΑ αριθ. 23 και 30.</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485F31" w:rsidP="00DF22D0">
            <w:pPr>
              <w:pStyle w:val="HStandard"/>
              <w:jc w:val="left"/>
            </w:pPr>
            <w:hyperlink r:id="rId27">
              <w:r w:rsidR="006F62E2">
                <w:rPr>
                  <w:rStyle w:val="Hyperlink"/>
                </w:rPr>
                <w:t>Στοιχεία σχετικά με τη στρατηγική «Ευρώπη 2020»</w:t>
              </w:r>
            </w:hyperlink>
          </w:p>
        </w:tc>
        <w:tc>
          <w:tcPr>
            <w:tcW w:w="5477" w:type="dxa"/>
          </w:tcPr>
          <w:p w:rsidR="00A75E50" w:rsidRPr="001C6ACF" w:rsidRDefault="00A75E50" w:rsidP="00EE407C">
            <w:pPr>
              <w:pStyle w:val="HStandard"/>
            </w:pPr>
            <w:r>
              <w:t>Η στρατηγική «Ευρώπη 2020» χρησιμοποιείται ως πλαίσιο αναφοράς για δραστηριότητες σε επίπεδο ΕΕ και σε εθνικό και περιφερειακό επίπεδο. Οι κυβερνήσεις της ΕΕ έχουν θέσει εθνικούς στόχους που διευκολύνουν την επίτευξη των γενικότερων πρωταρχικών στόχων της ΕΕ και υποβάλλουν σχετικές εκθέσεις στο πλαίσιο των ετήσιων εθνικών προγραμμάτων μεταρρυθμίσεων. Η Eurostat, η στατιστική υπηρεσία της ΕΕ, δημοσιεύει σε τακτά διαστήματα εμπεριστατωμένες εκθέσεις προόδου σχετικά με τους στόχους [</w:t>
            </w:r>
            <w:hyperlink r:id="rId28">
              <w:r>
                <w:rPr>
                  <w:rStyle w:val="Hyperlink"/>
                </w:rPr>
                <w:t>έκδοση «Smarter, greener, more inclusive? Indicators to support the Europe 2020 strategy» (Πιο έξυπνη, πιο πράσινη και με λιγότερους αποκλεισμούς; Δείκτες για την στήριξη της στρατηγικής «Ευρώπη 2020»)</w:t>
              </w:r>
            </w:hyperlink>
            <w:r>
              <w:t>]</w:t>
            </w:r>
            <w:r>
              <w:rPr>
                <w:color w:val="333333"/>
              </w:rPr>
              <w:t xml:space="preserve"> που παρακολουθούν την πρόοδο που επιτυγχάνεται ως προς τους στόχους και τους σκοπούς της ΕΕ που έχουν τεθεί βάσει των τριών αλληλοενισχυόμενων προτεραιοτήτων της έξυπνης, βιώσιμης και χωρίς αποκλεισμούς ανάπτυξης και αποτυπώνουν την κατάσταση στα κράτη μέλη</w:t>
            </w:r>
            <w:r>
              <w:t>.</w:t>
            </w:r>
          </w:p>
        </w:tc>
      </w:tr>
      <w:tr w:rsidR="00A75E50" w:rsidRPr="001C6ACF" w:rsidTr="00A746BC">
        <w:tc>
          <w:tcPr>
            <w:tcW w:w="1129" w:type="dxa"/>
            <w:vMerge w:val="restart"/>
          </w:tcPr>
          <w:p w:rsidR="00A75E50" w:rsidRPr="001C6ACF" w:rsidRDefault="00A75E50" w:rsidP="00A746BC">
            <w:pPr>
              <w:pStyle w:val="HStandard"/>
              <w:jc w:val="center"/>
            </w:pPr>
            <w:r>
              <w:t>22, 23, 24, 25, 30</w:t>
            </w:r>
          </w:p>
        </w:tc>
        <w:tc>
          <w:tcPr>
            <w:tcW w:w="2410" w:type="dxa"/>
          </w:tcPr>
          <w:p w:rsidR="00A75E50" w:rsidRPr="00571D58" w:rsidRDefault="00485F31">
            <w:pPr>
              <w:pStyle w:val="HStandard"/>
              <w:jc w:val="left"/>
              <w:rPr>
                <w:rFonts w:cs="Arial"/>
                <w:color w:val="F07E31" w:themeColor="accent1"/>
              </w:rPr>
            </w:pPr>
            <w:hyperlink r:id="rId29">
              <w:r w:rsidR="006F62E2">
                <w:rPr>
                  <w:rStyle w:val="Hyperlink"/>
                </w:rPr>
                <w:t>Στοιχεία σχετικά με τους στόχους της στρατηγικής «Ευρώπη 2020» ανά κράτος μέλος</w:t>
              </w:r>
            </w:hyperlink>
          </w:p>
        </w:tc>
        <w:tc>
          <w:tcPr>
            <w:tcW w:w="5477" w:type="dxa"/>
          </w:tcPr>
          <w:p w:rsidR="00A75E50" w:rsidRPr="001C6ACF" w:rsidRDefault="00A75E50" w:rsidP="00823352">
            <w:pPr>
              <w:pStyle w:val="HStandard"/>
            </w:pPr>
            <w:r>
              <w:t>Η Στατιστική Υπηρεσία της Ευρωπαϊκής Ένωσης επικαιροποιεί σε τακτά διαστήματα τα στοιχεία σχετικά με τους εθνικούς στόχους για την επίτευξη των πρωταρχικών στόχων της στρατηγικής «Ευρώπη 2020» ανά κράτος μέλος.</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485F31">
            <w:pPr>
              <w:pStyle w:val="HStandard"/>
              <w:jc w:val="left"/>
              <w:rPr>
                <w:rFonts w:cs="Arial"/>
              </w:rPr>
            </w:pPr>
            <w:hyperlink r:id="rId30">
              <w:r w:rsidR="006F62E2">
                <w:rPr>
                  <w:rStyle w:val="Hyperlink"/>
                </w:rPr>
                <w:t>Δελτία δεικτών πλαισίου</w:t>
              </w:r>
            </w:hyperlink>
            <w:r w:rsidR="006F62E2">
              <w:t xml:space="preserve"> </w:t>
            </w:r>
          </w:p>
        </w:tc>
        <w:tc>
          <w:tcPr>
            <w:tcW w:w="5477" w:type="dxa"/>
          </w:tcPr>
          <w:p w:rsidR="00A75E50" w:rsidRPr="007645B4" w:rsidRDefault="00A75E50" w:rsidP="00FF4127">
            <w:pPr>
              <w:pStyle w:val="HStandard"/>
            </w:pPr>
            <w:r>
              <w:t xml:space="preserve">45 κοινοί δείκτες πλαισίου της ΚΓΠ (κατανεμημένοι σε τρεις </w:t>
            </w:r>
            <w:r>
              <w:lastRenderedPageBreak/>
              <w:t>ομάδες: κοινωνικοοικονομικοί, τομεακοί και περιβαλλοντικοί) αντικατοπτρίζουν τις σχετικές πτυχές των τάσεων του γενικού πλαισίου στην οικονομία, το περιβάλλον και την κοινωνία. Οι τάσεις αυτές ενδέχεται να επηρεάσουν την εφαρμογή, τα επιτεύγματα και τις επιδόσεις της ΚΓΠ. Τα ενημερωτικά δελτία δεικτών περιέχουν περιγραφή των ορισμών, της μεθοδολογίας και των πηγών των δεδομένων.</w:t>
            </w:r>
          </w:p>
        </w:tc>
      </w:tr>
      <w:tr w:rsidR="00A75E50" w:rsidRPr="001C6ACF" w:rsidTr="00A746BC">
        <w:trPr>
          <w:trHeight w:val="1800"/>
        </w:trPr>
        <w:tc>
          <w:tcPr>
            <w:tcW w:w="1129" w:type="dxa"/>
          </w:tcPr>
          <w:p w:rsidR="00A75E50" w:rsidRPr="001C6ACF" w:rsidRDefault="00A75E50" w:rsidP="00A746BC">
            <w:pPr>
              <w:pStyle w:val="HStandard"/>
              <w:jc w:val="center"/>
            </w:pPr>
            <w:r>
              <w:lastRenderedPageBreak/>
              <w:t>Όλα τα ΚΕΑ</w:t>
            </w:r>
          </w:p>
        </w:tc>
        <w:tc>
          <w:tcPr>
            <w:tcW w:w="2410" w:type="dxa"/>
          </w:tcPr>
          <w:p w:rsidR="00A75E50" w:rsidRPr="00571D58" w:rsidRDefault="00485F31" w:rsidP="00E95159">
            <w:pPr>
              <w:pStyle w:val="HStandard"/>
              <w:jc w:val="left"/>
            </w:pPr>
            <w:hyperlink r:id="rId31">
              <w:r w:rsidR="006F62E2">
                <w:rPr>
                  <w:rStyle w:val="Hyperlink"/>
                </w:rPr>
                <w:t>Working Paper Common evaluation questions for Rural Development Programmes 2014-2020» (Έγγραφο εργασίας - Κοινά ερωτήματα αξιολόγησης για τα προγράμματα αγροτικής ανάπτυξης της περιόδου 2014-2020).</w:t>
              </w:r>
            </w:hyperlink>
          </w:p>
        </w:tc>
        <w:tc>
          <w:tcPr>
            <w:tcW w:w="5477" w:type="dxa"/>
          </w:tcPr>
          <w:p w:rsidR="00A75E50" w:rsidRPr="00863E73" w:rsidRDefault="00A75E50" w:rsidP="00E95159">
            <w:pPr>
              <w:pStyle w:val="HStandard"/>
            </w:pPr>
            <w:r>
              <w:t>Εξηγεί τον σκοπό και τη χρήση των κοινών ερωτημάτων αξιολόγησης στο πλαίσιο του ΚΣΠΑ. Περιγράφει τους διάφορους τύπους ερωτημάτων αξιολόγησης και παραθέτει τα κριτήρια απόφασης και τους κοινούς και πρόσθετους δείκτες για τα ΚΕΑ αριθ. 1 – 21.</w:t>
            </w:r>
          </w:p>
        </w:tc>
      </w:tr>
    </w:tbl>
    <w:p w:rsidR="00154C43" w:rsidRPr="001C6ACF" w:rsidRDefault="00154C43"/>
    <w:p w:rsidR="001C2076" w:rsidRPr="001C6ACF" w:rsidRDefault="001C2076" w:rsidP="00E35440">
      <w:pPr>
        <w:pStyle w:val="HHeading2"/>
      </w:pPr>
      <w:r>
        <w:t xml:space="preserve">Προετοιμασία για την ΕΕΥ του 2019 </w:t>
      </w:r>
    </w:p>
    <w:p w:rsidR="009B016B" w:rsidRPr="001C6ACF" w:rsidRDefault="00806A70" w:rsidP="00217482">
      <w:pPr>
        <w:pStyle w:val="HStandard"/>
      </w:pPr>
      <w:r>
        <w:t>Στο πλαίσιο της προετοιμασίας για την αξιολόγηση των επιτευγμάτων και των επιπτώσεων το 2019, διάφοροι  εμπλεκόμενοι στην αξιολόγηση φορείς στα κράτη μέλη μπορούν να πραγματοποιήσουν ορισμένα βήματα</w:t>
      </w:r>
      <w:r>
        <w:rPr>
          <w:rStyle w:val="FootnoteReference"/>
          <w:sz w:val="20"/>
          <w:vertAlign w:val="superscript"/>
        </w:rPr>
        <w:footnoteReference w:id="24"/>
      </w:r>
      <w:r>
        <w:t>, τα οποία θα συμβάλουν στη διασφάλιση της υψηλής ποιότητας και της χρησιμότητας των πορισμάτων της αξιολόγησης για τους οικείους φορείς χάραξης πολιτικής.</w:t>
      </w:r>
    </w:p>
    <w:p w:rsidR="00932C3E" w:rsidRPr="001C6ACF" w:rsidRDefault="003146E6" w:rsidP="00217482">
      <w:pPr>
        <w:pStyle w:val="HStandard"/>
      </w:pPr>
      <w:r>
        <w:t xml:space="preserve">Στον πίνακα 2 παρατίθεται προτεινόμενος κατάλογος ελέγχου, ο οποίος περιέχει τα αναγκαία βήματα για την αξιολόγηση το 2019. Περιλαμβάνει επίσης κάποια προκαταρκτικά βήματα, τα οποία ακόμη κι αν δεν έχουν ήδη πραγματοποιηθεί, μπορούν σε κάθε περίπτωση να γίνουν πριν από την έναρξη των δραστηριοτήτων αξιολόγησης το 2019. Στον πίνακα 2 περιγράφονται επίσης οι αρμοδιότητες των διαφόρων φορέων που μπορεί να συμμετέχουν στις δραστηριότητες αξιολόγησης σε επίπεδο κράτους μέλους: διαχειριστική αρχή (ΔΑ), επιτροπή παρακολούθησης (ΕΠ), οργανισμός πληρωμών (ΟΠ), μονάδα αξιολόγησης (ΜΑ) (αν υπάρχει), ομάδα συντονισμού αξιολόγησης (ΟΣΑ) (αν υπάρχει), αξιολογητές (Αξ), πάροχοι δεδομένων (ΠΔ) και άλλοι εμπλεκόμενοι στην αξιολόγηση φορείς (Α). </w:t>
      </w:r>
    </w:p>
    <w:p w:rsidR="004773BB" w:rsidRPr="001C6ACF" w:rsidRDefault="00A75E50" w:rsidP="004610C9">
      <w:pPr>
        <w:pStyle w:val="HHeadingtables"/>
        <w:numPr>
          <w:ilvl w:val="0"/>
          <w:numId w:val="0"/>
        </w:numPr>
        <w:ind w:left="360" w:hanging="480"/>
      </w:pPr>
      <w:r>
        <w:br w:type="column"/>
      </w:r>
      <w:r w:rsidR="004610C9">
        <w:lastRenderedPageBreak/>
        <w:t xml:space="preserve">Πίνακας 1: </w:t>
      </w:r>
      <w:r>
        <w:t>Κατάλογος ελέγχου των συνιστώμενων βημάτων για την αξιολόγηση το 2019</w:t>
      </w:r>
    </w:p>
    <w:tbl>
      <w:tblPr>
        <w:tblStyle w:val="Tabukasmriekou5tmavzvraznenie61"/>
        <w:tblW w:w="9492" w:type="dxa"/>
        <w:jc w:val="center"/>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055507" w:rsidRPr="001C6ACF" w:rsidTr="0005550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1C6ACF" w:rsidRDefault="00055507" w:rsidP="00DF22D0">
            <w:pPr>
              <w:spacing w:line="280" w:lineRule="atLeast"/>
              <w:ind w:left="113" w:right="113"/>
              <w:jc w:val="center"/>
              <w:rPr>
                <w:rFonts w:cs="Arial"/>
                <w:sz w:val="16"/>
                <w:szCs w:val="16"/>
              </w:rPr>
            </w:pPr>
            <w:r>
              <w:rPr>
                <w:sz w:val="16"/>
              </w:rPr>
              <w:t>Στάδιο</w:t>
            </w:r>
          </w:p>
        </w:tc>
        <w:tc>
          <w:tcPr>
            <w:tcW w:w="3402" w:type="dxa"/>
            <w:vMerge w:val="restart"/>
            <w:tcBorders>
              <w:top w:val="single" w:sz="4" w:space="0" w:color="6E8967"/>
              <w:left w:val="single" w:sz="4" w:space="0" w:color="FFFFFF"/>
              <w:right w:val="single" w:sz="4" w:space="0" w:color="FFFFFF"/>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Βήμα</w:t>
            </w:r>
          </w:p>
        </w:tc>
        <w:tc>
          <w:tcPr>
            <w:tcW w:w="1061" w:type="dxa"/>
            <w:vMerge w:val="restart"/>
            <w:tcBorders>
              <w:top w:val="single" w:sz="4" w:space="0" w:color="6E8967"/>
              <w:left w:val="single" w:sz="4" w:space="0" w:color="FFFFFF"/>
              <w:right w:val="single" w:sz="4" w:space="0" w:color="FFFFFF" w:themeColor="background1"/>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Ενδεικτικό χρονοδιάγραμμα</w:t>
            </w:r>
          </w:p>
        </w:tc>
        <w:tc>
          <w:tcPr>
            <w:tcW w:w="4467" w:type="dxa"/>
            <w:gridSpan w:val="8"/>
            <w:tcBorders>
              <w:top w:val="single" w:sz="4" w:space="0" w:color="6E8967"/>
              <w:left w:val="single" w:sz="4" w:space="0" w:color="FFFFFF" w:themeColor="background1"/>
              <w:right w:val="single" w:sz="4" w:space="0" w:color="6E8967"/>
            </w:tcBorders>
            <w:vAlign w:val="center"/>
          </w:tcPr>
          <w:p w:rsidR="00055507" w:rsidRPr="00571D58"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Ευθύνη (χ) και συμμετοχή (ψ)</w:t>
            </w:r>
            <w:r>
              <w:rPr>
                <w:rStyle w:val="FootnoteReference"/>
                <w:color w:val="FFFFFF" w:themeColor="background1"/>
                <w:sz w:val="10"/>
              </w:rPr>
              <w:footnoteReference w:id="25"/>
            </w:r>
          </w:p>
        </w:tc>
      </w:tr>
      <w:tr w:rsidR="00BA1544" w:rsidRPr="001C6ACF" w:rsidTr="004C3C3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1C6ACF" w:rsidRDefault="00055507" w:rsidP="00DF22D0">
            <w:pPr>
              <w:spacing w:line="280" w:lineRule="atLeast"/>
              <w:ind w:left="113" w:right="113"/>
              <w:jc w:val="right"/>
              <w:rPr>
                <w:rFonts w:cs="Arial"/>
                <w:b w:val="0"/>
                <w:sz w:val="16"/>
                <w:szCs w:val="16"/>
              </w:rPr>
            </w:pPr>
          </w:p>
        </w:tc>
        <w:tc>
          <w:tcPr>
            <w:tcW w:w="3402" w:type="dxa"/>
            <w:vMerge/>
            <w:tcBorders>
              <w:top w:val="single" w:sz="4" w:space="0" w:color="FFFFFF"/>
              <w:left w:val="single" w:sz="4" w:space="0" w:color="FFFFFF"/>
              <w:right w:val="single" w:sz="4" w:space="0" w:color="FFFFFF"/>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061" w:type="dxa"/>
            <w:vMerge/>
            <w:tcBorders>
              <w:top w:val="single" w:sz="4" w:space="0" w:color="FFFFFF"/>
              <w:left w:val="single" w:sz="4" w:space="0" w:color="FFFFFF"/>
              <w:right w:val="single" w:sz="4" w:space="0" w:color="FFFFFF" w:themeColor="background1"/>
            </w:tcBorders>
          </w:tcPr>
          <w:p w:rsidR="00055507" w:rsidRPr="001C6ACF"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ΔΑ</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ΟΠ</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ΠΔ</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ΜΑ</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ΟΣΑ</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Αξ</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ΕΠ</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Α</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Σχεδιασμός</w:t>
            </w: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Επικαιροποίηση των βασικών τιμών των κοινών δεικτών πλαισίου (στο ΠΑΑ).</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Μόλις καταστούν διαθέσιμα τα δεδομένα</w:t>
            </w:r>
          </w:p>
        </w:tc>
        <w:tc>
          <w:tcPr>
            <w:tcW w:w="622" w:type="dxa"/>
            <w:tcBorders>
              <w:top w:val="single" w:sz="4" w:space="0" w:color="FFFFFF"/>
              <w:right w:val="single" w:sz="4" w:space="0" w:color="FFFFFF"/>
            </w:tcBorders>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tcBorders>
              <w:top w:val="single" w:sz="4" w:space="0" w:color="FFFFFF"/>
              <w:left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93"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Σχεδιασμός δραστηριοτήτων και θεμάτων αξιολόγησης, μελετών, διαδικασιών συλλογής δεδομένων που συνδέονται με κοινούς δείκτες αντικτύπου στο σχέδιο αξιολόγησης του ΠΑΑ.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Από το 2013 </w:t>
            </w:r>
          </w:p>
        </w:tc>
        <w:tc>
          <w:tcPr>
            <w:tcW w:w="622" w:type="dxa"/>
            <w:tcBorders>
              <w:right w:val="single" w:sz="4" w:space="0" w:color="FFFFFF"/>
            </w:tcBorders>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49" w:type="dxa"/>
            <w:tcBorders>
              <w:left w:val="single" w:sz="4" w:space="0" w:color="FFFFFF"/>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93"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Εκπόνηση/επικαιροποίηση εσωτερικού (εγγράφου) σχεδιασμού αξιολόγησης, στο οποίο θα εξειδικεύονται περαιτέρω τα θέματα και οι δραστηριότητες αξιολόγησης (συμπεριλαμβανομένων των διαδικασιών συλλογής δεδομένων για τον προσδιορισμό των  δεικτών αντικτύπου, τη συλλογή άλλων στοιχείων τεκμηρίωσης, και σχετικών μελετών).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Από το 2013</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93"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Προετοιμασία</w:t>
            </w: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Συγκρότηση εθελοντικής ομάδας συντονισμού αξιολόγησης για τον συντονισμό της διαδικασίας αξιολόγησης (τακτικές συνεδριάσεις).</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Σε αρχικό στάδιο της περιόδου προγραμματισμού </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93"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Επανεξέταση της λογικής παρέμβασης του προγράμματος (στόχοι, προτεραιότητες και τομείς επικέντρωσης της αγροτικής ανάπτυξης, μέτρα).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Σε αρχικό στάδιο της περιόδου προγραμματισμού και πριν από κάθε αξιολόγηση</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93"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05" w:type="dxa"/>
          </w:tcPr>
          <w:p w:rsidR="00055507" w:rsidRPr="001C6ACF"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5480A">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Δημιουργία κοινής αντίληψης ως προς τα κοινά ερωτήματα αξιολόγησης, ανάπτυξη κριτηρίων απόφασης και σύνδεσή τους με κοινούς (και πρόσθετους) δείκτες. Διασφάλιση συνέπειας κατά τη σύνδεση στοιχείων αξιολόγησης με τη λογική παρέμβασης του ΠΑΑ.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Σε αρχικό στάδιο της περιόδου προγραμματισμού και πριν από κάθε αξιολόγηση</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93"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05" w:type="dxa"/>
            <w:shd w:val="clear" w:color="auto" w:fill="D0DDCC" w:themeFill="accent6" w:themeFillTint="66"/>
          </w:tcPr>
          <w:p w:rsidR="00055507" w:rsidRPr="001C6ACF"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Ανάπτυξη ειδικών ανά πρόγραμμα ερωτημάτων αξιολόγησης, αν χρειάζεται. Ενσωμάτωση σε αυτά κριτηρίων απόφασης και ειδικών ανά πρόγραμμα δεικτών. Διασφάλιση συνέπειας κατά τη σύνδεση στοιχείων αξιολόγησης με τη λογική παρέμβασης του ΠΑΑ.</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Σε αρχικό στάδιο της περιόδου προγραμματισμού και πριν από κάθε αξιολόγηση</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BA1544" w:rsidRPr="001C6ACF" w:rsidTr="0095480A">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Borders>
              <w:top w:val="single" w:sz="4" w:space="0" w:color="FFFFFF"/>
            </w:tcBorders>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Εξέταση των υπαρχόντων δεδομένων για τον υπολογισμό των κοινών (και πρόσθετων) δεικτών με σκοπό τη συλλογή των αναγκαίων στοιχείων τεκμηρίωσης για την απάντηση των ΚΕΑ που αφορούν τη στρατηγική «Ευρώπη 2020». Εντοπισμός πιθανών κενών στα δεδομένα σε σχέση με τους επιλεγμένους δείκτες. </w:t>
            </w:r>
          </w:p>
        </w:tc>
        <w:tc>
          <w:tcPr>
            <w:tcW w:w="1061" w:type="dxa"/>
            <w:tcBorders>
              <w:top w:val="single" w:sz="4" w:space="0" w:color="FFFFFF"/>
            </w:tcBorders>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Σε αρχικό στάδιο της περιόδου προγραμματισμού και πριν από την αξιολόγηση</w:t>
            </w:r>
          </w:p>
        </w:tc>
        <w:tc>
          <w:tcPr>
            <w:tcW w:w="622"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50"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93"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05" w:type="dxa"/>
            <w:tcBorders>
              <w:top w:val="single" w:sz="4" w:space="0" w:color="FFFFFF"/>
            </w:tcBorders>
            <w:shd w:val="clear" w:color="auto" w:fill="D0DDCC" w:themeFill="accent6" w:themeFillTint="66"/>
          </w:tcPr>
          <w:p w:rsidR="00055507" w:rsidRPr="001C6ACF"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49" w:type="dxa"/>
            <w:tcBorders>
              <w:top w:val="single" w:sz="4" w:space="0" w:color="FFFFFF"/>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Εξέταση πιθανών προσεγγίσεων αξιολόγησης για την εκτίμηση των δεικτών αντικτύπου/τον προσδιορισμό των τιμών τους σύμφωνα με τα υπάρχοντα δεδομένα.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Σε αρχικό στάδιο της περιόδου προγραμματισμού και πριν από την αξιολόγηση</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93"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Συγγραφή των όρων αναφοράς και προκήρυξη διαγωνισμού για την αξιολόγηση (ως διαρκείς συμβάσεις αξιολόγησης ή μεμονωμένες συμβάσεις αξιολόγησης για το 2017 και το 2019).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Σε αρχικό στάδιο της περιόδου προγραμματισμού ή το 2016 και το 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93"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05"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BA1544"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Διάρθρωση</w:t>
            </w: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Συζήτηση με τους αξιολογητές σχετικά με τις υπάρχουσες πηγές δεδομένων και τα κενά στα δεδομένα Επίτευξη συμφωνίας ως προς τον τρόπο κάλυψης των κενών στα δεδομένα.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2016 και 2ο - 3ο τρίμηνο του 2018</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Συζήτηση με τους αξιολογητές σχετικά με τις μεθοδολογικές προσεγγίσεις για την εκτίμηση των επιπτώσεων του ΠΑΑ και τον προσδιορισμό των τιμών των κοινών (και πρόσθετων) δεικτών αντικτύπου.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2016 και 2ο - 3ο τρίμηνο του 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93"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Παρατήρηση</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Συλλογή δεδομένων και στοιχειών για τους δικαιούχους στον βαθμό που συνδέονται με τους κοινούς (και πρόσθετους) δείκτες αντικτύπου και σύμφωνα με τις προτεινόμενες μεθόδους.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Από την έναρξη του ΠΑΑ έως τα τέλη του 2018</w:t>
            </w:r>
          </w:p>
        </w:tc>
        <w:tc>
          <w:tcPr>
            <w:tcW w:w="62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49"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5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93"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Συλλογή δεδομένων και στοιχείων για τους μη δικαιούχους στον βαθμό που συνδέονται με τους κοινούς (και πρόσθετους) δείκτες αντικτύπου και σύμφωνα με τις προτεινόμενες μεθόδους.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Από την έναρξη του ΠΑΑ έως τα τέλη  του 2018</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Διασφάλιση της ποιότητας των δεδομένων που συλλέγονται τόσο από τη βάση δεδομένων πράξεων όσο και από άλλες πηγές (π.χ. ΔΓΛΠ, στατιστική υπηρεσία, περιβαλλοντική παρακολούθηση κ.λπ.). </w:t>
            </w:r>
          </w:p>
        </w:tc>
        <w:tc>
          <w:tcPr>
            <w:tcW w:w="1061" w:type="dxa"/>
          </w:tcPr>
          <w:p w:rsidR="00055507" w:rsidRPr="001C6ACF"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Σε συνεχή βάση</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Ανάλυση</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Διενέργεια της εκτίμησης των δεικτών αντικτύπου και του προσδιορισμού των τιμών τους σύμφωνα με την προτεινόμενη </w:t>
            </w:r>
            <w:r>
              <w:rPr>
                <w:color w:val="373737"/>
                <w:sz w:val="16"/>
              </w:rPr>
              <w:lastRenderedPageBreak/>
              <w:t xml:space="preserve">προσέγγιση αξιολόγησης και τις επιλεγμένες μεθόδους αξιολόγησης. </w:t>
            </w:r>
          </w:p>
        </w:tc>
        <w:tc>
          <w:tcPr>
            <w:tcW w:w="1061" w:type="dxa"/>
          </w:tcPr>
          <w:p w:rsidR="00055507" w:rsidRPr="001C6ACF"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lastRenderedPageBreak/>
              <w:t>1ο τρίμηνο του 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Διασφάλιση της ποιότητας της ανάλυσης. </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1ο τρίμηνο του 2019</w:t>
            </w:r>
          </w:p>
        </w:tc>
        <w:tc>
          <w:tcPr>
            <w:tcW w:w="62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Πραγματοποίηση κρίσεων</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Ερμηνεία των πορισμάτων της αξιολόγησης που προκύπτουν από την ανάλυση, διαμόρφωση κρίσεων με βάση τα κριτήρια απόφασης και απάντηση στα ερωτήματα αξιολόγησης.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1ο τρίμηνο του 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Διατύπωση συμπερασμάτων με βάση τις κρίσεις και διατύπωση συστάσεων, αν χρειάζεται.</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1ο και 2ο τρίμηνο του 2019</w:t>
            </w:r>
          </w:p>
        </w:tc>
        <w:tc>
          <w:tcPr>
            <w:tcW w:w="622"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Διασφάλιση της ποιότητας των κρίσεων.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1ο και 2ο τρίμηνο του 2019</w:t>
            </w:r>
          </w:p>
        </w:tc>
        <w:tc>
          <w:tcPr>
            <w:tcW w:w="622"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Υποβολή εκθέσεων</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Εκπόνηση της έκθεσης αξιολόγησης.</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2ο τρίμηνο του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Παρουσίαση των πορισμάτων αξιολόγησης στην επιτροπή παρακολούθησης.</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2ο τρίμηνο του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Συμπλήρωση του υποδείγματος SFC της ΕΕΥ (συμπεριλαμβανομένων των κεφαλαίων 2 και 7) και υποβολή του στην Ευρωπαϊκή Επιτροπή.</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2ο τρίμηνο του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Δημοσίευση της ΕΕΥ και των εκθέσεων αξιολόγησης (όχι μόνο του κεφαλαίου 7 της ΕΕΥ) στον δημόσιο ιστότοπο.</w:t>
            </w:r>
          </w:p>
        </w:tc>
        <w:tc>
          <w:tcPr>
            <w:tcW w:w="1061" w:type="dxa"/>
          </w:tcPr>
          <w:p w:rsidR="00055507" w:rsidRPr="001C6ACF"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2ο, 3ο και 4ο τρίμηνο του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Προετοιμασία των πορισμάτων της αξιολόγησης σε άλλους κατάλληλους μορφότυπους (συνοπτική έκθεση προς ενημέρωση του κοινού) για τις διάφορες ομάδες στόχους.</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3ο και 4ο τρίμηνο του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Κοινοποίηση των πορισμάτων της αξιολόγησης στις στοχευόμενες ομάδες.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3ο και 4ο τρίμηνο του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χ</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05"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ψ</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Παρακολούθηση</w:t>
            </w:r>
          </w:p>
        </w:tc>
        <w:tc>
          <w:tcPr>
            <w:tcW w:w="3402"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Αντιμετώπιση και παρακολούθηση των συμπερασμάτων και των συστάσεων που προέκυψαν από την αξιολόγηση με στόχο τη βελτίωση του σχεδιασμού και της εφαρμογής του προγράμματος αγροτικής ανάπτυξης. </w:t>
            </w:r>
          </w:p>
        </w:tc>
        <w:tc>
          <w:tcPr>
            <w:tcW w:w="1061" w:type="dxa"/>
            <w:tcBorders>
              <w:bottom w:val="single" w:sz="4" w:space="0" w:color="6E8967"/>
            </w:tcBorders>
          </w:tcPr>
          <w:p w:rsidR="00055507" w:rsidRPr="001C6ACF"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2ο τρίμηνο 2019 και εφεξής </w:t>
            </w:r>
          </w:p>
        </w:tc>
        <w:tc>
          <w:tcPr>
            <w:tcW w:w="622" w:type="dxa"/>
            <w:tcBorders>
              <w:bottom w:val="single" w:sz="4" w:space="0" w:color="6E8967"/>
            </w:tcBorders>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χ</w:t>
            </w: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c>
          <w:tcPr>
            <w:tcW w:w="550" w:type="dxa"/>
            <w:tcBorders>
              <w:bottom w:val="single" w:sz="4" w:space="0" w:color="6E8967"/>
              <w:right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ψ</w:t>
            </w:r>
          </w:p>
        </w:tc>
      </w:tr>
    </w:tbl>
    <w:p w:rsidR="00C744FC" w:rsidRPr="001C6ACF" w:rsidRDefault="00C744FC" w:rsidP="001F25E0">
      <w:pPr>
        <w:pStyle w:val="HStandard"/>
      </w:pPr>
    </w:p>
    <w:p w:rsidR="00425D88" w:rsidRPr="001C6ACF" w:rsidRDefault="00425D88" w:rsidP="00425D88">
      <w:pPr>
        <w:pStyle w:val="HStandard"/>
        <w:sectPr w:rsidR="00425D88" w:rsidRPr="001C6ACF" w:rsidSect="00D32538">
          <w:footerReference w:type="default" r:id="rId32"/>
          <w:footerReference w:type="first" r:id="rId33"/>
          <w:pgSz w:w="11906" w:h="16838" w:code="9"/>
          <w:pgMar w:top="1440" w:right="1440" w:bottom="1134" w:left="1440" w:header="567" w:footer="737" w:gutter="0"/>
          <w:pgNumType w:start="1"/>
          <w:cols w:space="708"/>
          <w:titlePg/>
          <w:docGrid w:linePitch="360"/>
        </w:sectPr>
      </w:pPr>
    </w:p>
    <w:p w:rsidR="00425D88" w:rsidRPr="001C6ACF" w:rsidRDefault="00425D88" w:rsidP="00E93BEA">
      <w:pPr>
        <w:pStyle w:val="HHeading1"/>
        <w:tabs>
          <w:tab w:val="clear" w:pos="474"/>
          <w:tab w:val="clear" w:pos="567"/>
        </w:tabs>
        <w:rPr>
          <w:sz w:val="28"/>
        </w:rPr>
      </w:pPr>
      <w:r>
        <w:rPr>
          <w:sz w:val="28"/>
        </w:rPr>
        <w:lastRenderedPageBreak/>
        <w:t xml:space="preserve">Προσεγγίσεις για την εκτίμηση των επιπτώσεων του ΠΑΑ το 2019 </w:t>
      </w:r>
      <w:r>
        <w:rPr>
          <w:sz w:val="28"/>
        </w:rPr>
        <w:br/>
        <w:t>(ΜΕΡΟΣ II)</w:t>
      </w:r>
    </w:p>
    <w:p w:rsidR="00BB6B80" w:rsidRPr="00571D58" w:rsidRDefault="000B213F" w:rsidP="00B86C6A">
      <w:pPr>
        <w:pStyle w:val="HStandard"/>
      </w:pPr>
      <w:r>
        <w:rPr>
          <w:b/>
          <w:noProof/>
          <w:lang w:val="en-GB" w:eastAsia="en-GB" w:bidi="ar-SA"/>
        </w:rPr>
        <mc:AlternateContent>
          <mc:Choice Requires="wps">
            <w:drawing>
              <wp:inline distT="0" distB="0" distL="0" distR="0" wp14:anchorId="32B98344" wp14:editId="11ED9CAD">
                <wp:extent cx="5695950" cy="1496786"/>
                <wp:effectExtent l="0" t="0" r="19050" b="27305"/>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496786"/>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67073B" w:rsidRPr="00B86C6A" w:rsidRDefault="0067073B" w:rsidP="00BB6B80">
                            <w:pPr>
                              <w:pStyle w:val="Normal12PTcouleurgris"/>
                              <w:rPr>
                                <w:rStyle w:val="HStandardCar"/>
                                <w:color w:val="292929" w:themeColor="text1" w:themeShade="BF"/>
                              </w:rPr>
                            </w:pPr>
                            <w:r>
                              <w:rPr>
                                <w:rStyle w:val="HStandardCar"/>
                                <w:b/>
                                <w:color w:val="F07E31"/>
                                <w:sz w:val="20"/>
                              </w:rPr>
                              <w:t>Το ΜΕΡΟΣ II</w:t>
                            </w:r>
                            <w:r>
                              <w:rPr>
                                <w:rStyle w:val="HStandardCar"/>
                                <w:color w:val="F07E31"/>
                                <w:sz w:val="20"/>
                              </w:rPr>
                              <w:t xml:space="preserve"> </w:t>
                            </w:r>
                            <w:r>
                              <w:rPr>
                                <w:rStyle w:val="HStandardCar"/>
                                <w:color w:val="292929" w:themeColor="text1" w:themeShade="BF"/>
                                <w:sz w:val="20"/>
                              </w:rPr>
                              <w:t xml:space="preserve">των μη δεσμευτικών κατευθυντήριων γραμμών «Αξιολόγηση των επιτευγμάτων και των επιπτώσεων του ΠΑΑ το 2019» πρέπει να διαβάζεται σε συνάρτηση με το </w:t>
                            </w:r>
                            <w:r>
                              <w:rPr>
                                <w:rStyle w:val="HStandardCar"/>
                                <w:b/>
                                <w:color w:val="F07E31"/>
                                <w:sz w:val="20"/>
                              </w:rPr>
                              <w:t>ΜΕΡΟΣ III</w:t>
                            </w:r>
                            <w:r>
                              <w:rPr>
                                <w:rStyle w:val="HStandardCar"/>
                                <w:color w:val="F07E31"/>
                                <w:sz w:val="20"/>
                              </w:rPr>
                              <w:t xml:space="preserve"> </w:t>
                            </w:r>
                            <w:r>
                              <w:rPr>
                                <w:rStyle w:val="HStandardCar"/>
                                <w:color w:val="292929" w:themeColor="text1" w:themeShade="BF"/>
                                <w:sz w:val="20"/>
                              </w:rPr>
                              <w:t xml:space="preserve">(Δελτία σχετικά με τις απαντήσεις στα ΚΕΑ αριθ. 22-30) και το </w:t>
                            </w:r>
                            <w:r>
                              <w:rPr>
                                <w:rStyle w:val="HStandardCar"/>
                                <w:b/>
                                <w:color w:val="F07E31"/>
                                <w:sz w:val="20"/>
                              </w:rPr>
                              <w:t xml:space="preserve">ΜΕΡΟΣ IV </w:t>
                            </w:r>
                            <w:r>
                              <w:rPr>
                                <w:rStyle w:val="HStandardCar"/>
                                <w:color w:val="292929" w:themeColor="text1" w:themeShade="BF"/>
                                <w:sz w:val="20"/>
                              </w:rPr>
                              <w:t>(Τεχνικό παράρτημα) που περιέχει συμπληρωματικές πληροφορίες για τις προτεινόμενες προσεγγίσεις αξιολόγησης, παραδείγματα πρόσθετων δεικτών, αναλυτική περιγραφή των βημάτων εργασίας, καταλληλότητα των προτεινόμενων προσεγγίσεων αξιολόγησης, ενδεδειγμένες και μη ενδεδειγμένες πρακτικές, γλωσσάριο).</w:t>
                            </w:r>
                          </w:p>
                        </w:txbxContent>
                      </wps:txbx>
                      <wps:bodyPr rot="0" vert="horz" wrap="square" lIns="91440" tIns="45720" rIns="91440" bIns="45720" anchor="ctr" anchorCtr="0" upright="1">
                        <a:noAutofit/>
                      </wps:bodyPr>
                    </wps:wsp>
                  </a:graphicData>
                </a:graphic>
              </wp:inline>
            </w:drawing>
          </mc:Choice>
          <mc:Fallback>
            <w:pict>
              <v:shape w14:anchorId="32B98344" id="Rectangle: Diagonal Corners Rounded 48" o:spid="_x0000_s1029" style="width:448.5pt;height:117.85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236734;5441539,1496786;0,1496786;0,1496786;0,260052;254411,0" o:connectangles="0,0,0,0,0,0,0,0,0" textboxrect="0,0,5695950,1464319"/>
                <v:textbox>
                  <w:txbxContent>
                    <w:p w:rsidR="0067073B" w:rsidRPr="00B86C6A" w:rsidRDefault="0067073B" w:rsidP="00BB6B80">
                      <w:pPr>
                        <w:pStyle w:val="Normal12PTcouleurgris"/>
                        <w:rPr>
                          <w:rStyle w:val="HStandardCar"/>
                          <w:color w:val="292929" w:themeColor="text1" w:themeShade="BF"/>
                        </w:rPr>
                      </w:pPr>
                      <w:r>
                        <w:rPr>
                          <w:rStyle w:val="HStandardCar"/>
                          <w:b/>
                          <w:color w:val="F07E31"/>
                          <w:sz w:val="20"/>
                        </w:rPr>
                        <w:t>Το ΜΕΡΟΣ II</w:t>
                      </w:r>
                      <w:r>
                        <w:rPr>
                          <w:rStyle w:val="HStandardCar"/>
                          <w:color w:val="F07E31"/>
                          <w:sz w:val="20"/>
                        </w:rPr>
                        <w:t xml:space="preserve"> </w:t>
                      </w:r>
                      <w:r>
                        <w:rPr>
                          <w:rStyle w:val="HStandardCar"/>
                          <w:color w:val="292929" w:themeColor="text1" w:themeShade="BF"/>
                          <w:sz w:val="20"/>
                        </w:rPr>
                        <w:t xml:space="preserve">των μη δεσμευτικών κατευθυντήριων γραμμών «Αξιολόγηση των επιτευγμάτων και των επιπτώσεων του ΠΑΑ το 2019» πρέπει να διαβάζεται σε συνάρτηση με το </w:t>
                      </w:r>
                      <w:r>
                        <w:rPr>
                          <w:rStyle w:val="HStandardCar"/>
                          <w:b/>
                          <w:color w:val="F07E31"/>
                          <w:sz w:val="20"/>
                        </w:rPr>
                        <w:t>ΜΕΡΟΣ III</w:t>
                      </w:r>
                      <w:r>
                        <w:rPr>
                          <w:rStyle w:val="HStandardCar"/>
                          <w:color w:val="F07E31"/>
                          <w:sz w:val="20"/>
                        </w:rPr>
                        <w:t xml:space="preserve"> </w:t>
                      </w:r>
                      <w:r>
                        <w:rPr>
                          <w:rStyle w:val="HStandardCar"/>
                          <w:color w:val="292929" w:themeColor="text1" w:themeShade="BF"/>
                          <w:sz w:val="20"/>
                        </w:rPr>
                        <w:t xml:space="preserve">(Δελτία σχετικά με τις απαντήσεις στα ΚΕΑ αριθ. 22-30) και το </w:t>
                      </w:r>
                      <w:r>
                        <w:rPr>
                          <w:rStyle w:val="HStandardCar"/>
                          <w:b/>
                          <w:color w:val="F07E31"/>
                          <w:sz w:val="20"/>
                        </w:rPr>
                        <w:t xml:space="preserve">ΜΕΡΟΣ IV </w:t>
                      </w:r>
                      <w:r>
                        <w:rPr>
                          <w:rStyle w:val="HStandardCar"/>
                          <w:color w:val="292929" w:themeColor="text1" w:themeShade="BF"/>
                          <w:sz w:val="20"/>
                        </w:rPr>
                        <w:t>(Τεχνικό παράρτημα) που περιέχει συμπληρωματικές πληροφορίες για τις προτεινόμενες προσεγγίσεις αξιολόγησης, παραδείγματα πρόσθετων δεικτών, αναλυτική περιγραφή των βημάτων εργασίας, καταλληλότητα των προτεινόμενων προσεγγίσεων αξιολόγησης, ενδεδειγμένες και μη ενδεδειγμένες πρακτικές, γλωσσάριο).</w:t>
                      </w:r>
                    </w:p>
                  </w:txbxContent>
                </v:textbox>
                <w10:anchorlock/>
              </v:shape>
            </w:pict>
          </mc:Fallback>
        </mc:AlternateContent>
      </w:r>
    </w:p>
    <w:p w:rsidR="00425D88" w:rsidRPr="007645B4" w:rsidRDefault="00425D88" w:rsidP="00002482">
      <w:pPr>
        <w:pStyle w:val="HHeading2"/>
        <w:tabs>
          <w:tab w:val="clear" w:pos="360"/>
          <w:tab w:val="clear" w:pos="567"/>
        </w:tabs>
      </w:pPr>
      <w:r>
        <w:t>Επιλογή κατάλληλων προσεγγίσεων αξιολόγησης για την εκτίμηση των επιπτώσεων του ΠΑΑ</w:t>
      </w:r>
    </w:p>
    <w:p w:rsidR="00E93BEA" w:rsidRPr="001C6ACF" w:rsidRDefault="00E93BEA" w:rsidP="00E93BEA">
      <w:pPr>
        <w:pStyle w:val="HStandard"/>
        <w:rPr>
          <w:rFonts w:cs="Arial"/>
        </w:rPr>
      </w:pPr>
      <w:r>
        <w:t xml:space="preserve">Η εκτίμηση των κοινών δεικτών αντικτύπου του δεύτερου πυλώνα της ΚΓΠ και ο προσδιορισμός των τιμών τους το 2019 είναι ένα απαιτητικό έργο που θέτει </w:t>
      </w:r>
      <w:r>
        <w:rPr>
          <w:b/>
        </w:rPr>
        <w:t>αρκετά ερωτήματα</w:t>
      </w:r>
      <w:r>
        <w:t xml:space="preserve">: </w:t>
      </w:r>
    </w:p>
    <w:p w:rsidR="00E93BEA" w:rsidRPr="001C6ACF" w:rsidRDefault="00E93BEA" w:rsidP="00E93BEA">
      <w:pPr>
        <w:pStyle w:val="Hlistbullet"/>
      </w:pPr>
      <w:r>
        <w:t xml:space="preserve">Πώς μπορούν οι αλλαγές που παρατηρούνται στις αγροτικές περιοχές να αποδοθούν στις παρεμβάσεις του ΠΑΑ και ποιες προσεγγίσεις αξιολόγησης θα πρέπει να χρησιμοποιούνται για αυτό τον σκοπό; </w:t>
      </w:r>
    </w:p>
    <w:p w:rsidR="00E93BEA" w:rsidRPr="001C6ACF" w:rsidRDefault="00E93BEA" w:rsidP="00E93BEA">
      <w:pPr>
        <w:pStyle w:val="Hlistbullet"/>
      </w:pPr>
      <w:r>
        <w:t xml:space="preserve">Ποια δεδομένα από υπάρχουσες πηγές (π.χ. παρακολούθηση, ενωσιακές, εθνικές και περιφερειακές βάσεις δεδομένων) θα πρέπει να χρησιμοποιούνται για να τροφοδοτούν την προτεινόμενη προσέγγιση αξιολόγησης; </w:t>
      </w:r>
    </w:p>
    <w:p w:rsidR="00E93BEA" w:rsidRPr="001C6ACF" w:rsidRDefault="00E93BEA" w:rsidP="00E93BEA">
      <w:pPr>
        <w:pStyle w:val="Hlistbullet"/>
      </w:pPr>
      <w:r>
        <w:t xml:space="preserve">Πώς μπορεί να γίνεται ο συντονισμός με τους διάφορους παρόχους δεδομένων; </w:t>
      </w:r>
    </w:p>
    <w:p w:rsidR="00E93BEA" w:rsidRPr="001C6ACF" w:rsidRDefault="00E93BEA" w:rsidP="00E93BEA">
      <w:pPr>
        <w:pStyle w:val="Hlistbullet"/>
      </w:pPr>
      <w:r>
        <w:t xml:space="preserve">Πώς μπορεί να διασφαλίζεται η ποιότητα των δεδομένων και η κάλυψη των κενών στα δεδομένα; </w:t>
      </w:r>
    </w:p>
    <w:p w:rsidR="009B0B1E" w:rsidRPr="001C6ACF" w:rsidRDefault="009B0B1E" w:rsidP="00B63445">
      <w:pPr>
        <w:pStyle w:val="HHeading3"/>
      </w:pPr>
      <w:r>
        <w:t>Πώς μπορούν να χρησιμοποιούνται τα λογικά μοντέλα για τον προσδιορισμό κατάλληλων προσεγγίσεων αξιολόγησης;</w:t>
      </w:r>
    </w:p>
    <w:p w:rsidR="009B37D9" w:rsidRPr="001C6ACF" w:rsidRDefault="000B213F" w:rsidP="009B37D9">
      <w:pPr>
        <w:pStyle w:val="HStandard"/>
      </w:pPr>
      <w:r>
        <w:rPr>
          <w:b/>
          <w:i/>
          <w:noProof/>
          <w:color w:val="F07E31" w:themeColor="accent1"/>
          <w:lang w:val="en-GB" w:eastAsia="en-GB" w:bidi="ar-SA"/>
        </w:rPr>
        <mc:AlternateContent>
          <mc:Choice Requires="wps">
            <w:drawing>
              <wp:anchor distT="0" distB="0" distL="114300" distR="114300" simplePos="0" relativeHeight="251728384" behindDoc="1" locked="0" layoutInCell="1" allowOverlap="1" wp14:anchorId="63A05713" wp14:editId="19395B45">
                <wp:simplePos x="0" y="0"/>
                <wp:positionH relativeFrom="margin">
                  <wp:align>right</wp:align>
                </wp:positionH>
                <wp:positionV relativeFrom="paragraph">
                  <wp:posOffset>35560</wp:posOffset>
                </wp:positionV>
                <wp:extent cx="2447925" cy="2345690"/>
                <wp:effectExtent l="0" t="0" r="28575" b="16510"/>
                <wp:wrapTight wrapText="bothSides">
                  <wp:wrapPolygon edited="0">
                    <wp:start x="840" y="0"/>
                    <wp:lineTo x="0" y="877"/>
                    <wp:lineTo x="0" y="21577"/>
                    <wp:lineTo x="21012" y="21577"/>
                    <wp:lineTo x="21684" y="20875"/>
                    <wp:lineTo x="21684" y="0"/>
                    <wp:lineTo x="840"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2345871"/>
                        </a:xfrm>
                        <a:prstGeom prst="round2DiagRect">
                          <a:avLst>
                            <a:gd name="adj1" fmla="val 8733"/>
                            <a:gd name="adj2" fmla="val 0"/>
                          </a:avLst>
                        </a:prstGeom>
                        <a:noFill/>
                        <a:ln w="25400" cap="flat" cmpd="sng" algn="ctr">
                          <a:solidFill>
                            <a:srgbClr val="BE4A35"/>
                          </a:solidFill>
                          <a:prstDash val="solid"/>
                        </a:ln>
                        <a:effectLst/>
                      </wps:spPr>
                      <wps:txbx>
                        <w:txbxContent>
                          <w:p w:rsidR="0067073B" w:rsidRPr="00C545E7" w:rsidRDefault="0067073B" w:rsidP="005166F3">
                            <w:pPr>
                              <w:pStyle w:val="HHeading4"/>
                              <w:spacing w:before="0"/>
                              <w:jc w:val="both"/>
                              <w:rPr>
                                <w:i/>
                                <w:color w:val="F07E31" w:themeColor="accent1"/>
                                <w:sz w:val="18"/>
                              </w:rPr>
                            </w:pPr>
                            <w:r>
                              <w:rPr>
                                <w:noProof/>
                                <w:color w:val="373737"/>
                                <w:lang w:val="en-GB" w:eastAsia="en-GB" w:bidi="ar-SA"/>
                              </w:rPr>
                              <w:drawing>
                                <wp:inline distT="0" distB="0" distL="0" distR="0" wp14:anchorId="3EBD10A7" wp14:editId="7634A0C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Τα λογικά μοντέλα </w:t>
                            </w:r>
                            <w:r>
                              <w:rPr>
                                <w:b w:val="0"/>
                                <w:color w:val="373737" w:themeColor="text1"/>
                              </w:rPr>
                              <w:t xml:space="preserve"> είναι δενδροδιαγράμματα αποφάσεων που βοηθούν τους ενδιαφερόμενους φορείς στον σχεδιασμό μιας (αντιπαραδειγματικής) προσέγγισης αξιολόγησης και στην επιλογή των πλέον κατάλληλων μεθόδων κατ’ αντιστοιχία με τα διαθέσιμα δεδομένα και στοιχεία.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A05713" id="_x0000_s1030" style="position:absolute;left:0;text-align:left;margin-left:141.55pt;margin-top:2.8pt;width:192.75pt;height:184.7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23458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" adj="-11796480,,5400" path="m204865,l2447925,r,l2447925,2141006v,113144,-91721,204865,-204865,204865l,2345871r,l,204865c,91721,91721,,204865,xe" filled="f" strokecolor="#be4a35" strokeweight="2pt">
                <v:stroke joinstyle="miter"/>
                <v:formulas/>
                <v:path arrowok="t" o:connecttype="custom" o:connectlocs="204865,0;2447925,0;2447925,0;2447925,2141006;2243060,2345871;0,2345871;0,2345871;0,204865;204865,0" o:connectangles="0,0,0,0,0,0,0,0,0" textboxrect="0,0,2447925,2345871"/>
                <v:textbox>
                  <w:txbxContent>
                    <w:p w:rsidR="0067073B" w:rsidRPr="00C545E7" w:rsidRDefault="0067073B" w:rsidP="005166F3">
                      <w:pPr>
                        <w:pStyle w:val="HHeading4"/>
                        <w:spacing w:before="0"/>
                        <w:jc w:val="both"/>
                        <w:rPr>
                          <w:i/>
                          <w:color w:val="F07E31" w:themeColor="accent1"/>
                          <w:sz w:val="18"/>
                        </w:rPr>
                      </w:pPr>
                      <w:r>
                        <w:rPr>
                          <w:noProof/>
                          <w:color w:val="373737"/>
                          <w:lang w:val="en-GB" w:eastAsia="en-GB" w:bidi="ar-SA"/>
                        </w:rPr>
                        <w:drawing>
                          <wp:inline distT="0" distB="0" distL="0" distR="0" wp14:anchorId="3EBD10A7" wp14:editId="7634A0C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Τα λογικά μοντέλα </w:t>
                      </w:r>
                      <w:r>
                        <w:rPr>
                          <w:b w:val="0"/>
                          <w:color w:val="373737" w:themeColor="text1"/>
                        </w:rPr>
                        <w:t xml:space="preserve"> είναι δενδροδιαγράμματα αποφάσεων που βοηθούν τους ενδιαφερόμενους φορείς στον σχεδιασμό μιας (αντιπαραδειγματικής) προσέγγισης αξιολόγησης και στην επιλογή των πλέον κατάλληλων μεθόδων κατ’ αντιστοιχία με τα διαθέσιμα δεδομένα και στοιχεία.</w:t>
                      </w:r>
                    </w:p>
                  </w:txbxContent>
                </v:textbox>
                <w10:wrap type="tight" anchorx="margin"/>
              </v:shape>
            </w:pict>
          </mc:Fallback>
        </mc:AlternateContent>
      </w:r>
      <w:r>
        <w:t xml:space="preserve">Τα λογικά μοντέλα μπορούν να καθοδηγήσουν τον αξιολογητή σε νέες προσεγγίσεις, στον καλύτερο σχεδιασμό της συλλογής δεδομένων και στη δρομολόγηση μιας διαδικασίας εξέτασης μεθόδων που βασίζονται σε μικρότερο βαθμό στη διαθεσιμότητα δεδομένων (π.χ. ποιοτικές μέθοδοι). Τα λογικά μοντέλα μπορούν επίσης να βοηθήσουν τις διαχειριστικές αρχές στον καλύτερο σχεδιασμό και στην καλύτερη πρόβλεψη των αποτελεσμάτων της αξιολόγησης εντός του δεδομένου πλαισίου (δεδομένα, προϋπολογισμός και χρονοδιάγραμμα αξιολόγησης). </w:t>
      </w:r>
    </w:p>
    <w:p w:rsidR="00FF13C7" w:rsidRPr="001C6ACF" w:rsidRDefault="00FF13C7" w:rsidP="00FF13C7">
      <w:pPr>
        <w:pStyle w:val="HStandard"/>
        <w:spacing w:after="0"/>
        <w:rPr>
          <w:rFonts w:cs="Arial"/>
          <w:color w:val="373737"/>
          <w:szCs w:val="18"/>
        </w:rPr>
      </w:pPr>
      <w:r>
        <w:rPr>
          <w:color w:val="373737"/>
        </w:rPr>
        <w:t>Τα λογικά μοντέλα παρέχουν έναν βήμα-προς-βήμα οδηγό για τον σχεδιασμό των προσεγγίσεων αξιολόγησης ώστε να γίνουν καλύτερα κατανοητές οι:</w:t>
      </w:r>
    </w:p>
    <w:p w:rsidR="00FF13C7" w:rsidRPr="001C6ACF" w:rsidRDefault="00FF13C7" w:rsidP="00FF13C7">
      <w:pPr>
        <w:pStyle w:val="Hlistbullet"/>
        <w:spacing w:before="0" w:after="0" w:line="280" w:lineRule="atLeast"/>
        <w:ind w:left="502"/>
        <w:rPr>
          <w:rFonts w:cs="Arial"/>
          <w:color w:val="373737"/>
          <w:szCs w:val="18"/>
        </w:rPr>
      </w:pPr>
      <w:r>
        <w:rPr>
          <w:b/>
          <w:color w:val="373737"/>
        </w:rPr>
        <w:t>ΔΥΝΑΤΟΤΗΤΕΣ:</w:t>
      </w:r>
      <w:r>
        <w:rPr>
          <w:color w:val="373737"/>
        </w:rPr>
        <w:t xml:space="preserve"> ποιοι συνδυασμοί δεδομένων/δεικτών/μεθόδων είναι διαθέσιμοι και κατάλληλοι για την παροχή απαντήσεων στα ερωτήματα αξιολόγησης. </w:t>
      </w:r>
    </w:p>
    <w:p w:rsidR="00FF13C7" w:rsidRPr="001C6ACF" w:rsidRDefault="00FF13C7" w:rsidP="00FF13C7">
      <w:pPr>
        <w:pStyle w:val="Hlistbullet"/>
        <w:spacing w:before="0" w:after="0" w:line="280" w:lineRule="atLeast"/>
        <w:ind w:left="502"/>
        <w:rPr>
          <w:color w:val="373737"/>
          <w:sz w:val="22"/>
        </w:rPr>
      </w:pPr>
      <w:r>
        <w:rPr>
          <w:b/>
          <w:color w:val="373737"/>
        </w:rPr>
        <w:t>ΑΠΑΙΤΗΣΕΙΣ:</w:t>
      </w:r>
      <w:r>
        <w:rPr>
          <w:color w:val="373737"/>
        </w:rPr>
        <w:t xml:space="preserve"> ποια δεδομένα/δείκτες/μέθοδοι/προσεγγίσεις απαιτούνται για την εκτίμηση των καθαρών επιπτώσεων και την παροχή απαντήσεων στα ερωτήματα αξιολόγησης.</w:t>
      </w:r>
    </w:p>
    <w:p w:rsidR="00FF13C7" w:rsidRPr="001C6ACF" w:rsidRDefault="00FF13C7" w:rsidP="00FF13C7">
      <w:pPr>
        <w:pStyle w:val="Hlistbullet"/>
        <w:spacing w:before="0" w:after="0" w:line="280" w:lineRule="atLeast"/>
        <w:ind w:left="502"/>
        <w:rPr>
          <w:color w:val="373737"/>
          <w:sz w:val="22"/>
        </w:rPr>
      </w:pPr>
      <w:r>
        <w:rPr>
          <w:b/>
          <w:color w:val="373737"/>
        </w:rPr>
        <w:lastRenderedPageBreak/>
        <w:t>ΣΥΝΕΠΕΙΕΣ:</w:t>
      </w:r>
      <w:r>
        <w:rPr>
          <w:color w:val="373737"/>
        </w:rPr>
        <w:t xml:space="preserve"> ποιες είναι οι επιπτώσεις των αποφάσεων που λαμβάνονται στα διάφορα στάδια για το κόστος και την αποτελεσματικότητα της αξιολόγησης.</w:t>
      </w:r>
    </w:p>
    <w:p w:rsidR="00E93BEA" w:rsidRPr="00571D58" w:rsidRDefault="009B37D9" w:rsidP="009B37D9">
      <w:pPr>
        <w:pStyle w:val="HStandard"/>
      </w:pPr>
      <w:r>
        <w:t xml:space="preserve">Τα λογικά μοντέλα που παρουσιάζονται στις παρούσες κατευθυντήριες γραμμές ακολουθούν την προσέγγιση που αναπτύχθηκε στο πλαίσιο του έργου </w:t>
      </w:r>
      <w:hyperlink r:id="rId35">
        <w:r>
          <w:rPr>
            <w:rStyle w:val="Hyperlink"/>
            <w:u w:val="none"/>
          </w:rPr>
          <w:t>ENVIEVAL</w:t>
        </w:r>
      </w:hyperlink>
      <w:r>
        <w:rPr>
          <w:rStyle w:val="FootnoteReference"/>
        </w:rPr>
        <w:footnoteReference w:id="26"/>
      </w:r>
      <w:r>
        <w:t xml:space="preserve"> και περιλαμβάνεται στο έγγραφο </w:t>
      </w:r>
      <w:hyperlink r:id="rId36">
        <w:r>
          <w:rPr>
            <w:rStyle w:val="Hyperlink"/>
            <w:i/>
            <w:u w:val="none"/>
          </w:rPr>
          <w:t>Methodological Handbook for the evaluation of environmental impacts of RDPs (Μεθοδολογικό εγχειρίδιο για την αξιολόγηση των περιβαλλοντικών επιπτώσεων των ΠΑΑ)</w:t>
        </w:r>
      </w:hyperlink>
      <w:r>
        <w:t>.</w:t>
      </w:r>
      <w:hyperlink r:id="rId37">
        <w:r>
          <w:rPr>
            <w:rStyle w:val="Hyperlink"/>
            <w:u w:val="none"/>
          </w:rPr>
          <w:t xml:space="preserve"> </w:t>
        </w:r>
      </w:hyperlink>
      <w:r>
        <w:t>Στο πλαίσιο του ENVIEVAL αναπτύχθηκαν και υποβλήθηκαν σε δοκιμή αυτά τα βελτιωμένα εργαλεία για την εκτίμηση των περιβαλλοντικών επιπτώσεων μέτρων και προγραμμάτων αγροτικής ανάπτυξης στα κράτη μέλη της ΕΕ</w:t>
      </w:r>
      <w:r>
        <w:rPr>
          <w:rStyle w:val="FootnoteReference"/>
        </w:rPr>
        <w:footnoteReference w:id="27"/>
      </w:r>
      <w:r>
        <w:t xml:space="preserve">. </w:t>
      </w:r>
    </w:p>
    <w:p w:rsidR="00AE216A" w:rsidRPr="00FB6C06" w:rsidRDefault="00AE216A" w:rsidP="00AE216A">
      <w:pPr>
        <w:pStyle w:val="HHeading4"/>
      </w:pPr>
      <w:r>
        <w:t>Τα επίπεδα του λογικού μοντέλου</w:t>
      </w:r>
    </w:p>
    <w:p w:rsidR="00AE216A" w:rsidRPr="001C6ACF" w:rsidRDefault="00AE216A" w:rsidP="00AE216A">
      <w:pPr>
        <w:pStyle w:val="HStandard"/>
        <w:rPr>
          <w:rFonts w:cs="Arial"/>
        </w:rPr>
      </w:pPr>
      <w:r>
        <w:t xml:space="preserve">Τα </w:t>
      </w:r>
      <w:r>
        <w:rPr>
          <w:b/>
        </w:rPr>
        <w:t>τέσσερα επίπεδα του λογικού μοντέλου</w:t>
      </w:r>
      <w:r>
        <w:t xml:space="preserve"> παρουσιάζονται συνοπτικά στο σχήμα 2. Το </w:t>
      </w:r>
      <w:r>
        <w:rPr>
          <w:b/>
        </w:rPr>
        <w:t>1</w:t>
      </w:r>
      <w:r>
        <w:rPr>
          <w:b/>
          <w:vertAlign w:val="superscript"/>
        </w:rPr>
        <w:t>ο</w:t>
      </w:r>
      <w:r>
        <w:rPr>
          <w:b/>
        </w:rPr>
        <w:t xml:space="preserve"> επίπεδο</w:t>
      </w:r>
      <w:r>
        <w:t xml:space="preserve"> του σχήματος δείχνει τον τρόπο διαμόρφωσης του πλαισίου της αξιολόγησης, που προϋποθέτει την κατανόηση της θέσης των επιπτώσεων στη λογική παρέμβασης, των διαθέσιμων δεικτών και της μονάδας αξιολόγησης. Στο </w:t>
      </w:r>
      <w:r>
        <w:rPr>
          <w:b/>
        </w:rPr>
        <w:t>2</w:t>
      </w:r>
      <w:r>
        <w:rPr>
          <w:b/>
          <w:vertAlign w:val="superscript"/>
        </w:rPr>
        <w:t>ο</w:t>
      </w:r>
      <w:r>
        <w:rPr>
          <w:b/>
        </w:rPr>
        <w:t xml:space="preserve"> επίπεδο</w:t>
      </w:r>
      <w:r>
        <w:t xml:space="preserve"> προσδιορίζονται οι επιλογές για το αντιπαράδειγμα, λαμβάνοντας υπόψη τους περιοριστικούς παράγοντες. Στο </w:t>
      </w:r>
      <w:r>
        <w:rPr>
          <w:b/>
        </w:rPr>
        <w:t>3</w:t>
      </w:r>
      <w:r>
        <w:rPr>
          <w:b/>
          <w:vertAlign w:val="superscript"/>
        </w:rPr>
        <w:t>ο</w:t>
      </w:r>
      <w:r>
        <w:rPr>
          <w:b/>
        </w:rPr>
        <w:t xml:space="preserve"> επίπεδο</w:t>
      </w:r>
      <w:r>
        <w:t xml:space="preserve"> εξειδικεύονται οι επιλογές σε μικροεπίπεδο και μακροεπίπεδο για την αξιολόγηση των καθαρών επιπτώσεων. Τέλος, στο </w:t>
      </w:r>
      <w:r>
        <w:rPr>
          <w:b/>
        </w:rPr>
        <w:t>4</w:t>
      </w:r>
      <w:r>
        <w:rPr>
          <w:b/>
          <w:vertAlign w:val="superscript"/>
        </w:rPr>
        <w:t>ο</w:t>
      </w:r>
      <w:r>
        <w:rPr>
          <w:b/>
        </w:rPr>
        <w:t xml:space="preserve"> επίπεδο</w:t>
      </w:r>
      <w:r>
        <w:t xml:space="preserve"> ελέγχεται η συνέπεια της ανάλυσης σε μικροεπίπεδο και μακροεπίπεδο με σκοπό την επικύρωση των πορισμάτων. </w:t>
      </w:r>
    </w:p>
    <w:p w:rsidR="00E93BEA" w:rsidRPr="001C6ACF" w:rsidRDefault="00533F86" w:rsidP="00533F86">
      <w:pPr>
        <w:pStyle w:val="HHeadingfigures"/>
        <w:numPr>
          <w:ilvl w:val="0"/>
          <w:numId w:val="0"/>
        </w:numPr>
      </w:pPr>
      <w:r>
        <w:t xml:space="preserve">Πίνακας 1: </w:t>
      </w:r>
      <w:r w:rsidR="00E93BEA">
        <w:t>Απλοποιημένο διάγραμμα ροής των επιπέδων του λογικού μοντέλου</w:t>
      </w:r>
    </w:p>
    <w:p w:rsidR="00E93BEA" w:rsidRPr="00571D58" w:rsidRDefault="00533F86" w:rsidP="00E93BEA">
      <w:pPr>
        <w:pStyle w:val="HStandard"/>
        <w:jc w:val="center"/>
      </w:pPr>
      <w:r w:rsidRPr="00533F86">
        <w:rPr>
          <w:noProof/>
        </w:rPr>
        <w:drawing>
          <wp:inline distT="0" distB="0" distL="0" distR="0" wp14:anchorId="54CEBB75" wp14:editId="19FA5910">
            <wp:extent cx="5091108" cy="309698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600" r="13806"/>
                    <a:stretch/>
                  </pic:blipFill>
                  <pic:spPr bwMode="auto">
                    <a:xfrm>
                      <a:off x="0" y="0"/>
                      <a:ext cx="5106712" cy="3106477"/>
                    </a:xfrm>
                    <a:prstGeom prst="rect">
                      <a:avLst/>
                    </a:prstGeom>
                    <a:noFill/>
                    <a:ln>
                      <a:noFill/>
                    </a:ln>
                    <a:extLst>
                      <a:ext uri="{53640926-AAD7-44D8-BBD7-CCE9431645EC}">
                        <a14:shadowObscured xmlns:a14="http://schemas.microsoft.com/office/drawing/2010/main"/>
                      </a:ext>
                    </a:extLst>
                  </pic:spPr>
                </pic:pic>
              </a:graphicData>
            </a:graphic>
          </wp:inline>
        </w:drawing>
      </w:r>
    </w:p>
    <w:p w:rsidR="004F365B" w:rsidRDefault="004F365B" w:rsidP="004F365B">
      <w:pPr>
        <w:pStyle w:val="HSource"/>
      </w:pPr>
      <w:r>
        <w:t xml:space="preserve">Πηγή: European Evaluation Helpdesk for Rural Development (Ευρωπαϊκή Υπηρεσία Υποστήριξης της Αξιολόγησης για την Αγροτική Ανάπτυξη) (2018), προσαρμογή από το ENVIEVAL (2015): Methodological Handbook for the evaluation of environmental impacts of RDPs: Report D9.5  (Μεθοδολογικό εγχειρίδιο για την αξιολόγηση των περιβαλλοντικών επιπτώσεων των ΠΑΑ: Έκθεση D9.5). Βρυξέλλες: Ευρωπαϊκή Επιτροπή. </w:t>
      </w:r>
    </w:p>
    <w:p w:rsidR="00533F86" w:rsidRPr="001C6ACF" w:rsidRDefault="00533F86" w:rsidP="00533F86">
      <w:pPr>
        <w:pStyle w:val="HStandard"/>
        <w:rPr>
          <w:rFonts w:cs="Arial"/>
        </w:rPr>
      </w:pPr>
      <w:r>
        <w:lastRenderedPageBreak/>
        <w:t xml:space="preserve">Τα επίπεδα του λογικού μοντέλου χρησιμοποιούνται ως σημεία αναφοράς για την περιγραφή των προτεινόμενων προσεγγίσεων αξιολόγησης για τους δείκτες αντικτύπου της ΚΓΠ (βλ. κεφάλαια 2.2 – 2.9). </w:t>
      </w:r>
    </w:p>
    <w:p w:rsidR="006B44E5" w:rsidRPr="001C6ACF" w:rsidRDefault="006B44E5">
      <w:pPr>
        <w:spacing w:before="0" w:after="0" w:line="240" w:lineRule="auto"/>
        <w:jc w:val="left"/>
        <w:rPr>
          <w:b/>
          <w:color w:val="57825E" w:themeColor="accent4"/>
          <w:sz w:val="20"/>
          <w:szCs w:val="20"/>
        </w:rPr>
      </w:pPr>
    </w:p>
    <w:p w:rsidR="00E93BEA" w:rsidRPr="001C6ACF" w:rsidRDefault="00E93BEA" w:rsidP="00E93BEA">
      <w:pPr>
        <w:pStyle w:val="HHeading4"/>
      </w:pPr>
      <w:r>
        <w:t>Διαμόρφωση του πλαισίου της εκτίμησης (1</w:t>
      </w:r>
      <w:r>
        <w:rPr>
          <w:vertAlign w:val="superscript"/>
        </w:rPr>
        <w:t>ο</w:t>
      </w:r>
      <w:r>
        <w:t xml:space="preserve"> επίπεδο)</w:t>
      </w:r>
    </w:p>
    <w:p w:rsidR="00E93BEA" w:rsidRPr="007645B4" w:rsidRDefault="000B213F" w:rsidP="00E93BEA">
      <w:pPr>
        <w:pStyle w:val="HStandard"/>
        <w:rPr>
          <w:rFonts w:cs="Arial"/>
        </w:rPr>
      </w:pPr>
      <w:r>
        <w:rPr>
          <w:b/>
          <w:i/>
          <w:noProof/>
          <w:color w:val="F07E31" w:themeColor="accent1"/>
          <w:lang w:val="en-GB" w:eastAsia="en-GB" w:bidi="ar-SA"/>
        </w:rPr>
        <mc:AlternateContent>
          <mc:Choice Requires="wps">
            <w:drawing>
              <wp:anchor distT="0" distB="0" distL="114300" distR="114300" simplePos="0" relativeHeight="251729408" behindDoc="0" locked="0" layoutInCell="1" allowOverlap="1" wp14:anchorId="70CD87F6" wp14:editId="17E5EAD2">
                <wp:simplePos x="0" y="0"/>
                <wp:positionH relativeFrom="margin">
                  <wp:posOffset>-43815</wp:posOffset>
                </wp:positionH>
                <wp:positionV relativeFrom="paragraph">
                  <wp:posOffset>89535</wp:posOffset>
                </wp:positionV>
                <wp:extent cx="2286000" cy="2879090"/>
                <wp:effectExtent l="0" t="0" r="19050" b="16510"/>
                <wp:wrapThrough wrapText="bothSides">
                  <wp:wrapPolygon edited="0">
                    <wp:start x="900" y="0"/>
                    <wp:lineTo x="0" y="715"/>
                    <wp:lineTo x="0" y="21581"/>
                    <wp:lineTo x="20880" y="21581"/>
                    <wp:lineTo x="21600" y="21009"/>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879090"/>
                        </a:xfrm>
                        <a:prstGeom prst="round2DiagRect">
                          <a:avLst>
                            <a:gd name="adj1" fmla="val 8733"/>
                            <a:gd name="adj2" fmla="val 0"/>
                          </a:avLst>
                        </a:prstGeom>
                        <a:noFill/>
                        <a:ln w="25400" cap="flat" cmpd="sng" algn="ctr">
                          <a:solidFill>
                            <a:srgbClr val="BE4A35"/>
                          </a:solidFill>
                          <a:prstDash val="solid"/>
                        </a:ln>
                        <a:effectLst/>
                      </wps:spPr>
                      <wps:txbx>
                        <w:txbxContent>
                          <w:p w:rsidR="0067073B" w:rsidRPr="00044269" w:rsidRDefault="0067073B"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5C08980E" wp14:editId="50BE3FE7">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Η εκτίμηση μιας δεδομένης επίπτωσης </w:t>
                            </w:r>
                            <w:r>
                              <w:rPr>
                                <w:b w:val="0"/>
                                <w:color w:val="373737" w:themeColor="text1"/>
                              </w:rPr>
                              <w:t>(τομεακής, περιβαλλοντικής ή κοινωνικοοικονομικής) ξεκινά με τη διαμόρφωση ενός συνεπούς πλαισίου αξιολόγησης. Αυτό βοηθά στην εξασφάλιση σαφήνειας ως προς τη θέση της επίπτωσης εντός της λογικής παρέμβασης και στην παρουσίαση των διαθέσιμων δεικτών και μονάδων ανάλυσης για τη μέτρησή της.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CD87F6" id="_x0000_s1031" style="position:absolute;left:0;text-align:left;margin-left:-3.45pt;margin-top:7.05pt;width:180pt;height:226.7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879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" adj="-11796480,,5400" path="m199636,l2286000,r,l2286000,2679454v,110256,-89380,199636,-199636,199636l,2879090r,l,199636c,89380,89380,,199636,xe" filled="f" strokecolor="#be4a35" strokeweight="2pt">
                <v:stroke joinstyle="miter"/>
                <v:formulas/>
                <v:path arrowok="t" o:connecttype="custom" o:connectlocs="199636,0;2286000,0;2286000,0;2286000,2679454;2086364,2879090;0,2879090;0,2879090;0,199636;199636,0" o:connectangles="0,0,0,0,0,0,0,0,0" textboxrect="0,0,2286000,2879090"/>
                <v:textbox>
                  <w:txbxContent>
                    <w:p w:rsidR="0067073B" w:rsidRPr="00044269" w:rsidRDefault="0067073B"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5C08980E" wp14:editId="50BE3FE7">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Η εκτίμηση μιας δεδομένης επίπτωσης </w:t>
                      </w:r>
                      <w:r>
                        <w:rPr>
                          <w:b w:val="0"/>
                          <w:color w:val="373737" w:themeColor="text1"/>
                        </w:rPr>
                        <w:t>(τομεακής, περιβαλλοντικής ή κοινωνικοοικονομικής) ξεκινά με τη διαμόρφωση ενός συνεπούς πλαισίου αξιολόγησης. Αυτό βοηθά στην εξασφάλιση σαφήνειας ως προς τη θέση της επίπτωσης εντός της λογικής παρέμβασης και στην παρουσίαση των διαθέσιμων δεικτών και μονάδων ανάλυσης για τη μέτρησή της.</w:t>
                      </w:r>
                    </w:p>
                  </w:txbxContent>
                </v:textbox>
                <w10:wrap type="through" anchorx="margin"/>
              </v:shape>
            </w:pict>
          </mc:Fallback>
        </mc:AlternateContent>
      </w:r>
      <w:r>
        <w:t>Για την προετοιμασία του πλαισίου της εκτίμησης μπορεί να ακολουθηθούν τα εξής βήματα:</w:t>
      </w:r>
    </w:p>
    <w:p w:rsidR="00E93BEA" w:rsidRPr="001C6ACF" w:rsidRDefault="0084519A" w:rsidP="00E93BEA">
      <w:pPr>
        <w:pStyle w:val="HStandard"/>
        <w:rPr>
          <w:rFonts w:cs="Arial"/>
        </w:rPr>
      </w:pPr>
      <w:r>
        <w:rPr>
          <w:b/>
          <w:color w:val="F07E31" w:themeColor="accent1"/>
        </w:rPr>
        <w:t>Βήμα 1 -</w:t>
      </w:r>
      <w:r>
        <w:rPr>
          <w:i/>
        </w:rPr>
        <w:t xml:space="preserve"> </w:t>
      </w:r>
      <w:r>
        <w:rPr>
          <w:b/>
          <w:color w:val="F07E31" w:themeColor="accent1"/>
        </w:rPr>
        <w:t>Επεξήγηση της λογικής παρέμβασης του ΚΣΠΑ:</w:t>
      </w:r>
      <w:r>
        <w:t xml:space="preserve"> Η λογική παρέμβασης καταδεικνύει την ιεράρχηση των στόχων πολιτικής σε σχέση με τα σχετικά ερωτήματα αξιολόγησης, μέτρα και τομείς επικέντρωσης, καθώς και </w:t>
      </w:r>
      <w:r>
        <w:rPr>
          <w:b/>
        </w:rPr>
        <w:t>με τους σχετικούς δείκτες εκροών, αποτελεσμάτων και αντικτύπου του ΚΣΠΑ.</w:t>
      </w:r>
      <w:r>
        <w:t xml:space="preserve"> Οι δείκτες επανεξετάζονται στο πλαίσιο των διαθέσιμων δεδομένων.</w:t>
      </w:r>
    </w:p>
    <w:p w:rsidR="000C2540" w:rsidRPr="001C6ACF" w:rsidRDefault="0084519A" w:rsidP="000C2540">
      <w:pPr>
        <w:pStyle w:val="HStandard"/>
        <w:rPr>
          <w:rFonts w:cs="Arial"/>
          <w:bCs/>
        </w:rPr>
      </w:pPr>
      <w:r>
        <w:rPr>
          <w:b/>
          <w:color w:val="F07E31" w:themeColor="accent1"/>
        </w:rPr>
        <w:t xml:space="preserve">Βήμα 2: Επιλογή πρόσθετων δεικτών (αποτελεσμάτων και/ή αντικτύπου): </w:t>
      </w:r>
      <w:r>
        <w:t xml:space="preserve">Οι δείκτες αυτοί μπορεί να συμπληρώνουν τους υποχρεωτικούς δείκτες του ΚΣΠΑ. </w:t>
      </w:r>
      <w:r>
        <w:rPr>
          <w:b/>
        </w:rPr>
        <w:t>Η χρήση πρόσθετων δεικτών είναι προαιρετική</w:t>
      </w:r>
      <w:r>
        <w:t xml:space="preserve"> και θα πρέπει να εξετάζεται προσεκτικά, λαμβάνοντας υπόψη το κόστος, τη διαθεσιμότητα δεδομένων, την καταλληλότητα και την προστιθέμενη αξία της αξιολόγησης. Οι πρόσθετοι δείκτες μπορεί να είναι χρήσιμοι για την ποσοτικοποίηση των καθαρών αποτελεσμάτων και επιπτώσεων εάν τα δεδομένα για τους κοινούς δείκτες δεν επαρκούν ή εάν πρέπει να καλυφθούν κενά στους κοινούς δείκτες αποτελεσμάτων και αντικτύπου. Οι πρόσθετοι δείκτες μπορεί επίσης να είναι ποιοτικού χαρακτήρα (π.χ. βαθμός της αλλαγής όπως την αντιλαμβάνονται οι ενδιαφερόμενοι φορείς βάσει κλίμακας Likert) ώστε να συμπληρώνουν τα ποσοτικά στοιχεία ή να αναπληρώνουν την έλλειψη εναλλακτικών ποσοτικών στοιχειών. </w:t>
      </w:r>
    </w:p>
    <w:p w:rsidR="00560A1E" w:rsidRPr="001C6ACF" w:rsidRDefault="0084519A" w:rsidP="00E93BEA">
      <w:pPr>
        <w:pStyle w:val="HStandard"/>
        <w:rPr>
          <w:rFonts w:cs="Arial"/>
        </w:rPr>
      </w:pPr>
      <w:r>
        <w:rPr>
          <w:b/>
          <w:color w:val="F07E31" w:themeColor="accent1"/>
        </w:rPr>
        <w:t xml:space="preserve">Βήμα 3 - Ορισμός της μονάδας ανάλυσης (= «το μικρότερο τμήμα ενός οργανωμένου συστήματος») για την εκτίμηση σε μικροεπίπεδο και μακροεπίπεδο (κατά περίπτωση): </w:t>
      </w:r>
      <w:r>
        <w:t>Η μονάδα ανάλυσης σε μικροεπίπεδο μπορεί να είναι εκμεταλλεύσεις, αγροτεμάχια, κοινότητες ή περιοχές, ενώ σε μακροεπίπεδο μπορεί να είναι μια λεκάνη απορροής, μια περιφερειακή μονάδα ή ολόκληρη η περιοχή του ΠΑΑ. Εφόσον καθοριστεί η μονάδα ανάλυσης, ο δείκτης μπορεί να μετρά τις αλλαγές στη διαχείριση γης και τις περιβαλλοντικές, τομεακές ή κοινωνικοοικονομικές αλλαγές που επιφέρουν οι παρεμβάσεις του ΠΑΑ. Τα αντίστοιχα δεδομένα θα πρέπει να συλλέγονται για την ίδια κατηγορία μονάδας και να περιλαμβάνουν δικαιούχους και μη δικαιούχους του προγράμματος.</w:t>
      </w:r>
    </w:p>
    <w:p w:rsidR="00E93BEA" w:rsidRPr="001C6ACF" w:rsidRDefault="00E93BEA" w:rsidP="00E93BEA">
      <w:pPr>
        <w:pStyle w:val="HHeading4"/>
      </w:pPr>
      <w:r>
        <w:t>Καθορισμός του αντιπαραδείγματος (2</w:t>
      </w:r>
      <w:r>
        <w:rPr>
          <w:vertAlign w:val="superscript"/>
        </w:rPr>
        <w:t>ο</w:t>
      </w:r>
      <w:r>
        <w:t xml:space="preserve"> επίπεδο)</w:t>
      </w:r>
    </w:p>
    <w:p w:rsidR="00391ECD" w:rsidRPr="001C6ACF" w:rsidRDefault="000B213F" w:rsidP="002D4AB7">
      <w:pPr>
        <w:pStyle w:val="HStandard"/>
        <w:rPr>
          <w:rFonts w:cs="Arial"/>
        </w:rPr>
      </w:pPr>
      <w:r>
        <w:rPr>
          <w:b/>
          <w:i/>
          <w:noProof/>
          <w:color w:val="F07E31" w:themeColor="accent1"/>
          <w:lang w:val="en-GB" w:eastAsia="en-GB" w:bidi="ar-SA"/>
        </w:rPr>
        <mc:AlternateContent>
          <mc:Choice Requires="wps">
            <w:drawing>
              <wp:anchor distT="0" distB="0" distL="114300" distR="114300" simplePos="0" relativeHeight="251730432" behindDoc="0" locked="0" layoutInCell="1" allowOverlap="1" wp14:anchorId="6A6E36E7" wp14:editId="213D3A19">
                <wp:simplePos x="0" y="0"/>
                <wp:positionH relativeFrom="column">
                  <wp:posOffset>3238500</wp:posOffset>
                </wp:positionH>
                <wp:positionV relativeFrom="paragraph">
                  <wp:posOffset>42545</wp:posOffset>
                </wp:positionV>
                <wp:extent cx="2447925" cy="2040890"/>
                <wp:effectExtent l="0" t="0" r="28575" b="16510"/>
                <wp:wrapThrough wrapText="bothSides">
                  <wp:wrapPolygon edited="0">
                    <wp:start x="672" y="0"/>
                    <wp:lineTo x="0" y="806"/>
                    <wp:lineTo x="0" y="21573"/>
                    <wp:lineTo x="21180" y="21573"/>
                    <wp:lineTo x="21684" y="20767"/>
                    <wp:lineTo x="21684" y="0"/>
                    <wp:lineTo x="672"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2040890"/>
                        </a:xfrm>
                        <a:prstGeom prst="round2DiagRect">
                          <a:avLst>
                            <a:gd name="adj1" fmla="val 8733"/>
                            <a:gd name="adj2" fmla="val 0"/>
                          </a:avLst>
                        </a:prstGeom>
                        <a:noFill/>
                        <a:ln w="25400" cap="flat" cmpd="sng" algn="ctr">
                          <a:solidFill>
                            <a:srgbClr val="BE4A35"/>
                          </a:solidFill>
                          <a:prstDash val="solid"/>
                        </a:ln>
                        <a:effectLst/>
                      </wps:spPr>
                      <wps:txbx>
                        <w:txbxContent>
                          <w:p w:rsidR="0067073B" w:rsidRPr="00044269" w:rsidRDefault="0067073B"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2DA6738F" wp14:editId="65AC0B57">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Οι επιδράσεις του προγράμματος </w:t>
                            </w:r>
                            <w:r>
                              <w:rPr>
                                <w:b w:val="0"/>
                                <w:color w:val="373737" w:themeColor="text1"/>
                              </w:rPr>
                              <w:t>δεν είναι ποτέ δυνατόν να παρατηρηθούν απευθείας λόγω άλλων παραγόντων που υπεισέρχονται και, ως εκ τούτου, η εκτίμησή τους απαιτεί τη χρήση αντιπαραδειγματικής ανάλυσης.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6E36E7" id="_x0000_s1032" style="position:absolute;left:0;text-align:left;margin-left:255pt;margin-top:3.35pt;width:192.75pt;height:160.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2040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" adj="-11796480,,5400" path="m178231,l2447925,r,l2447925,1862659v,98434,-79797,178231,-178231,178231l,2040890r,l,178231c,79797,79797,,178231,xe" filled="f" strokecolor="#be4a35" strokeweight="2pt">
                <v:stroke joinstyle="miter"/>
                <v:formulas/>
                <v:path arrowok="t" o:connecttype="custom" o:connectlocs="178231,0;2447925,0;2447925,0;2447925,1862659;2269694,2040890;0,2040890;0,2040890;0,178231;178231,0" o:connectangles="0,0,0,0,0,0,0,0,0" textboxrect="0,0,2447925,2040890"/>
                <v:textbox>
                  <w:txbxContent>
                    <w:p w:rsidR="0067073B" w:rsidRPr="00044269" w:rsidRDefault="0067073B"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2DA6738F" wp14:editId="65AC0B57">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Οι επιδράσεις του προγράμματος </w:t>
                      </w:r>
                      <w:r>
                        <w:rPr>
                          <w:b w:val="0"/>
                          <w:color w:val="373737" w:themeColor="text1"/>
                        </w:rPr>
                        <w:t>δεν είναι ποτέ δυνατόν να παρατηρηθούν απευθείας λόγω άλλων παραγόντων που υπεισέρχονται και, ως εκ τούτου, η εκτίμησή τους απαιτεί τη χρήση αντιπαραδειγματικής ανάλυσης.</w:t>
                      </w:r>
                    </w:p>
                  </w:txbxContent>
                </v:textbox>
                <w10:wrap type="through"/>
              </v:shape>
            </w:pict>
          </mc:Fallback>
        </mc:AlternateContent>
      </w:r>
      <w:r>
        <w:t xml:space="preserve">Η επίδραση του προγράμματος είναι η διαφορά στην τιμή της συγκεκριμένης εκροής (π.χ. ακαθάριστη προστιθέμενη αξία ή παραγωγικότητα της εργασίας) για την ίδια μονάδα με το πρόγραμμα και χωρίς το πρόγραμμα. Ο ορισμός αυτός ισχύει για κάθε μονάδα ανάλυσης (π.χ. άτομο, εκμετάλλευση, επιχείρηση, έκταση γης, κοινότητα, χωριό, περιοχή, περιοχή προγραμματισμού ή χώρα) και κάθε εκροή (όπως </w:t>
      </w:r>
      <w:r>
        <w:lastRenderedPageBreak/>
        <w:t>εκφράζεται από τομεακούς, περιβαλλοντικούς ή κοινωνικοοικονομικούς δείκτες) που μπορεί βάσιμα να σχετίζεται με το πρόγραμμα.</w:t>
      </w:r>
    </w:p>
    <w:p w:rsidR="002D4AB7" w:rsidRPr="001C6ACF" w:rsidRDefault="002D4AB7" w:rsidP="002D4AB7">
      <w:pPr>
        <w:pStyle w:val="HStandard"/>
        <w:rPr>
          <w:rFonts w:cs="Arial"/>
        </w:rPr>
      </w:pPr>
      <w:r>
        <w:t>Το 2</w:t>
      </w:r>
      <w:r>
        <w:rPr>
          <w:vertAlign w:val="superscript"/>
        </w:rPr>
        <w:t>ο</w:t>
      </w:r>
      <w:r>
        <w:t xml:space="preserve"> επίπεδο βοηθά τον αξιολογητή να προσδιορίσει το/α είδος/-η αντιπαραδείγματος/-ων που μπορεί/-ούν να κατασκευαστεί/-ούν με τα διαθέσιμα δεδομένα. Λαμβάνει υπόψη αρκετούς περιοριστικούς παράγοντες (π.χ. έλλειψη διαθέσιμων δεδομένων, βραχυχρόνιες συμβάσεις αξιολόγησης, περιορισμένη ικανότητα αξιολόγησης) και βοηθά επίσης στον εντοπισμό βιώσιμων δεύτερων καλύτερων λύσεων (π.χ. για την εκτίμηση των περιβαλλοντικών επιπτώσεων). Η συστηματική διερεύνηση των πιθανών επιλογών σε σχέση με τον σχεδιασμό αντιπαραδείγματος είναι σημαντική, ακόμη και όταν δεν υπάρχουν δεδομένα. Παρέχει πολύτιμες πληροφορίες ως προς τις προϋποθέσεις που θα πρέπει να πληρούνται για την εφαρμογή ενός αξιόπιστου αντιπαραδείγματος και παρουσιάζει εναλλακτικές επιλογές (π.χ. απλοϊκές συγκρίσεις ομάδωνπου δεν έχουν λάβει στήριξη, ποιοτικές αξιολογήσεις). </w:t>
      </w:r>
    </w:p>
    <w:p w:rsidR="00A41C7D" w:rsidRPr="001C6ACF" w:rsidRDefault="00E93BEA" w:rsidP="000B6372">
      <w:pPr>
        <w:pStyle w:val="HStandard"/>
      </w:pPr>
      <w:r>
        <w:t xml:space="preserve">Στο λογικό μοντέλο, το επίπεδο του αντιπαραδείγματος ισχύει για αξιολογήσεις τόσο σε μικροεπίπεδο όσο και σε μακροεπίπεδο, και συνδέεται με την επιλογή της προσέγγισης και των μεθόδων αξιολόγησης. </w:t>
      </w:r>
      <w:r>
        <w:rPr>
          <w:b/>
        </w:rPr>
        <w:t>Είναι στη διακριτική ευχέρεια του αξιολογητή του προγράμματος να αποφασίσει σε ποιο επίπεδο (μικροεπίπεδο/μακροεπίπεδο) θα διενεργηθεί η ανάλυση των επιδράσεων του προγράμματος.</w:t>
      </w:r>
      <w:r>
        <w:t xml:space="preserve"> Η απόφαση εξαρτάται από τα διαθέσιμα δεδομένα και προηγείται της επιλογής μονάδας ανάλυσης για την οποία συλλέγονται δεδομένα (οικονομικά, περιβαλλοντικά ή κοινωνικοοικονομικά). </w:t>
      </w:r>
    </w:p>
    <w:p w:rsidR="00A41C7D" w:rsidRPr="00571D58" w:rsidRDefault="00C87859">
      <w:pPr>
        <w:spacing w:before="0" w:after="0" w:line="240" w:lineRule="auto"/>
        <w:jc w:val="left"/>
        <w:rPr>
          <w:color w:val="373737" w:themeColor="text1"/>
          <w:sz w:val="20"/>
          <w:szCs w:val="20"/>
        </w:rPr>
      </w:pPr>
      <w:r>
        <w:rPr>
          <w:noProof/>
          <w:lang w:val="en-GB" w:eastAsia="en-GB" w:bidi="ar-SA"/>
        </w:rPr>
        <mc:AlternateContent>
          <mc:Choice Requires="wps">
            <w:drawing>
              <wp:anchor distT="0" distB="0" distL="114300" distR="114300" simplePos="0" relativeHeight="251732480" behindDoc="0" locked="0" layoutInCell="1" allowOverlap="1" wp14:anchorId="44EAA66D" wp14:editId="515A8A05">
                <wp:simplePos x="0" y="0"/>
                <wp:positionH relativeFrom="margin">
                  <wp:align>right</wp:align>
                </wp:positionH>
                <wp:positionV relativeFrom="paragraph">
                  <wp:posOffset>86360</wp:posOffset>
                </wp:positionV>
                <wp:extent cx="5731510" cy="1632857"/>
                <wp:effectExtent l="0" t="0" r="21590" b="24765"/>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632857"/>
                        </a:xfrm>
                        <a:prstGeom prst="round2DiagRect">
                          <a:avLst>
                            <a:gd name="adj1" fmla="val 8733"/>
                            <a:gd name="adj2" fmla="val 0"/>
                          </a:avLst>
                        </a:prstGeom>
                        <a:noFill/>
                        <a:ln w="25400" cap="flat" cmpd="sng" algn="ctr">
                          <a:solidFill>
                            <a:srgbClr val="BE4A35"/>
                          </a:solidFill>
                          <a:prstDash val="solid"/>
                        </a:ln>
                        <a:effectLst/>
                      </wps:spPr>
                      <wps:txbx>
                        <w:txbxContent>
                          <w:p w:rsidR="0067073B" w:rsidRPr="009B4B57" w:rsidRDefault="0067073B"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43BF302" wp14:editId="5AE64481">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Σε κράτη μέλη με περισσότερα από ένα ΠΑΑ </w:t>
                            </w:r>
                            <w:r>
                              <w:rPr>
                                <w:b w:val="0"/>
                                <w:color w:val="373737" w:themeColor="text1"/>
                              </w:rPr>
                              <w:t>υπάρχει το ενδεχόμενο οι ενωσιακές πηγές δεδομένων (π.χ. Στατιστική Υπηρεσία της Ευρωπαϊκής Ένωσης) να μην παρέχουν τιμές για τους κοινούς δείκτες αντικτύπου της ΚΓΠ στο επίπεδο κάθε περιφερειακού ΠΑΑ. Σε αυτή την περίπτωση η περιφερειακή τιμή του δείκτη (NUTS 2) μπορεί να υπολογιστεί βάσει εθνικών δεδομένων ή, αν είναι δυνατόν, αθροίζοντας τα δεδομένα βάσει των μονάδων που έχουν συλλεχθεί σε κάθε αντίστοιχη περιοχή (Δ.01, Δ.02, Δ.03).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EAA66D" id="_x0000_s1033" style="position:absolute;margin-left:400.1pt;margin-top:6.8pt;width:451.3pt;height:128.5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632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" adj="-11796480,,5400" path="m142597,l5731510,r,l5731510,1490260v,78754,-63843,142597,-142597,142597l,1632857r,l,142597c,63843,63843,,142597,xe" filled="f" strokecolor="#be4a35" strokeweight="2pt">
                <v:stroke joinstyle="miter"/>
                <v:formulas/>
                <v:path arrowok="t" o:connecttype="custom" o:connectlocs="142597,0;5731510,0;5731510,0;5731510,1490260;5588913,1632857;0,1632857;0,1632857;0,142597;142597,0" o:connectangles="0,0,0,0,0,0,0,0,0" textboxrect="0,0,5731510,1632857"/>
                <v:textbox>
                  <w:txbxContent>
                    <w:p w:rsidR="0067073B" w:rsidRPr="009B4B57" w:rsidRDefault="0067073B"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43BF302" wp14:editId="5AE64481">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Σε κράτη μέλη με περισσότερα από ένα ΠΑΑ </w:t>
                      </w:r>
                      <w:r>
                        <w:rPr>
                          <w:b w:val="0"/>
                          <w:color w:val="373737" w:themeColor="text1"/>
                        </w:rPr>
                        <w:t>υπάρχει το ενδεχόμενο οι ενωσιακές πηγές δεδομένων (π.χ. Στατιστική Υπηρεσία της Ευρωπαϊκής Ένωσης) να μην παρέχουν τιμές για τους κοινούς δείκτες αντικτύπου της ΚΓΠ στο επίπεδο κάθε περιφερειακού ΠΑΑ. Σε αυτή την περίπτωση η περιφερειακή τιμή του δείκτη (NUTS 2) μπορεί να υπολογιστεί βάσει εθνικών δεδομένων ή, αν είναι δυνατόν, αθροίζοντας τα δεδομένα βάσει των μονάδων που έχουν συλλεχθεί σε κάθε αντίστοιχη περιοχή (Δ.01, Δ.02, Δ.03).</w:t>
                      </w:r>
                    </w:p>
                  </w:txbxContent>
                </v:textbox>
                <w10:wrap anchorx="margin"/>
              </v:shape>
            </w:pict>
          </mc:Fallback>
        </mc:AlternateContent>
      </w:r>
      <w:r>
        <w:br w:type="page"/>
      </w:r>
    </w:p>
    <w:p w:rsidR="00A41C7D" w:rsidRPr="00571D58" w:rsidRDefault="000B213F" w:rsidP="000B6372">
      <w:pPr>
        <w:pStyle w:val="HStandard"/>
        <w:rPr>
          <w:rFonts w:cs="Arial"/>
        </w:rPr>
      </w:pPr>
      <w:r>
        <w:rPr>
          <w:b/>
          <w:i/>
          <w:noProof/>
          <w:color w:val="F07E31" w:themeColor="accent1"/>
          <w:lang w:val="en-GB" w:eastAsia="en-GB" w:bidi="ar-SA"/>
        </w:rPr>
        <w:lastRenderedPageBreak/>
        <mc:AlternateContent>
          <mc:Choice Requires="wps">
            <w:drawing>
              <wp:anchor distT="0" distB="0" distL="114300" distR="114300" simplePos="0" relativeHeight="251733504" behindDoc="0" locked="0" layoutInCell="1" allowOverlap="1" wp14:anchorId="7BD82ABA" wp14:editId="5E8C60EF">
                <wp:simplePos x="0" y="0"/>
                <wp:positionH relativeFrom="column">
                  <wp:posOffset>-76200</wp:posOffset>
                </wp:positionH>
                <wp:positionV relativeFrom="paragraph">
                  <wp:posOffset>-43543</wp:posOffset>
                </wp:positionV>
                <wp:extent cx="6229350" cy="8258175"/>
                <wp:effectExtent l="0" t="0" r="19050" b="28575"/>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8258175"/>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5143F" id="Rectangle: Rounded Corners 946" o:spid="_x0000_s1026" style="position:absolute;margin-left:-6pt;margin-top:-3.45pt;width:490.5pt;height:650.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" filled="f" strokecolor="#be4a35 [3205]" strokeweight="2pt">
                <v:path arrowok="t"/>
              </v:roundrect>
            </w:pict>
          </mc:Fallback>
        </mc:AlternateContent>
      </w:r>
      <w:r>
        <w:rPr>
          <w:b/>
          <w:i/>
          <w:noProof/>
          <w:color w:val="F07E31" w:themeColor="accent1"/>
          <w:lang w:val="en-GB" w:eastAsia="en-GB" w:bidi="ar-SA"/>
        </w:rPr>
        <mc:AlternateContent>
          <mc:Choice Requires="wps">
            <w:drawing>
              <wp:inline distT="0" distB="0" distL="0" distR="0" wp14:anchorId="347F332D" wp14:editId="0EDB1CDE">
                <wp:extent cx="6093460" cy="2609850"/>
                <wp:effectExtent l="0" t="0" r="254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609850"/>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7073B" w:rsidRDefault="0067073B"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4EDEEC38" wp14:editId="5918F4A3">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ΣΥΝΟΠΤΙΚΟΣ ΟΔΗΓΟΣ #1: Πώς μπορεί να εφαρμοστεί το λογικό μοντέλο προκειμένου να προσδιοριστούν διάφορες πιθανές επιλογές για τη διαμόρφωση του σχεδιασμού του αντιπαραδείγματος και την επιλογή μεθόδου αξιολόγησης;</w:t>
                            </w:r>
                          </w:p>
                          <w:p w:rsidR="0067073B" w:rsidRPr="005D575A" w:rsidRDefault="0067073B" w:rsidP="005166F3">
                            <w:pPr>
                              <w:pStyle w:val="HStandard"/>
                              <w:spacing w:after="0"/>
                              <w:rPr>
                                <w:rFonts w:cs="Arial"/>
                                <w:sz w:val="18"/>
                              </w:rPr>
                            </w:pPr>
                            <w:r>
                              <w:rPr>
                                <w:sz w:val="18"/>
                              </w:rPr>
                              <w:t xml:space="preserve">Η εφαρμογή των βημάτων που περιλαμβάνει το δενδρόγραμμα αποφάσεων στο επίπεδο του αντιπαραδείγματος παρέχει καθοδήγηση για την απάντηση των ακόλουθων κύριων ερωτημάτων όσον αφορά τον σχεδιασμό του αντιπαραδείγματος: </w:t>
                            </w:r>
                          </w:p>
                          <w:p w:rsidR="0067073B" w:rsidRPr="005D575A" w:rsidRDefault="0067073B" w:rsidP="005166F3">
                            <w:pPr>
                              <w:pStyle w:val="Hlistbullet"/>
                              <w:rPr>
                                <w:sz w:val="18"/>
                              </w:rPr>
                            </w:pPr>
                            <w:r>
                              <w:rPr>
                                <w:sz w:val="18"/>
                              </w:rPr>
                              <w:t>Ποιες είναι οι διαθέσιμες επιλογές ως προς την εκπόνηση ενός αντιπαραδείγματος;</w:t>
                            </w:r>
                          </w:p>
                          <w:p w:rsidR="0067073B" w:rsidRPr="005D575A" w:rsidRDefault="0067073B" w:rsidP="005166F3">
                            <w:pPr>
                              <w:pStyle w:val="Hlistbullet"/>
                              <w:rPr>
                                <w:sz w:val="18"/>
                              </w:rPr>
                            </w:pPr>
                            <w:r>
                              <w:rPr>
                                <w:sz w:val="18"/>
                              </w:rPr>
                              <w:t>Η εφαρμογή και υιοθέτηση των μέτρων είναι τέτοια που να καθιστά δυνατή τη σύσταση ομάδας ελέγχου;</w:t>
                            </w:r>
                          </w:p>
                          <w:p w:rsidR="0067073B" w:rsidRPr="005D575A" w:rsidRDefault="0067073B" w:rsidP="005166F3">
                            <w:pPr>
                              <w:pStyle w:val="Hlistbullet"/>
                              <w:rPr>
                                <w:sz w:val="18"/>
                              </w:rPr>
                            </w:pPr>
                            <w:r>
                              <w:rPr>
                                <w:sz w:val="18"/>
                              </w:rPr>
                              <w:t>Σε ποιον βαθμό έχω στη διάθεσή μου δεδομένα για άλλους παράγοντες που επηρεάζουν τους επιλεγμένους δείκτες;</w:t>
                            </w:r>
                          </w:p>
                          <w:p w:rsidR="0067073B" w:rsidRPr="005D575A" w:rsidRDefault="0067073B" w:rsidP="005166F3">
                            <w:pPr>
                              <w:pStyle w:val="Hlistbullet"/>
                              <w:rPr>
                                <w:sz w:val="18"/>
                              </w:rPr>
                            </w:pPr>
                            <w:r>
                              <w:rPr>
                                <w:sz w:val="18"/>
                              </w:rPr>
                              <w:t>Έχω στη διάθεσή μου δεδομένα για τους επιλεγμένους δείκτες σε διαφορετικές χρονικές στιγμές (πριν και μετά) για δικαιούχους και μη δικαιούχους;</w:t>
                            </w:r>
                          </w:p>
                          <w:p w:rsidR="0067073B" w:rsidRPr="00A41C7D" w:rsidRDefault="0067073B" w:rsidP="005166F3">
                            <w:pPr>
                              <w:pStyle w:val="Hlistbullet"/>
                              <w:rPr>
                                <w:sz w:val="18"/>
                              </w:rPr>
                            </w:pPr>
                            <w:r>
                              <w:rPr>
                                <w:sz w:val="18"/>
                              </w:rPr>
                              <w:t>Είμαι σε θέση να χρησιμοποιήσω αξιόπιστες μεθόδους που βασίζονται σε στατιστικά στοιχεία για τον ποσοτικό προσδιορισμό των καθαρών επιδράσεων των υπό αξιολόγηση μέτρων με οικονομικά αποδοτικό τρόπο;</w:t>
                            </w:r>
                          </w:p>
                          <w:p w:rsidR="0067073B" w:rsidRPr="00C545E7" w:rsidRDefault="0067073B"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347F332D" id="Rectangle: Diagonal Corners Rounded 90" o:spid="_x0000_s1034" style="width:479.8pt;height:205.5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" adj="-11796480,,5400" path="m150406,l6093460,r,2459444c6093460,2542511,6026121,2609850,5943054,2609850l,2609850,,150406c,67339,67339,,150406,xe" filled="f" stroked="f" strokeweight="2pt">
                <v:stroke joinstyle="miter"/>
                <v:formulas/>
                <v:path arrowok="t" o:connecttype="custom" o:connectlocs="150406,0;6093460,0;6093460,0;6093460,2459444;5943054,2609850;0,2609850;0,2609850;0,150406;150406,0" o:connectangles="0,0,0,0,0,0,0,0,0" textboxrect="0,0,6093460,2609850"/>
                <v:textbox>
                  <w:txbxContent>
                    <w:p w:rsidR="0067073B" w:rsidRDefault="0067073B"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4EDEEC38" wp14:editId="5918F4A3">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ΣΥΝΟΠΤΙΚΟΣ ΟΔΗΓΟΣ #1: Πώς μπορεί να εφαρμοστεί το λογικό μοντέλο προκειμένου να προσδιοριστούν διάφορες πιθανές επιλογές για τη διαμόρφωση του σχεδιασμού του αντιπαραδείγματος και την επιλογή μεθόδου αξιολόγησης;</w:t>
                      </w:r>
                    </w:p>
                    <w:p w:rsidR="0067073B" w:rsidRPr="005D575A" w:rsidRDefault="0067073B" w:rsidP="005166F3">
                      <w:pPr>
                        <w:pStyle w:val="HStandard"/>
                        <w:spacing w:after="0"/>
                        <w:rPr>
                          <w:rFonts w:cs="Arial"/>
                          <w:sz w:val="18"/>
                        </w:rPr>
                      </w:pPr>
                      <w:r>
                        <w:rPr>
                          <w:sz w:val="18"/>
                        </w:rPr>
                        <w:t xml:space="preserve">Η εφαρμογή των βημάτων που περιλαμβάνει το δενδρόγραμμα αποφάσεων στο επίπεδο του αντιπαραδείγματος παρέχει καθοδήγηση για την απάντηση των ακόλουθων κύριων ερωτημάτων όσον αφορά τον σχεδιασμό του αντιπαραδείγματος: </w:t>
                      </w:r>
                    </w:p>
                    <w:p w:rsidR="0067073B" w:rsidRPr="005D575A" w:rsidRDefault="0067073B" w:rsidP="005166F3">
                      <w:pPr>
                        <w:pStyle w:val="Hlistbullet"/>
                        <w:rPr>
                          <w:sz w:val="18"/>
                        </w:rPr>
                      </w:pPr>
                      <w:r>
                        <w:rPr>
                          <w:sz w:val="18"/>
                        </w:rPr>
                        <w:t>Ποιες είναι οι διαθέσιμες επιλογές ως προς την εκπόνηση ενός αντιπαραδείγματος;</w:t>
                      </w:r>
                    </w:p>
                    <w:p w:rsidR="0067073B" w:rsidRPr="005D575A" w:rsidRDefault="0067073B" w:rsidP="005166F3">
                      <w:pPr>
                        <w:pStyle w:val="Hlistbullet"/>
                        <w:rPr>
                          <w:sz w:val="18"/>
                        </w:rPr>
                      </w:pPr>
                      <w:r>
                        <w:rPr>
                          <w:sz w:val="18"/>
                        </w:rPr>
                        <w:t>Η εφαρμογή και υιοθέτηση των μέτρων είναι τέτοια που να καθιστά δυνατή τη σύσταση ομάδας ελέγχου;</w:t>
                      </w:r>
                    </w:p>
                    <w:p w:rsidR="0067073B" w:rsidRPr="005D575A" w:rsidRDefault="0067073B" w:rsidP="005166F3">
                      <w:pPr>
                        <w:pStyle w:val="Hlistbullet"/>
                        <w:rPr>
                          <w:sz w:val="18"/>
                        </w:rPr>
                      </w:pPr>
                      <w:r>
                        <w:rPr>
                          <w:sz w:val="18"/>
                        </w:rPr>
                        <w:t>Σε ποιον βαθμό έχω στη διάθεσή μου δεδομένα για άλλους παράγοντες που επηρεάζουν τους επιλεγμένους δείκτες;</w:t>
                      </w:r>
                    </w:p>
                    <w:p w:rsidR="0067073B" w:rsidRPr="005D575A" w:rsidRDefault="0067073B" w:rsidP="005166F3">
                      <w:pPr>
                        <w:pStyle w:val="Hlistbullet"/>
                        <w:rPr>
                          <w:sz w:val="18"/>
                        </w:rPr>
                      </w:pPr>
                      <w:r>
                        <w:rPr>
                          <w:sz w:val="18"/>
                        </w:rPr>
                        <w:t>Έχω στη διάθεσή μου δεδομένα για τους επιλεγμένους δείκτες σε διαφορετικές χρονικές στιγμές (πριν και μετά) για δικαιούχους και μη δικαιούχους;</w:t>
                      </w:r>
                    </w:p>
                    <w:p w:rsidR="0067073B" w:rsidRPr="00A41C7D" w:rsidRDefault="0067073B" w:rsidP="005166F3">
                      <w:pPr>
                        <w:pStyle w:val="Hlistbullet"/>
                        <w:rPr>
                          <w:sz w:val="18"/>
                        </w:rPr>
                      </w:pPr>
                      <w:r>
                        <w:rPr>
                          <w:sz w:val="18"/>
                        </w:rPr>
                        <w:t>Είμαι σε θέση να χρησιμοποιήσω αξιόπιστες μεθόδους που βασίζονται σε στατιστικά στοιχεία για τον ποσοτικό προσδιορισμό των καθαρών επιδράσεων των υπό αξιολόγηση μέτρων με οικονομικά αποδοτικό τρόπο;</w:t>
                      </w:r>
                    </w:p>
                    <w:p w:rsidR="0067073B" w:rsidRPr="00C545E7" w:rsidRDefault="0067073B"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rsidR="00EB120C" w:rsidRPr="005934AE" w:rsidRDefault="00EC01C3" w:rsidP="00EB120C">
      <w:pPr>
        <w:pStyle w:val="HHeadingfigures"/>
        <w:tabs>
          <w:tab w:val="clear" w:pos="2666"/>
        </w:tabs>
      </w:pPr>
      <w:r>
        <w:rPr>
          <w:noProof/>
          <w:lang w:val="en-GB" w:eastAsia="en-GB" w:bidi="ar-SA"/>
        </w:rPr>
        <mc:AlternateContent>
          <mc:Choice Requires="wps">
            <w:drawing>
              <wp:anchor distT="0" distB="0" distL="114300" distR="114300" simplePos="0" relativeHeight="251735552" behindDoc="0" locked="0" layoutInCell="1" allowOverlap="1" wp14:anchorId="50914E8E" wp14:editId="2B2621BA">
                <wp:simplePos x="0" y="0"/>
                <wp:positionH relativeFrom="margin">
                  <wp:posOffset>6837527</wp:posOffset>
                </wp:positionH>
                <wp:positionV relativeFrom="paragraph">
                  <wp:posOffset>220923</wp:posOffset>
                </wp:positionV>
                <wp:extent cx="149595" cy="752475"/>
                <wp:effectExtent l="0" t="0" r="22225" b="28575"/>
                <wp:wrapNone/>
                <wp:docPr id="47" name="TextBox 100">
                  <a:extLst xmlns:a="http://schemas.openxmlformats.org/drawingml/2006/main">
                    <a:ext uri="{FF2B5EF4-FFF2-40B4-BE49-F238E27FC236}">
                      <a16:creationId xmlns:a16="http://schemas.microsoft.com/office/drawing/2014/main" id="{89C1602A-F83C-47BF-B06E-B30749FB2A31}"/>
                    </a:ext>
                  </a:extLst>
                </wp:docPr>
                <wp:cNvGraphicFramePr/>
                <a:graphic xmlns:a="http://schemas.openxmlformats.org/drawingml/2006/main">
                  <a:graphicData uri="http://schemas.microsoft.com/office/word/2010/wordprocessingShape">
                    <wps:wsp>
                      <wps:cNvSpPr txBox="1"/>
                      <wps:spPr>
                        <a:xfrm>
                          <a:off x="0" y="0"/>
                          <a:ext cx="149595" cy="752475"/>
                        </a:xfrm>
                        <a:prstGeom prst="rect">
                          <a:avLst/>
                        </a:prstGeom>
                        <a:noFill/>
                        <a:ln w="19050" cap="flat" cmpd="sng" algn="ctr">
                          <a:solidFill>
                            <a:srgbClr val="6F6F6F"/>
                          </a:solidFill>
                          <a:prstDash val="solid"/>
                          <a:miter lim="800000"/>
                        </a:ln>
                        <a:effectLst/>
                      </wps:spPr>
                      <wps:txbx>
                        <w:txbxContent>
                          <w:p w:rsidR="0067073B" w:rsidRPr="00EC01C3" w:rsidRDefault="0067073B" w:rsidP="005166F3">
                            <w:pPr>
                              <w:pStyle w:val="NormalWeb"/>
                              <w:spacing w:before="0" w:beforeAutospacing="0" w:after="0" w:afterAutospacing="0"/>
                              <w:rPr>
                                <w:sz w:val="14"/>
                                <w:szCs w:val="1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0914E8E" id="TextBox 100" o:spid="_x0000_s1035" type="#_x0000_t202" style="position:absolute;left:0;text-align:left;margin-left:538.4pt;margin-top:17.4pt;width:11.8pt;height:59.2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" filled="f" strokecolor="#6f6f6f" strokeweight="1.5pt">
                <v:textbox>
                  <w:txbxContent>
                    <w:p w:rsidR="0067073B" w:rsidRPr="00EC01C3" w:rsidRDefault="0067073B" w:rsidP="005166F3">
                      <w:pPr>
                        <w:pStyle w:val="NormalWeb"/>
                        <w:spacing w:before="0" w:beforeAutospacing="0" w:after="0" w:afterAutospacing="0"/>
                        <w:rPr>
                          <w:sz w:val="14"/>
                          <w:szCs w:val="14"/>
                        </w:rPr>
                      </w:pPr>
                    </w:p>
                  </w:txbxContent>
                </v:textbox>
                <w10:wrap anchorx="margin"/>
              </v:shape>
            </w:pict>
          </mc:Fallback>
        </mc:AlternateContent>
      </w:r>
      <w:r>
        <w:t>Λογικό μοντέλο για τον προσδιορισμό πιθανών επιλογών για τη διαμόρφωση του αντιπαραδείγματος</w:t>
      </w:r>
    </w:p>
    <w:p w:rsidR="00727DDF" w:rsidRPr="00571D58" w:rsidRDefault="00452825" w:rsidP="00727DDF">
      <w:pPr>
        <w:pStyle w:val="HStandard"/>
      </w:pPr>
      <w:r w:rsidRPr="00452825">
        <w:rPr>
          <w:noProof/>
        </w:rPr>
        <w:drawing>
          <wp:inline distT="0" distB="0" distL="0" distR="0" wp14:anchorId="7005AD46" wp14:editId="24D55416">
            <wp:extent cx="5731510" cy="3219116"/>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219116"/>
                    </a:xfrm>
                    <a:prstGeom prst="rect">
                      <a:avLst/>
                    </a:prstGeom>
                    <a:noFill/>
                    <a:ln>
                      <a:noFill/>
                    </a:ln>
                  </pic:spPr>
                </pic:pic>
              </a:graphicData>
            </a:graphic>
          </wp:inline>
        </w:drawing>
      </w:r>
    </w:p>
    <w:p w:rsidR="00EB120C" w:rsidRPr="00AC6A80" w:rsidRDefault="00EB120C" w:rsidP="00B42D5D">
      <w:pPr>
        <w:pStyle w:val="HSource"/>
      </w:pPr>
      <w:r>
        <w:t>Πηγή: προσαρμογή από το ENVIEVAL (2015)</w:t>
      </w:r>
    </w:p>
    <w:p w:rsidR="00EB120C" w:rsidRPr="007645B4" w:rsidRDefault="00EB120C" w:rsidP="00EB120C">
      <w:pPr>
        <w:pStyle w:val="Hlistbullet"/>
        <w:numPr>
          <w:ilvl w:val="0"/>
          <w:numId w:val="0"/>
        </w:numPr>
        <w:spacing w:before="0" w:after="0" w:line="280" w:lineRule="atLeast"/>
        <w:rPr>
          <w:rFonts w:cs="Arial"/>
          <w:sz w:val="18"/>
        </w:rPr>
      </w:pPr>
      <w:r>
        <w:rPr>
          <w:sz w:val="18"/>
        </w:rPr>
        <w:t xml:space="preserve">Το λογικό μοντέλο ξεκινά με την περιγραφή του βαθμού υιοθέτησης του ΠΑΑ και της κατάστασης από την άποψη των διαθέσιμων δεικτών αντικτύπου (και αποτελεσμάτων) του ΚΣΠΑ, αλλά και των πρόσθετων δεικτών, εάν έχουν επιλεγεί (συμπληρωμένα πλαίσια  σκούρου γκρίζου χρώματος). Μια σειρά ερωτημάτων αποφάσεων (πλαίσια κόκκινου χρώματος) οδηγούν στις πιθανές επιλογές για την εκπόνηση του αντιπαραδείγματος (συμπληρωμένα πλαίσια κόκκινου χρώματος). </w:t>
      </w:r>
    </w:p>
    <w:p w:rsidR="00EB120C" w:rsidRPr="00571D58" w:rsidRDefault="00EB120C" w:rsidP="00B42D5D">
      <w:pPr>
        <w:pStyle w:val="Hlistbullet"/>
        <w:numPr>
          <w:ilvl w:val="0"/>
          <w:numId w:val="0"/>
        </w:numPr>
        <w:spacing w:before="0" w:after="0" w:line="280" w:lineRule="atLeast"/>
        <w:jc w:val="center"/>
        <w:rPr>
          <w:i/>
          <w:color w:val="F07E31" w:themeColor="accent1"/>
          <w:sz w:val="18"/>
        </w:rPr>
      </w:pPr>
      <w:r>
        <w:rPr>
          <w:i/>
          <w:color w:val="F07E31" w:themeColor="accent1"/>
          <w:sz w:val="18"/>
        </w:rPr>
        <w:t>Μάθετε περισσότερα για τη χρήση των λογικών μοντέλων από το</w:t>
      </w:r>
      <w:hyperlink r:id="rId40">
        <w:r>
          <w:rPr>
            <w:rStyle w:val="Hyperlink"/>
            <w:i/>
            <w:sz w:val="18"/>
          </w:rPr>
          <w:t>ερευνητικό έργο ENVIEVAL του 7ου ΠΠ</w:t>
        </w:r>
      </w:hyperlink>
      <w:r>
        <w:rPr>
          <w:rStyle w:val="Hyperlink"/>
          <w:i/>
          <w:sz w:val="18"/>
        </w:rPr>
        <w:t xml:space="preserve"> </w:t>
      </w:r>
      <w:r>
        <w:rPr>
          <w:rStyle w:val="Hyperlink"/>
          <w:i/>
          <w:sz w:val="18"/>
          <w:u w:val="none"/>
        </w:rPr>
        <w:t>και το σχετικό εγχειρίδιο</w:t>
      </w:r>
      <w:r>
        <w:rPr>
          <w:i/>
          <w:color w:val="F07E31" w:themeColor="accent1"/>
          <w:sz w:val="18"/>
        </w:rPr>
        <w:t xml:space="preserve"> </w:t>
      </w:r>
      <w:hyperlink r:id="rId41">
        <w:r>
          <w:rPr>
            <w:rStyle w:val="Hyperlink"/>
            <w:i/>
            <w:sz w:val="18"/>
          </w:rPr>
          <w:t>«Methodological Handbook for the evaluation of environmental impacts of RDPs» (Μεθοδολογικό εγχειρίδιο για την αξιολόγηση των περιβαλλοντικών επιπτώσεων των ΠΑΑ)</w:t>
        </w:r>
      </w:hyperlink>
    </w:p>
    <w:p w:rsidR="00EB120C" w:rsidRPr="00336531" w:rsidRDefault="00EB120C" w:rsidP="00EB120C">
      <w:pPr>
        <w:pStyle w:val="H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D4194" w:rsidRPr="001C6ACF" w:rsidTr="00F74B7E">
        <w:tc>
          <w:tcPr>
            <w:tcW w:w="9026" w:type="dxa"/>
            <w:shd w:val="clear" w:color="auto" w:fill="auto"/>
          </w:tcPr>
          <w:p w:rsidR="006D4194" w:rsidRPr="00571D58" w:rsidRDefault="006D4194" w:rsidP="00010B08">
            <w:pPr>
              <w:pStyle w:val="Hlistbullet"/>
              <w:numPr>
                <w:ilvl w:val="0"/>
                <w:numId w:val="0"/>
              </w:numPr>
              <w:spacing w:before="0" w:after="0" w:line="280" w:lineRule="atLeast"/>
              <w:rPr>
                <w:sz w:val="18"/>
                <w:szCs w:val="18"/>
              </w:rPr>
            </w:pPr>
            <w:r>
              <w:lastRenderedPageBreak/>
              <w:br w:type="column"/>
            </w:r>
            <w:r>
              <w:rPr>
                <w:b/>
                <w:i/>
                <w:noProof/>
                <w:color w:val="F07E31" w:themeColor="accent1"/>
                <w:lang w:val="en-GB" w:eastAsia="en-GB" w:bidi="ar-SA"/>
              </w:rPr>
              <mc:AlternateContent>
                <mc:Choice Requires="wps">
                  <w:drawing>
                    <wp:inline distT="0" distB="0" distL="0" distR="0" wp14:anchorId="5F24A140" wp14:editId="1B4B0073">
                      <wp:extent cx="5567045" cy="9601200"/>
                      <wp:effectExtent l="0" t="0" r="14605" b="19050"/>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9601200"/>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67073B" w:rsidRPr="00391ECD" w:rsidRDefault="0067073B" w:rsidP="005C7C25">
                                  <w:pPr>
                                    <w:pStyle w:val="HHeading4"/>
                                  </w:pPr>
                                  <w:r>
                                    <w:rPr>
                                      <w:noProof/>
                                      <w:color w:val="373737"/>
                                      <w:lang w:val="en-GB" w:eastAsia="en-GB" w:bidi="ar-SA"/>
                                    </w:rPr>
                                    <w:drawing>
                                      <wp:inline distT="0" distB="0" distL="0" distR="0" wp14:anchorId="2D6DF851" wp14:editId="6EDC12DD">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ΣΥΝΟΠΤΙΚΟΣ ΟΔΗΓΟΣ #2: Πώς μπορεί να συσταθεί μια ομάδα ελέγχου στο μικροεπίπεδο; (σε σχέση με το 2</w:t>
                                  </w:r>
                                  <w:r>
                                    <w:rPr>
                                      <w:vertAlign w:val="superscript"/>
                                    </w:rPr>
                                    <w:t>ο</w:t>
                                  </w:r>
                                  <w:r>
                                    <w:t xml:space="preserve"> επίπεδο)</w:t>
                                  </w:r>
                                </w:p>
                                <w:p w:rsidR="0067073B" w:rsidRPr="007008C0" w:rsidRDefault="0067073B" w:rsidP="005C7C25">
                                  <w:pPr>
                                    <w:pStyle w:val="HStandard"/>
                                    <w:spacing w:after="0"/>
                                    <w:rPr>
                                      <w:rFonts w:cs="Arial"/>
                                      <w:color w:val="373737"/>
                                      <w:sz w:val="18"/>
                                      <w:szCs w:val="18"/>
                                    </w:rPr>
                                  </w:pPr>
                                  <w:r>
                                    <w:rPr>
                                      <w:color w:val="373737"/>
                                      <w:sz w:val="18"/>
                                    </w:rPr>
                                    <w:t>Η αντιπαραδειγματική ανάλυση στο μικροεπίπεδο θα πρέπει να βασίζεται σε συγκρίσεις μεταξύ ομάδων ελέγχου δικαιούχων και μη δικαιούχων του προγράμματος, οι οποίες θα είναι όσο παρόμοιες γίνεται (τόσο ως προς τις παρατηρήσιμες όσο και ως προς τις μη παρατηρήσιμες διαστάσεις τους). Εάν οι δύο ομάδες είναι επαρκώς στατιστικά παρόμοιες (έχουν παρόμοια χαρακτηριστικά), τότε μπορεί να θεωρηθεί ότι οποιαδήποτε διαφορά στις εκροέςοφείλεται στο πρόγραμμα. H αντιπαραδειγματική ανάλυση καθιστά δυνατή τη διαπίστωση αιτιώδους συνάφειας — αποδίδοντας στο πρόγραμμα τις παρατηρηθείσες αλλαγές στις εκροές  και, παράλληλα, αίροντας τους παράγοντες σύγχυσης.</w:t>
                                  </w:r>
                                </w:p>
                                <w:p w:rsidR="0067073B" w:rsidRPr="007008C0" w:rsidRDefault="0067073B" w:rsidP="005C7C25">
                                  <w:pPr>
                                    <w:pStyle w:val="HStandard"/>
                                    <w:spacing w:after="0"/>
                                    <w:rPr>
                                      <w:rFonts w:cs="Arial"/>
                                      <w:color w:val="373737"/>
                                      <w:sz w:val="18"/>
                                      <w:szCs w:val="18"/>
                                    </w:rPr>
                                  </w:pPr>
                                </w:p>
                                <w:p w:rsidR="0067073B" w:rsidRPr="007008C0" w:rsidRDefault="0067073B" w:rsidP="005C7C25">
                                  <w:pPr>
                                    <w:pStyle w:val="HStandard"/>
                                    <w:spacing w:after="0"/>
                                    <w:rPr>
                                      <w:rFonts w:cs="Arial"/>
                                      <w:color w:val="373737"/>
                                      <w:sz w:val="18"/>
                                      <w:szCs w:val="18"/>
                                    </w:rPr>
                                  </w:pPr>
                                  <w:r>
                                    <w:rPr>
                                      <w:color w:val="373737"/>
                                      <w:sz w:val="18"/>
                                    </w:rPr>
                                    <w:t xml:space="preserve">Η δημιουργία κατάλληλης ομάδας ελέγχου μπορεί να παρουσιάζει δυσκολίες λόγω του υψηλού βαθμού αυτοεπιλογής στο πλαίσιο του προγράμματος και των αυστηρών προϋποθέσεων επιλεξιμότητας του προγράμματος. Οι δικαιούχοι του προγράμματος που θα συμμετέχουν στην εκτίμηση, οι οποίοι έλαβαν στήριξη στο πλαίσιο του προγράμματος μπορεί να διαφέρουν σε μεγάλο βαθμό από τους μη δικαιούχους, τόσο από την άποψη των δομικών χαρακτηριστικών τους όσο και από την άποψη των οικονομικών, περιβαλλοντικών και κοινωνικοοικονομικών επιδόσεών τους. </w:t>
                                  </w:r>
                                </w:p>
                                <w:p w:rsidR="0067073B" w:rsidRPr="007008C0" w:rsidRDefault="0067073B" w:rsidP="005C7C25">
                                  <w:pPr>
                                    <w:pStyle w:val="HStandard"/>
                                    <w:spacing w:after="0"/>
                                    <w:rPr>
                                      <w:rFonts w:cs="Arial"/>
                                      <w:color w:val="373737"/>
                                      <w:sz w:val="18"/>
                                      <w:szCs w:val="18"/>
                                    </w:rPr>
                                  </w:pPr>
                                </w:p>
                                <w:p w:rsidR="0067073B" w:rsidRPr="007008C0" w:rsidRDefault="0067073B" w:rsidP="005C7C25">
                                  <w:pPr>
                                    <w:pStyle w:val="HStandard"/>
                                    <w:spacing w:after="0"/>
                                    <w:rPr>
                                      <w:rFonts w:cs="Arial"/>
                                      <w:color w:val="373737"/>
                                      <w:sz w:val="18"/>
                                      <w:szCs w:val="18"/>
                                    </w:rPr>
                                  </w:pPr>
                                  <w:r>
                                    <w:rPr>
                                      <w:color w:val="373737"/>
                                      <w:sz w:val="18"/>
                                    </w:rPr>
                                    <w:t>Η διαδικασία σύστασης κατάλληλης ομάδας ελέγχου είναι η εξής:</w:t>
                                  </w:r>
                                </w:p>
                                <w:p w:rsidR="0067073B" w:rsidRPr="007008C0" w:rsidRDefault="0067073B" w:rsidP="005C7C25">
                                  <w:pPr>
                                    <w:pStyle w:val="Hlistbullet"/>
                                    <w:spacing w:before="0" w:after="0" w:line="280" w:lineRule="atLeast"/>
                                    <w:ind w:left="604" w:hanging="604"/>
                                    <w:rPr>
                                      <w:color w:val="373737"/>
                                      <w:sz w:val="18"/>
                                      <w:szCs w:val="18"/>
                                    </w:rPr>
                                  </w:pPr>
                                  <w:r>
                                    <w:rPr>
                                      <w:b/>
                                      <w:color w:val="F07E31" w:themeColor="accent1"/>
                                      <w:sz w:val="18"/>
                                    </w:rPr>
                                    <w:t>Βήμα 1:</w:t>
                                  </w:r>
                                  <w:r>
                                    <w:rPr>
                                      <w:color w:val="373737"/>
                                      <w:sz w:val="18"/>
                                    </w:rPr>
                                    <w:t xml:space="preserve"> Εύρεση δείγματος δικαιούχων του ΠΑΑ (π.χ. εκμεταλλεύσεις/γεωργοί/μη γεωργικές επιχειρήσεις/κοινότητες/περιοχές/περιφέρειες) σε διαθέσιμη βάση δεδομένων (π.χ. ΔΓΛΠ) και χρήση του συστήματος παρακολούθησης του ΠΑΑ ως σημείο αναφοράς (π.χ. βάση δεδομένων του οργανισμού πληρωμών). </w:t>
                                  </w:r>
                                </w:p>
                                <w:p w:rsidR="0067073B" w:rsidRPr="00AF5661" w:rsidRDefault="0067073B" w:rsidP="005C7C25">
                                  <w:pPr>
                                    <w:pStyle w:val="Hlistbullet"/>
                                    <w:spacing w:before="0" w:after="0" w:line="280" w:lineRule="atLeast"/>
                                    <w:ind w:left="604" w:hanging="604"/>
                                    <w:rPr>
                                      <w:color w:val="373737"/>
                                      <w:sz w:val="18"/>
                                      <w:szCs w:val="18"/>
                                    </w:rPr>
                                  </w:pPr>
                                  <w:r>
                                    <w:rPr>
                                      <w:b/>
                                      <w:color w:val="F07E31" w:themeColor="accent1"/>
                                      <w:sz w:val="18"/>
                                    </w:rPr>
                                    <w:t>Βήμα 2:</w:t>
                                  </w:r>
                                  <w:r>
                                    <w:rPr>
                                      <w:color w:val="373737"/>
                                      <w:sz w:val="18"/>
                                    </w:rPr>
                                    <w:t xml:space="preserve"> Επιλογή, από το σύνολο των σχετικών μονάδων που περιλαμβάνονται στη βάση δεδομένων, των μονάδων οι οποίες κατά την ίδια περίοδο δεν έλαβαν στήριξη από μέτρα του ΠΑΑ («μη δικαιούχοι»).</w:t>
                                  </w:r>
                                </w:p>
                                <w:p w:rsidR="0067073B" w:rsidRPr="00AF5661" w:rsidRDefault="0067073B" w:rsidP="005C7C25">
                                  <w:pPr>
                                    <w:pStyle w:val="Hlistbullet"/>
                                    <w:spacing w:before="0" w:after="0" w:line="280" w:lineRule="atLeast"/>
                                    <w:ind w:left="604" w:hanging="604"/>
                                    <w:rPr>
                                      <w:color w:val="373737"/>
                                      <w:sz w:val="18"/>
                                      <w:szCs w:val="18"/>
                                    </w:rPr>
                                  </w:pPr>
                                  <w:r>
                                    <w:rPr>
                                      <w:b/>
                                      <w:color w:val="F07E31" w:themeColor="accent1"/>
                                      <w:sz w:val="18"/>
                                    </w:rPr>
                                    <w:t>Βήμα 3:</w:t>
                                  </w:r>
                                  <w:r>
                                    <w:rPr>
                                      <w:color w:val="373737"/>
                                      <w:sz w:val="18"/>
                                    </w:rPr>
                                    <w:t xml:space="preserve"> Προεπιλογή, από την ομάδα των μη δικαιούχων, των μονάδων που ΔΕΝ πληρούν τις προϋποθέσεις επιλεξιμότητας του προγράμματος (λόγω υψηλού εισοδήματος, μεγέθους, τοποθεσίας κ.λπ.) και αποκλεισμός τους από την ανάλυση. </w:t>
                                  </w:r>
                                </w:p>
                                <w:p w:rsidR="0067073B" w:rsidRPr="007008C0" w:rsidRDefault="0067073B" w:rsidP="005C7C25">
                                  <w:pPr>
                                    <w:pStyle w:val="Hlistbullet"/>
                                    <w:spacing w:before="0" w:after="0" w:line="280" w:lineRule="atLeast"/>
                                    <w:ind w:left="604" w:hanging="604"/>
                                    <w:rPr>
                                      <w:color w:val="373737"/>
                                      <w:sz w:val="18"/>
                                      <w:szCs w:val="18"/>
                                    </w:rPr>
                                  </w:pPr>
                                  <w:r>
                                    <w:rPr>
                                      <w:b/>
                                      <w:color w:val="F07E31" w:themeColor="accent1"/>
                                      <w:sz w:val="18"/>
                                    </w:rPr>
                                    <w:t>Βήμα 4:</w:t>
                                  </w:r>
                                  <w:r>
                                    <w:rPr>
                                      <w:color w:val="373737"/>
                                      <w:sz w:val="18"/>
                                    </w:rPr>
                                    <w:t xml:space="preserve"> Συλλογή δεδομένων για όλες τις μονάδες και στις δύο ομάδες (δικαιούχων και μη δικαιούχων) σχετικά με τα κυριότερα χαρακτηριστικά τους (μεταβλητές) για το έτος 2013 (δηλ. προ του προγράμματος). Επισημαίνεται ότι οι μεταβλητές που περιλαμβάνονται στην ανάλυση θα πρέπει να επηρεάζουν τόσο την επιλογή μιας μονάδας όσο και τους δείκτες που υπολογίζονται στο μικροεπίπεδο (κοινούς και πρόσθετους δείκτες αντικτύπου). Μία από τις προτεινόμενες μεταβλητές (που θα χρησιμοποιηθεί ως σημαντική μεταβλητή ελέγχου) μπορεί να είναι η εξής: i) το ύψος της στήριξης που έλαβε η δεδομένη μονάδα («δικαιούχος» και «μη δικαιούχος») κατά τη διάρκεια της προηγούμενης περιόδου προγραμματισμού 2007-2013, και/ή ii) το ύψος της στήριξης που έλαβε η δεδομένη μονάδα («δικαιούχος» και «μη δικαιούχος») από άλλες δημόσιες πηγές (π.χ. διαρθρωτικά ταμεία της ΕΕ, πυλώνας Ι) κατά την υπό ανάλυση περίοδο.</w:t>
                                  </w:r>
                                </w:p>
                                <w:p w:rsidR="0067073B" w:rsidRPr="00AF5661" w:rsidRDefault="0067073B" w:rsidP="005C7C25">
                                  <w:pPr>
                                    <w:pStyle w:val="Hlistbullet"/>
                                    <w:spacing w:before="0" w:after="0" w:line="280" w:lineRule="atLeast"/>
                                    <w:ind w:left="604" w:hanging="604"/>
                                    <w:rPr>
                                      <w:color w:val="373737"/>
                                      <w:sz w:val="18"/>
                                      <w:szCs w:val="18"/>
                                    </w:rPr>
                                  </w:pPr>
                                  <w:r>
                                    <w:rPr>
                                      <w:b/>
                                      <w:color w:val="F07E31" w:themeColor="accent1"/>
                                      <w:sz w:val="18"/>
                                    </w:rPr>
                                    <w:t>Βήμα 5:</w:t>
                                  </w:r>
                                  <w:r>
                                    <w:rPr>
                                      <w:color w:val="373737"/>
                                      <w:sz w:val="18"/>
                                    </w:rPr>
                                    <w:t xml:space="preserve"> Εφαρμογή κατάλληλων τεχνικών (π.χ. αντιστοίχιση) που καθιστά δυνατό τον προσδιορισμό, από το δείγμα των «μη δικαιούχων» (βλ.: βήματα 2-3) κατάλληλης «ομάδας ελέγχου» (κάποιοι από τους «μη δικαιούχους» και/ή τους «δικαιούχους» θα αποκλειστούν από την ανάλυση λόγω έλλειψης κατάλληλων μονάδων ελέγχου).</w:t>
                                  </w:r>
                                </w:p>
                                <w:p w:rsidR="0067073B" w:rsidRPr="0025164E" w:rsidRDefault="0067073B" w:rsidP="005C7C25">
                                  <w:pPr>
                                    <w:pStyle w:val="Hlistbullet"/>
                                    <w:spacing w:before="0" w:after="0" w:line="280" w:lineRule="atLeast"/>
                                    <w:ind w:left="604" w:hanging="604"/>
                                  </w:pPr>
                                  <w:r>
                                    <w:rPr>
                                      <w:b/>
                                      <w:color w:val="F07E31" w:themeColor="accent1"/>
                                      <w:sz w:val="18"/>
                                    </w:rPr>
                                    <w:t>Βήμα 6:</w:t>
                                  </w:r>
                                  <w:r>
                                    <w:rPr>
                                      <w:color w:val="373737"/>
                                      <w:sz w:val="18"/>
                                    </w:rPr>
                                    <w:t xml:space="preserve"> Στατιστικός έλεγχος της «ομοιότητας» των δύο ομάδων πριν από τη λήψη στήριξης στο πλαίσιο του προγράμματος (π.χ. μέσω της διενέργειας στατιστικών δοκιμών σε συμμεταβλητές που περιλαμβάνονται στην ανάλυση). Η μέση τιμή μιας μονάδας στην ομάδα των «δικαιούχων» δεν θα πρέπει να διαφέρει σημαντικά από την αντίστοιχη μονάδα της «ομάδας ελέγχου».</w:t>
                                  </w:r>
                                </w:p>
                                <w:p w:rsidR="0067073B" w:rsidRPr="0025164E" w:rsidRDefault="0067073B" w:rsidP="00735F08">
                                  <w:pPr>
                                    <w:pStyle w:val="Hlistbullet"/>
                                    <w:numPr>
                                      <w:ilvl w:val="0"/>
                                      <w:numId w:val="0"/>
                                    </w:numPr>
                                    <w:jc w:val="center"/>
                                    <w:rPr>
                                      <w:i/>
                                      <w:color w:val="F07E31" w:themeColor="accent1"/>
                                      <w:sz w:val="18"/>
                                      <w:szCs w:val="18"/>
                                    </w:rPr>
                                  </w:pPr>
                                  <w:r>
                                    <w:rPr>
                                      <w:i/>
                                      <w:color w:val="F07E31" w:themeColor="accent1"/>
                                      <w:sz w:val="18"/>
                                    </w:rPr>
                                    <w:t>Μάθετε περισσότερα σχετικά με τον σχεδιασμό των ομάδων ελέγχου, την αντιστοίχιση κ.λπ. στο έγγραφο</w:t>
                                  </w:r>
                                  <w:r>
                                    <w:rPr>
                                      <w:i/>
                                      <w:color w:val="F07E31" w:themeColor="accent1"/>
                                      <w:sz w:val="18"/>
                                      <w:szCs w:val="18"/>
                                    </w:rPr>
                                    <w:br/>
                                  </w:r>
                                  <w:r>
                                    <w:rPr>
                                      <w:i/>
                                      <w:color w:val="F07E31" w:themeColor="accent1"/>
                                      <w:sz w:val="18"/>
                                    </w:rPr>
                                    <w:t xml:space="preserve"> </w:t>
                                  </w:r>
                                  <w:hyperlink r:id="rId42" w:history="1">
                                    <w:r>
                                      <w:rPr>
                                        <w:rStyle w:val="Hyperlink"/>
                                        <w:i/>
                                        <w:color w:val="F07E31" w:themeColor="accent1"/>
                                        <w:sz w:val="18"/>
                                      </w:rPr>
                                      <w:t>Guidelines for ex post evaluation of 2007-2013 RDPs (Κατευθυντήριες γραμμές για την εκ των υστέρων αξιολόγηση των ΠΑΑ 2007-2013)</w:t>
                                    </w:r>
                                  </w:hyperlink>
                                  <w:r>
                                    <w:rPr>
                                      <w:rStyle w:val="Hyperlink"/>
                                      <w:i/>
                                      <w:color w:val="F07E31" w:themeColor="accent1"/>
                                      <w:sz w:val="18"/>
                                    </w:rPr>
                                    <w:t>, κεφάλαιο 4.</w:t>
                                  </w:r>
                                </w:p>
                              </w:txbxContent>
                            </wps:txbx>
                            <wps:bodyPr rot="0" vert="horz" wrap="square" lIns="91440" tIns="45720" rIns="91440" bIns="45720" anchor="ctr" anchorCtr="0" upright="1">
                              <a:noAutofit/>
                            </wps:bodyPr>
                          </wps:wsp>
                        </a:graphicData>
                      </a:graphic>
                    </wp:inline>
                  </w:drawing>
                </mc:Choice>
                <mc:Fallback>
                  <w:pict>
                    <v:shape w14:anchorId="5F24A140" id="AutoShape 67" o:spid="_x0000_s1036" style="width:438.35pt;height:756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9285056;5290419,9601200;0,9601200;0,9601200;0,316144;276626,0" o:connectangles="0,0,0,0,0,0,0,0,0" textboxrect="0,0,5567045,8401050"/>
                      <v:textbox>
                        <w:txbxContent>
                          <w:p w:rsidR="0067073B" w:rsidRPr="00391ECD" w:rsidRDefault="0067073B" w:rsidP="005C7C25">
                            <w:pPr>
                              <w:pStyle w:val="HHeading4"/>
                            </w:pPr>
                            <w:r>
                              <w:rPr>
                                <w:noProof/>
                                <w:color w:val="373737"/>
                                <w:lang w:val="en-GB" w:eastAsia="en-GB" w:bidi="ar-SA"/>
                              </w:rPr>
                              <w:drawing>
                                <wp:inline distT="0" distB="0" distL="0" distR="0" wp14:anchorId="2D6DF851" wp14:editId="6EDC12DD">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ΣΥΝΟΠΤΙΚΟΣ ΟΔΗΓΟΣ #2: Πώς μπορεί να συσταθεί μια ομάδα ελέγχου στο μικροεπίπεδο; (σε σχέση με το 2</w:t>
                            </w:r>
                            <w:r>
                              <w:rPr>
                                <w:vertAlign w:val="superscript"/>
                              </w:rPr>
                              <w:t>ο</w:t>
                            </w:r>
                            <w:r>
                              <w:t xml:space="preserve"> επίπεδο)</w:t>
                            </w:r>
                          </w:p>
                          <w:p w:rsidR="0067073B" w:rsidRPr="007008C0" w:rsidRDefault="0067073B" w:rsidP="005C7C25">
                            <w:pPr>
                              <w:pStyle w:val="HStandard"/>
                              <w:spacing w:after="0"/>
                              <w:rPr>
                                <w:rFonts w:cs="Arial"/>
                                <w:color w:val="373737"/>
                                <w:sz w:val="18"/>
                                <w:szCs w:val="18"/>
                              </w:rPr>
                            </w:pPr>
                            <w:r>
                              <w:rPr>
                                <w:color w:val="373737"/>
                                <w:sz w:val="18"/>
                              </w:rPr>
                              <w:t>Η αντιπαραδειγματική ανάλυση στο μικροεπίπεδο θα πρέπει να βασίζεται σε συγκρίσεις μεταξύ ομάδων ελέγχου δικαιούχων και μη δικαιούχων του προγράμματος, οι οποίες θα είναι όσο παρόμοιες γίνεται (τόσο ως προς τις παρατηρήσιμες όσο και ως προς τις μη παρατηρήσιμες διαστάσεις τους). Εάν οι δύο ομάδες είναι επαρκώς στατιστικά παρόμοιες (έχουν παρόμοια χαρακτηριστικά), τότε μπορεί να θεωρηθεί ότι οποιαδήποτε διαφορά στις εκροέςοφείλεται στο πρόγραμμα. H αντιπαραδειγματική ανάλυση καθιστά δυνατή τη διαπίστωση αιτιώδους συνάφειας — αποδίδοντας στο πρόγραμμα τις παρατηρηθείσες αλλαγές στις εκροές  και, παράλληλα, αίροντας τους παράγοντες σύγχυσης.</w:t>
                            </w:r>
                          </w:p>
                          <w:p w:rsidR="0067073B" w:rsidRPr="007008C0" w:rsidRDefault="0067073B" w:rsidP="005C7C25">
                            <w:pPr>
                              <w:pStyle w:val="HStandard"/>
                              <w:spacing w:after="0"/>
                              <w:rPr>
                                <w:rFonts w:cs="Arial"/>
                                <w:color w:val="373737"/>
                                <w:sz w:val="18"/>
                                <w:szCs w:val="18"/>
                              </w:rPr>
                            </w:pPr>
                          </w:p>
                          <w:p w:rsidR="0067073B" w:rsidRPr="007008C0" w:rsidRDefault="0067073B" w:rsidP="005C7C25">
                            <w:pPr>
                              <w:pStyle w:val="HStandard"/>
                              <w:spacing w:after="0"/>
                              <w:rPr>
                                <w:rFonts w:cs="Arial"/>
                                <w:color w:val="373737"/>
                                <w:sz w:val="18"/>
                                <w:szCs w:val="18"/>
                              </w:rPr>
                            </w:pPr>
                            <w:r>
                              <w:rPr>
                                <w:color w:val="373737"/>
                                <w:sz w:val="18"/>
                              </w:rPr>
                              <w:t xml:space="preserve">Η δημιουργία κατάλληλης ομάδας ελέγχου μπορεί να παρουσιάζει δυσκολίες λόγω του υψηλού βαθμού αυτοεπιλογής στο πλαίσιο του προγράμματος και των αυστηρών προϋποθέσεων επιλεξιμότητας του προγράμματος. Οι δικαιούχοι του προγράμματος που θα συμμετέχουν στην εκτίμηση, οι οποίοι έλαβαν στήριξη στο πλαίσιο του προγράμματος μπορεί να διαφέρουν σε μεγάλο βαθμό από τους μη δικαιούχους, τόσο από την άποψη των δομικών χαρακτηριστικών τους όσο και από την άποψη των οικονομικών, περιβαλλοντικών και κοινωνικοοικονομικών επιδόσεών τους. </w:t>
                            </w:r>
                          </w:p>
                          <w:p w:rsidR="0067073B" w:rsidRPr="007008C0" w:rsidRDefault="0067073B" w:rsidP="005C7C25">
                            <w:pPr>
                              <w:pStyle w:val="HStandard"/>
                              <w:spacing w:after="0"/>
                              <w:rPr>
                                <w:rFonts w:cs="Arial"/>
                                <w:color w:val="373737"/>
                                <w:sz w:val="18"/>
                                <w:szCs w:val="18"/>
                              </w:rPr>
                            </w:pPr>
                          </w:p>
                          <w:p w:rsidR="0067073B" w:rsidRPr="007008C0" w:rsidRDefault="0067073B" w:rsidP="005C7C25">
                            <w:pPr>
                              <w:pStyle w:val="HStandard"/>
                              <w:spacing w:after="0"/>
                              <w:rPr>
                                <w:rFonts w:cs="Arial"/>
                                <w:color w:val="373737"/>
                                <w:sz w:val="18"/>
                                <w:szCs w:val="18"/>
                              </w:rPr>
                            </w:pPr>
                            <w:r>
                              <w:rPr>
                                <w:color w:val="373737"/>
                                <w:sz w:val="18"/>
                              </w:rPr>
                              <w:t>Η διαδικασία σύστασης κατάλληλης ομάδας ελέγχου είναι η εξής:</w:t>
                            </w:r>
                          </w:p>
                          <w:p w:rsidR="0067073B" w:rsidRPr="007008C0" w:rsidRDefault="0067073B" w:rsidP="005C7C25">
                            <w:pPr>
                              <w:pStyle w:val="Hlistbullet"/>
                              <w:spacing w:before="0" w:after="0" w:line="280" w:lineRule="atLeast"/>
                              <w:ind w:left="604" w:hanging="604"/>
                              <w:rPr>
                                <w:color w:val="373737"/>
                                <w:sz w:val="18"/>
                                <w:szCs w:val="18"/>
                              </w:rPr>
                            </w:pPr>
                            <w:r>
                              <w:rPr>
                                <w:b/>
                                <w:color w:val="F07E31" w:themeColor="accent1"/>
                                <w:sz w:val="18"/>
                              </w:rPr>
                              <w:t>Βήμα 1:</w:t>
                            </w:r>
                            <w:r>
                              <w:rPr>
                                <w:color w:val="373737"/>
                                <w:sz w:val="18"/>
                              </w:rPr>
                              <w:t xml:space="preserve"> Εύρεση δείγματος δικαιούχων του ΠΑΑ (π.χ. εκμεταλλεύσεις/γεωργοί/μη γεωργικές επιχειρήσεις/κοινότητες/περιοχές/περιφέρειες) σε διαθέσιμη βάση δεδομένων (π.χ. ΔΓΛΠ) και χρήση του συστήματος παρακολούθησης του ΠΑΑ ως σημείο αναφοράς (π.χ. βάση δεδομένων του οργανισμού πληρωμών). </w:t>
                            </w:r>
                          </w:p>
                          <w:p w:rsidR="0067073B" w:rsidRPr="00AF5661" w:rsidRDefault="0067073B" w:rsidP="005C7C25">
                            <w:pPr>
                              <w:pStyle w:val="Hlistbullet"/>
                              <w:spacing w:before="0" w:after="0" w:line="280" w:lineRule="atLeast"/>
                              <w:ind w:left="604" w:hanging="604"/>
                              <w:rPr>
                                <w:color w:val="373737"/>
                                <w:sz w:val="18"/>
                                <w:szCs w:val="18"/>
                              </w:rPr>
                            </w:pPr>
                            <w:r>
                              <w:rPr>
                                <w:b/>
                                <w:color w:val="F07E31" w:themeColor="accent1"/>
                                <w:sz w:val="18"/>
                              </w:rPr>
                              <w:t>Βήμα 2:</w:t>
                            </w:r>
                            <w:r>
                              <w:rPr>
                                <w:color w:val="373737"/>
                                <w:sz w:val="18"/>
                              </w:rPr>
                              <w:t xml:space="preserve"> Επιλογή, από το σύνολο των σχετικών μονάδων που περιλαμβάνονται στη βάση δεδομένων, των μονάδων οι οποίες κατά την ίδια περίοδο δεν έλαβαν στήριξη από μέτρα του ΠΑΑ («μη δικαιούχοι»).</w:t>
                            </w:r>
                          </w:p>
                          <w:p w:rsidR="0067073B" w:rsidRPr="00AF5661" w:rsidRDefault="0067073B" w:rsidP="005C7C25">
                            <w:pPr>
                              <w:pStyle w:val="Hlistbullet"/>
                              <w:spacing w:before="0" w:after="0" w:line="280" w:lineRule="atLeast"/>
                              <w:ind w:left="604" w:hanging="604"/>
                              <w:rPr>
                                <w:color w:val="373737"/>
                                <w:sz w:val="18"/>
                                <w:szCs w:val="18"/>
                              </w:rPr>
                            </w:pPr>
                            <w:r>
                              <w:rPr>
                                <w:b/>
                                <w:color w:val="F07E31" w:themeColor="accent1"/>
                                <w:sz w:val="18"/>
                              </w:rPr>
                              <w:t>Βήμα 3:</w:t>
                            </w:r>
                            <w:r>
                              <w:rPr>
                                <w:color w:val="373737"/>
                                <w:sz w:val="18"/>
                              </w:rPr>
                              <w:t xml:space="preserve"> Προεπιλογή, από την ομάδα των μη δικαιούχων, των μονάδων που ΔΕΝ πληρούν τις προϋποθέσεις επιλεξιμότητας του προγράμματος (λόγω υψηλού εισοδήματος, μεγέθους, τοποθεσίας κ.λπ.) και αποκλεισμός τους από την ανάλυση. </w:t>
                            </w:r>
                          </w:p>
                          <w:p w:rsidR="0067073B" w:rsidRPr="007008C0" w:rsidRDefault="0067073B" w:rsidP="005C7C25">
                            <w:pPr>
                              <w:pStyle w:val="Hlistbullet"/>
                              <w:spacing w:before="0" w:after="0" w:line="280" w:lineRule="atLeast"/>
                              <w:ind w:left="604" w:hanging="604"/>
                              <w:rPr>
                                <w:color w:val="373737"/>
                                <w:sz w:val="18"/>
                                <w:szCs w:val="18"/>
                              </w:rPr>
                            </w:pPr>
                            <w:r>
                              <w:rPr>
                                <w:b/>
                                <w:color w:val="F07E31" w:themeColor="accent1"/>
                                <w:sz w:val="18"/>
                              </w:rPr>
                              <w:t>Βήμα 4:</w:t>
                            </w:r>
                            <w:r>
                              <w:rPr>
                                <w:color w:val="373737"/>
                                <w:sz w:val="18"/>
                              </w:rPr>
                              <w:t xml:space="preserve"> Συλλογή δεδομένων για όλες τις μονάδες και στις δύο ομάδες (δικαιούχων και μη δικαιούχων) σχετικά με τα κυριότερα χαρακτηριστικά τους (μεταβλητές) για το έτος 2013 (δηλ. προ του προγράμματος). Επισημαίνεται ότι οι μεταβλητές που περιλαμβάνονται στην ανάλυση θα πρέπει να επηρεάζουν τόσο την επιλογή μιας μονάδας όσο και τους δείκτες που υπολογίζονται στο μικροεπίπεδο (κοινούς και πρόσθετους δείκτες αντικτύπου). Μία από τις προτεινόμενες μεταβλητές (που θα χρησιμοποιηθεί ως σημαντική μεταβλητή ελέγχου) μπορεί να είναι η εξής: i) το ύψος της στήριξης που έλαβε η δεδομένη μονάδα («δικαιούχος» και «μη δικαιούχος») κατά τη διάρκεια της προηγούμενης περιόδου προγραμματισμού 2007-2013, και/ή ii) το ύψος της στήριξης που έλαβε η δεδομένη μονάδα («δικαιούχος» και «μη δικαιούχος») από άλλες δημόσιες πηγές (π.χ. διαρθρωτικά ταμεία της ΕΕ, πυλώνας Ι) κατά την υπό ανάλυση περίοδο.</w:t>
                            </w:r>
                          </w:p>
                          <w:p w:rsidR="0067073B" w:rsidRPr="00AF5661" w:rsidRDefault="0067073B" w:rsidP="005C7C25">
                            <w:pPr>
                              <w:pStyle w:val="Hlistbullet"/>
                              <w:spacing w:before="0" w:after="0" w:line="280" w:lineRule="atLeast"/>
                              <w:ind w:left="604" w:hanging="604"/>
                              <w:rPr>
                                <w:color w:val="373737"/>
                                <w:sz w:val="18"/>
                                <w:szCs w:val="18"/>
                              </w:rPr>
                            </w:pPr>
                            <w:r>
                              <w:rPr>
                                <w:b/>
                                <w:color w:val="F07E31" w:themeColor="accent1"/>
                                <w:sz w:val="18"/>
                              </w:rPr>
                              <w:t>Βήμα 5:</w:t>
                            </w:r>
                            <w:r>
                              <w:rPr>
                                <w:color w:val="373737"/>
                                <w:sz w:val="18"/>
                              </w:rPr>
                              <w:t xml:space="preserve"> Εφαρμογή κατάλληλων τεχνικών (π.χ. αντιστοίχιση) που καθιστά δυνατό τον προσδιορισμό, από το δείγμα των «μη δικαιούχων» (βλ.: βήματα 2-3) κατάλληλης «ομάδας ελέγχου» (κάποιοι από τους «μη δικαιούχους» και/ή τους «δικαιούχους» θα αποκλειστούν από την ανάλυση λόγω έλλειψης κατάλληλων μονάδων ελέγχου).</w:t>
                            </w:r>
                          </w:p>
                          <w:p w:rsidR="0067073B" w:rsidRPr="0025164E" w:rsidRDefault="0067073B" w:rsidP="005C7C25">
                            <w:pPr>
                              <w:pStyle w:val="Hlistbullet"/>
                              <w:spacing w:before="0" w:after="0" w:line="280" w:lineRule="atLeast"/>
                              <w:ind w:left="604" w:hanging="604"/>
                            </w:pPr>
                            <w:r>
                              <w:rPr>
                                <w:b/>
                                <w:color w:val="F07E31" w:themeColor="accent1"/>
                                <w:sz w:val="18"/>
                              </w:rPr>
                              <w:t>Βήμα 6:</w:t>
                            </w:r>
                            <w:r>
                              <w:rPr>
                                <w:color w:val="373737"/>
                                <w:sz w:val="18"/>
                              </w:rPr>
                              <w:t xml:space="preserve"> Στατιστικός έλεγχος της «ομοιότητας» των δύο ομάδων πριν από τη λήψη στήριξης στο πλαίσιο του προγράμματος (π.χ. μέσω της διενέργειας στατιστικών δοκιμών σε συμμεταβλητές που περιλαμβάνονται στην ανάλυση). Η μέση τιμή μιας μονάδας στην ομάδα των «δικαιούχων» δεν θα πρέπει να διαφέρει σημαντικά από την αντίστοιχη μονάδα της «ομάδας ελέγχου».</w:t>
                            </w:r>
                          </w:p>
                          <w:p w:rsidR="0067073B" w:rsidRPr="0025164E" w:rsidRDefault="0067073B" w:rsidP="00735F08">
                            <w:pPr>
                              <w:pStyle w:val="Hlistbullet"/>
                              <w:numPr>
                                <w:ilvl w:val="0"/>
                                <w:numId w:val="0"/>
                              </w:numPr>
                              <w:jc w:val="center"/>
                              <w:rPr>
                                <w:i/>
                                <w:color w:val="F07E31" w:themeColor="accent1"/>
                                <w:sz w:val="18"/>
                                <w:szCs w:val="18"/>
                              </w:rPr>
                            </w:pPr>
                            <w:r>
                              <w:rPr>
                                <w:i/>
                                <w:color w:val="F07E31" w:themeColor="accent1"/>
                                <w:sz w:val="18"/>
                              </w:rPr>
                              <w:t>Μάθετε περισσότερα σχετικά με τον σχεδιασμό των ομάδων ελέγχου, την αντιστοίχιση κ.λπ. στο έγγραφο</w:t>
                            </w:r>
                            <w:r>
                              <w:rPr>
                                <w:i/>
                                <w:color w:val="F07E31" w:themeColor="accent1"/>
                                <w:sz w:val="18"/>
                                <w:szCs w:val="18"/>
                              </w:rPr>
                              <w:br/>
                            </w:r>
                            <w:r>
                              <w:rPr>
                                <w:i/>
                                <w:color w:val="F07E31" w:themeColor="accent1"/>
                                <w:sz w:val="18"/>
                              </w:rPr>
                              <w:t xml:space="preserve"> </w:t>
                            </w:r>
                            <w:hyperlink r:id="rId43" w:history="1">
                              <w:r>
                                <w:rPr>
                                  <w:rStyle w:val="Hyperlink"/>
                                  <w:i/>
                                  <w:color w:val="F07E31" w:themeColor="accent1"/>
                                  <w:sz w:val="18"/>
                                </w:rPr>
                                <w:t>Guidelines for ex post evaluation of 2007-2013 RDPs (Κατευθυντήριες γραμμές για την εκ των υστέρων αξιολόγηση των ΠΑΑ 2007-2013)</w:t>
                              </w:r>
                            </w:hyperlink>
                            <w:r>
                              <w:rPr>
                                <w:rStyle w:val="Hyperlink"/>
                                <w:i/>
                                <w:color w:val="F07E31" w:themeColor="accent1"/>
                                <w:sz w:val="18"/>
                              </w:rPr>
                              <w:t>, κεφάλαιο 4.</w:t>
                            </w:r>
                          </w:p>
                        </w:txbxContent>
                      </v:textbox>
                      <w10:anchorlock/>
                    </v:shape>
                  </w:pict>
                </mc:Fallback>
              </mc:AlternateContent>
            </w:r>
          </w:p>
        </w:tc>
      </w:tr>
    </w:tbl>
    <w:p w:rsidR="00560A1E" w:rsidRPr="00571D58" w:rsidRDefault="000B213F" w:rsidP="00560A1E">
      <w:pPr>
        <w:pStyle w:val="HStandard"/>
      </w:pPr>
      <w:r>
        <w:rPr>
          <w:b/>
          <w:i/>
          <w:noProof/>
          <w:color w:val="F07E31" w:themeColor="accent1"/>
          <w:lang w:val="en-GB" w:eastAsia="en-GB" w:bidi="ar-SA"/>
        </w:rPr>
        <w:lastRenderedPageBreak/>
        <mc:AlternateContent>
          <mc:Choice Requires="wps">
            <w:drawing>
              <wp:inline distT="0" distB="0" distL="0" distR="0" wp14:anchorId="275CFA58" wp14:editId="34FCCF25">
                <wp:extent cx="5759355" cy="9737678"/>
                <wp:effectExtent l="0" t="0" r="13335" b="16510"/>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355" cy="9737678"/>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67073B" w:rsidRPr="00DD36A9" w:rsidRDefault="0067073B" w:rsidP="00452825">
                            <w:pPr>
                              <w:pStyle w:val="HHeading4"/>
                              <w:spacing w:before="120" w:line="200" w:lineRule="atLeast"/>
                            </w:pPr>
                            <w:r>
                              <w:rPr>
                                <w:noProof/>
                                <w:lang w:val="en-GB" w:eastAsia="en-GB" w:bidi="ar-SA"/>
                              </w:rPr>
                              <w:drawing>
                                <wp:inline distT="0" distB="0" distL="0" distR="0" wp14:anchorId="0BCCA784" wp14:editId="454336EA">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ΣΥΝΟΠΤΙΚΟΣ ΟΔΗΓΟΣ #3: Αντισταθμίσεις κατά την επιλογή των μεθόδων αξιολόγησης</w:t>
                            </w:r>
                          </w:p>
                          <w:p w:rsidR="0067073B" w:rsidRDefault="0067073B" w:rsidP="006D4194">
                            <w:pPr>
                              <w:pStyle w:val="HStandard"/>
                              <w:spacing w:after="0"/>
                              <w:rPr>
                                <w:rFonts w:cs="Arial"/>
                                <w:color w:val="373737"/>
                                <w:sz w:val="18"/>
                                <w:szCs w:val="18"/>
                              </w:rPr>
                            </w:pPr>
                            <w:r>
                              <w:rPr>
                                <w:color w:val="373737"/>
                                <w:sz w:val="18"/>
                              </w:rPr>
                              <w:t>Στις αξιολογήσεις θεωρείται συχνά ότι τα μη διαθέσιμα δεδομένα αποτελούν τον κυριότερο περιορισμό στην επιλογή των μεθόδων αξιολόγησης. Ωστόσο, η εφαρμογή «απλοϊκών» τεχνικών αξιολόγησης (χωρίς αντιπαράδειγμα) σε αυτές τις περιπτώσεις, επιφέρει σημαντικές αδυναμίες στη μεθοδολογική αυστηρότητα, αξιοπιστία, ακρίβεια και εγκυρότητα. Ως εκ τούτου, οι ενδιαφερόμενοι φορείς καλούνται να εξετάσουν τις αντισταθμίσεις μεταξύ των απαιτήσεων για δεδομένα και των δυνητικών συστηματικών σφαλμάτων στα αποτελέσματα που δημιουργούνται από μεθόδους που παρουσιάζουν μεγαλύτερες αδυναμίες. Οι μέθοδοι αξιολόγησης που διασφαλίζουν υψηλότερη ποιότητα αποτελεσμάτων είναι συνήθως πιο απαιτητικές από την άποψη των δεδομένων.</w:t>
                            </w:r>
                          </w:p>
                          <w:p w:rsidR="0067073B" w:rsidRPr="006D4194" w:rsidRDefault="0067073B" w:rsidP="006D4194">
                            <w:pPr>
                              <w:pStyle w:val="HStandard"/>
                              <w:spacing w:after="0"/>
                              <w:rPr>
                                <w:rFonts w:cs="Arial"/>
                                <w:color w:val="373737"/>
                                <w:sz w:val="18"/>
                                <w:szCs w:val="18"/>
                              </w:rPr>
                            </w:pPr>
                          </w:p>
                          <w:p w:rsidR="0067073B" w:rsidRPr="009866F7" w:rsidRDefault="0067073B" w:rsidP="006D4194">
                            <w:pPr>
                              <w:spacing w:before="0" w:after="0" w:line="240" w:lineRule="auto"/>
                              <w:rPr>
                                <w:rFonts w:cs="Arial"/>
                                <w:color w:val="373737"/>
                                <w:szCs w:val="18"/>
                                <w:highlight w:val="yellow"/>
                              </w:rPr>
                            </w:pPr>
                            <w:r>
                              <w:rPr>
                                <w:b/>
                                <w:color w:val="373737"/>
                              </w:rPr>
                              <w:t>Σύγκριση μεθόδων</w:t>
                            </w:r>
                            <w:r>
                              <w:rPr>
                                <w:color w:val="373737"/>
                              </w:rPr>
                              <w:t xml:space="preserve"> (Υπόμνημα: +++++ = η υψηλότερη βαθμολογία, + = η χαμηλότερη βαθμολογία):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67073B" w:rsidTr="0053322D">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67073B" w:rsidRPr="0025164E" w:rsidRDefault="0067073B" w:rsidP="009811C2">
                                  <w:pPr>
                                    <w:jc w:val="center"/>
                                    <w:rPr>
                                      <w:rFonts w:cs="Arial"/>
                                      <w:szCs w:val="18"/>
                                    </w:rPr>
                                  </w:pPr>
                                  <w:r>
                                    <w:t>Μέθοδος</w:t>
                                  </w:r>
                                </w:p>
                              </w:tc>
                              <w:tc>
                                <w:tcPr>
                                  <w:tcW w:w="1701" w:type="dxa"/>
                                </w:tcPr>
                                <w:p w:rsidR="0067073B" w:rsidRPr="0025164E" w:rsidRDefault="0067073B"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Φερεγγυότητα/αυστηρότητα, αξιοπιστία κ.λπ.</w:t>
                                  </w:r>
                                </w:p>
                              </w:tc>
                              <w:tc>
                                <w:tcPr>
                                  <w:tcW w:w="1701" w:type="dxa"/>
                                </w:tcPr>
                                <w:p w:rsidR="0067073B" w:rsidRPr="0025164E" w:rsidRDefault="0067073B"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Ικανότητα περιορισμού συστηματικών σφαλμάτων επιλογής και άλλων συστηματικών σφαλμάτων</w:t>
                                  </w:r>
                                </w:p>
                              </w:tc>
                              <w:tc>
                                <w:tcPr>
                                  <w:tcW w:w="1417" w:type="dxa"/>
                                </w:tcPr>
                                <w:p w:rsidR="0067073B" w:rsidRPr="0025164E" w:rsidRDefault="0067073B"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Ποιότητα αξιολόγησης</w:t>
                                  </w:r>
                                </w:p>
                              </w:tc>
                              <w:tc>
                                <w:tcPr>
                                  <w:tcW w:w="1418" w:type="dxa"/>
                                </w:tcPr>
                                <w:p w:rsidR="0067073B" w:rsidRPr="0025164E" w:rsidRDefault="0067073B"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Απαιτήσεις δεδομένων</w:t>
                                  </w:r>
                                </w:p>
                              </w:tc>
                            </w:tr>
                            <w:tr w:rsidR="0067073B" w:rsidTr="0053322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Πειραματική προσέγγιση</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67073B" w:rsidTr="0053322D">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Οιονεί πειραματικές προσεγγίσεις</w:t>
                                  </w:r>
                                </w:p>
                              </w:tc>
                              <w:tc>
                                <w:tcPr>
                                  <w:tcW w:w="1701"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67073B" w:rsidTr="00533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Προσεγγίσεις αντιστοίχισης (σε συνδυασμό με τη μέθοδο ΔτΔ)</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67073B" w:rsidTr="0053322D">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RDD/ΣΑΠ</w:t>
                                  </w:r>
                                </w:p>
                              </w:tc>
                              <w:tc>
                                <w:tcPr>
                                  <w:tcW w:w="1701"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67073B" w:rsidTr="0053322D">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Μέθοδος βοηθητικών μεταβλητών</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67073B" w:rsidTr="0053322D">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Μέθοδος διαφοράς των διαφορών (ΔτΔ)</w:t>
                                  </w:r>
                                </w:p>
                              </w:tc>
                              <w:tc>
                                <w:tcPr>
                                  <w:tcW w:w="1701"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67073B" w:rsidTr="00533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Συγκρίσεις με μη δικαιούχους σε δεδομένη χρονική περίοδο (απλοϊκή προσέγγιση)</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67073B" w:rsidTr="0053322D">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Σύγκριση πριν και μετά των δικαιούχων του προγράμματος (απλοϊκή  προσέγγιση)</w:t>
                                  </w:r>
                                </w:p>
                              </w:tc>
                              <w:tc>
                                <w:tcPr>
                                  <w:tcW w:w="1701"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67073B" w:rsidTr="00533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Ποιοτικές προσεγγίσεις που εφαρμόζονται στην εκτίμηση των αποτελεσμάτων/επιπτώσεων του προγράμματος</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67073B" w:rsidRPr="00742E07" w:rsidRDefault="0067073B" w:rsidP="00735F08">
                            <w:pPr>
                              <w:pStyle w:val="HStandard"/>
                              <w:jc w:val="center"/>
                              <w:rPr>
                                <w:i/>
                                <w:color w:val="F07E31" w:themeColor="accent1"/>
                              </w:rPr>
                            </w:pPr>
                            <w:r>
                              <w:rPr>
                                <w:i/>
                                <w:color w:val="F07E31" w:themeColor="accent1"/>
                                <w:sz w:val="18"/>
                              </w:rPr>
                              <w:t xml:space="preserve">Μάθετε περισσότερα για τα κριτήρια επιλογής προσεγγίσεων αξιολόγησης </w:t>
                            </w:r>
                            <w:r>
                              <w:rPr>
                                <w:i/>
                                <w:color w:val="F07E31" w:themeColor="accent1"/>
                                <w:sz w:val="18"/>
                                <w:szCs w:val="18"/>
                              </w:rPr>
                              <w:br/>
                            </w:r>
                            <w:hyperlink r:id="rId44">
                              <w:r>
                                <w:rPr>
                                  <w:rStyle w:val="Hyperlink"/>
                                  <w:i/>
                                  <w:color w:val="F07E31" w:themeColor="accent1"/>
                                  <w:sz w:val="18"/>
                                </w:rPr>
                                <w:t>στο έγγραφο Guidelines for ex post evaluation of 2007-2013 RDPs (Κατευθυντήριες γραμμές για την εκ των υστέρων αξιολόγηση των ΠΑΑ 2007-2013)</w:t>
                              </w:r>
                            </w:hyperlink>
                            <w:r>
                              <w:rPr>
                                <w:rStyle w:val="Hyperlink"/>
                                <w:i/>
                                <w:color w:val="F07E31" w:themeColor="accent1"/>
                                <w:sz w:val="18"/>
                              </w:rPr>
                              <w:t>, κεφάλαιο 4.3.4.2).</w:t>
                            </w:r>
                          </w:p>
                        </w:txbxContent>
                      </wps:txbx>
                      <wps:bodyPr rot="0" vert="horz" wrap="square" lIns="91440" tIns="45720" rIns="91440" bIns="45720" anchor="ctr" anchorCtr="0" upright="1">
                        <a:noAutofit/>
                      </wps:bodyPr>
                    </wps:wsp>
                  </a:graphicData>
                </a:graphic>
              </wp:inline>
            </w:drawing>
          </mc:Choice>
          <mc:Fallback>
            <w:pict>
              <v:shape w14:anchorId="275CFA58" id="AutoShape 66" o:spid="_x0000_s1037" style="width:453.5pt;height:766.75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" adj="-11796480,,5400" path="m290989,l5731510,r,8160861c5731510,8321570,5601230,8451850,5440521,8451850l,8451850,,290989c,130280,130280,,290989,xe" filled="f" strokecolor="#be4a35" strokeweight="2pt">
                <v:stroke joinstyle="miter"/>
                <v:formulas/>
                <v:path arrowok="t" o:connecttype="custom" o:connectlocs="292403,0;5759355,0;5759355,0;5759355,9402419;5466952,9737678;0,9737678;0,9737678;0,335259;292403,0" o:connectangles="0,0,0,0,0,0,0,0,0" textboxrect="0,0,5731510,8451850"/>
                <v:textbox>
                  <w:txbxContent>
                    <w:p w:rsidR="0067073B" w:rsidRPr="00DD36A9" w:rsidRDefault="0067073B" w:rsidP="00452825">
                      <w:pPr>
                        <w:pStyle w:val="HHeading4"/>
                        <w:spacing w:before="120" w:line="200" w:lineRule="atLeast"/>
                      </w:pPr>
                      <w:r>
                        <w:rPr>
                          <w:noProof/>
                          <w:lang w:val="en-GB" w:eastAsia="en-GB" w:bidi="ar-SA"/>
                        </w:rPr>
                        <w:drawing>
                          <wp:inline distT="0" distB="0" distL="0" distR="0" wp14:anchorId="0BCCA784" wp14:editId="454336EA">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ΣΥΝΟΠΤΙΚΟΣ ΟΔΗΓΟΣ #3: Αντισταθμίσεις κατά την επιλογή των μεθόδων αξιολόγησης</w:t>
                      </w:r>
                    </w:p>
                    <w:p w:rsidR="0067073B" w:rsidRDefault="0067073B" w:rsidP="006D4194">
                      <w:pPr>
                        <w:pStyle w:val="HStandard"/>
                        <w:spacing w:after="0"/>
                        <w:rPr>
                          <w:rFonts w:cs="Arial"/>
                          <w:color w:val="373737"/>
                          <w:sz w:val="18"/>
                          <w:szCs w:val="18"/>
                        </w:rPr>
                      </w:pPr>
                      <w:r>
                        <w:rPr>
                          <w:color w:val="373737"/>
                          <w:sz w:val="18"/>
                        </w:rPr>
                        <w:t>Στις αξιολογήσεις θεωρείται συχνά ότι τα μη διαθέσιμα δεδομένα αποτελούν τον κυριότερο περιορισμό στην επιλογή των μεθόδων αξιολόγησης. Ωστόσο, η εφαρμογή «απλοϊκών» τεχνικών αξιολόγησης (χωρίς αντιπαράδειγμα) σε αυτές τις περιπτώσεις, επιφέρει σημαντικές αδυναμίες στη μεθοδολογική αυστηρότητα, αξιοπιστία, ακρίβεια και εγκυρότητα. Ως εκ τούτου, οι ενδιαφερόμενοι φορείς καλούνται να εξετάσουν τις αντισταθμίσεις μεταξύ των απαιτήσεων για δεδομένα και των δυνητικών συστηματικών σφαλμάτων στα αποτελέσματα που δημιουργούνται από μεθόδους που παρουσιάζουν μεγαλύτερες αδυναμίες. Οι μέθοδοι αξιολόγησης που διασφαλίζουν υψηλότερη ποιότητα αποτελεσμάτων είναι συνήθως πιο απαιτητικές από την άποψη των δεδομένων.</w:t>
                      </w:r>
                    </w:p>
                    <w:p w:rsidR="0067073B" w:rsidRPr="006D4194" w:rsidRDefault="0067073B" w:rsidP="006D4194">
                      <w:pPr>
                        <w:pStyle w:val="HStandard"/>
                        <w:spacing w:after="0"/>
                        <w:rPr>
                          <w:rFonts w:cs="Arial"/>
                          <w:color w:val="373737"/>
                          <w:sz w:val="18"/>
                          <w:szCs w:val="18"/>
                        </w:rPr>
                      </w:pPr>
                    </w:p>
                    <w:p w:rsidR="0067073B" w:rsidRPr="009866F7" w:rsidRDefault="0067073B" w:rsidP="006D4194">
                      <w:pPr>
                        <w:spacing w:before="0" w:after="0" w:line="240" w:lineRule="auto"/>
                        <w:rPr>
                          <w:rFonts w:cs="Arial"/>
                          <w:color w:val="373737"/>
                          <w:szCs w:val="18"/>
                          <w:highlight w:val="yellow"/>
                        </w:rPr>
                      </w:pPr>
                      <w:r>
                        <w:rPr>
                          <w:b/>
                          <w:color w:val="373737"/>
                        </w:rPr>
                        <w:t>Σύγκριση μεθόδων</w:t>
                      </w:r>
                      <w:r>
                        <w:rPr>
                          <w:color w:val="373737"/>
                        </w:rPr>
                        <w:t xml:space="preserve"> (Υπόμνημα: +++++ = η υψηλότερη βαθμολογία, + = η χαμηλότερη βαθμολογία):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67073B" w:rsidTr="0053322D">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67073B" w:rsidRPr="0025164E" w:rsidRDefault="0067073B" w:rsidP="009811C2">
                            <w:pPr>
                              <w:jc w:val="center"/>
                              <w:rPr>
                                <w:rFonts w:cs="Arial"/>
                                <w:szCs w:val="18"/>
                              </w:rPr>
                            </w:pPr>
                            <w:r>
                              <w:t>Μέθοδος</w:t>
                            </w:r>
                          </w:p>
                        </w:tc>
                        <w:tc>
                          <w:tcPr>
                            <w:tcW w:w="1701" w:type="dxa"/>
                          </w:tcPr>
                          <w:p w:rsidR="0067073B" w:rsidRPr="0025164E" w:rsidRDefault="0067073B"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Φερεγγυότητα/αυστηρότητα, αξιοπιστία κ.λπ.</w:t>
                            </w:r>
                          </w:p>
                        </w:tc>
                        <w:tc>
                          <w:tcPr>
                            <w:tcW w:w="1701" w:type="dxa"/>
                          </w:tcPr>
                          <w:p w:rsidR="0067073B" w:rsidRPr="0025164E" w:rsidRDefault="0067073B"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Ικανότητα περιορισμού συστηματικών σφαλμάτων επιλογής και άλλων συστηματικών σφαλμάτων</w:t>
                            </w:r>
                          </w:p>
                        </w:tc>
                        <w:tc>
                          <w:tcPr>
                            <w:tcW w:w="1417" w:type="dxa"/>
                          </w:tcPr>
                          <w:p w:rsidR="0067073B" w:rsidRPr="0025164E" w:rsidRDefault="0067073B"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Ποιότητα αξιολόγησης</w:t>
                            </w:r>
                          </w:p>
                        </w:tc>
                        <w:tc>
                          <w:tcPr>
                            <w:tcW w:w="1418" w:type="dxa"/>
                          </w:tcPr>
                          <w:p w:rsidR="0067073B" w:rsidRPr="0025164E" w:rsidRDefault="0067073B"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Απαιτήσεις δεδομένων</w:t>
                            </w:r>
                          </w:p>
                        </w:tc>
                      </w:tr>
                      <w:tr w:rsidR="0067073B" w:rsidTr="0053322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Πειραματική προσέγγιση</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67073B" w:rsidTr="0053322D">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Οιονεί πειραματικές προσεγγίσεις</w:t>
                            </w:r>
                          </w:p>
                        </w:tc>
                        <w:tc>
                          <w:tcPr>
                            <w:tcW w:w="1701"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67073B" w:rsidTr="00533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Προσεγγίσεις αντιστοίχισης (σε συνδυασμό με τη μέθοδο ΔτΔ)</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67073B" w:rsidTr="0053322D">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RDD/ΣΑΠ</w:t>
                            </w:r>
                          </w:p>
                        </w:tc>
                        <w:tc>
                          <w:tcPr>
                            <w:tcW w:w="1701"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67073B" w:rsidTr="0053322D">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Μέθοδος βοηθητικών μεταβλητών</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67073B" w:rsidTr="0053322D">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Μέθοδος διαφοράς των διαφορών (ΔτΔ)</w:t>
                            </w:r>
                          </w:p>
                        </w:tc>
                        <w:tc>
                          <w:tcPr>
                            <w:tcW w:w="1701"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67073B" w:rsidTr="00533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Συγκρίσεις με μη δικαιούχους σε δεδομένη χρονική περίοδο (απλοϊκή προσέγγιση)</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67073B" w:rsidTr="0053322D">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Σύγκριση πριν και μετά των δικαιούχων του προγράμματος (απλοϊκή  προσέγγιση)</w:t>
                            </w:r>
                          </w:p>
                        </w:tc>
                        <w:tc>
                          <w:tcPr>
                            <w:tcW w:w="1701"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67073B" w:rsidTr="00533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67073B" w:rsidRPr="009811C2" w:rsidRDefault="0067073B" w:rsidP="00365997">
                            <w:pPr>
                              <w:jc w:val="left"/>
                              <w:rPr>
                                <w:rFonts w:cs="Arial"/>
                                <w:szCs w:val="18"/>
                              </w:rPr>
                            </w:pPr>
                            <w:r>
                              <w:t>Ποιοτικές προσεγγίσεις που εφαρμόζονται στην εκτίμηση των αποτελεσμάτων/επιπτώσεων του προγράμματος</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67073B" w:rsidRPr="00B9614C" w:rsidRDefault="0067073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67073B" w:rsidRPr="00742E07" w:rsidRDefault="0067073B" w:rsidP="00735F08">
                      <w:pPr>
                        <w:pStyle w:val="HStandard"/>
                        <w:jc w:val="center"/>
                        <w:rPr>
                          <w:i/>
                          <w:color w:val="F07E31" w:themeColor="accent1"/>
                        </w:rPr>
                      </w:pPr>
                      <w:r>
                        <w:rPr>
                          <w:i/>
                          <w:color w:val="F07E31" w:themeColor="accent1"/>
                          <w:sz w:val="18"/>
                        </w:rPr>
                        <w:t xml:space="preserve">Μάθετε περισσότερα για τα κριτήρια επιλογής προσεγγίσεων αξιολόγησης </w:t>
                      </w:r>
                      <w:r>
                        <w:rPr>
                          <w:i/>
                          <w:color w:val="F07E31" w:themeColor="accent1"/>
                          <w:sz w:val="18"/>
                          <w:szCs w:val="18"/>
                        </w:rPr>
                        <w:br/>
                      </w:r>
                      <w:hyperlink r:id="rId45">
                        <w:r>
                          <w:rPr>
                            <w:rStyle w:val="Hyperlink"/>
                            <w:i/>
                            <w:color w:val="F07E31" w:themeColor="accent1"/>
                            <w:sz w:val="18"/>
                          </w:rPr>
                          <w:t>στο έγγραφο Guidelines for ex post evaluation of 2007-2013 RDPs (Κατευθυντήριες γραμμές για την εκ των υστέρων αξιολόγηση των ΠΑΑ 2007-2013)</w:t>
                        </w:r>
                      </w:hyperlink>
                      <w:r>
                        <w:rPr>
                          <w:rStyle w:val="Hyperlink"/>
                          <w:i/>
                          <w:color w:val="F07E31" w:themeColor="accent1"/>
                          <w:sz w:val="18"/>
                        </w:rPr>
                        <w:t>, κεφάλαιο 4.3.4.2).</w:t>
                      </w:r>
                    </w:p>
                  </w:txbxContent>
                </v:textbox>
                <w10:anchorlock/>
              </v:shape>
            </w:pict>
          </mc:Fallback>
        </mc:AlternateContent>
      </w:r>
    </w:p>
    <w:p w:rsidR="00820050" w:rsidRPr="001C6ACF" w:rsidRDefault="004A3547" w:rsidP="00820050">
      <w:pPr>
        <w:pStyle w:val="HHeading4"/>
      </w:pPr>
      <w:r>
        <w:lastRenderedPageBreak/>
        <w:br w:type="column"/>
      </w:r>
      <w:r>
        <w:lastRenderedPageBreak/>
        <w:t>Εκτίμηση στο μικροεπίπεδο και το μακροεπίπεδο και προσδιορισμός των  επιπτώσεων (3</w:t>
      </w:r>
      <w:r>
        <w:rPr>
          <w:vertAlign w:val="superscript"/>
        </w:rPr>
        <w:t>ο</w:t>
      </w:r>
      <w:r>
        <w:t xml:space="preserve"> επίπεδο)</w:t>
      </w:r>
    </w:p>
    <w:p w:rsidR="00820050" w:rsidRPr="00863E73" w:rsidRDefault="00820050" w:rsidP="00820050">
      <w:pPr>
        <w:pStyle w:val="HStandard"/>
        <w:rPr>
          <w:rFonts w:cs="Arial"/>
        </w:rPr>
      </w:pPr>
      <w:r>
        <w:t xml:space="preserve">Στη συνέχεια ακολουθείται το </w:t>
      </w:r>
      <w:r>
        <w:rPr>
          <w:b/>
        </w:rPr>
        <w:t>μικροεπίπεδο ή το μακροεπίπεδο</w:t>
      </w:r>
      <w:r>
        <w:t xml:space="preserve"> στο λογικό μοντέλο προκειμένου να εξειδικευτούν οι επιλογές αξιολόγησης. Η ροή εργασιών για το μικροεπίπεδο και το μακροεπίπεδο οδηγεί τον αξιολογητή σε μεθόδους που συμβάλλουν στη συνεπή εκτίμηση των </w:t>
      </w:r>
      <w:r>
        <w:rPr>
          <w:b/>
        </w:rPr>
        <w:t>καθαρών επιπτώσεων στο μικροεπίπεδο και το μακροεπίπεδο</w:t>
      </w:r>
      <w:r>
        <w:rPr>
          <w:rStyle w:val="FootnoteReference"/>
          <w:b/>
        </w:rPr>
        <w:footnoteReference w:id="28"/>
      </w:r>
      <w:r>
        <w:t xml:space="preserve">. Για κάθε πιθανό σχεδιασμό αντιπαραδείγματος δημιουργείται χωριστό λογικό μοντέλο μικροεπιπέδου. Σε κάποιους σχεδιασμούς αξιολόγησης, η κλιμάκωση των πορισμάτων του μικροεπιπέδου αποτελεί τη βάση της εκτίμησης στο μακροεπίπεδο. Σε άλλους σχεδιασμούς αξιολόγησης, οι εκτιμήσεις στο μικροεπίπεδο και το μικροεπίπεδο αλληλοσυμπληρώνονται, γεγονός που καθιστά αναγκαίο τον έλεγχο συνέπειας. </w:t>
      </w:r>
    </w:p>
    <w:p w:rsidR="00C545E7" w:rsidRPr="00571D58" w:rsidRDefault="000B213F" w:rsidP="00820050">
      <w:pPr>
        <w:pStyle w:val="HStandard"/>
        <w:spacing w:after="0"/>
        <w:rPr>
          <w:rFonts w:cs="Arial"/>
        </w:rPr>
      </w:pPr>
      <w:r>
        <w:rPr>
          <w:b/>
          <w:i/>
          <w:noProof/>
          <w:color w:val="F07E31" w:themeColor="accent1"/>
          <w:lang w:val="en-GB" w:eastAsia="en-GB" w:bidi="ar-SA"/>
        </w:rPr>
        <mc:AlternateContent>
          <mc:Choice Requires="wps">
            <w:drawing>
              <wp:inline distT="0" distB="0" distL="0" distR="0" wp14:anchorId="61A39BBA" wp14:editId="5C9A0DE1">
                <wp:extent cx="5731510" cy="1447165"/>
                <wp:effectExtent l="19050" t="19050" r="21590" b="19685"/>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447165"/>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67073B" w:rsidRPr="00044269" w:rsidRDefault="0067073B"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3E9E7F2E" wp14:editId="6181EF2F">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Τα ποσοτικά στοιχεία θα πρέπει να ερμηνεύονται με κριτικό πνεύμα</w:t>
                            </w:r>
                            <w:r>
                              <w:rPr>
                                <w:rStyle w:val="CommentReference"/>
                                <w:color w:val="373737" w:themeColor="text1"/>
                              </w:rPr>
                              <w:t xml:space="preserve"> </w:t>
                            </w:r>
                            <w:r>
                              <w:rPr>
                                <w:color w:val="373737" w:themeColor="text1"/>
                              </w:rPr>
                              <w:t>στο πλαίσιο της ποιοτικής αξιολόγησης.</w:t>
                            </w:r>
                            <w:r>
                              <w:rPr>
                                <w:b w:val="0"/>
                                <w:color w:val="373737" w:themeColor="text1"/>
                              </w:rPr>
                              <w:t xml:space="preserve"> Περαιτέρω, η ποιοτική αξιολόγηση μπορεί να συμβάλλει επίσης στη συμπλήρωση της ποσοτικής αξιολόγησης με σκοπό: α) την εκτίμηση της αντιπροσωπευτικότητας των διαθέσιμων δεδομένων, β) τη διασταυρούμενη επικύρωση των πορισμάτων, γ) την αποτύπωση των διαφορετικών διαστάσεων του ίδιου φαινομένου.</w:t>
                            </w:r>
                          </w:p>
                        </w:txbxContent>
                      </wps:txbx>
                      <wps:bodyPr rot="0" vert="horz" wrap="square" lIns="91440" tIns="45720" rIns="91440" bIns="45720" anchor="ctr" anchorCtr="0" upright="1">
                        <a:noAutofit/>
                      </wps:bodyPr>
                    </wps:wsp>
                  </a:graphicData>
                </a:graphic>
              </wp:inline>
            </w:drawing>
          </mc:Choice>
          <mc:Fallback>
            <w:pict>
              <v:shape w14:anchorId="61A39BBA" id="AutoShape 65" o:spid="_x0000_s1038" style="width:451.3pt;height:113.95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320784;5605146,1447165;0,1447165;0,1447165;0,126381;126364,0" o:connectangles="0,0,0,0,0,0,0,0,0" textboxrect="0,0,5731510,1446971"/>
                <v:textbox>
                  <w:txbxContent>
                    <w:p w:rsidR="0067073B" w:rsidRPr="00044269" w:rsidRDefault="0067073B"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3E9E7F2E" wp14:editId="6181EF2F">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Τα ποσοτικά στοιχεία θα πρέπει να ερμηνεύονται με κριτικό πνεύμα</w:t>
                      </w:r>
                      <w:r>
                        <w:rPr>
                          <w:rStyle w:val="CommentReference"/>
                          <w:color w:val="373737" w:themeColor="text1"/>
                        </w:rPr>
                        <w:t xml:space="preserve"> </w:t>
                      </w:r>
                      <w:r>
                        <w:rPr>
                          <w:color w:val="373737" w:themeColor="text1"/>
                        </w:rPr>
                        <w:t>στο πλαίσιο της ποιοτικής αξιολόγησης.</w:t>
                      </w:r>
                      <w:r>
                        <w:rPr>
                          <w:b w:val="0"/>
                          <w:color w:val="373737" w:themeColor="text1"/>
                        </w:rPr>
                        <w:t xml:space="preserve"> Περαιτέρω, η ποιοτική αξιολόγηση μπορεί να συμβάλλει επίσης στη συμπλήρωση της ποσοτικής αξιολόγησης με σκοπό: α) την εκτίμηση της αντιπροσωπευτικότητας των διαθέσιμων δεδομένων, β) τη διασταυρούμενη επικύρωση των πορισμάτων, γ) την αποτύπωση των διαφορετικών διαστάσεων του ίδιου φαινομένου.</w:t>
                      </w:r>
                    </w:p>
                  </w:txbxContent>
                </v:textbox>
                <w10:anchorlock/>
              </v:shape>
            </w:pict>
          </mc:Fallback>
        </mc:AlternateContent>
      </w:r>
    </w:p>
    <w:p w:rsidR="00820050" w:rsidRPr="007645B4" w:rsidRDefault="00820050" w:rsidP="00820050">
      <w:pPr>
        <w:pStyle w:val="HStandard"/>
        <w:spacing w:after="0"/>
        <w:rPr>
          <w:rFonts w:cs="Arial"/>
        </w:rPr>
      </w:pPr>
      <w:r>
        <w:t>Η εφαρμογή των βημάτων που περιλαμβάνει το δενδρόγραμμα αποφάσεων στο μικροεπίπεδο και το μακροεπίπεδο βοηθά να απαντηθούν τα ακόλουθα ερωτήματα όσον αφορά τον σχεδιασμό της προσέγγισης αξιολόγησης:</w:t>
      </w:r>
    </w:p>
    <w:p w:rsidR="00820050" w:rsidRPr="001C6ACF" w:rsidRDefault="00820050" w:rsidP="00C42303">
      <w:pPr>
        <w:pStyle w:val="Hlistbullet"/>
      </w:pPr>
      <w:r>
        <w:t>Χρειάζεται να εφαρμόσω συγκεκριμένη περιβαλλοντική, τομεακή (γεωργοοικονομική) ή κοινωνικοοικονομική μέθοδο για τον ποσοτικό προσδιορισμό των μεταβολών στις τιμές των δεικτών, ή μπορώ να χρησιμοποιήσω απευθείας τις τιμές των δεικτών ενώ χρησιμοποιώ τις αντιπαραδειγματικές μεθόδους;</w:t>
      </w:r>
    </w:p>
    <w:p w:rsidR="00820050" w:rsidRPr="001C6ACF" w:rsidRDefault="00820050" w:rsidP="00C42303">
      <w:pPr>
        <w:pStyle w:val="Hlistbullet"/>
      </w:pPr>
      <w:r>
        <w:t>Αν πρέπει να εφαρμοστεί συγκεκριμένη μέθοδος, είναι κατάλληλα τα δεδομένα για την εφαρμογή μίας από τις μεθόδους που υπάρχουν για την αξιολόγηση των περιβαλλοντικών, τομεακών ή κοινωνικοοικονομικών επιπτώσεων;</w:t>
      </w:r>
    </w:p>
    <w:p w:rsidR="00820050" w:rsidRPr="001C6ACF" w:rsidRDefault="00820050" w:rsidP="00C42303">
      <w:pPr>
        <w:pStyle w:val="Hlistbullet"/>
      </w:pPr>
      <w:r>
        <w:t>Θα χρειαστεί να συλλέξω νέα πρωτογενή δεδομένα μέσω στατιστικής δειγματοληψίας, και πόσο δαπανηρό θα είναι κάτι τέτοιο;</w:t>
      </w:r>
    </w:p>
    <w:p w:rsidR="00820050" w:rsidRPr="001C6ACF" w:rsidRDefault="00820050" w:rsidP="00C42303">
      <w:pPr>
        <w:pStyle w:val="Hlistbullet"/>
      </w:pPr>
      <w:r>
        <w:t>Χρειάζεται να διενεργηθούν εξειδικευμένες εργασίες για τη βελτίωση της ποιότητας των δεδομένων έρευνας/παρακολούθησης;</w:t>
      </w:r>
    </w:p>
    <w:p w:rsidR="00820050" w:rsidRPr="001C6ACF" w:rsidRDefault="00820050" w:rsidP="00C42303">
      <w:pPr>
        <w:pStyle w:val="Hlistbullet"/>
      </w:pPr>
      <w:r>
        <w:t>Αν δεν μπορώ να προσδιορίσω ποσοτικά τις μεταβολές στις τιμές των δεικτών ή αν το σχετικό κόστος είναι πολύ υψηλό, ποιες εναλλακτικές (ποιοτικές) μέθοδοι υπάρχουν για την εκτίμηση των μεταβολών στις τιμές των δεικτών;</w:t>
      </w:r>
    </w:p>
    <w:p w:rsidR="00B00451" w:rsidRPr="001C6ACF" w:rsidRDefault="00B00451" w:rsidP="003708EA">
      <w:pPr>
        <w:pStyle w:val="Hlistbullet"/>
        <w:numPr>
          <w:ilvl w:val="0"/>
          <w:numId w:val="0"/>
        </w:numPr>
      </w:pPr>
    </w:p>
    <w:p w:rsidR="006D6205" w:rsidRPr="001C6ACF" w:rsidRDefault="006D6205" w:rsidP="003708EA">
      <w:pPr>
        <w:pStyle w:val="Hlistbullet"/>
        <w:numPr>
          <w:ilvl w:val="0"/>
          <w:numId w:val="0"/>
        </w:numPr>
      </w:pPr>
    </w:p>
    <w:p w:rsidR="006D6205" w:rsidRPr="00571D58" w:rsidRDefault="006D6205" w:rsidP="003708EA">
      <w:pPr>
        <w:pStyle w:val="Hlistbullet"/>
        <w:numPr>
          <w:ilvl w:val="0"/>
          <w:numId w:val="0"/>
        </w:numPr>
      </w:pPr>
      <w:r>
        <w:br w:type="column"/>
      </w:r>
      <w:r>
        <w:rPr>
          <w:b/>
          <w:i/>
          <w:noProof/>
          <w:color w:val="F07E31" w:themeColor="accent1"/>
          <w:lang w:val="en-GB" w:eastAsia="en-GB" w:bidi="ar-SA"/>
        </w:rPr>
        <w:lastRenderedPageBreak/>
        <mc:AlternateContent>
          <mc:Choice Requires="wps">
            <w:drawing>
              <wp:inline distT="0" distB="0" distL="0" distR="0" wp14:anchorId="1D134C61" wp14:editId="03650808">
                <wp:extent cx="6175612" cy="9764486"/>
                <wp:effectExtent l="0" t="0" r="15875" b="27305"/>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5612" cy="9764486"/>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67073B" w:rsidRPr="00DD36A9" w:rsidRDefault="0067073B" w:rsidP="006D6205">
                            <w:pPr>
                              <w:pStyle w:val="HHeading4"/>
                            </w:pPr>
                            <w:r>
                              <w:rPr>
                                <w:noProof/>
                                <w:lang w:val="en-GB" w:eastAsia="en-GB" w:bidi="ar-SA"/>
                              </w:rPr>
                              <w:drawing>
                                <wp:inline distT="0" distB="0" distL="0" distR="0" wp14:anchorId="50C1D85B" wp14:editId="379605A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ΣΥΝΟΠΤΙΚΟΣ ΟΔΗΓΟΣ #4: Πώς γίνεται η εκτίμηση των καθαρών επιδράσεων του ΠΑΑ; (σε σχέση με το 3</w:t>
                            </w:r>
                            <w:r>
                              <w:rPr>
                                <w:vertAlign w:val="superscript"/>
                              </w:rPr>
                              <w:t>ο</w:t>
                            </w:r>
                            <w:r>
                              <w:t xml:space="preserve"> επίπεδο)</w:t>
                            </w:r>
                          </w:p>
                          <w:p w:rsidR="0067073B" w:rsidRPr="00553149" w:rsidRDefault="0067073B" w:rsidP="00AC0E3D">
                            <w:pPr>
                              <w:pStyle w:val="HStandard"/>
                              <w:spacing w:after="0"/>
                              <w:rPr>
                                <w:rFonts w:cs="Arial"/>
                                <w:szCs w:val="16"/>
                              </w:rPr>
                            </w:pPr>
                            <w:r>
                              <w:t xml:space="preserve">Η εκτίμηση των καθαρών επιδράσεων του προγράμματος </w:t>
                            </w:r>
                            <w:r>
                              <w:rPr>
                                <w:b/>
                              </w:rPr>
                              <w:t>στο μακροεπίπεδο ή σε επίπεδο περιοχής του προγράμματος</w:t>
                            </w:r>
                            <w:r>
                              <w:t xml:space="preserve"> με παράλληλη χρήση του αντιπαραδείγματος μπορεί να διενεργηθεί με τη χρήση δύο κύριων προσεγγίσεων: Η </w:t>
                            </w:r>
                            <w:r>
                              <w:rPr>
                                <w:b/>
                              </w:rPr>
                              <w:t>πρώτη προσέγγιση</w:t>
                            </w:r>
                            <w:r>
                              <w:t xml:space="preserve"> βασίζεται στη διενέργεια μικροανάλυσης και την παρέκταση των αποτελεσμάτων της στο μακροεπίπεδο (κλιμάκωση). H </w:t>
                            </w:r>
                            <w:r>
                              <w:rPr>
                                <w:b/>
                              </w:rPr>
                              <w:t>δεύτερη προσέγγιση</w:t>
                            </w:r>
                            <w:r>
                              <w:t xml:space="preserve"> χρησιμοποιεί μέσα ανάλυσης όπως τα υποδείγματα </w:t>
                            </w:r>
                            <w:hyperlink r:id="rId46">
                              <w:r>
                                <w:rPr>
                                  <w:rStyle w:val="Hyperlink"/>
                                </w:rPr>
                                <w:t>υπολογίσιμης γενικής ισορροπίας (Computable General Equilibrium-CGE/ΥΓΙ)</w:t>
                              </w:r>
                            </w:hyperlink>
                            <w:r>
                              <w:t xml:space="preserve">, τα υποδείγματα μερικής ισορροπίας και τα χωρικά οικονομετρικά υποδείγματα ή άλλες τεχνικές μοντελοποίησης — όπου οι αντίστοιχες παράμετροι των υποδειγμάτων (π.χ. συντελεστές παραγωγικότητας ή εκπομπών) υπολογίζονται οικονομετρικά κατά τρόπο </w:t>
                            </w:r>
                            <w:r>
                              <w:rPr>
                                <w:b/>
                              </w:rPr>
                              <w:t>που λαμβάνει υπόψη</w:t>
                            </w:r>
                            <w:r>
                              <w:t xml:space="preserve"> βάσιμες αιτιώδεις σχέσεις, ενδεχόμενα συστηματικά σφάλματα επιλογής, ενδογένειαςκαι χωρικές εξαρτήσεις. Η συγκεκριμένη προσέγγιση περιλαμβάνει επίσης συνδυασμό μιας «από την κορυφή στη βάση» προσέγγισης στο μακροεπίπεδο (π.χ. υποδείγματα με εθνική ή περιφερειακή κάλυψη) για την αξιολόγηση των επιπτώσεων του προγράμματος, και μιας «από τη βάση στην κορυφή» προσέγγισης στο μικροεπίπεδο για την εκτίμηση των καθαρών επιδράσεων διαφόρων μέτρων ή συνδυασμών μέτρων.</w:t>
                            </w:r>
                          </w:p>
                          <w:p w:rsidR="0067073B" w:rsidRPr="00553149" w:rsidRDefault="0067073B" w:rsidP="00AC0E3D">
                            <w:pPr>
                              <w:pStyle w:val="HStandard"/>
                              <w:spacing w:after="0"/>
                              <w:rPr>
                                <w:rFonts w:cs="Arial"/>
                                <w:szCs w:val="16"/>
                              </w:rPr>
                            </w:pPr>
                          </w:p>
                          <w:p w:rsidR="0067073B" w:rsidRPr="00553149" w:rsidRDefault="0067073B" w:rsidP="00AC0E3D">
                            <w:pPr>
                              <w:pStyle w:val="HStandard"/>
                              <w:spacing w:after="0"/>
                              <w:rPr>
                                <w:rFonts w:cs="Arial"/>
                                <w:szCs w:val="16"/>
                              </w:rPr>
                            </w:pPr>
                            <w:r>
                              <w:t xml:space="preserve">Είναι σημαντικό να επισημανθεί ότι ανεξαρτήτως της προσέγγισης που θα επιλεγεί, η ανάλυση των καθαρών επιδράσεων ενός ΠΑΑ είναι εφικτή μόνο εφόσον διατίθενται επαρκή ποσοτικά δεδομένα και εφαρμόζονται προηγμένες μεθοδολογικές τεχνικές. Ενδεχόμενη χρήση απλοϊκών επιλογών ποσοτικής αξιολόγησης (π.χ. πριν-μετά, χρήση μη κατάλληλωνελέγχων κ.λπ.) μπορεί να αλλοιώσει σημαντικά τα ληφθέντα αποτελέσματα των «καθαρών» επιπτώσεωνκαι προς τις δυο κατευθύνσεις (θετικά ή αρνητικά). </w:t>
                            </w:r>
                          </w:p>
                          <w:p w:rsidR="0067073B" w:rsidRPr="00553149" w:rsidRDefault="0067073B" w:rsidP="00AC0E3D">
                            <w:pPr>
                              <w:pStyle w:val="HStandard"/>
                              <w:spacing w:after="0"/>
                              <w:rPr>
                                <w:rFonts w:cs="Arial"/>
                                <w:szCs w:val="16"/>
                              </w:rPr>
                            </w:pPr>
                          </w:p>
                          <w:p w:rsidR="0067073B" w:rsidRPr="00502017" w:rsidRDefault="0067073B" w:rsidP="00AC0E3D">
                            <w:pPr>
                              <w:pStyle w:val="HStandard"/>
                              <w:spacing w:after="0"/>
                              <w:rPr>
                                <w:rFonts w:cs="Arial"/>
                                <w:szCs w:val="16"/>
                              </w:rPr>
                            </w:pPr>
                            <w:r>
                              <w:t xml:space="preserve">Δεδομένου ότι η </w:t>
                            </w:r>
                            <w:r>
                              <w:rPr>
                                <w:b/>
                              </w:rPr>
                              <w:t>πρώτη προσέγγιση</w:t>
                            </w:r>
                            <w:r>
                              <w:t xml:space="preserve"> (παρέκταση της μικροανάλυσης στο μακροεπίπεδο της περιοχής του προγράμματος) είναι η ευκολότερη και η περισσότερα υποσχόμενη, περιγράφουμε ακολούθως τα πιο σημαντικά βήματά της. Η προσέγγιση περιλαμβάνει πέντε κύρια βήματα που μπορούν να εφαρμοστούν τόσο στους τομεακούς όσο και στους περιβαλλοντικούς και κοινωνικοοικονομικούς δείκτες αντικτύπου. Η βασική διαφορά μεταξύ της ανάλυσης των καθαρών επιπτώσεων του ΠΑΑ που διενεργείται σε αυτούς τους τρεις τομείς συνίσταται στον ορισμό των μονάδων στις οποίες βασίζεται η ανάλυση: π.χ. εκμεταλλεύσεις (επιχειρήσεις) ή διοικητικές περιφέρειες (π.χ. NUTS 4, NUTS 5 κ.λπ.) για τους τομεακούς δείκτες· αγροτεμάχια ή μικρές γεωγραφικές περιφέρειες (περιφερειακές χωρικές πληροφορίες) για τους περιβαλλοντικούς δείκτες· και διοικητικές περιφέρειες (π.χ. NUTS 3, NUTS 4 ή NUTS 5) για τους κοινωνικοοικονομικούς δείκτες. Τα βήματα είναι τα εξής:</w:t>
                            </w:r>
                          </w:p>
                          <w:p w:rsidR="0067073B" w:rsidRPr="00502017" w:rsidRDefault="0067073B" w:rsidP="00AC0E3D">
                            <w:pPr>
                              <w:pStyle w:val="HStandard"/>
                              <w:spacing w:after="0"/>
                              <w:rPr>
                                <w:rFonts w:cs="Arial"/>
                                <w:szCs w:val="16"/>
                              </w:rPr>
                            </w:pPr>
                          </w:p>
                          <w:p w:rsidR="0067073B" w:rsidRPr="00735F08" w:rsidRDefault="0067073B" w:rsidP="00AC0E3D">
                            <w:pPr>
                              <w:pStyle w:val="Hlistbullet"/>
                              <w:numPr>
                                <w:ilvl w:val="0"/>
                                <w:numId w:val="0"/>
                              </w:numPr>
                              <w:jc w:val="left"/>
                              <w:rPr>
                                <w:szCs w:val="16"/>
                              </w:rPr>
                            </w:pPr>
                            <w:r>
                              <w:rPr>
                                <w:b/>
                                <w:color w:val="F07E31" w:themeColor="accent1"/>
                              </w:rPr>
                              <w:t>Βήμα 1:</w:t>
                            </w:r>
                            <w:r>
                              <w:t xml:space="preserve"> Εκτίμηση των </w:t>
                            </w:r>
                            <w:r>
                              <w:rPr>
                                <w:b/>
                              </w:rPr>
                              <w:t>άμεσων επιδράσεων του ΠΑΑ</w:t>
                            </w:r>
                            <w:r>
                              <w:t xml:space="preserve"> </w:t>
                            </w:r>
                            <w:r>
                              <w:rPr>
                                <w:b/>
                              </w:rPr>
                              <w:t>σε δικαιούχους στο μικροεπίπεδο</w:t>
                            </w:r>
                            <w:r>
                              <w:t>.</w:t>
                            </w:r>
                          </w:p>
                          <w:p w:rsidR="0067073B" w:rsidRPr="00553149" w:rsidRDefault="004750F3" w:rsidP="004750F3">
                            <w:pPr>
                              <w:pStyle w:val="HStandard"/>
                              <w:spacing w:after="0"/>
                              <w:ind w:left="1080" w:hanging="480"/>
                              <w:rPr>
                                <w:rFonts w:cs="Arial"/>
                                <w:szCs w:val="16"/>
                              </w:rPr>
                            </w:pPr>
                            <w:r>
                              <w:t>α.</w:t>
                            </w:r>
                            <w:r>
                              <w:tab/>
                            </w:r>
                            <w:r w:rsidR="0067073B">
                              <w:t>Υπολογισμός στο μικροεπίπεδο, για την ομάδα δικαιούχων και την ομάδα ελέγχου, της μέσης τιμής των κοινών ή πρόσθετων δεικτών αντικτύπου προ στήριξης (π.χ. το έτος 2013) και μετά τη στήριξη (π.χ. τα έτη 2018 ή 2019).</w:t>
                            </w:r>
                          </w:p>
                          <w:p w:rsidR="0067073B" w:rsidRPr="00553149" w:rsidRDefault="004750F3" w:rsidP="006F2A7D">
                            <w:pPr>
                              <w:pStyle w:val="HStandard"/>
                              <w:spacing w:after="0"/>
                              <w:ind w:left="1080" w:hanging="480"/>
                              <w:rPr>
                                <w:rFonts w:cs="Arial"/>
                                <w:szCs w:val="16"/>
                              </w:rPr>
                            </w:pPr>
                            <w:r>
                              <w:t>β.</w:t>
                            </w:r>
                            <w:r w:rsidR="006F2A7D">
                              <w:tab/>
                            </w:r>
                            <w:r w:rsidR="0067073B">
                              <w:t xml:space="preserve">Υπολογισμός συγκεκριμένων δεικτών πολιτικής [(π.χ. μέσο αποτέλεσμα εφαρμογής στους δικαιούχους (ATT/ΜΑΕΔ)], χρησιμοποιώντας ως εκροή τους σχετικούς κοινούς ή πρόσθετους δείκτες αντικτύπου. Υπολογισμός </w:t>
                            </w:r>
                            <w:r w:rsidR="0067073B">
                              <w:rPr>
                                <w:b/>
                              </w:rPr>
                              <w:t>των άμεσων καθαρών επιδράσεων του ΠΑΑ στους προαναφερθέντες δείκτες</w:t>
                            </w:r>
                            <w:r w:rsidR="0067073B">
                              <w:t xml:space="preserve"> με συνδυασμένη χρήση των υπολογισθέντων ΜΑΕΔ και της μεθόδου της «διαφοράς των διαφορών» (ΔτΔ).</w:t>
                            </w:r>
                          </w:p>
                          <w:p w:rsidR="0067073B" w:rsidRPr="00553149" w:rsidRDefault="006F2A7D" w:rsidP="006F2A7D">
                            <w:pPr>
                              <w:pStyle w:val="HStandard"/>
                              <w:spacing w:after="0"/>
                              <w:ind w:left="1080" w:hanging="480"/>
                              <w:rPr>
                                <w:rFonts w:cs="Arial"/>
                                <w:szCs w:val="16"/>
                              </w:rPr>
                            </w:pPr>
                            <w:r>
                              <w:t>γ.</w:t>
                            </w:r>
                            <w:r>
                              <w:tab/>
                            </w:r>
                            <w:r w:rsidR="0067073B">
                              <w:t>Διενέργεια ανάλυσης ευαισθησίας στα ληφθέντα αποτελέσματα.</w:t>
                            </w:r>
                          </w:p>
                          <w:p w:rsidR="0067073B" w:rsidRDefault="0067073B" w:rsidP="00AC0E3D">
                            <w:pPr>
                              <w:pStyle w:val="Hlistbullet"/>
                              <w:numPr>
                                <w:ilvl w:val="0"/>
                                <w:numId w:val="0"/>
                              </w:numPr>
                              <w:spacing w:before="0" w:after="120" w:line="280" w:lineRule="atLeast"/>
                              <w:rPr>
                                <w:rFonts w:cs="Arial"/>
                                <w:szCs w:val="16"/>
                              </w:rPr>
                            </w:pPr>
                            <w:r>
                              <w:rPr>
                                <w:b/>
                                <w:color w:val="F07E31" w:themeColor="accent1"/>
                              </w:rPr>
                              <w:t xml:space="preserve">Βήμα 2: </w:t>
                            </w:r>
                            <w:r>
                              <w:t xml:space="preserve">Εκτίμηση των </w:t>
                            </w:r>
                            <w:r>
                              <w:rPr>
                                <w:b/>
                              </w:rPr>
                              <w:t>έμμεσων επιδράσεων</w:t>
                            </w:r>
                            <w:r>
                              <w:t xml:space="preserve"> του ΠΑΑ </w:t>
                            </w:r>
                            <w:r>
                              <w:rPr>
                                <w:b/>
                              </w:rPr>
                              <w:t>σε δικαιούχους στο μικροεπίπεδο</w:t>
                            </w:r>
                            <w:r>
                              <w:t>. Και σε αυτή την περίπτωση, η μεταβολή που παρατηρείται στην τιμή των δεικτών θα πρέπει να επιμεριστεί στις αλλαγές που οφείλονται στο πρόγραμμα (συνολική επίδραση κύριων και δευτερευουσών συνεισφορών) και στις αλλαγές που προκαλούνται από άλλους παράγοντες.</w:t>
                            </w:r>
                            <w:r>
                              <w:rPr>
                                <w:color w:val="auto"/>
                              </w:rPr>
                              <w:t xml:space="preserve"> </w:t>
                            </w:r>
                            <w:r>
                              <w:t xml:space="preserve">Οι έμμεσες επιδράσεις του προγράμματος (π.χ. υποκατάσταση, εκτοπισμός, πολλαπλασιαστικό αποτέλεσμα) του ΠΑΑ θα πρέπει να υπολογίζονται και να παρουσιάζονται χωριστά. </w:t>
                            </w:r>
                          </w:p>
                          <w:p w:rsidR="0067073B" w:rsidRPr="00027601" w:rsidRDefault="0067073B"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inline>
            </w:drawing>
          </mc:Choice>
          <mc:Fallback>
            <w:pict>
              <v:shape w14:anchorId="1D134C61" id="AutoShape 64" o:spid="_x0000_s1039" style="width:486.25pt;height:768.85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" adj="-11796480,,5400" path="m518013,l5931673,r,8152801c5931673,8438892,5699751,8670814,5413660,8670814l,8670814,,518013c,231922,231922,,518013,xe" filled="f" strokecolor="#be4a35" strokeweight="2pt">
                <v:stroke joinstyle="miter"/>
                <v:formulas/>
                <v:path arrowok="t" o:connecttype="custom" o:connectlocs="539316,0;6175612,0;6175612,0;6175612,9181135;5636296,9764486;0,9764486;0,9764486;0,583351;539316,0" o:connectangles="0,0,0,0,0,0,0,0,0" textboxrect="0,0,5931673,8670814"/>
                <v:textbox>
                  <w:txbxContent>
                    <w:p w:rsidR="0067073B" w:rsidRPr="00DD36A9" w:rsidRDefault="0067073B" w:rsidP="006D6205">
                      <w:pPr>
                        <w:pStyle w:val="HHeading4"/>
                      </w:pPr>
                      <w:r>
                        <w:rPr>
                          <w:noProof/>
                          <w:lang w:val="en-GB" w:eastAsia="en-GB" w:bidi="ar-SA"/>
                        </w:rPr>
                        <w:drawing>
                          <wp:inline distT="0" distB="0" distL="0" distR="0" wp14:anchorId="50C1D85B" wp14:editId="379605A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ΣΥΝΟΠΤΙΚΟΣ ΟΔΗΓΟΣ #4: Πώς γίνεται η εκτίμηση των καθαρών επιδράσεων του ΠΑΑ; (σε σχέση με το 3</w:t>
                      </w:r>
                      <w:r>
                        <w:rPr>
                          <w:vertAlign w:val="superscript"/>
                        </w:rPr>
                        <w:t>ο</w:t>
                      </w:r>
                      <w:r>
                        <w:t xml:space="preserve"> επίπεδο)</w:t>
                      </w:r>
                    </w:p>
                    <w:p w:rsidR="0067073B" w:rsidRPr="00553149" w:rsidRDefault="0067073B" w:rsidP="00AC0E3D">
                      <w:pPr>
                        <w:pStyle w:val="HStandard"/>
                        <w:spacing w:after="0"/>
                        <w:rPr>
                          <w:rFonts w:cs="Arial"/>
                          <w:szCs w:val="16"/>
                        </w:rPr>
                      </w:pPr>
                      <w:r>
                        <w:t xml:space="preserve">Η εκτίμηση των καθαρών επιδράσεων του προγράμματος </w:t>
                      </w:r>
                      <w:r>
                        <w:rPr>
                          <w:b/>
                        </w:rPr>
                        <w:t>στο μακροεπίπεδο ή σε επίπεδο περιοχής του προγράμματος</w:t>
                      </w:r>
                      <w:r>
                        <w:t xml:space="preserve"> με παράλληλη χρήση του αντιπαραδείγματος μπορεί να διενεργηθεί με τη χρήση δύο κύριων προσεγγίσεων: Η </w:t>
                      </w:r>
                      <w:r>
                        <w:rPr>
                          <w:b/>
                        </w:rPr>
                        <w:t>πρώτη προσέγγιση</w:t>
                      </w:r>
                      <w:r>
                        <w:t xml:space="preserve"> βασίζεται στη διενέργεια μικροανάλυσης και την παρέκταση των αποτελεσμάτων της στο μακροεπίπεδο (κλιμάκωση). H </w:t>
                      </w:r>
                      <w:r>
                        <w:rPr>
                          <w:b/>
                        </w:rPr>
                        <w:t>δεύτερη προσέγγιση</w:t>
                      </w:r>
                      <w:r>
                        <w:t xml:space="preserve"> χρησιμοποιεί μέσα ανάλυσης όπως τα υποδείγματα </w:t>
                      </w:r>
                      <w:hyperlink r:id="rId47">
                        <w:r>
                          <w:rPr>
                            <w:rStyle w:val="Hyperlink"/>
                          </w:rPr>
                          <w:t>υπολογίσιμης γενικής ισορροπίας (Computable General Equilibrium-CGE/ΥΓΙ)</w:t>
                        </w:r>
                      </w:hyperlink>
                      <w:r>
                        <w:t xml:space="preserve">, τα υποδείγματα μερικής ισορροπίας και τα χωρικά οικονομετρικά υποδείγματα ή άλλες τεχνικές μοντελοποίησης — όπου οι αντίστοιχες παράμετροι των υποδειγμάτων (π.χ. συντελεστές παραγωγικότητας ή εκπομπών) υπολογίζονται οικονομετρικά κατά τρόπο </w:t>
                      </w:r>
                      <w:r>
                        <w:rPr>
                          <w:b/>
                        </w:rPr>
                        <w:t>που λαμβάνει υπόψη</w:t>
                      </w:r>
                      <w:r>
                        <w:t xml:space="preserve"> βάσιμες αιτιώδεις σχέσεις, ενδεχόμενα συστηματικά σφάλματα επιλογής, ενδογένειαςκαι χωρικές εξαρτήσεις. Η συγκεκριμένη προσέγγιση περιλαμβάνει επίσης συνδυασμό μιας «από την κορυφή στη βάση» προσέγγισης στο μακροεπίπεδο (π.χ. υποδείγματα με εθνική ή περιφερειακή κάλυψη) για την αξιολόγηση των επιπτώσεων του προγράμματος, και μιας «από τη βάση στην κορυφή» προσέγγισης στο μικροεπίπεδο για την εκτίμηση των καθαρών επιδράσεων διαφόρων μέτρων ή συνδυασμών μέτρων.</w:t>
                      </w:r>
                    </w:p>
                    <w:p w:rsidR="0067073B" w:rsidRPr="00553149" w:rsidRDefault="0067073B" w:rsidP="00AC0E3D">
                      <w:pPr>
                        <w:pStyle w:val="HStandard"/>
                        <w:spacing w:after="0"/>
                        <w:rPr>
                          <w:rFonts w:cs="Arial"/>
                          <w:szCs w:val="16"/>
                        </w:rPr>
                      </w:pPr>
                    </w:p>
                    <w:p w:rsidR="0067073B" w:rsidRPr="00553149" w:rsidRDefault="0067073B" w:rsidP="00AC0E3D">
                      <w:pPr>
                        <w:pStyle w:val="HStandard"/>
                        <w:spacing w:after="0"/>
                        <w:rPr>
                          <w:rFonts w:cs="Arial"/>
                          <w:szCs w:val="16"/>
                        </w:rPr>
                      </w:pPr>
                      <w:r>
                        <w:t xml:space="preserve">Είναι σημαντικό να επισημανθεί ότι ανεξαρτήτως της προσέγγισης που θα επιλεγεί, η ανάλυση των καθαρών επιδράσεων ενός ΠΑΑ είναι εφικτή μόνο εφόσον διατίθενται επαρκή ποσοτικά δεδομένα και εφαρμόζονται προηγμένες μεθοδολογικές τεχνικές. Ενδεχόμενη χρήση απλοϊκών επιλογών ποσοτικής αξιολόγησης (π.χ. πριν-μετά, χρήση μη κατάλληλωνελέγχων κ.λπ.) μπορεί να αλλοιώσει σημαντικά τα ληφθέντα αποτελέσματα των «καθαρών» επιπτώσεωνκαι προς τις δυο κατευθύνσεις (θετικά ή αρνητικά). </w:t>
                      </w:r>
                    </w:p>
                    <w:p w:rsidR="0067073B" w:rsidRPr="00553149" w:rsidRDefault="0067073B" w:rsidP="00AC0E3D">
                      <w:pPr>
                        <w:pStyle w:val="HStandard"/>
                        <w:spacing w:after="0"/>
                        <w:rPr>
                          <w:rFonts w:cs="Arial"/>
                          <w:szCs w:val="16"/>
                        </w:rPr>
                      </w:pPr>
                    </w:p>
                    <w:p w:rsidR="0067073B" w:rsidRPr="00502017" w:rsidRDefault="0067073B" w:rsidP="00AC0E3D">
                      <w:pPr>
                        <w:pStyle w:val="HStandard"/>
                        <w:spacing w:after="0"/>
                        <w:rPr>
                          <w:rFonts w:cs="Arial"/>
                          <w:szCs w:val="16"/>
                        </w:rPr>
                      </w:pPr>
                      <w:r>
                        <w:t xml:space="preserve">Δεδομένου ότι η </w:t>
                      </w:r>
                      <w:r>
                        <w:rPr>
                          <w:b/>
                        </w:rPr>
                        <w:t>πρώτη προσέγγιση</w:t>
                      </w:r>
                      <w:r>
                        <w:t xml:space="preserve"> (παρέκταση της μικροανάλυσης στο μακροεπίπεδο της περιοχής του προγράμματος) είναι η ευκολότερη και η περισσότερα υποσχόμενη, περιγράφουμε ακολούθως τα πιο σημαντικά βήματά της. Η προσέγγιση περιλαμβάνει πέντε κύρια βήματα που μπορούν να εφαρμοστούν τόσο στους τομεακούς όσο και στους περιβαλλοντικούς και κοινωνικοοικονομικούς δείκτες αντικτύπου. Η βασική διαφορά μεταξύ της ανάλυσης των καθαρών επιπτώσεων του ΠΑΑ που διενεργείται σε αυτούς τους τρεις τομείς συνίσταται στον ορισμό των μονάδων στις οποίες βασίζεται η ανάλυση: π.χ. εκμεταλλεύσεις (επιχειρήσεις) ή διοικητικές περιφέρειες (π.χ. NUTS 4, NUTS 5 κ.λπ.) για τους τομεακούς δείκτες· αγροτεμάχια ή μικρές γεωγραφικές περιφέρειες (περιφερειακές χωρικές πληροφορίες) για τους περιβαλλοντικούς δείκτες· και διοικητικές περιφέρειες (π.χ. NUTS 3, NUTS 4 ή NUTS 5) για τους κοινωνικοοικονομικούς δείκτες. Τα βήματα είναι τα εξής:</w:t>
                      </w:r>
                    </w:p>
                    <w:p w:rsidR="0067073B" w:rsidRPr="00502017" w:rsidRDefault="0067073B" w:rsidP="00AC0E3D">
                      <w:pPr>
                        <w:pStyle w:val="HStandard"/>
                        <w:spacing w:after="0"/>
                        <w:rPr>
                          <w:rFonts w:cs="Arial"/>
                          <w:szCs w:val="16"/>
                        </w:rPr>
                      </w:pPr>
                    </w:p>
                    <w:p w:rsidR="0067073B" w:rsidRPr="00735F08" w:rsidRDefault="0067073B" w:rsidP="00AC0E3D">
                      <w:pPr>
                        <w:pStyle w:val="Hlistbullet"/>
                        <w:numPr>
                          <w:ilvl w:val="0"/>
                          <w:numId w:val="0"/>
                        </w:numPr>
                        <w:jc w:val="left"/>
                        <w:rPr>
                          <w:szCs w:val="16"/>
                        </w:rPr>
                      </w:pPr>
                      <w:r>
                        <w:rPr>
                          <w:b/>
                          <w:color w:val="F07E31" w:themeColor="accent1"/>
                        </w:rPr>
                        <w:t>Βήμα 1:</w:t>
                      </w:r>
                      <w:r>
                        <w:t xml:space="preserve"> Εκτίμηση των </w:t>
                      </w:r>
                      <w:r>
                        <w:rPr>
                          <w:b/>
                        </w:rPr>
                        <w:t>άμεσων επιδράσεων του ΠΑΑ</w:t>
                      </w:r>
                      <w:r>
                        <w:t xml:space="preserve"> </w:t>
                      </w:r>
                      <w:r>
                        <w:rPr>
                          <w:b/>
                        </w:rPr>
                        <w:t>σε δικαιούχους στο μικροεπίπεδο</w:t>
                      </w:r>
                      <w:r>
                        <w:t>.</w:t>
                      </w:r>
                    </w:p>
                    <w:p w:rsidR="0067073B" w:rsidRPr="00553149" w:rsidRDefault="004750F3" w:rsidP="004750F3">
                      <w:pPr>
                        <w:pStyle w:val="HStandard"/>
                        <w:spacing w:after="0"/>
                        <w:ind w:left="1080" w:hanging="480"/>
                        <w:rPr>
                          <w:rFonts w:cs="Arial"/>
                          <w:szCs w:val="16"/>
                        </w:rPr>
                      </w:pPr>
                      <w:r>
                        <w:t>α.</w:t>
                      </w:r>
                      <w:r>
                        <w:tab/>
                      </w:r>
                      <w:r w:rsidR="0067073B">
                        <w:t>Υπολογισμός στο μικροεπίπεδο, για την ομάδα δικαιούχων και την ομάδα ελέγχου, της μέσης τιμής των κοινών ή πρόσθετων δεικτών αντικτύπου προ στήριξης (π.χ. το έτος 2013) και μετά τη στήριξη (π.χ. τα έτη 2018 ή 2019).</w:t>
                      </w:r>
                    </w:p>
                    <w:p w:rsidR="0067073B" w:rsidRPr="00553149" w:rsidRDefault="004750F3" w:rsidP="006F2A7D">
                      <w:pPr>
                        <w:pStyle w:val="HStandard"/>
                        <w:spacing w:after="0"/>
                        <w:ind w:left="1080" w:hanging="480"/>
                        <w:rPr>
                          <w:rFonts w:cs="Arial"/>
                          <w:szCs w:val="16"/>
                        </w:rPr>
                      </w:pPr>
                      <w:r>
                        <w:t>β.</w:t>
                      </w:r>
                      <w:r w:rsidR="006F2A7D">
                        <w:tab/>
                      </w:r>
                      <w:r w:rsidR="0067073B">
                        <w:t xml:space="preserve">Υπολογισμός συγκεκριμένων δεικτών πολιτικής [(π.χ. μέσο αποτέλεσμα εφαρμογής στους δικαιούχους (ATT/ΜΑΕΔ)], χρησιμοποιώντας ως εκροή τους σχετικούς κοινούς ή πρόσθετους δείκτες αντικτύπου. Υπολογισμός </w:t>
                      </w:r>
                      <w:r w:rsidR="0067073B">
                        <w:rPr>
                          <w:b/>
                        </w:rPr>
                        <w:t>των άμεσων καθαρών επιδράσεων του ΠΑΑ στους προαναφερθέντες δείκτες</w:t>
                      </w:r>
                      <w:r w:rsidR="0067073B">
                        <w:t xml:space="preserve"> με συνδυασμένη χρήση των υπολογισθέντων ΜΑΕΔ και της μεθόδου της «διαφοράς των διαφορών» (ΔτΔ).</w:t>
                      </w:r>
                    </w:p>
                    <w:p w:rsidR="0067073B" w:rsidRPr="00553149" w:rsidRDefault="006F2A7D" w:rsidP="006F2A7D">
                      <w:pPr>
                        <w:pStyle w:val="HStandard"/>
                        <w:spacing w:after="0"/>
                        <w:ind w:left="1080" w:hanging="480"/>
                        <w:rPr>
                          <w:rFonts w:cs="Arial"/>
                          <w:szCs w:val="16"/>
                        </w:rPr>
                      </w:pPr>
                      <w:r>
                        <w:t>γ.</w:t>
                      </w:r>
                      <w:r>
                        <w:tab/>
                      </w:r>
                      <w:r w:rsidR="0067073B">
                        <w:t>Διενέργεια ανάλυσης ευαισθησίας στα ληφθέντα αποτελέσματα.</w:t>
                      </w:r>
                    </w:p>
                    <w:p w:rsidR="0067073B" w:rsidRDefault="0067073B" w:rsidP="00AC0E3D">
                      <w:pPr>
                        <w:pStyle w:val="Hlistbullet"/>
                        <w:numPr>
                          <w:ilvl w:val="0"/>
                          <w:numId w:val="0"/>
                        </w:numPr>
                        <w:spacing w:before="0" w:after="120" w:line="280" w:lineRule="atLeast"/>
                        <w:rPr>
                          <w:rFonts w:cs="Arial"/>
                          <w:szCs w:val="16"/>
                        </w:rPr>
                      </w:pPr>
                      <w:r>
                        <w:rPr>
                          <w:b/>
                          <w:color w:val="F07E31" w:themeColor="accent1"/>
                        </w:rPr>
                        <w:t xml:space="preserve">Βήμα 2: </w:t>
                      </w:r>
                      <w:r>
                        <w:t xml:space="preserve">Εκτίμηση των </w:t>
                      </w:r>
                      <w:r>
                        <w:rPr>
                          <w:b/>
                        </w:rPr>
                        <w:t>έμμεσων επιδράσεων</w:t>
                      </w:r>
                      <w:r>
                        <w:t xml:space="preserve"> του ΠΑΑ </w:t>
                      </w:r>
                      <w:r>
                        <w:rPr>
                          <w:b/>
                        </w:rPr>
                        <w:t>σε δικαιούχους στο μικροεπίπεδο</w:t>
                      </w:r>
                      <w:r>
                        <w:t>. Και σε αυτή την περίπτωση, η μεταβολή που παρατηρείται στην τιμή των δεικτών θα πρέπει να επιμεριστεί στις αλλαγές που οφείλονται στο πρόγραμμα (συνολική επίδραση κύριων και δευτερευουσών συνεισφορών) και στις αλλαγές που προκαλούνται από άλλους παράγοντες.</w:t>
                      </w:r>
                      <w:r>
                        <w:rPr>
                          <w:color w:val="auto"/>
                        </w:rPr>
                        <w:t xml:space="preserve"> </w:t>
                      </w:r>
                      <w:r>
                        <w:t xml:space="preserve">Οι έμμεσες επιδράσεις του προγράμματος (π.χ. υποκατάσταση, εκτοπισμός, πολλαπλασιαστικό αποτέλεσμα) του ΠΑΑ θα πρέπει να υπολογίζονται και να παρουσιάζονται χωριστά. </w:t>
                      </w:r>
                    </w:p>
                    <w:p w:rsidR="0067073B" w:rsidRPr="00027601" w:rsidRDefault="0067073B" w:rsidP="00027601">
                      <w:pPr>
                        <w:pStyle w:val="Hlistbullet"/>
                        <w:numPr>
                          <w:ilvl w:val="0"/>
                          <w:numId w:val="0"/>
                        </w:numPr>
                        <w:spacing w:before="0" w:after="120" w:line="280" w:lineRule="atLeast"/>
                        <w:rPr>
                          <w:i/>
                          <w:color w:val="F07E31" w:themeColor="accent1"/>
                          <w:sz w:val="16"/>
                          <w:szCs w:val="16"/>
                        </w:rPr>
                      </w:pPr>
                    </w:p>
                  </w:txbxContent>
                </v:textbox>
                <w10:anchorlock/>
              </v:shape>
            </w:pict>
          </mc:Fallback>
        </mc:AlternateContent>
      </w:r>
    </w:p>
    <w:p w:rsidR="00AC0E3D" w:rsidRPr="00571D58" w:rsidRDefault="00AC0E3D" w:rsidP="000B6372">
      <w:pPr>
        <w:pStyle w:val="HStandard"/>
      </w:pPr>
    </w:p>
    <w:p w:rsidR="00FC012D" w:rsidRPr="00336531" w:rsidRDefault="000B213F" w:rsidP="00FC012D">
      <w:pPr>
        <w:pStyle w:val="HHeading4"/>
      </w:pPr>
      <w:r>
        <w:rPr>
          <w:b w:val="0"/>
          <w:i/>
          <w:noProof/>
          <w:color w:val="F07E31" w:themeColor="accent1"/>
          <w:lang w:val="en-GB" w:eastAsia="en-GB" w:bidi="ar-SA"/>
        </w:rPr>
        <mc:AlternateContent>
          <mc:Choice Requires="wps">
            <w:drawing>
              <wp:inline distT="0" distB="0" distL="0" distR="0" wp14:anchorId="470F4C74" wp14:editId="52AF0EB5">
                <wp:extent cx="5834418" cy="5650173"/>
                <wp:effectExtent l="0" t="0" r="13970" b="27305"/>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4418" cy="5650173"/>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67073B" w:rsidRPr="005945BB" w:rsidRDefault="0067073B" w:rsidP="00AC0E3D">
                            <w:pPr>
                              <w:pStyle w:val="Hlistbullet"/>
                              <w:numPr>
                                <w:ilvl w:val="0"/>
                                <w:numId w:val="0"/>
                              </w:numPr>
                              <w:spacing w:before="0" w:after="120" w:line="280" w:lineRule="atLeast"/>
                              <w:rPr>
                                <w:rFonts w:cs="Arial"/>
                                <w:szCs w:val="16"/>
                              </w:rPr>
                            </w:pPr>
                            <w:r>
                              <w:rPr>
                                <w:b/>
                                <w:color w:val="F07E31" w:themeColor="accent1"/>
                              </w:rPr>
                              <w:t xml:space="preserve">Βήμα 3: </w:t>
                            </w:r>
                            <w:r>
                              <w:t xml:space="preserve">Υπολογισμός των </w:t>
                            </w:r>
                            <w:r>
                              <w:rPr>
                                <w:b/>
                              </w:rPr>
                              <w:t>έμμεσων επιδράσεων</w:t>
                            </w:r>
                            <w:r>
                              <w:t xml:space="preserve"> </w:t>
                            </w:r>
                            <w:r>
                              <w:rPr>
                                <w:b/>
                              </w:rPr>
                              <w:t>σε μη δικαιούχους στο μικροεπίπεδο</w:t>
                            </w:r>
                            <w:r>
                              <w:t xml:space="preserve">. Στην περίπτωση αυτή, η μεταβολή στην τιμή των δεικτών θα πρέπει επίσης να επιμεριστεί σε δύο συνιστώσες: στις αλλαγές που οφείλονται στο πρόγραμμα (συνολική επίδραση κύριων και δευτερευουσών συνεισφορών) και στις αλλαγές που προκαλούνται από άλλους παράγοντες. Το στάδιο αυτό αναφέρεται στην προσδοκία ότι η στήριξη που έλαβαν οι δικαιούχοι των μέτρων του ΠΑΑ μπορεί να έχει «αναμενόμενες/μη αναμενόμενες» επιδράσεις στη γενική ισορροπία (π.χ. αρνητικές επιδράσεις σε μη δικαιούχους που γειτνιάζουν με δικαιούχους του προγράμματος). </w:t>
                            </w:r>
                          </w:p>
                          <w:p w:rsidR="0067073B" w:rsidRPr="005945BB" w:rsidRDefault="0067073B" w:rsidP="00AC0E3D">
                            <w:pPr>
                              <w:pStyle w:val="HStandard"/>
                              <w:rPr>
                                <w:rFonts w:cs="Arial"/>
                                <w:szCs w:val="16"/>
                              </w:rPr>
                            </w:pPr>
                            <w:r>
                              <w:t>Στο συγκεκριμένο στάδιο της αξιολόγησης είναι σημαντικό να γίνει προκαταρκτική ποιοτική εκτίμηση, δεδομένου ότι αυτή μπορεί να παρέχει πρόσβαση σε πολύτιμες γνώσεις ειδικών και να οδηγήσει στη διατύπωση σημαντικών ειδικών ανά πρόγραμμα ερωτημάτων αξιολόγησης (ΕΠΕΑ) που θα επικεντρώνονται στις επιδόσεις του προγράμματος, ιδίως όσον αφορά τις θετικές, αρνητικές, εκούσιες και ακούσιες επιδράσεις του σε μη δικαιούχους. Η χρήση των ΕΠΕΑ είναι εθελοντική αλλά, εφόσον διατυπωθούν τέτοιου είδους ερωτήματα θα πρέπει να δοθεί απάντηση. Στο πλαίσιο της προκαταρκτικής ανάλυσης συνεργειών ή πιθανών αρνητικών εγκάρσιων επιδράσεων, οι αξιολογητές μπορούν επίσης να χρησιμοποιούν εργαλεία ποιοτικής εκτίμησης.</w:t>
                            </w:r>
                          </w:p>
                          <w:p w:rsidR="0067073B" w:rsidRPr="005945BB" w:rsidRDefault="0067073B" w:rsidP="00AC0E3D">
                            <w:pPr>
                              <w:pStyle w:val="Hlistbullet"/>
                              <w:numPr>
                                <w:ilvl w:val="0"/>
                                <w:numId w:val="0"/>
                              </w:numPr>
                              <w:spacing w:before="0" w:after="120" w:line="280" w:lineRule="atLeast"/>
                              <w:rPr>
                                <w:rFonts w:cs="Arial"/>
                                <w:szCs w:val="16"/>
                              </w:rPr>
                            </w:pPr>
                            <w:r>
                              <w:rPr>
                                <w:b/>
                                <w:color w:val="F07E31" w:themeColor="accent1"/>
                              </w:rPr>
                              <w:t xml:space="preserve">Βήμα 4: </w:t>
                            </w:r>
                            <w:r>
                              <w:rPr>
                                <w:b/>
                              </w:rPr>
                              <w:t>Άθροιση των πορισμάτων και υπολογισμός των επιπτώσεων του ΠΑΑ στους αναλυθέντες δείκτες αντικτύπου στο μακροεπίπεδο και σε επίπεδο περιοχής προγραμματισμού.</w:t>
                            </w:r>
                            <w:r>
                              <w:t xml:space="preserve"> Σεαυτό το βήμα ο αξιολογητής θα πρέπει να υπολογίσει τις καθαρές άμεσες επιδράσεις του ΠΑΑ στους δείκτες αντικτύπου σε επίπεδο περιοχής προγράμματος εφαρμόζοντας τεχνικές παρέκτασης (δηλ. πολλαπλασιάζοντας τα μέσα μικροαποτελέσματα που υπολογίστηκαν στο μικροεπίπεδο με τον αριθμό των δικαιούχων/μη δικαιούχων).</w:t>
                            </w:r>
                          </w:p>
                          <w:p w:rsidR="0067073B" w:rsidRPr="005945BB" w:rsidRDefault="0067073B" w:rsidP="00AC0E3D">
                            <w:pPr>
                              <w:pStyle w:val="HStandard"/>
                              <w:rPr>
                                <w:color w:val="auto"/>
                                <w:szCs w:val="16"/>
                              </w:rPr>
                            </w:pPr>
                            <w:r>
                              <w:rPr>
                                <w:b/>
                                <w:color w:val="F07E31" w:themeColor="accent1"/>
                              </w:rPr>
                              <w:t xml:space="preserve">Βήμα 5: </w:t>
                            </w:r>
                            <w:r>
                              <w:rPr>
                                <w:b/>
                              </w:rPr>
                              <w:t>Εφαρμογή ποσοτικών μεθόδων</w:t>
                            </w:r>
                            <w:r>
                              <w:t xml:space="preserve"> για τον έλεγχο και την επαλήθευση των αποτελεσμάτων που προέκυψαν (τριγωνισμός).</w:t>
                            </w:r>
                          </w:p>
                          <w:p w:rsidR="0067073B" w:rsidRPr="005945BB" w:rsidRDefault="0067073B" w:rsidP="00735F08">
                            <w:pPr>
                              <w:pStyle w:val="Hlistbullet"/>
                              <w:numPr>
                                <w:ilvl w:val="0"/>
                                <w:numId w:val="0"/>
                              </w:numPr>
                              <w:jc w:val="center"/>
                              <w:rPr>
                                <w:i/>
                                <w:color w:val="F07E31" w:themeColor="accent1"/>
                                <w:szCs w:val="18"/>
                              </w:rPr>
                            </w:pPr>
                            <w:r>
                              <w:rPr>
                                <w:i/>
                                <w:color w:val="F07E31" w:themeColor="accent1"/>
                              </w:rPr>
                              <w:t>Μάθετε περισσότερα για τον προσδιορισμό των επιδράσεων του προγράμματος στο έγγραφο</w:t>
                            </w:r>
                            <w:r>
                              <w:rPr>
                                <w:i/>
                                <w:color w:val="F07E31" w:themeColor="accent1"/>
                                <w:szCs w:val="18"/>
                              </w:rPr>
                              <w:br/>
                            </w:r>
                            <w:r>
                              <w:rPr>
                                <w:i/>
                                <w:color w:val="F07E31" w:themeColor="accent1"/>
                              </w:rPr>
                              <w:t xml:space="preserve"> </w:t>
                            </w:r>
                            <w:hyperlink r:id="rId48" w:history="1">
                              <w:r>
                                <w:rPr>
                                  <w:rStyle w:val="Hyperlink"/>
                                  <w:i/>
                                  <w:color w:val="F07E31" w:themeColor="accent1"/>
                                </w:rPr>
                                <w:t>Guidelines for ex post evaluation of 2007-2013 RDPs (Κατευθυντήριες γραμμές για την εκ των υστέρων αξιολόγηση των ΠΑΑ 2007-2013)</w:t>
                              </w:r>
                            </w:hyperlink>
                            <w:r>
                              <w:rPr>
                                <w:rStyle w:val="Hyperlink"/>
                                <w:i/>
                                <w:color w:val="F07E31" w:themeColor="accent1"/>
                              </w:rPr>
                              <w:t>, κεφάλαιο 4.2 και για τη μέθοδο CGE στο κεφάλαιο 4.3.3</w:t>
                            </w:r>
                          </w:p>
                        </w:txbxContent>
                      </wps:txbx>
                      <wps:bodyPr rot="0" vert="horz" wrap="square" lIns="91440" tIns="45720" rIns="91440" bIns="45720" anchor="t" anchorCtr="0" upright="1">
                        <a:noAutofit/>
                      </wps:bodyPr>
                    </wps:wsp>
                  </a:graphicData>
                </a:graphic>
              </wp:inline>
            </w:drawing>
          </mc:Choice>
          <mc:Fallback>
            <w:pict>
              <v:shape w14:anchorId="470F4C74" id="AutoShape 63" o:spid="_x0000_s1040" style="width:459.4pt;height:444.9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" adj="-11796480,,5400" path="m335330,l5731510,r,4377005c5731510,4562203,5581378,4712335,5396180,4712335l,4712335,,335330c,150132,150132,,335330,xe" filled="f" strokecolor="#be4a35" strokeweight="2pt">
                <v:stroke joinstyle="miter"/>
                <v:formulas/>
                <v:path arrowok="t" o:connecttype="custom" o:connectlocs="341351,0;5834418,0;5834418,0;5834418,5248106;5493067,5650173;0,5650173;0,5650173;0,402067;341351,0" o:connectangles="0,0,0,0,0,0,0,0,0" textboxrect="0,0,5731510,4712335"/>
                <v:textbox>
                  <w:txbxContent>
                    <w:p w:rsidR="0067073B" w:rsidRPr="005945BB" w:rsidRDefault="0067073B" w:rsidP="00AC0E3D">
                      <w:pPr>
                        <w:pStyle w:val="Hlistbullet"/>
                        <w:numPr>
                          <w:ilvl w:val="0"/>
                          <w:numId w:val="0"/>
                        </w:numPr>
                        <w:spacing w:before="0" w:after="120" w:line="280" w:lineRule="atLeast"/>
                        <w:rPr>
                          <w:rFonts w:cs="Arial"/>
                          <w:szCs w:val="16"/>
                        </w:rPr>
                      </w:pPr>
                      <w:r>
                        <w:rPr>
                          <w:b/>
                          <w:color w:val="F07E31" w:themeColor="accent1"/>
                        </w:rPr>
                        <w:t xml:space="preserve">Βήμα 3: </w:t>
                      </w:r>
                      <w:r>
                        <w:t xml:space="preserve">Υπολογισμός των </w:t>
                      </w:r>
                      <w:r>
                        <w:rPr>
                          <w:b/>
                        </w:rPr>
                        <w:t>έμμεσων επιδράσεων</w:t>
                      </w:r>
                      <w:r>
                        <w:t xml:space="preserve"> </w:t>
                      </w:r>
                      <w:r>
                        <w:rPr>
                          <w:b/>
                        </w:rPr>
                        <w:t>σε μη δικαιούχους στο μικροεπίπεδο</w:t>
                      </w:r>
                      <w:r>
                        <w:t xml:space="preserve">. Στην περίπτωση αυτή, η μεταβολή στην τιμή των δεικτών θα πρέπει επίσης να επιμεριστεί σε δύο συνιστώσες: στις αλλαγές που οφείλονται στο πρόγραμμα (συνολική επίδραση κύριων και δευτερευουσών συνεισφορών) και στις αλλαγές που προκαλούνται από άλλους παράγοντες. Το στάδιο αυτό αναφέρεται στην προσδοκία ότι η στήριξη που έλαβαν οι δικαιούχοι των μέτρων του ΠΑΑ μπορεί να έχει «αναμενόμενες/μη αναμενόμενες» επιδράσεις στη γενική ισορροπία (π.χ. αρνητικές επιδράσεις σε μη δικαιούχους που γειτνιάζουν με δικαιούχους του προγράμματος). </w:t>
                      </w:r>
                    </w:p>
                    <w:p w:rsidR="0067073B" w:rsidRPr="005945BB" w:rsidRDefault="0067073B" w:rsidP="00AC0E3D">
                      <w:pPr>
                        <w:pStyle w:val="HStandard"/>
                        <w:rPr>
                          <w:rFonts w:cs="Arial"/>
                          <w:szCs w:val="16"/>
                        </w:rPr>
                      </w:pPr>
                      <w:r>
                        <w:t>Στο συγκεκριμένο στάδιο της αξιολόγησης είναι σημαντικό να γίνει προκαταρκτική ποιοτική εκτίμηση, δεδομένου ότι αυτή μπορεί να παρέχει πρόσβαση σε πολύτιμες γνώσεις ειδικών και να οδηγήσει στη διατύπωση σημαντικών ειδικών ανά πρόγραμμα ερωτημάτων αξιολόγησης (ΕΠΕΑ) που θα επικεντρώνονται στις επιδόσεις του προγράμματος, ιδίως όσον αφορά τις θετικές, αρνητικές, εκούσιες και ακούσιες επιδράσεις του σε μη δικαιούχους. Η χρήση των ΕΠΕΑ είναι εθελοντική αλλά, εφόσον διατυπωθούν τέτοιου είδους ερωτήματα θα πρέπει να δοθεί απάντηση. Στο πλαίσιο της προκαταρκτικής ανάλυσης συνεργειών ή πιθανών αρνητικών εγκάρσιων επιδράσεων, οι αξιολογητές μπορούν επίσης να χρησιμοποιούν εργαλεία ποιοτικής εκτίμησης.</w:t>
                      </w:r>
                    </w:p>
                    <w:p w:rsidR="0067073B" w:rsidRPr="005945BB" w:rsidRDefault="0067073B" w:rsidP="00AC0E3D">
                      <w:pPr>
                        <w:pStyle w:val="Hlistbullet"/>
                        <w:numPr>
                          <w:ilvl w:val="0"/>
                          <w:numId w:val="0"/>
                        </w:numPr>
                        <w:spacing w:before="0" w:after="120" w:line="280" w:lineRule="atLeast"/>
                        <w:rPr>
                          <w:rFonts w:cs="Arial"/>
                          <w:szCs w:val="16"/>
                        </w:rPr>
                      </w:pPr>
                      <w:r>
                        <w:rPr>
                          <w:b/>
                          <w:color w:val="F07E31" w:themeColor="accent1"/>
                        </w:rPr>
                        <w:t xml:space="preserve">Βήμα 4: </w:t>
                      </w:r>
                      <w:r>
                        <w:rPr>
                          <w:b/>
                        </w:rPr>
                        <w:t>Άθροιση των πορισμάτων και υπολογισμός των επιπτώσεων του ΠΑΑ στους αναλυθέντες δείκτες αντικτύπου στο μακροεπίπεδο και σε επίπεδο περιοχής προγραμματισμού.</w:t>
                      </w:r>
                      <w:r>
                        <w:t xml:space="preserve"> Σεαυτό το βήμα ο αξιολογητής θα πρέπει να υπολογίσει τις καθαρές άμεσες επιδράσεις του ΠΑΑ στους δείκτες αντικτύπου σε επίπεδο περιοχής προγράμματος εφαρμόζοντας τεχνικές παρέκτασης (δηλ. πολλαπλασιάζοντας τα μέσα μικροαποτελέσματα που υπολογίστηκαν στο μικροεπίπεδο με τον αριθμό των δικαιούχων/μη δικαιούχων).</w:t>
                      </w:r>
                    </w:p>
                    <w:p w:rsidR="0067073B" w:rsidRPr="005945BB" w:rsidRDefault="0067073B" w:rsidP="00AC0E3D">
                      <w:pPr>
                        <w:pStyle w:val="HStandard"/>
                        <w:rPr>
                          <w:color w:val="auto"/>
                          <w:szCs w:val="16"/>
                        </w:rPr>
                      </w:pPr>
                      <w:r>
                        <w:rPr>
                          <w:b/>
                          <w:color w:val="F07E31" w:themeColor="accent1"/>
                        </w:rPr>
                        <w:t xml:space="preserve">Βήμα 5: </w:t>
                      </w:r>
                      <w:r>
                        <w:rPr>
                          <w:b/>
                        </w:rPr>
                        <w:t>Εφαρμογή ποσοτικών μεθόδων</w:t>
                      </w:r>
                      <w:r>
                        <w:t xml:space="preserve"> για τον έλεγχο και την επαλήθευση των αποτελεσμάτων που προέκυψαν (τριγωνισμός).</w:t>
                      </w:r>
                    </w:p>
                    <w:p w:rsidR="0067073B" w:rsidRPr="005945BB" w:rsidRDefault="0067073B" w:rsidP="00735F08">
                      <w:pPr>
                        <w:pStyle w:val="Hlistbullet"/>
                        <w:numPr>
                          <w:ilvl w:val="0"/>
                          <w:numId w:val="0"/>
                        </w:numPr>
                        <w:jc w:val="center"/>
                        <w:rPr>
                          <w:i/>
                          <w:color w:val="F07E31" w:themeColor="accent1"/>
                          <w:szCs w:val="18"/>
                        </w:rPr>
                      </w:pPr>
                      <w:r>
                        <w:rPr>
                          <w:i/>
                          <w:color w:val="F07E31" w:themeColor="accent1"/>
                        </w:rPr>
                        <w:t>Μάθετε περισσότερα για τον προσδιορισμό των επιδράσεων του προγράμματος στο έγγραφο</w:t>
                      </w:r>
                      <w:r>
                        <w:rPr>
                          <w:i/>
                          <w:color w:val="F07E31" w:themeColor="accent1"/>
                          <w:szCs w:val="18"/>
                        </w:rPr>
                        <w:br/>
                      </w:r>
                      <w:r>
                        <w:rPr>
                          <w:i/>
                          <w:color w:val="F07E31" w:themeColor="accent1"/>
                        </w:rPr>
                        <w:t xml:space="preserve"> </w:t>
                      </w:r>
                      <w:hyperlink r:id="rId49" w:history="1">
                        <w:r>
                          <w:rPr>
                            <w:rStyle w:val="Hyperlink"/>
                            <w:i/>
                            <w:color w:val="F07E31" w:themeColor="accent1"/>
                          </w:rPr>
                          <w:t>Guidelines for ex post evaluation of 2007-2013 RDPs (Κατευθυντήριες γραμμές για την εκ των υστέρων αξιολόγηση των ΠΑΑ 2007-2013)</w:t>
                        </w:r>
                      </w:hyperlink>
                      <w:r>
                        <w:rPr>
                          <w:rStyle w:val="Hyperlink"/>
                          <w:i/>
                          <w:color w:val="F07E31" w:themeColor="accent1"/>
                        </w:rPr>
                        <w:t>, κεφάλαιο 4.2 και για τη μέθοδο CGE στο κεφάλαιο 4.3.3</w:t>
                      </w:r>
                    </w:p>
                  </w:txbxContent>
                </v:textbox>
                <w10:anchorlock/>
              </v:shape>
            </w:pict>
          </mc:Fallback>
        </mc:AlternateContent>
      </w:r>
      <w:r>
        <w:br w:type="column"/>
      </w:r>
      <w:r>
        <w:lastRenderedPageBreak/>
        <w:t>Έλεγχος και επικύρωση συνέπειας στο μικροεπίπεδο και το μακροεπίπεδο (4 επίπεδο)</w:t>
      </w:r>
    </w:p>
    <w:p w:rsidR="00FC012D" w:rsidRPr="00336531" w:rsidRDefault="000B213F" w:rsidP="00FC012D">
      <w:pPr>
        <w:pStyle w:val="HStandard"/>
        <w:rPr>
          <w:rFonts w:cs="Arial"/>
        </w:rPr>
      </w:pPr>
      <w:r>
        <w:rPr>
          <w:b/>
          <w:i/>
          <w:noProof/>
          <w:color w:val="F07E31" w:themeColor="accent1"/>
          <w:lang w:val="en-GB" w:eastAsia="en-GB" w:bidi="ar-SA"/>
        </w:rPr>
        <mc:AlternateContent>
          <mc:Choice Requires="wps">
            <w:drawing>
              <wp:inline distT="0" distB="0" distL="0" distR="0" wp14:anchorId="3BA9EE62" wp14:editId="012AF5C7">
                <wp:extent cx="5731510" cy="1262743"/>
                <wp:effectExtent l="0" t="0" r="21590" b="13970"/>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62743"/>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67073B" w:rsidRPr="00044269" w:rsidRDefault="0067073B"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164D043" wp14:editId="63964AF7">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Για την εκτίμηση των καθαρών επιπτώσεων</w:t>
                            </w:r>
                            <w:r>
                              <w:rPr>
                                <w:b w:val="0"/>
                                <w:color w:val="373737" w:themeColor="text1"/>
                              </w:rPr>
                              <w:t xml:space="preserve"> είναι σημαντικό να ελεγχθεί η συνέπεια των αποτελεσμάτων που προκύπτουν από την εκτίμηση στο μικροεπίπεδο και το μακροεπίπεδο, ως προϋπόθεση για την επικύρωσή τους. Συνέπεια υπάρχει όταν τα πορίσματα και στα δύο επίπεδα δεν αντικρούουν το ένα το άλλο.</w:t>
                            </w:r>
                          </w:p>
                        </w:txbxContent>
                      </wps:txbx>
                      <wps:bodyPr rot="0" vert="horz" wrap="square" lIns="91440" tIns="45720" rIns="91440" bIns="45720" anchor="ctr" anchorCtr="0" upright="1">
                        <a:noAutofit/>
                      </wps:bodyPr>
                    </wps:wsp>
                  </a:graphicData>
                </a:graphic>
              </wp:inline>
            </w:drawing>
          </mc:Choice>
          <mc:Fallback>
            <w:pict>
              <v:shape w14:anchorId="3BA9EE62" id="AutoShape 62" o:spid="_x0000_s1041" style="width:451.3pt;height:99.45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" adj="-11796480,,5400" path="m106671,l5731510,r,1114798c5731510,1173711,5683752,1221469,5624839,1221469l,1221469,,106671c,47758,47758,,106671,xe" filled="f" strokecolor="#be4a35" strokeweight="2pt">
                <v:stroke joinstyle="miter"/>
                <v:formulas/>
                <v:path arrowok="t" o:connecttype="custom" o:connectlocs="106671,0;5731510,0;5731510,0;5731510,1152468;5624839,1262743;0,1262743;0,1262743;0,110275;106671,0" o:connectangles="0,0,0,0,0,0,0,0,0" textboxrect="0,0,5731510,1221469"/>
                <v:textbox>
                  <w:txbxContent>
                    <w:p w:rsidR="0067073B" w:rsidRPr="00044269" w:rsidRDefault="0067073B"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164D043" wp14:editId="63964AF7">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Για την εκτίμηση των καθαρών επιπτώσεων</w:t>
                      </w:r>
                      <w:r>
                        <w:rPr>
                          <w:b w:val="0"/>
                          <w:color w:val="373737" w:themeColor="text1"/>
                        </w:rPr>
                        <w:t xml:space="preserve"> είναι σημαντικό να ελεγχθεί η συνέπεια των αποτελεσμάτων που προκύπτουν από την εκτίμηση στο μικροεπίπεδο και το μακροεπίπεδο, ως προϋπόθεση για την επικύρωσή τους. Συνέπεια υπάρχει όταν τα πορίσματα και στα δύο επίπεδα δεν αντικρούουν το ένα το άλλο.</w:t>
                      </w:r>
                    </w:p>
                  </w:txbxContent>
                </v:textbox>
                <w10:anchorlock/>
              </v:shape>
            </w:pict>
          </mc:Fallback>
        </mc:AlternateContent>
      </w:r>
      <w:r>
        <w:t xml:space="preserve">Στην περίπτωση ποσοτικής αξιολόγησης από τη βάση στην κορυφή, η συνέπεια εξασφαλίζεται με την κλιμάκωση των δεδομένων από το μικροεπίπεδο στο μακροεπίπεδο. </w:t>
      </w:r>
    </w:p>
    <w:p w:rsidR="00FC012D" w:rsidRPr="001C6ACF" w:rsidRDefault="00FC012D" w:rsidP="001E5FC4">
      <w:pPr>
        <w:spacing w:after="120" w:line="280" w:lineRule="atLeast"/>
        <w:rPr>
          <w:rFonts w:cs="Arial"/>
          <w:color w:val="373737"/>
          <w:sz w:val="20"/>
          <w:szCs w:val="20"/>
        </w:rPr>
      </w:pPr>
      <w:r>
        <w:rPr>
          <w:color w:val="373737" w:themeColor="text1"/>
          <w:sz w:val="20"/>
        </w:rPr>
        <w:t xml:space="preserve">Για τις </w:t>
      </w:r>
      <w:r>
        <w:rPr>
          <w:i/>
          <w:color w:val="373737" w:themeColor="text1"/>
          <w:sz w:val="20"/>
        </w:rPr>
        <w:t>άμεσες</w:t>
      </w:r>
      <w:r>
        <w:rPr>
          <w:color w:val="373737" w:themeColor="text1"/>
          <w:sz w:val="20"/>
        </w:rPr>
        <w:t xml:space="preserve"> επιδράσεις του προγράμματος στις μονάδες που έχουν λάβει στήριξη, οι καθαρές άμεσες επιδράσεις του προγράμματος που υπολογίζονται με τη χρήση </w:t>
      </w:r>
      <w:r>
        <w:rPr>
          <w:b/>
          <w:color w:val="373737" w:themeColor="text1"/>
          <w:sz w:val="20"/>
        </w:rPr>
        <w:t>δεικτών αποτελεσμάτων</w:t>
      </w:r>
      <w:r>
        <w:rPr>
          <w:color w:val="373737" w:themeColor="text1"/>
          <w:sz w:val="20"/>
        </w:rPr>
        <w:t xml:space="preserve"> θα πρέπει καταρχήν να είναι συνεπείς και να καταδεικνύουν την ίδια τάση με τις καθαρές επιδράσεις του προγράμματος που υπολογίζονται με τη χρήση δεικτών </w:t>
      </w:r>
      <w:r>
        <w:rPr>
          <w:b/>
          <w:color w:val="373737" w:themeColor="text1"/>
          <w:sz w:val="20"/>
        </w:rPr>
        <w:t>αντικτύπου</w:t>
      </w:r>
      <w:r>
        <w:rPr>
          <w:color w:val="373737" w:themeColor="text1"/>
          <w:sz w:val="20"/>
        </w:rPr>
        <w:t>. Ωστόσο, ανάλογα με το μέγεθος και την κατεύθυνση των έμμεσων επιδράσεων, τα αποτελέσματα στο μακροεπίπεδο μπορούν κατ’ αρχήν να παρουσιάζουν επίσης επιπτώσεις προς την αντίθετη κατεύθυνση σε σχέση με τις επιδράσεις στο μικροεπίπεδο. Σε αυτές όμως τις περιπτώσεις, οι αντίθετες κατευθύνσεις των επιδράσεων θα πρέπει να επεξηγούνται μέσω στοιχείων που να δείχνουν την αιτιώδη σχέση με τις έμμεσες επιδράσεις και/ή ποσοτικών στοιχείων για τις επιδράσεις αυτές. Προϋπόθεση για τον έλεγχο της συνέπειας των αποτελεσμάτων στο μικροεπίπεδο και στο μακροεπίπεδο είναι η πλήρης κατανόηση των βασικών παραγόντων που έχουν αντίκτυπο στον κάθε δείκτη.</w:t>
      </w:r>
    </w:p>
    <w:p w:rsidR="00FC012D" w:rsidRPr="001C6ACF" w:rsidRDefault="00FC012D" w:rsidP="00FC012D">
      <w:pPr>
        <w:pStyle w:val="HStandard"/>
        <w:rPr>
          <w:rFonts w:cs="Arial"/>
        </w:rPr>
      </w:pPr>
      <w:r>
        <w:t xml:space="preserve">Για τις </w:t>
      </w:r>
      <w:r>
        <w:rPr>
          <w:i/>
        </w:rPr>
        <w:t>έμμεσες επιδράσεις</w:t>
      </w:r>
      <w:r>
        <w:t xml:space="preserve"> του προγράμματος σε εκμεταλλεύσεις που έχουν λάβει στήριξη και σε εκμεταλλεύσεις που δεν έχουν λάβει στήριξη, τα μικροοικονομικά πορίσματα μετά την άθροισή τους παρουσιάζουν μόνο κατά προσέγγιση την κλίμακα όλων των πιθανών έμμεσων επιδράσεων του ΠΑΑ (συμπεριλαμβανομένων όσων υπολογίστηκαν με τη χρήση τομεακών υποδειγμάτων). Το προσεγγιστικό αυτό αποτέλεσμα οφείλεται κατά κύριο λόγο στις εγγενείς δυσκολίες που παρουσιάζει η μοντελοποίηση </w:t>
      </w:r>
      <w:r>
        <w:rPr>
          <w:b/>
        </w:rPr>
        <w:t xml:space="preserve">όλων </w:t>
      </w:r>
      <w:r>
        <w:t xml:space="preserve">των πιθανών έμμεσων επιδράσεων με τις οποίες θα μπορούσαν «τουλάχιστον θεωρητικά» να βρεθούν αντιμέτωπες οι μονάδες που έχουν λάβει στήριξη και εκείνες που δεν έχουν λάβει στήριξη. </w:t>
      </w:r>
    </w:p>
    <w:p w:rsidR="00FC012D" w:rsidRPr="00571D58" w:rsidRDefault="00FC012D" w:rsidP="00FC012D">
      <w:pPr>
        <w:pStyle w:val="HStandard"/>
        <w:rPr>
          <w:rFonts w:cs="Arial"/>
        </w:rPr>
      </w:pPr>
      <w:r>
        <w:t>Η αξιολόγηση από τη βάση στην κορυφή που βασίζεται στην άθροιση διαφορετικών πηγών δεδομένων που χρησιμοποιούν διαφορετικές μετρήσεις και ορολογία μπορεί να προκαλέσει αμφισημία. Μία από τις κυριότερες προκλήσεις που παρουσιάζει ο έλεγχος συνέπειας στο μακροεπίπεδο και το μικροεπίπεδο είναι ο προσδιορισμός της αιτιώδους συνάφειας μεταξύ των αλλαγών και των επιπτώσεων που μετρούνται σε επίπεδο εκμετάλλευσης ή αγροτεμαχίου και των αλλαγών και των επιπτώσεων πέραν των ορίων της εκμετάλλευσης (π.χ. σε επίπεδο NUTS 3 και προγράμματος).</w:t>
      </w:r>
      <w:r>
        <w:rPr>
          <w:color w:val="373737"/>
        </w:rPr>
        <w:t xml:space="preserve"> Στο πλαίσιο αυτό, είναι σημαντικό οι μονάδες ανάλυσης και οι κλίμακες που εφαρμόζονται να λαμβάνουν υπόψη σε ποια κλίμακα και σε ποιο επίπεδο είναι πιθανό να επέλθουν οι επιδράσεις. Η εφαρμογή απλώς και μόνο σταθερών διοικητικών ορίων μπορεί να στρεβλώσει τα αποτελέσματα. </w:t>
      </w:r>
      <w:r>
        <w:t>Θα πρέπει να καταβληθούν προσπάθειες ώστε οι μέθοδοι δειγματοληψίας να εφαρμόζονται με συνεπή τρόπο σε κλίμακα αγρού, εκμετάλλευσης και τοπίου, ώστε να λαμβάνονται υπόψη τα διάφορα είδη ταξινόμησης που εξετάζονται και οι αλληλεπιδράσεις μεταξύ των μεταβλητών που περιγράφουν το κλίμα, την τοπογραφία, τη χρήση γης, τις κοινωνικοοικονομικές και εδαφικές συνθήκες</w:t>
      </w:r>
      <w:r>
        <w:rPr>
          <w:rStyle w:val="FootnoteReference"/>
        </w:rPr>
        <w:footnoteReference w:id="29"/>
      </w:r>
      <w:r>
        <w:t xml:space="preserve">. Η «προσέγγιση από τη βάση στην κορυφή», όπου η υπό μελέτη περιοχή είναι αγροτεμάχιο ή αγρός, καθιστά δυνατή τη λήψη αποτελεσμάτων με τη συλλογή δεδομένων μέσω </w:t>
      </w:r>
      <w:r>
        <w:lastRenderedPageBreak/>
        <w:t>ερευνών που αφορούν τον κάθε τόπο βάσει πειραματικών πρωτοκόλλων και την παρέκτασή τους από το μικροεπίπεδο στο μακροεπίπεδο μέσω συστημάτων γεωγραφικών πληροφοριών (GIS/ΣΓΠ), δορυφορικών εικόνων ή χωρικής ανάλυσης</w:t>
      </w:r>
      <w:r>
        <w:rPr>
          <w:rStyle w:val="FootnoteReference"/>
        </w:rPr>
        <w:footnoteReference w:id="30"/>
      </w:r>
      <w:r>
        <w:t>.</w:t>
      </w:r>
    </w:p>
    <w:p w:rsidR="00FC012D" w:rsidRPr="00571D58" w:rsidRDefault="00535279" w:rsidP="00FC012D">
      <w:pPr>
        <w:pStyle w:val="HStandard"/>
        <w:rPr>
          <w:rFonts w:cs="Arial"/>
        </w:rPr>
      </w:pPr>
      <w: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1C6ACF" w:rsidTr="00FC012D">
        <w:tc>
          <w:tcPr>
            <w:tcW w:w="9016" w:type="dxa"/>
          </w:tcPr>
          <w:p w:rsidR="00FC012D" w:rsidRPr="00336531" w:rsidRDefault="006F2A7D" w:rsidP="00EC01C3">
            <w:pPr>
              <w:pStyle w:val="HHeading4"/>
              <w:jc w:val="both"/>
              <w:rPr>
                <w:rFonts w:cs="Arial"/>
              </w:rPr>
            </w:pPr>
            <w:r>
              <w:rPr>
                <w:noProof/>
                <w:lang w:val="en-GB" w:eastAsia="en-GB" w:bidi="ar-SA"/>
              </w:rPr>
              <mc:AlternateContent>
                <mc:Choice Requires="wps">
                  <w:drawing>
                    <wp:anchor distT="0" distB="0" distL="114300" distR="114300" simplePos="0" relativeHeight="251673088" behindDoc="0" locked="0" layoutInCell="1" allowOverlap="1" wp14:anchorId="0FB29BE8" wp14:editId="5213BC57">
                      <wp:simplePos x="0" y="0"/>
                      <wp:positionH relativeFrom="column">
                        <wp:posOffset>-125186</wp:posOffset>
                      </wp:positionH>
                      <wp:positionV relativeFrom="paragraph">
                        <wp:posOffset>-58057</wp:posOffset>
                      </wp:positionV>
                      <wp:extent cx="6073140" cy="4860471"/>
                      <wp:effectExtent l="0" t="0" r="22860" b="16510"/>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3140" cy="4860471"/>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86887" id="Rectangle: Diagonal Corners Rounded 15" o:spid="_x0000_s1026" style="position:absolute;margin-left:-9.85pt;margin-top:-4.55pt;width:478.2pt;height:38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73140,486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" path="m398704,l6073140,r,l6073140,4461767v,220198,-178506,398704,-398704,398704l,4860471r,l,398704c,178506,178506,,398704,xe" filled="f" strokecolor="#be4a35 [3205]" strokeweight="2pt">
                      <v:path arrowok="t" o:connecttype="custom" o:connectlocs="398704,0;6073140,0;6073140,0;6073140,4461767;5674436,4860471;0,4860471;0,4860471;0,398704;398704,0" o:connectangles="0,0,0,0,0,0,0,0,0"/>
                    </v:shape>
                  </w:pict>
                </mc:Fallback>
              </mc:AlternateContent>
            </w:r>
            <w:r w:rsidR="00FC012D">
              <w:rPr>
                <w:noProof/>
                <w:color w:val="373737"/>
                <w:lang w:val="en-GB" w:eastAsia="en-GB" w:bidi="ar-SA"/>
              </w:rPr>
              <w:drawing>
                <wp:inline distT="0" distB="0" distL="0" distR="0" wp14:anchorId="2043221E" wp14:editId="4A809690">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00FC012D">
              <w:t xml:space="preserve"> ΣΥΝΟΠΤΙΚΟΣ ΟΔΗΓΟΣ #5: Πώς μπορούν να αξιοποιηθούν στο έπακρο οι ποιοτικές προσεγγίσεις;</w:t>
            </w:r>
          </w:p>
        </w:tc>
      </w:tr>
    </w:tbl>
    <w:p w:rsidR="00696B10" w:rsidRDefault="00696B10" w:rsidP="00EC01C3">
      <w:pPr>
        <w:pStyle w:val="HStandard"/>
        <w:spacing w:after="0"/>
        <w:ind w:left="709" w:hanging="709"/>
        <w:rPr>
          <w:rFonts w:cs="Arial"/>
          <w:sz w:val="18"/>
          <w:szCs w:val="18"/>
        </w:rPr>
      </w:pPr>
      <w:r>
        <w:rPr>
          <w:b/>
          <w:sz w:val="18"/>
        </w:rPr>
        <w:t>Ποιοτικές προσεγγίσεις</w:t>
      </w:r>
      <w:r>
        <w:rPr>
          <w:sz w:val="18"/>
        </w:rPr>
        <w:t xml:space="preserve"> μπορούν να εφαρμόζονται με τριπλό στόχο:</w:t>
      </w:r>
    </w:p>
    <w:p w:rsidR="00310B39" w:rsidRPr="001C6ACF" w:rsidRDefault="00310B39" w:rsidP="00EC01C3">
      <w:pPr>
        <w:pStyle w:val="HStandard"/>
        <w:spacing w:after="0"/>
        <w:ind w:left="709" w:hanging="709"/>
        <w:rPr>
          <w:rFonts w:cs="Arial"/>
          <w:sz w:val="18"/>
          <w:szCs w:val="18"/>
        </w:rPr>
      </w:pPr>
    </w:p>
    <w:p w:rsidR="00696B10" w:rsidRDefault="006F2A7D" w:rsidP="006F2A7D">
      <w:pPr>
        <w:pStyle w:val="ListParagraph"/>
        <w:autoSpaceDE w:val="0"/>
        <w:autoSpaceDN w:val="0"/>
        <w:adjustRightInd w:val="0"/>
        <w:spacing w:after="0" w:line="280" w:lineRule="atLeast"/>
        <w:ind w:left="840" w:hanging="414"/>
        <w:jc w:val="both"/>
        <w:rPr>
          <w:rFonts w:ascii="Arial" w:hAnsi="Arial" w:cs="Arial"/>
          <w:color w:val="373737" w:themeColor="text1"/>
          <w:sz w:val="18"/>
          <w:szCs w:val="18"/>
        </w:rPr>
      </w:pPr>
      <w:r>
        <w:rPr>
          <w:rFonts w:ascii="Arial" w:hAnsi="Arial"/>
          <w:b/>
          <w:color w:val="373737" w:themeColor="text1"/>
          <w:sz w:val="18"/>
        </w:rPr>
        <w:t>α)</w:t>
      </w:r>
      <w:r>
        <w:rPr>
          <w:rFonts w:ascii="Arial" w:hAnsi="Arial"/>
          <w:b/>
          <w:color w:val="373737" w:themeColor="text1"/>
          <w:sz w:val="18"/>
        </w:rPr>
        <w:tab/>
      </w:r>
      <w:r w:rsidR="00696B10">
        <w:rPr>
          <w:rFonts w:ascii="Arial" w:hAnsi="Arial"/>
          <w:b/>
          <w:color w:val="373737" w:themeColor="text1"/>
          <w:sz w:val="18"/>
        </w:rPr>
        <w:t>Ως εναλλακτική επιλογή</w:t>
      </w:r>
      <w:r w:rsidR="00696B10">
        <w:rPr>
          <w:rFonts w:ascii="Arial" w:hAnsi="Arial"/>
          <w:color w:val="373737" w:themeColor="text1"/>
          <w:sz w:val="18"/>
        </w:rPr>
        <w:t xml:space="preserve"> </w:t>
      </w:r>
      <w:r w:rsidR="00696B10">
        <w:rPr>
          <w:rFonts w:ascii="Arial" w:hAnsi="Arial"/>
          <w:b/>
          <w:color w:val="373737" w:themeColor="text1"/>
          <w:sz w:val="18"/>
        </w:rPr>
        <w:t>σε σχέση με τις ποσοτικές μεθόδους,</w:t>
      </w:r>
      <w:r w:rsidR="00696B10">
        <w:rPr>
          <w:rFonts w:ascii="Arial" w:hAnsi="Arial"/>
          <w:color w:val="373737" w:themeColor="text1"/>
          <w:sz w:val="18"/>
        </w:rPr>
        <w:t xml:space="preserve"> όταν δεν υπάρχουν δεδομένα. Για παράδειγμα, μπορεί να χρησιμοποιηθεί η ποιοτική προσέγγιση της βασισμένης στη θεωρία αξιολόγησης (TBE/ΒΘΑ) για να καταδειχθεί το πώς και το γιατί το πρόγραμμα θα λειτουργήσει και θα αποφέρει, όπως αναμένεται, τις επιδιωκόμενες εκροές. Η προσέγγιση της ΒΘΑ ακολουθεί κάθε βήμα της λογικής παρέμβασης του προγράμματος, προσδιορίζοντας αιτιώδεις σχέσεις και μηχανισμούς αλλαγής, που επιφέρουν αποτελέσματα και επιπτώσεις. Οι διάφορες σχέσεις στο πλαίσιο της λογικής παρέμβασης μπορούν να αναλύονται με τη χρήση διαφόρων μεθόδων. Στις παρούσες κατευθυντήριες γραμμές προτείνουμε ομάδες εστίασης [κυρίως δε τη μέθοδο εκτίμησης των επιπτώσεων προγράμματος και έργου (MAPP/ΜΕΕΠΕ)] ή συνεντεύξεις ενδιαφερομένων φορέων/εμπειρογνωμόνων. </w:t>
      </w:r>
    </w:p>
    <w:p w:rsidR="00310B39" w:rsidRPr="00FB6C06"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Pr="006F2A7D" w:rsidRDefault="006F2A7D" w:rsidP="006F2A7D">
      <w:pPr>
        <w:autoSpaceDE w:val="0"/>
        <w:autoSpaceDN w:val="0"/>
        <w:adjustRightInd w:val="0"/>
        <w:spacing w:after="0" w:line="280" w:lineRule="atLeast"/>
        <w:ind w:left="840" w:hanging="360"/>
        <w:rPr>
          <w:rFonts w:cs="Arial"/>
          <w:color w:val="373737" w:themeColor="text1"/>
          <w:szCs w:val="18"/>
        </w:rPr>
      </w:pPr>
      <w:r>
        <w:rPr>
          <w:b/>
          <w:color w:val="373737" w:themeColor="text1"/>
        </w:rPr>
        <w:t>β)</w:t>
      </w:r>
      <w:r>
        <w:rPr>
          <w:b/>
          <w:color w:val="373737" w:themeColor="text1"/>
        </w:rPr>
        <w:tab/>
      </w:r>
      <w:r w:rsidR="00696B10" w:rsidRPr="006F2A7D">
        <w:rPr>
          <w:b/>
          <w:color w:val="373737" w:themeColor="text1"/>
        </w:rPr>
        <w:t>Ως συμπλήρωμα της ποσοτικής αντιπαραδειγματικής αξιολόγησης</w:t>
      </w:r>
      <w:r w:rsidR="00696B10" w:rsidRPr="006F2A7D">
        <w:rPr>
          <w:color w:val="373737" w:themeColor="text1"/>
        </w:rPr>
        <w:t xml:space="preserve"> προκειμένου να εξειδικευτεί το πώς και το γιατί επήλθαν οι επιπτώσεις. Πρέπει να επισημανθεί ότι η προσέγγιση της ΒΘΑ δεν μπορεί ούτε να εξετάσει την «καθαρή επίπτωση» (δηλ. τον βαθμό στον οποίο η αλλαγή που παρατηρείται στην περιοχή του προγράμματος μπορεί να αποδοθεί στο πρόγραμμα) ούτε να διαχωρίσει τις επιδράσεις του προγράμματος από τη συμβολή άλλων παραγόντων.</w:t>
      </w:r>
    </w:p>
    <w:p w:rsidR="00310B39" w:rsidRPr="00310B39" w:rsidRDefault="00310B39" w:rsidP="00EC01C3">
      <w:pPr>
        <w:pStyle w:val="ListParagraph"/>
        <w:jc w:val="both"/>
        <w:rPr>
          <w:rFonts w:ascii="Arial" w:hAnsi="Arial" w:cs="Arial"/>
          <w:color w:val="373737" w:themeColor="text1"/>
          <w:sz w:val="18"/>
          <w:szCs w:val="18"/>
        </w:rPr>
      </w:pPr>
    </w:p>
    <w:p w:rsidR="00696B10" w:rsidRPr="006F2A7D" w:rsidRDefault="006F2A7D" w:rsidP="006F2A7D">
      <w:pPr>
        <w:autoSpaceDE w:val="0"/>
        <w:autoSpaceDN w:val="0"/>
        <w:adjustRightInd w:val="0"/>
        <w:spacing w:after="0" w:line="280" w:lineRule="atLeast"/>
        <w:ind w:left="840" w:hanging="360"/>
        <w:rPr>
          <w:rFonts w:cs="Arial"/>
          <w:color w:val="373737" w:themeColor="text1"/>
          <w:szCs w:val="18"/>
        </w:rPr>
      </w:pPr>
      <w:r>
        <w:rPr>
          <w:b/>
          <w:color w:val="373737" w:themeColor="text1"/>
        </w:rPr>
        <w:t>γ)</w:t>
      </w:r>
      <w:r>
        <w:rPr>
          <w:b/>
          <w:color w:val="373737" w:themeColor="text1"/>
        </w:rPr>
        <w:tab/>
      </w:r>
      <w:r w:rsidR="00696B10" w:rsidRPr="006F2A7D">
        <w:rPr>
          <w:b/>
          <w:color w:val="373737" w:themeColor="text1"/>
        </w:rPr>
        <w:t>Στο πλαίσιο τριγωνισμού</w:t>
      </w:r>
      <w:r w:rsidR="00696B10" w:rsidRPr="006F2A7D">
        <w:rPr>
          <w:color w:val="373737" w:themeColor="text1"/>
        </w:rPr>
        <w:t xml:space="preserve"> για την επικύρωση των πορισμάτων ποσοτικών μεθόδων.</w:t>
      </w:r>
    </w:p>
    <w:p w:rsidR="00310B39" w:rsidRPr="001C6ACF"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1C6ACF" w:rsidRDefault="0050142E" w:rsidP="006A6A61">
      <w:pPr>
        <w:pStyle w:val="HStandard"/>
        <w:jc w:val="center"/>
        <w:rPr>
          <w:i/>
          <w:color w:val="F07E31" w:themeColor="accent1"/>
          <w:sz w:val="18"/>
        </w:rPr>
      </w:pPr>
      <w:r>
        <w:rPr>
          <w:i/>
          <w:color w:val="F07E31" w:themeColor="accent1"/>
          <w:sz w:val="18"/>
        </w:rPr>
        <w:t>Μάθετε περισσότερα για τη μέθοδο της βασισμένης στη θεωρία αξιολόγησης (TBE/ΒΘΑ) στην έκθεση «</w:t>
      </w:r>
      <w:hyperlink r:id="rId50">
        <w:r>
          <w:rPr>
            <w:rStyle w:val="Hyperlink"/>
            <w:i/>
            <w:sz w:val="18"/>
          </w:rPr>
          <w:t>Investment Support under Rural Development Policy» (Επενδυτική στήριξη στο πλαίσιο της πολιτικής αγροτικής ανάπτυξης)</w:t>
        </w:r>
      </w:hyperlink>
      <w:r>
        <w:rPr>
          <w:i/>
          <w:color w:val="F07E31" w:themeColor="accent1"/>
          <w:sz w:val="18"/>
        </w:rPr>
        <w:t xml:space="preserve"> , κεφάλαιο 3.3.4 (Ευρωπαϊκή Επιτροπή, 2014) και για τη χρήση ποιοτικών μεθόδων για τη συλλογή ποσοτικών δεδομένων στην έκθεση </w:t>
      </w:r>
      <w:hyperlink r:id="rId51" w:anchor="v=onepage&amp;amp;q=distinguishing%20between%20types%20of%20data%20and%20methods%20of%20collecting%20them%2C&amp;amp;f=false">
        <w:r>
          <w:rPr>
            <w:rStyle w:val="Hyperlink"/>
            <w:i/>
            <w:sz w:val="18"/>
          </w:rPr>
          <w:t>«Distinguishing Between Types of Data and Methods of Collecting Them» (Διάκριση μεταξύ τύπων δεδομένων και μεθόδων για τη συλλογή τους),</w:t>
        </w:r>
      </w:hyperlink>
      <w:r>
        <w:rPr>
          <w:i/>
          <w:color w:val="F07E31" w:themeColor="accent1"/>
          <w:sz w:val="18"/>
        </w:rPr>
        <w:t xml:space="preserve"> (Hentschel, 1998). </w:t>
      </w:r>
    </w:p>
    <w:p w:rsidR="006D4194" w:rsidRPr="001C6ACF" w:rsidRDefault="006D4194" w:rsidP="006D4194">
      <w:pPr>
        <w:pStyle w:val="HStandard"/>
        <w:rPr>
          <w:sz w:val="22"/>
        </w:rPr>
      </w:pPr>
    </w:p>
    <w:p w:rsidR="00A24D39" w:rsidRPr="001C6ACF" w:rsidRDefault="0095652F" w:rsidP="00B63445">
      <w:pPr>
        <w:pStyle w:val="HHeading3"/>
      </w:pPr>
      <w:r>
        <w:t>Επισκόπηση συνιστώμενων προσεγγίσεων αξιολόγησης για την εκτίμηση των δεικτών αντικτύπου της ΚΓΠ</w:t>
      </w:r>
    </w:p>
    <w:p w:rsidR="00186FCF" w:rsidRPr="00336531" w:rsidRDefault="00186FCF" w:rsidP="00186FCF">
      <w:pPr>
        <w:pStyle w:val="HStandard"/>
        <w:rPr>
          <w:rFonts w:cs="Arial"/>
        </w:rPr>
      </w:pPr>
      <w:r>
        <w:t>Την περίοδο προγραμματισμού 2014-2020 η εκτίμηση των επιπτώσεων των ΠΑΑ θα διενεργηθεί για πρώτη φορά το 2019, σε μια χρονική στιγμή που ενδέχεται τα κενά στα δεδομένα να εξακολουθούν να αποτελούν πρόβλημα για διάφορα ΠΑΑ, λόγω της περιορισμένης/καθυστερημένης υιοθέτησης ορισμένων μέτρων ή της έλλειψης στατιστικών δεδομένων προς αξιολόγηση. Δεδομένου ότι τα κενά στα δεδομένα δυσχεραίνουν σε μεγάλο βαθμό την παρατήρηση των επιπτώσεων των ΠΑΑ, στις παρούσες κατευθυντήριες γραμμές προτείνονται τουλάχιστον δύο διαφορετικές προσεγγίσεις για τον υπολογισμό του κάθε κοινού δείκτη αντικτύπου του δεύτερου πυλώνα της ΚΓΠ:</w:t>
      </w:r>
    </w:p>
    <w:p w:rsidR="00186FCF" w:rsidRPr="00FB6C06" w:rsidRDefault="00186FCF" w:rsidP="00C42303">
      <w:pPr>
        <w:pStyle w:val="Hlistbullet"/>
      </w:pPr>
      <w:r>
        <w:t xml:space="preserve">Η </w:t>
      </w:r>
      <w:r>
        <w:rPr>
          <w:b/>
        </w:rPr>
        <w:t xml:space="preserve">προσέγγιση A </w:t>
      </w:r>
      <w:r>
        <w:t xml:space="preserve">αποτελεί παράδειγμα </w:t>
      </w:r>
      <w:r>
        <w:rPr>
          <w:b/>
        </w:rPr>
        <w:t xml:space="preserve">προσέγγισης αξιολόγησης υπό ιδανικές συνθήκες από την άποψη των δεδομένων. </w:t>
      </w:r>
      <w:r>
        <w:t xml:space="preserve">Μπορεί να χρησιμοποιηθεί το 2019 και/ή να αξιοποιηθεί στο πλαίσιο της εκ των υστέρων αξιολόγησης. Η προσέγγιση Α είναι πιο εξελιγμένη από την προσέγγιση Β, καθώς και πιο αυστηρή. </w:t>
      </w:r>
    </w:p>
    <w:p w:rsidR="00186FCF" w:rsidRPr="001C6ACF" w:rsidRDefault="00186FCF" w:rsidP="00C42303">
      <w:pPr>
        <w:pStyle w:val="Hlistbullet"/>
      </w:pPr>
      <w:r>
        <w:lastRenderedPageBreak/>
        <w:t xml:space="preserve">Η </w:t>
      </w:r>
      <w:r>
        <w:rPr>
          <w:b/>
        </w:rPr>
        <w:t xml:space="preserve">προσέγγιση B </w:t>
      </w:r>
      <w:r>
        <w:t>αποτελεί παράδειγμα</w:t>
      </w:r>
      <w:r>
        <w:rPr>
          <w:b/>
        </w:rPr>
        <w:t xml:space="preserve"> εναλλακτικής προσέγγισης αξιολόγησης σε περίπτωση κενών στα δεδομένα, </w:t>
      </w:r>
      <w:r>
        <w:t xml:space="preserve">(π.χ. λόγω αργού ρυθμού υιοθέτησης του προγράμματος, που δεν καθιστά δυνατή την παρατήρηση των επιπτώσεων του ΠΑΑ) ή εάν άλλοι παράγοντες (πόροι, χρόνος, δεξιότητες) δυσχεραίνουν την εφαρμογή μιας πιο εξελιγμένης προσέγγισης. Σε αρκετές περιπτώσεις, η προσέγγιση Β περιέχει μια ποιοτική συνιστώσα. </w:t>
      </w:r>
    </w:p>
    <w:p w:rsidR="00186FCF" w:rsidRPr="00336531" w:rsidRDefault="00CB3881" w:rsidP="00186FCF">
      <w:pPr>
        <w:pStyle w:val="HStandard"/>
        <w:rPr>
          <w:rFonts w:cs="Arial"/>
        </w:rPr>
      </w:pPr>
      <w:r>
        <w:rPr>
          <w:b/>
        </w:rPr>
        <w:t>Τόσο η προσέγγιση Α όσο και η προσέγγιση Β συμμορφώνονται με τα πρότυπα αξιολόγησης</w:t>
      </w:r>
      <w:r>
        <w:t xml:space="preserve">. Η προσέγγιση Α ορίζεται ως η προσέγγιση που παρέχει τα πιο αξιόπιστα αποτελέσματα αξιολόγησης υπό ιδανικές συνθήκες από την άποψη των δεδομένων. Δεδομένων των συνθηκών που θα επικρατούν το 2019 από την άποψη των δεδομένων, αναγνωρίζεται ότι, για πολλά ΠΑΑ, η προσέγγιση Α ενδέχεται να μην είναι ακόμη η πλέον πρακτική (βλ.: πίνακες σχετικά με την καταλληλότητα των προτεινόμενων προσεγγίσεων αξιολόγησης στα κεφάλαια 4.1 – 4.7 του τεχνικού παραρτήματος). Περαιτέρω παραδείγματα μεθόδων αξιολόγησης παρατίθενται στα σχήματα του λογικού μοντέλου που αντιστοιχούν στον κάθε δείκτη αντικτύπου. </w:t>
      </w:r>
    </w:p>
    <w:p w:rsidR="0095652F" w:rsidRPr="001C6ACF" w:rsidRDefault="008F39E9" w:rsidP="009E6028">
      <w:pPr>
        <w:pStyle w:val="HHeadingtables"/>
        <w:numPr>
          <w:ilvl w:val="0"/>
          <w:numId w:val="0"/>
        </w:numPr>
        <w:ind w:left="360" w:hanging="360"/>
      </w:pPr>
      <w:r>
        <w:br w:type="column"/>
      </w:r>
      <w:r w:rsidR="009E6028">
        <w:lastRenderedPageBreak/>
        <w:t xml:space="preserve">Πίνακας 1: </w:t>
      </w:r>
      <w:r>
        <w:t xml:space="preserve">Παραδείγματα συνιστώμενων προσεγγίσεων αξιολόγησης για την εκτίμηση των δεικτών αντικτύπου της ΚΓΠ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1C6ACF"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rPr>
            </w:pPr>
            <w:r>
              <w:rPr>
                <w:b/>
                <w:color w:val="FFFFFF" w:themeColor="background1"/>
                <w:sz w:val="16"/>
              </w:rPr>
              <w:t>Κωδικός</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sz w:val="16"/>
              </w:rPr>
            </w:pPr>
            <w:r>
              <w:rPr>
                <w:b/>
                <w:color w:val="FFFFFF" w:themeColor="background1"/>
                <w:sz w:val="16"/>
              </w:rPr>
              <w:t>Δείκτης</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D4934">
            <w:pPr>
              <w:pStyle w:val="HStandard"/>
              <w:spacing w:line="240" w:lineRule="atLeast"/>
              <w:jc w:val="center"/>
              <w:rPr>
                <w:color w:val="FFFFFF" w:themeColor="background1"/>
                <w:sz w:val="16"/>
              </w:rPr>
            </w:pPr>
            <w:r>
              <w:rPr>
                <w:b/>
                <w:color w:val="FFFFFF" w:themeColor="background1"/>
              </w:rPr>
              <w:t>Προσέγγιση A</w:t>
            </w:r>
            <w:r>
              <w:rPr>
                <w:color w:val="FFFFFF" w:themeColor="background1"/>
              </w:rPr>
              <w:t xml:space="preserve"> </w:t>
            </w:r>
            <w:r>
              <w:rPr>
                <w:color w:val="FFFFFF" w:themeColor="background1"/>
                <w:sz w:val="16"/>
              </w:rPr>
              <w:br/>
              <w:t>Παράδειγμα προσέγγισης υπό ιδανικές συνθήκες από την άποψη των δεδομένων</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9010B">
            <w:pPr>
              <w:pStyle w:val="HStandard"/>
              <w:spacing w:line="240" w:lineRule="atLeast"/>
              <w:jc w:val="center"/>
              <w:rPr>
                <w:color w:val="FFFFFF" w:themeColor="background1"/>
                <w:sz w:val="16"/>
              </w:rPr>
            </w:pPr>
            <w:r>
              <w:rPr>
                <w:b/>
                <w:color w:val="FFFFFF" w:themeColor="background1"/>
              </w:rPr>
              <w:t>Προσέγγιση B</w:t>
            </w:r>
            <w:r>
              <w:rPr>
                <w:color w:val="FFFFFF" w:themeColor="background1"/>
              </w:rPr>
              <w:t xml:space="preserve"> </w:t>
            </w:r>
            <w:r>
              <w:rPr>
                <w:color w:val="FFFFFF" w:themeColor="background1"/>
              </w:rPr>
              <w:br/>
            </w:r>
            <w:r>
              <w:rPr>
                <w:color w:val="FFFFFF" w:themeColor="background1"/>
                <w:sz w:val="16"/>
              </w:rPr>
              <w:t>Παράδειγμα εναλλακτικής προσέγγισης σε περίπτωση κενών στα δεδομένα</w:t>
            </w:r>
          </w:p>
        </w:tc>
      </w:tr>
      <w:tr w:rsidR="00515FD4" w:rsidRPr="001C6ACF"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Μικροεπίπεδο</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Μακροεπίπεδο</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Μικροεπίπεδο</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Μακροεπίπεδο</w:t>
            </w:r>
          </w:p>
        </w:tc>
      </w:tr>
      <w:tr w:rsidR="00515FD4" w:rsidRPr="001C6ACF"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1C6ACF" w:rsidRDefault="00515FD4" w:rsidP="008D4934">
            <w:pPr>
              <w:pStyle w:val="HStandard"/>
              <w:spacing w:line="240" w:lineRule="atLeast"/>
              <w:rPr>
                <w:b/>
                <w:bCs/>
                <w:color w:val="FFFFFF" w:themeColor="background1"/>
                <w:sz w:val="16"/>
              </w:rPr>
            </w:pPr>
            <w:r>
              <w:rPr>
                <w:b/>
                <w:color w:val="FFFFFF" w:themeColor="background1"/>
                <w:sz w:val="16"/>
              </w:rPr>
              <w:t>Επιπτώσεις που σχετίζονται με τον τομέα</w:t>
            </w:r>
          </w:p>
        </w:tc>
      </w:tr>
      <w:tr w:rsidR="00515FD4" w:rsidRPr="001C6ACF" w:rsidTr="005F69E8">
        <w:trPr>
          <w:trHeight w:val="1193"/>
        </w:trPr>
        <w:tc>
          <w:tcPr>
            <w:tcW w:w="988" w:type="dxa"/>
            <w:tcBorders>
              <w:bottom w:val="single" w:sz="4" w:space="0" w:color="808080" w:themeColor="background1" w:themeShade="80"/>
              <w:right w:val="nil"/>
            </w:tcBorders>
            <w:hideMark/>
          </w:tcPr>
          <w:p w:rsidR="00515FD4" w:rsidRPr="00571D58" w:rsidRDefault="00515FD4" w:rsidP="00887886">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3024" behindDoc="1" locked="0" layoutInCell="1" allowOverlap="1" wp14:anchorId="421CFEF5" wp14:editId="6D6DE560">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Δ.01</w:t>
            </w:r>
          </w:p>
        </w:tc>
        <w:tc>
          <w:tcPr>
            <w:tcW w:w="1417" w:type="dxa"/>
            <w:tcBorders>
              <w:left w:val="nil"/>
              <w:bottom w:val="single" w:sz="4" w:space="0" w:color="808080" w:themeColor="background1" w:themeShade="80"/>
            </w:tcBorders>
            <w:vAlign w:val="center"/>
            <w:hideMark/>
          </w:tcPr>
          <w:p w:rsidR="00515FD4" w:rsidRPr="00FB6C06" w:rsidRDefault="00515FD4" w:rsidP="007B323D">
            <w:pPr>
              <w:pStyle w:val="HStandard"/>
              <w:spacing w:after="0"/>
              <w:jc w:val="left"/>
              <w:rPr>
                <w:b/>
                <w:color w:val="BE4A35" w:themeColor="accent2"/>
                <w:sz w:val="16"/>
                <w:szCs w:val="18"/>
              </w:rPr>
            </w:pPr>
            <w:r>
              <w:rPr>
                <w:b/>
                <w:color w:val="BE4A35" w:themeColor="accent2"/>
                <w:sz w:val="16"/>
              </w:rPr>
              <w:t>Γεωργικό επιχειρηματικό εισόδημα</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Συνδυασμός της μεθόδου αντιστοίχισης παρατηρήσεων με βάση την τάση και της μεθόδου διαφοράς των διαφορών [PSM(ΑΠΒΤ)-DiD(ΔτΔ)]</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 xml:space="preserve">Προσεγγίσεις από τη βάση στην κορυφή για την κλιμάκωση των πορισμάτων που προκύπτουν στο μικροεπίπεδο </w:t>
            </w:r>
            <w:r>
              <w:rPr>
                <w:sz w:val="16"/>
                <w:szCs w:val="18"/>
              </w:rPr>
              <w:br/>
            </w:r>
            <w:r>
              <w:rPr>
                <w:sz w:val="16"/>
                <w:szCs w:val="18"/>
              </w:rPr>
              <w:br/>
            </w:r>
            <w:r>
              <w:rPr>
                <w:sz w:val="16"/>
              </w:rPr>
              <w:t>Εφαρμογή τομεακού υποδείγματος</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Σχεδιασμός ασυνεχούς παλινδρόμησης (RDD/ΣΑΠ)</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Προσεγγίσεις από τη βάση στην κορυφή για την κλιμάκωση των πορισμάτων που προκύπτουν στο μικροεπίπεδο</w:t>
            </w:r>
          </w:p>
        </w:tc>
      </w:tr>
      <w:tr w:rsidR="00515FD4" w:rsidRPr="001C6ACF" w:rsidTr="005F69E8">
        <w:trPr>
          <w:trHeight w:val="1167"/>
        </w:trPr>
        <w:tc>
          <w:tcPr>
            <w:tcW w:w="988" w:type="dxa"/>
            <w:tcBorders>
              <w:right w:val="nil"/>
            </w:tcBorders>
            <w:hideMark/>
          </w:tcPr>
          <w:p w:rsidR="00515FD4" w:rsidRPr="00336531" w:rsidRDefault="008D4934" w:rsidP="008D4934">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27360" behindDoc="0" locked="0" layoutInCell="1" allowOverlap="1" wp14:anchorId="2C05950E" wp14:editId="6D33F341">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BE4A35" w:themeColor="accent2"/>
              </w:rPr>
              <w:t>Δ.02</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Γεωργικό εισόδημα συντελεστών παραγωγής</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5F69E8">
        <w:trPr>
          <w:trHeight w:val="1163"/>
        </w:trPr>
        <w:tc>
          <w:tcPr>
            <w:tcW w:w="988" w:type="dxa"/>
            <w:tcBorders>
              <w:right w:val="nil"/>
            </w:tcBorders>
            <w:hideMark/>
          </w:tcPr>
          <w:p w:rsidR="00515FD4" w:rsidRPr="00571D58" w:rsidRDefault="00515FD4" w:rsidP="004A2D39">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2000" behindDoc="1" locked="0" layoutInCell="1" allowOverlap="1" wp14:anchorId="7D07F527" wp14:editId="3554D2C7">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Δ.03</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Συνολική παραγωγικότητα των συντελεστών παραγωγής στον τομέα της γεωργίας</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670F92">
        <w:trPr>
          <w:trHeight w:val="255"/>
        </w:trPr>
        <w:tc>
          <w:tcPr>
            <w:tcW w:w="9209" w:type="dxa"/>
            <w:gridSpan w:val="6"/>
            <w:shd w:val="clear" w:color="auto" w:fill="57825E" w:themeFill="accent4"/>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Περιβαλλοντικές επιπτώσεις</w:t>
            </w:r>
          </w:p>
        </w:tc>
      </w:tr>
      <w:tr w:rsidR="00515FD4" w:rsidRPr="001C6ACF" w:rsidTr="005F69E8">
        <w:trPr>
          <w:trHeight w:val="1068"/>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4048" behindDoc="1" locked="0" layoutInCell="1" allowOverlap="1" wp14:anchorId="1226EEA4" wp14:editId="7A9DD4F4">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Δ.07</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 xml:space="preserve">Εκπομπές από τη γεωργία </w:t>
            </w:r>
          </w:p>
        </w:tc>
        <w:tc>
          <w:tcPr>
            <w:tcW w:w="1701" w:type="dxa"/>
            <w:vAlign w:val="center"/>
            <w:hideMark/>
          </w:tcPr>
          <w:p w:rsidR="00515FD4" w:rsidRPr="007645B4" w:rsidRDefault="00BB68D4" w:rsidP="007008C0">
            <w:pPr>
              <w:pStyle w:val="HStandard"/>
              <w:spacing w:line="240" w:lineRule="auto"/>
              <w:jc w:val="center"/>
              <w:rPr>
                <w:rFonts w:cs="Arial"/>
                <w:sz w:val="16"/>
                <w:szCs w:val="18"/>
              </w:rPr>
            </w:pPr>
            <w:r>
              <w:rPr>
                <w:sz w:val="16"/>
              </w:rPr>
              <w:t>Τεχνικές παλινδρόμησης και αντιστοίχισης</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Γενικευμένη αντιστοίχιση παρατηρήσεων με βάση την τάση (GPSM/ΓΑΠΒΤ) με τη χρήση δεδομένων σε επίπεδο NUTS 3 ή άλλων χωρικών δεδομένων</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Καμία</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Απλοϊκή τιμή αναφοράς </w:t>
            </w:r>
            <w:r>
              <w:rPr>
                <w:rFonts w:cs="Arial"/>
                <w:sz w:val="16"/>
                <w:szCs w:val="18"/>
              </w:rPr>
              <w:br/>
            </w:r>
            <w:r>
              <w:rPr>
                <w:sz w:val="16"/>
              </w:rPr>
              <w:t>Συγκρίσεις (συμπεριλαμβανομένων ποιοτικών μεθόδων)</w:t>
            </w:r>
          </w:p>
        </w:tc>
      </w:tr>
      <w:tr w:rsidR="00515FD4" w:rsidRPr="001C6ACF" w:rsidTr="005F69E8">
        <w:trPr>
          <w:trHeight w:val="630"/>
        </w:trPr>
        <w:tc>
          <w:tcPr>
            <w:tcW w:w="988" w:type="dxa"/>
            <w:tcBorders>
              <w:right w:val="nil"/>
            </w:tcBorders>
            <w:hideMark/>
          </w:tcPr>
          <w:p w:rsidR="00515FD4" w:rsidRPr="00571D58" w:rsidRDefault="008D493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0976" behindDoc="1" locked="0" layoutInCell="1" allowOverlap="1" wp14:anchorId="13FF8A81" wp14:editId="4D714610">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Δ.08</w:t>
            </w:r>
          </w:p>
        </w:tc>
        <w:tc>
          <w:tcPr>
            <w:tcW w:w="1417" w:type="dxa"/>
            <w:tcBorders>
              <w:left w:val="nil"/>
            </w:tcBorders>
            <w:vAlign w:val="center"/>
            <w:hideMark/>
          </w:tcPr>
          <w:p w:rsidR="00515FD4" w:rsidRPr="00FB6C06" w:rsidRDefault="00515FD4" w:rsidP="00670F92">
            <w:pPr>
              <w:pStyle w:val="HStandard"/>
              <w:jc w:val="left"/>
              <w:rPr>
                <w:rFonts w:cs="Arial"/>
                <w:b/>
                <w:color w:val="57825E" w:themeColor="accent4"/>
                <w:sz w:val="16"/>
                <w:szCs w:val="18"/>
              </w:rPr>
            </w:pPr>
            <w:r>
              <w:rPr>
                <w:b/>
                <w:color w:val="57825E" w:themeColor="accent4"/>
                <w:sz w:val="16"/>
              </w:rPr>
              <w:t xml:space="preserve">Δείκτης πτηνών που ζουν σε γεωργικές εκτάσεις </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Αντιστοίχιση παρατηρήσεων με βάση την τάση (PSM/ΑΠΒΤ) και διαφορά των διαφορών (DiD/ΔτΔ)</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Αντιστοίχιση παρατηρήσεων με βάση την τάση (PSM/ΑΠΒΤ) και διαφορά των διαφορών (DiD/ΔτΔ)</w:t>
            </w:r>
          </w:p>
          <w:p w:rsidR="00515FD4" w:rsidRPr="001C6ACF" w:rsidRDefault="00515FD4" w:rsidP="007008C0">
            <w:pPr>
              <w:pStyle w:val="HStandard"/>
              <w:spacing w:line="240" w:lineRule="auto"/>
              <w:jc w:val="center"/>
              <w:rPr>
                <w:rFonts w:cs="Arial"/>
                <w:sz w:val="16"/>
                <w:szCs w:val="18"/>
              </w:rPr>
            </w:pPr>
            <w:r>
              <w:rPr>
                <w:sz w:val="16"/>
              </w:rPr>
              <w:t>Χωρικά οικονομετρικά υποδείγματα σε βιογεωγραφικές περιοχές</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Στατιστική ανάλυση ad-hoc συγκρίσεων κατά ζεύγη ή πολλαπλών ομάδων σύγκρισης με τη χρήση της μεθόδου DiD/ΔτΔ</w:t>
            </w:r>
            <w:r>
              <w:rPr>
                <w:color w:val="373737"/>
                <w:sz w:val="16"/>
              </w:rPr>
              <w:t xml:space="preserve"> σε συνδυασμό με ποιοτικές εκτιμήσεις</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Προσεγγίσεις από τη βάση στην κορυφή για την κλιμάκωση των πορισμάτων που προκύπτουν στο μικροεπίπεδο</w:t>
            </w:r>
            <w:r>
              <w:rPr>
                <w:color w:val="373737"/>
                <w:sz w:val="16"/>
              </w:rPr>
              <w:t>σε συνδυασμό με ποιοτικές εκτιμήσεις</w:t>
            </w:r>
          </w:p>
        </w:tc>
      </w:tr>
      <w:tr w:rsidR="00515FD4" w:rsidRPr="001C6ACF" w:rsidTr="005F69E8">
        <w:trPr>
          <w:trHeight w:val="1083"/>
        </w:trPr>
        <w:tc>
          <w:tcPr>
            <w:tcW w:w="988" w:type="dxa"/>
            <w:tcBorders>
              <w:right w:val="nil"/>
            </w:tcBorders>
            <w:hideMark/>
          </w:tcPr>
          <w:p w:rsidR="00515FD4" w:rsidRPr="00571D58" w:rsidRDefault="00515FD4" w:rsidP="004A2D39">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09952" behindDoc="1" locked="0" layoutInCell="1" allowOverlap="1" wp14:anchorId="0D99AD6E" wp14:editId="5B9F11BA">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Δ.09</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Γεωργία υψηλής φυσικής αξίας (ΥΦΑ)</w:t>
            </w: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r>
      <w:tr w:rsidR="00273775" w:rsidRPr="001C6ACF" w:rsidTr="005F69E8">
        <w:trPr>
          <w:trHeight w:val="1082"/>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2240" behindDoc="1" locked="0" layoutInCell="1" allowOverlap="1" wp14:anchorId="0077F254" wp14:editId="14982742">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Δ.10</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Άντληση υδάτων στον τομέα της γεωργίας </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 xml:space="preserve">Τεχνικές παλινδρόμησης και αντιστοίχισης για τους Δ.10, Δ.11-1, και, ανάλογα με τη διαθεσιμότητα </w:t>
            </w:r>
            <w:r>
              <w:rPr>
                <w:sz w:val="16"/>
              </w:rPr>
              <w:lastRenderedPageBreak/>
              <w:t>δεδομένων, για τον Δ.11-2</w:t>
            </w:r>
            <w:r>
              <w:rPr>
                <w:rFonts w:cs="Arial"/>
                <w:sz w:val="16"/>
                <w:szCs w:val="18"/>
              </w:rPr>
              <w:br/>
            </w:r>
            <w:r>
              <w:rPr>
                <w:sz w:val="16"/>
              </w:rPr>
              <w:t>Προσομοίωση «περιπτωσιολογικής μελέτης» περιοχής λεκάνης απορροής ποταμού ή της υπομονάδας του μόνο για τον Δ.11-2</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lastRenderedPageBreak/>
              <w:t xml:space="preserve">Γενικευμένη αντιστοίχιση παρατηρήσεων με βάση την τάση (GPSM/ΓΑΠΒΤ) </w:t>
            </w:r>
            <w:r>
              <w:rPr>
                <w:rFonts w:cs="Arial"/>
                <w:sz w:val="16"/>
                <w:szCs w:val="18"/>
              </w:rPr>
              <w:br/>
            </w:r>
            <w:r>
              <w:rPr>
                <w:rFonts w:cs="Arial"/>
                <w:sz w:val="16"/>
                <w:szCs w:val="18"/>
              </w:rPr>
              <w:br/>
            </w:r>
            <w:r>
              <w:rPr>
                <w:sz w:val="16"/>
              </w:rPr>
              <w:lastRenderedPageBreak/>
              <w:t>Χωρικές οικονομετρικές μέθοδοι</w:t>
            </w:r>
          </w:p>
        </w:tc>
        <w:tc>
          <w:tcPr>
            <w:tcW w:w="1701" w:type="dxa"/>
            <w:vMerge w:val="restart"/>
            <w:vAlign w:val="center"/>
            <w:hideMark/>
          </w:tcPr>
          <w:p w:rsidR="00273775" w:rsidRPr="001C6ACF" w:rsidRDefault="00B9614C" w:rsidP="007008C0">
            <w:pPr>
              <w:pStyle w:val="HStandard"/>
              <w:spacing w:line="240" w:lineRule="auto"/>
              <w:jc w:val="center"/>
              <w:rPr>
                <w:rFonts w:cs="Arial"/>
                <w:sz w:val="16"/>
                <w:szCs w:val="18"/>
              </w:rPr>
            </w:pPr>
            <w:r>
              <w:rPr>
                <w:sz w:val="16"/>
              </w:rPr>
              <w:lastRenderedPageBreak/>
              <w:t>Ποιοτικές μέθοδοι</w:t>
            </w:r>
          </w:p>
        </w:tc>
        <w:tc>
          <w:tcPr>
            <w:tcW w:w="1701" w:type="dxa"/>
            <w:vMerge w:val="restart"/>
            <w:vAlign w:val="center"/>
          </w:tcPr>
          <w:p w:rsidR="00273775" w:rsidRPr="001C6ACF" w:rsidRDefault="001043CE" w:rsidP="007008C0">
            <w:pPr>
              <w:pStyle w:val="HStandard"/>
              <w:spacing w:line="240" w:lineRule="auto"/>
              <w:jc w:val="center"/>
              <w:rPr>
                <w:rFonts w:cs="Arial"/>
                <w:sz w:val="16"/>
                <w:szCs w:val="18"/>
              </w:rPr>
            </w:pPr>
            <w:r>
              <w:rPr>
                <w:sz w:val="16"/>
              </w:rPr>
              <w:t>Συγκρίσεις με ομάδες ελέγχου που δεν έχουν λάβει στήριξη, με την υποστήριξη ποιοτικών μεθόδων</w:t>
            </w:r>
          </w:p>
        </w:tc>
      </w:tr>
      <w:tr w:rsidR="00273775" w:rsidRPr="001C6ACF" w:rsidTr="005F69E8">
        <w:trPr>
          <w:trHeight w:val="984"/>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lastRenderedPageBreak/>
              <w:drawing>
                <wp:anchor distT="0" distB="0" distL="114300" distR="114300" simplePos="0" relativeHeight="251721216" behindDoc="1" locked="0" layoutInCell="1" allowOverlap="1" wp14:anchorId="2C26BEEF" wp14:editId="65779F64">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Δ.11</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Ποιότητα των υδάτων </w:t>
            </w: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tcPr>
          <w:p w:rsidR="00273775" w:rsidRPr="001C6ACF" w:rsidRDefault="00273775" w:rsidP="007008C0">
            <w:pPr>
              <w:pStyle w:val="HStandard"/>
              <w:spacing w:line="240" w:lineRule="auto"/>
              <w:jc w:val="center"/>
              <w:rPr>
                <w:rFonts w:cs="Arial"/>
                <w:sz w:val="16"/>
                <w:szCs w:val="18"/>
              </w:rPr>
            </w:pPr>
          </w:p>
        </w:tc>
      </w:tr>
      <w:tr w:rsidR="00515FD4" w:rsidRPr="001C6ACF" w:rsidTr="005F69E8">
        <w:trPr>
          <w:trHeight w:val="1214"/>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5072" behindDoc="1" locked="0" layoutInCell="1" allowOverlap="1" wp14:anchorId="392AA93D" wp14:editId="34AB6C84">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Δ.12</w:t>
            </w:r>
          </w:p>
        </w:tc>
        <w:tc>
          <w:tcPr>
            <w:tcW w:w="1417" w:type="dxa"/>
            <w:tcBorders>
              <w:left w:val="nil"/>
            </w:tcBorders>
            <w:vAlign w:val="center"/>
            <w:hideMark/>
          </w:tcPr>
          <w:p w:rsidR="00515FD4" w:rsidRPr="00336531" w:rsidRDefault="00515FD4" w:rsidP="001B04F9">
            <w:pPr>
              <w:pStyle w:val="HStandard"/>
              <w:jc w:val="left"/>
              <w:rPr>
                <w:rFonts w:cs="Arial"/>
                <w:b/>
                <w:color w:val="57825E" w:themeColor="accent4"/>
                <w:sz w:val="16"/>
                <w:szCs w:val="18"/>
              </w:rPr>
            </w:pPr>
            <w:r>
              <w:rPr>
                <w:b/>
                <w:color w:val="57825E" w:themeColor="accent4"/>
                <w:sz w:val="16"/>
              </w:rPr>
              <w:t xml:space="preserve">Οργανικές ύλες του εδάφους σε αρόσιμη γη </w:t>
            </w:r>
          </w:p>
        </w:tc>
        <w:tc>
          <w:tcPr>
            <w:tcW w:w="1701" w:type="dxa"/>
            <w:vAlign w:val="center"/>
            <w:hideMark/>
          </w:tcPr>
          <w:p w:rsidR="00515FD4" w:rsidRPr="001C6ACF" w:rsidRDefault="00FF2060" w:rsidP="007008C0">
            <w:pPr>
              <w:pStyle w:val="HStandard"/>
              <w:spacing w:line="240" w:lineRule="auto"/>
              <w:jc w:val="center"/>
              <w:rPr>
                <w:rFonts w:cs="Arial"/>
                <w:sz w:val="16"/>
                <w:szCs w:val="18"/>
              </w:rPr>
            </w:pPr>
            <w:r>
              <w:rPr>
                <w:sz w:val="16"/>
              </w:rPr>
              <w:t>Εκτίμηση οργανικών υλών του εδάφους (SOM/ΟΥΕ) που βασίζεται σε βάθος εδάφους 0-60 cm</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Καμία</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Εκτίμηση SOM/ΟΥΕ </w:t>
            </w:r>
            <w:r>
              <w:rPr>
                <w:rFonts w:cs="Arial"/>
                <w:sz w:val="16"/>
                <w:szCs w:val="18"/>
              </w:rPr>
              <w:br/>
            </w:r>
            <w:r>
              <w:rPr>
                <w:sz w:val="16"/>
              </w:rPr>
              <w:t>βάσει απλουστευμένων προγραμμάτων παρακολούθησης του εδάφους</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Εκτίμηση των SOMΟΥΕ βάσει </w:t>
            </w:r>
            <w:r>
              <w:rPr>
                <w:rFonts w:cs="Arial"/>
                <w:sz w:val="16"/>
                <w:szCs w:val="18"/>
              </w:rPr>
              <w:br/>
            </w:r>
            <w:r>
              <w:rPr>
                <w:sz w:val="16"/>
              </w:rPr>
              <w:t>της βάσης δεδομένων LUCAS</w:t>
            </w:r>
          </w:p>
        </w:tc>
      </w:tr>
      <w:tr w:rsidR="00515FD4" w:rsidRPr="001C6ACF" w:rsidTr="006A4FC1">
        <w:trPr>
          <w:trHeight w:val="43"/>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6096" behindDoc="1" locked="0" layoutInCell="1" allowOverlap="1" wp14:anchorId="2F6ED840" wp14:editId="4A6ACFFD">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ΑΝ.13</w:t>
            </w:r>
          </w:p>
        </w:tc>
        <w:tc>
          <w:tcPr>
            <w:tcW w:w="1417" w:type="dxa"/>
            <w:tcBorders>
              <w:left w:val="nil"/>
            </w:tcBorders>
            <w:vAlign w:val="center"/>
            <w:hideMark/>
          </w:tcPr>
          <w:p w:rsidR="006E3A77" w:rsidRPr="00FB6C06" w:rsidRDefault="00515FD4" w:rsidP="001B04F9">
            <w:pPr>
              <w:pStyle w:val="HStandard"/>
              <w:jc w:val="left"/>
              <w:rPr>
                <w:rFonts w:cs="Arial"/>
                <w:b/>
                <w:color w:val="57825E" w:themeColor="accent4"/>
                <w:sz w:val="16"/>
                <w:szCs w:val="18"/>
              </w:rPr>
            </w:pPr>
            <w:r>
              <w:rPr>
                <w:b/>
                <w:color w:val="57825E" w:themeColor="accent4"/>
                <w:sz w:val="16"/>
              </w:rPr>
              <w:t>Διάβρωση εδάφους από το νερό</w:t>
            </w:r>
          </w:p>
        </w:tc>
        <w:tc>
          <w:tcPr>
            <w:tcW w:w="1701" w:type="dxa"/>
            <w:vAlign w:val="center"/>
            <w:hideMark/>
          </w:tcPr>
          <w:p w:rsidR="00515FD4" w:rsidRPr="00863E73" w:rsidRDefault="00BB68D4" w:rsidP="007008C0">
            <w:pPr>
              <w:pStyle w:val="NormalWeb"/>
              <w:jc w:val="center"/>
              <w:rPr>
                <w:rFonts w:ascii="Arial" w:hAnsi="Arial" w:cs="Arial"/>
                <w:color w:val="373737" w:themeColor="text1"/>
                <w:sz w:val="16"/>
                <w:szCs w:val="18"/>
              </w:rPr>
            </w:pPr>
            <w:r>
              <w:rPr>
                <w:rFonts w:ascii="Arial" w:hAnsi="Arial"/>
                <w:color w:val="373737" w:themeColor="text1"/>
                <w:sz w:val="16"/>
              </w:rPr>
              <w:t>Τεχνικές αξιολόγησης βασισμένες σε στατιστικά στοιχεία</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Χωρικά οικονομετρικά στοιχεία βάσει της μεθόδου της GPSM/ΓΑΠΒΤ, με την υποστήριξη της μεθόδου DiD/ΔτΔ</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Απλοϊκή βασική προσέγγιση ή δυναμικές συγκρίσεις ομάδων</w:t>
            </w:r>
          </w:p>
        </w:tc>
        <w:tc>
          <w:tcPr>
            <w:tcW w:w="1701" w:type="dxa"/>
            <w:vAlign w:val="center"/>
            <w:hideMark/>
          </w:tcPr>
          <w:p w:rsidR="00B52E11" w:rsidRPr="001C6ACF" w:rsidRDefault="00515FD4" w:rsidP="007008C0">
            <w:pPr>
              <w:pStyle w:val="HStandard"/>
              <w:spacing w:line="240" w:lineRule="auto"/>
              <w:jc w:val="center"/>
              <w:rPr>
                <w:rFonts w:cs="Arial"/>
                <w:sz w:val="16"/>
                <w:szCs w:val="18"/>
              </w:rPr>
            </w:pPr>
            <w:r>
              <w:rPr>
                <w:sz w:val="16"/>
              </w:rPr>
              <w:t>Ποσοτική απλοϊκή εκτίμηση μεταξύ χωρικών μονάδων και εθνικού μέσου όρου</w:t>
            </w:r>
          </w:p>
          <w:p w:rsidR="00735F08" w:rsidRPr="001C6ACF" w:rsidRDefault="00735F08" w:rsidP="007008C0">
            <w:pPr>
              <w:pStyle w:val="HStandard"/>
              <w:spacing w:line="240" w:lineRule="auto"/>
              <w:jc w:val="center"/>
              <w:rPr>
                <w:rFonts w:cs="Arial"/>
                <w:sz w:val="16"/>
                <w:szCs w:val="18"/>
              </w:rPr>
            </w:pPr>
          </w:p>
        </w:tc>
      </w:tr>
      <w:tr w:rsidR="00515FD4" w:rsidRPr="001C6ACF"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Κοινωνικοοικονομικές επιπτώσεις</w:t>
            </w:r>
          </w:p>
        </w:tc>
      </w:tr>
      <w:tr w:rsidR="00515FD4" w:rsidRPr="001C6ACF" w:rsidTr="005F69E8">
        <w:trPr>
          <w:trHeight w:val="1189"/>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7120" behindDoc="1" locked="0" layoutInCell="1" allowOverlap="1" wp14:anchorId="7EB9F459" wp14:editId="3EDFF990">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9638E" w:themeColor="accent3"/>
              </w:rPr>
              <w:t>ΑΝ.14</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Ποσοστό απασχόλησης στις αγροτικές περιοχές </w:t>
            </w:r>
          </w:p>
        </w:tc>
        <w:tc>
          <w:tcPr>
            <w:tcW w:w="1701" w:type="dxa"/>
            <w:vMerge w:val="restart"/>
            <w:vAlign w:val="center"/>
            <w:hideMark/>
          </w:tcPr>
          <w:p w:rsidR="00515FD4" w:rsidRPr="00FB6C06" w:rsidRDefault="00515FD4" w:rsidP="007008C0">
            <w:pPr>
              <w:pStyle w:val="HStandard"/>
              <w:spacing w:line="240" w:lineRule="auto"/>
              <w:jc w:val="center"/>
              <w:rPr>
                <w:sz w:val="16"/>
                <w:szCs w:val="18"/>
              </w:rPr>
            </w:pPr>
            <w:r>
              <w:rPr>
                <w:sz w:val="16"/>
              </w:rPr>
              <w:t>Καμία</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 xml:space="preserve">Μοντέλο αναδρομικής-δυναμικής υπολογίσιμης γενικής ισορροπίας (CGE/ΥΓΙ) </w:t>
            </w:r>
            <w:r>
              <w:rPr>
                <w:sz w:val="16"/>
                <w:szCs w:val="18"/>
              </w:rPr>
              <w:br/>
            </w:r>
            <w:r>
              <w:rPr>
                <w:sz w:val="16"/>
                <w:szCs w:val="18"/>
              </w:rPr>
              <w:br/>
            </w:r>
            <w:r>
              <w:rPr>
                <w:sz w:val="16"/>
              </w:rPr>
              <w:t>Αντιστοίχιση παρατηρήσεων με βάση την τάση (PSM/ΑΠΒΤ) και γενικευμένη αντιστοίχιση παρατηρήσεων με βάση την τάση (GPSM/ΓΑΠΒΤ)</w:t>
            </w:r>
          </w:p>
        </w:tc>
        <w:tc>
          <w:tcPr>
            <w:tcW w:w="1701" w:type="dxa"/>
            <w:vMerge w:val="restart"/>
            <w:noWrap/>
            <w:vAlign w:val="center"/>
            <w:hideMark/>
          </w:tcPr>
          <w:p w:rsidR="00515FD4" w:rsidRPr="001C6ACF" w:rsidRDefault="00515FD4" w:rsidP="007008C0">
            <w:pPr>
              <w:pStyle w:val="HStandard"/>
              <w:spacing w:line="240" w:lineRule="auto"/>
              <w:jc w:val="center"/>
              <w:rPr>
                <w:sz w:val="16"/>
                <w:szCs w:val="18"/>
              </w:rPr>
            </w:pPr>
            <w:r>
              <w:rPr>
                <w:sz w:val="16"/>
              </w:rPr>
              <w:t>Καμία</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Ανάλυση εισροών-εκροών</w:t>
            </w:r>
          </w:p>
          <w:p w:rsidR="00186FCF" w:rsidRPr="001C6ACF" w:rsidRDefault="00186FCF" w:rsidP="007008C0">
            <w:pPr>
              <w:pStyle w:val="HStandard"/>
              <w:spacing w:line="240" w:lineRule="auto"/>
              <w:jc w:val="center"/>
              <w:rPr>
                <w:sz w:val="16"/>
                <w:szCs w:val="18"/>
              </w:rPr>
            </w:pPr>
            <w:r>
              <w:rPr>
                <w:sz w:val="16"/>
              </w:rPr>
              <w:t>(με την υποστήριξη ποιοτικής ανάλυσης)</w:t>
            </w:r>
          </w:p>
        </w:tc>
      </w:tr>
      <w:tr w:rsidR="00515FD4" w:rsidRPr="001C6ACF" w:rsidTr="005F69E8">
        <w:trPr>
          <w:trHeight w:val="1405"/>
        </w:trPr>
        <w:tc>
          <w:tcPr>
            <w:tcW w:w="988" w:type="dxa"/>
            <w:tcBorders>
              <w:right w:val="nil"/>
            </w:tcBorders>
            <w:hideMark/>
          </w:tcPr>
          <w:p w:rsidR="00515FD4" w:rsidRPr="00571D58" w:rsidRDefault="00515FD4" w:rsidP="00B91C1E">
            <w:pPr>
              <w:pStyle w:val="HStandard"/>
              <w:jc w:val="center"/>
              <w:rPr>
                <w:b/>
                <w:bCs/>
                <w:color w:val="59638E" w:themeColor="accent3"/>
              </w:rPr>
            </w:pPr>
            <w:r>
              <w:rPr>
                <w:b/>
                <w:color w:val="59638E" w:themeColor="accent3"/>
              </w:rPr>
              <w:t>Δ.15</w:t>
            </w:r>
            <w:r>
              <w:rPr>
                <w:b/>
                <w:bCs/>
                <w:noProof/>
                <w:color w:val="59638E" w:themeColor="accent3"/>
                <w:lang w:val="en-GB" w:eastAsia="en-GB" w:bidi="ar-SA"/>
              </w:rPr>
              <w:drawing>
                <wp:inline distT="0" distB="0" distL="0" distR="0" wp14:anchorId="3175CD46" wp14:editId="0F50C69B">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Βαθμός φτώχειας στις αγροτικές περιοχές</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r w:rsidR="00515FD4" w:rsidRPr="001C6ACF" w:rsidTr="005F69E8">
        <w:trPr>
          <w:trHeight w:val="1413"/>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9168" behindDoc="1" locked="0" layoutInCell="1" allowOverlap="1" wp14:anchorId="28DFE96C" wp14:editId="310AA828">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59638E" w:themeColor="accent3"/>
              </w:rPr>
              <w:t>Δ.16</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Κατά κεφαλήν ΑΕγχΠ στις αγροτικές περιοχές </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bl>
    <w:p w:rsidR="00186FCF" w:rsidRPr="001C6ACF" w:rsidRDefault="00186FCF" w:rsidP="00186FCF">
      <w:pPr>
        <w:pStyle w:val="HStandard"/>
        <w:rPr>
          <w:rFonts w:cs="Arial"/>
        </w:rPr>
      </w:pPr>
    </w:p>
    <w:p w:rsidR="00186FCF" w:rsidRPr="001C6ACF" w:rsidRDefault="00186FCF" w:rsidP="00186FCF">
      <w:pPr>
        <w:pStyle w:val="HStandard"/>
        <w:rPr>
          <w:rFonts w:cs="Arial"/>
        </w:rPr>
      </w:pPr>
      <w:r>
        <w:t xml:space="preserve">Στον παραπάνω πίνακα παρουσιάζονται συνοπτικά, για κάθε δείκτη αντικτύπου του δεύτερου πυλώνα της ΚΓΠ, οι συνιστώμενες προσεγγίσεις αξιολόγησης για την εκτίμηση στο μικροεπίπεδο και το μακροεπίπεδο, οι οποίες εξειδικεύονται περαιτέρω στα κεφάλαια 2.2 – 2.9 των κατευθυντήριων γραμμών, καθώς και στο τεχνικό παράρτημα. </w:t>
      </w:r>
    </w:p>
    <w:p w:rsidR="00186FCF" w:rsidRPr="001C6ACF" w:rsidRDefault="00186FCF"/>
    <w:p w:rsidR="008D4934" w:rsidRPr="00571D58" w:rsidRDefault="000B213F" w:rsidP="00B34DDC">
      <w:pPr>
        <w:pStyle w:val="HStandard"/>
        <w:jc w:val="center"/>
      </w:pPr>
      <w:bookmarkStart w:id="0" w:name="_GoBack"/>
      <w:r>
        <w:rPr>
          <w:b/>
          <w:i/>
          <w:noProof/>
          <w:color w:val="F07E31" w:themeColor="accent1"/>
          <w:lang w:val="en-GB" w:eastAsia="en-GB" w:bidi="ar-SA"/>
        </w:rPr>
        <w:lastRenderedPageBreak/>
        <mc:AlternateContent>
          <mc:Choice Requires="wps">
            <w:drawing>
              <wp:inline distT="0" distB="0" distL="0" distR="0" wp14:anchorId="00E1CACC" wp14:editId="17E0884F">
                <wp:extent cx="5819775" cy="2650671"/>
                <wp:effectExtent l="0" t="0" r="28575" b="16510"/>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650671"/>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67073B" w:rsidRPr="00D43E45" w:rsidRDefault="0067073B"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7C6E184" wp14:editId="43C63B2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Οι προσεγγίσεις αξιολόγησης</w:t>
                            </w:r>
                            <w:r>
                              <w:rPr>
                                <w:b w:val="0"/>
                                <w:color w:val="373737" w:themeColor="text1"/>
                              </w:rPr>
                              <w:t xml:space="preserve"> που περιγράφονται στις κατευθυντήριες γραμμές αποτελούν παραδείγματα πιθανών επιλογών, χωρίς αυτό να σημαίνει ότι δεν υπάρχουν άλλες επιλογές. Οι αξιολογητές μπορούν να επιλέγουν άλλες προσεγγίσεις για την εκτίμηση των επιπτώσεων του ΠΑΑ, λαμβάνοντας υπόψη την καλύτερη δυνατή λύση για τη συλλογή αξιόπιστων στοιχείων, αλλά με σεβασμό των </w:t>
                            </w:r>
                            <w:r>
                              <w:rPr>
                                <w:color w:val="373737" w:themeColor="text1"/>
                              </w:rPr>
                              <w:t>ιδιαιτεροτήτων του ΠΑΑ</w:t>
                            </w:r>
                            <w:r>
                              <w:rPr>
                                <w:b w:val="0"/>
                                <w:color w:val="373737" w:themeColor="text1"/>
                              </w:rPr>
                              <w:t xml:space="preserve"> όσον αφορά:</w:t>
                            </w:r>
                          </w:p>
                          <w:p w:rsidR="0067073B" w:rsidRPr="00D43E45" w:rsidRDefault="0067073B" w:rsidP="00EC01C3">
                            <w:pPr>
                              <w:pStyle w:val="Hlistbullet"/>
                              <w:rPr>
                                <w:i/>
                                <w:sz w:val="18"/>
                              </w:rPr>
                            </w:pPr>
                            <w:r>
                              <w:t xml:space="preserve">το μέγεθος του ΠΑΑ· </w:t>
                            </w:r>
                          </w:p>
                          <w:p w:rsidR="0067073B" w:rsidRPr="00D43E45" w:rsidRDefault="0067073B" w:rsidP="00EC01C3">
                            <w:pPr>
                              <w:pStyle w:val="Hlistbullet"/>
                              <w:rPr>
                                <w:i/>
                                <w:sz w:val="18"/>
                              </w:rPr>
                            </w:pPr>
                            <w:r>
                              <w:t xml:space="preserve">τον βαθμό υιοθέτησης του ΠΑΑ· </w:t>
                            </w:r>
                          </w:p>
                          <w:p w:rsidR="0067073B" w:rsidRPr="00D43E45" w:rsidRDefault="0067073B" w:rsidP="00EC01C3">
                            <w:pPr>
                              <w:pStyle w:val="Hlistbullet"/>
                              <w:rPr>
                                <w:i/>
                                <w:sz w:val="18"/>
                              </w:rPr>
                            </w:pPr>
                            <w:r>
                              <w:t>τη διαθεσιμότητα και την ποιότητα των στοιχείων προς αξιολόγηση.</w:t>
                            </w:r>
                          </w:p>
                          <w:p w:rsidR="0067073B" w:rsidRPr="00E53246" w:rsidRDefault="0067073B" w:rsidP="00EC01C3">
                            <w:pPr>
                              <w:pStyle w:val="HHeading4"/>
                              <w:spacing w:before="0"/>
                              <w:jc w:val="both"/>
                              <w:rPr>
                                <w:b w:val="0"/>
                                <w:color w:val="373737" w:themeColor="text1"/>
                              </w:rPr>
                            </w:pPr>
                            <w:r>
                              <w:rPr>
                                <w:b w:val="0"/>
                                <w:color w:val="373737" w:themeColor="text1"/>
                              </w:rPr>
                              <w:t>Τα λογικά μοντέλα που παρουσιάζονται στις παρούσες κατευθυντήριες γραμμές θα πρέπει να χρησιμοποιούνται από τους αξιολογητές ως χρήσιμα εργαλεία για τον προσδιορισμό πιθανών επιλογών αξιολόγησης υπό τις εκάστοτε πραγματικές συνθήκες.</w:t>
                            </w:r>
                          </w:p>
                        </w:txbxContent>
                      </wps:txbx>
                      <wps:bodyPr rot="0" vert="horz" wrap="square" lIns="91440" tIns="45720" rIns="91440" bIns="45720" anchor="ctr" anchorCtr="0" upright="1">
                        <a:noAutofit/>
                      </wps:bodyPr>
                    </wps:wsp>
                  </a:graphicData>
                </a:graphic>
              </wp:inline>
            </w:drawing>
          </mc:Choice>
          <mc:Fallback>
            <w:pict>
              <v:shape w14:anchorId="00E1CACC" id="AutoShape 61" o:spid="_x0000_s1042" style="width:458.25pt;height:208.7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419187;5662230,2650671;0,2650671;0,2650671;0,231484;157545,0" o:connectangles="0,0,0,0,0,0,0,0,0" textboxrect="0,0,5819775,1804016"/>
                <v:textbox>
                  <w:txbxContent>
                    <w:p w:rsidR="0067073B" w:rsidRPr="00D43E45" w:rsidRDefault="0067073B"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7C6E184" wp14:editId="43C63B2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Οι προσεγγίσεις αξιολόγησης</w:t>
                      </w:r>
                      <w:r>
                        <w:rPr>
                          <w:b w:val="0"/>
                          <w:color w:val="373737" w:themeColor="text1"/>
                        </w:rPr>
                        <w:t xml:space="preserve"> που περιγράφονται στις κατευθυντήριες γραμμές αποτελούν παραδείγματα πιθανών επιλογών, χωρίς αυτό να σημαίνει ότι δεν υπάρχουν άλλες επιλογές. Οι αξιολογητές μπορούν να επιλέγουν άλλες προσεγγίσεις για την εκτίμηση των επιπτώσεων του ΠΑΑ, λαμβάνοντας υπόψη την καλύτερη δυνατή λύση για τη συλλογή αξιόπιστων στοιχείων, αλλά με σεβασμό των </w:t>
                      </w:r>
                      <w:r>
                        <w:rPr>
                          <w:color w:val="373737" w:themeColor="text1"/>
                        </w:rPr>
                        <w:t>ιδιαιτεροτήτων του ΠΑΑ</w:t>
                      </w:r>
                      <w:r>
                        <w:rPr>
                          <w:b w:val="0"/>
                          <w:color w:val="373737" w:themeColor="text1"/>
                        </w:rPr>
                        <w:t xml:space="preserve"> όσον αφορά:</w:t>
                      </w:r>
                    </w:p>
                    <w:p w:rsidR="0067073B" w:rsidRPr="00D43E45" w:rsidRDefault="0067073B" w:rsidP="00EC01C3">
                      <w:pPr>
                        <w:pStyle w:val="Hlistbullet"/>
                        <w:rPr>
                          <w:i/>
                          <w:sz w:val="18"/>
                        </w:rPr>
                      </w:pPr>
                      <w:r>
                        <w:t xml:space="preserve">το μέγεθος του ΠΑΑ· </w:t>
                      </w:r>
                    </w:p>
                    <w:p w:rsidR="0067073B" w:rsidRPr="00D43E45" w:rsidRDefault="0067073B" w:rsidP="00EC01C3">
                      <w:pPr>
                        <w:pStyle w:val="Hlistbullet"/>
                        <w:rPr>
                          <w:i/>
                          <w:sz w:val="18"/>
                        </w:rPr>
                      </w:pPr>
                      <w:r>
                        <w:t xml:space="preserve">τον βαθμό υιοθέτησης του ΠΑΑ· </w:t>
                      </w:r>
                    </w:p>
                    <w:p w:rsidR="0067073B" w:rsidRPr="00D43E45" w:rsidRDefault="0067073B" w:rsidP="00EC01C3">
                      <w:pPr>
                        <w:pStyle w:val="Hlistbullet"/>
                        <w:rPr>
                          <w:i/>
                          <w:sz w:val="18"/>
                        </w:rPr>
                      </w:pPr>
                      <w:r>
                        <w:t>τη διαθεσιμότητα και την ποιότητα των στοιχείων προς αξιολόγηση.</w:t>
                      </w:r>
                    </w:p>
                    <w:p w:rsidR="0067073B" w:rsidRPr="00E53246" w:rsidRDefault="0067073B" w:rsidP="00EC01C3">
                      <w:pPr>
                        <w:pStyle w:val="HHeading4"/>
                        <w:spacing w:before="0"/>
                        <w:jc w:val="both"/>
                        <w:rPr>
                          <w:b w:val="0"/>
                          <w:color w:val="373737" w:themeColor="text1"/>
                        </w:rPr>
                      </w:pPr>
                      <w:r>
                        <w:rPr>
                          <w:b w:val="0"/>
                          <w:color w:val="373737" w:themeColor="text1"/>
                        </w:rPr>
                        <w:t>Τα λογικά μοντέλα που παρουσιάζονται στις παρούσες κατευθυντήριες γραμμές θα πρέπει να χρησιμοποιούνται από τους αξιολογητές ως χρήσιμα εργαλεία για τον προσδιορισμό πιθανών επιλογών αξιολόγησης υπό τις εκάστοτε πραγματικές συνθήκες.</w:t>
                      </w:r>
                    </w:p>
                  </w:txbxContent>
                </v:textbox>
                <w10:anchorlock/>
              </v:shape>
            </w:pict>
          </mc:Fallback>
        </mc:AlternateContent>
      </w:r>
      <w:bookmarkEnd w:id="0"/>
    </w:p>
    <w:p w:rsidR="003F30B5" w:rsidRDefault="003F30B5">
      <w:pPr>
        <w:spacing w:before="0" w:after="0" w:line="240" w:lineRule="auto"/>
        <w:jc w:val="left"/>
        <w:rPr>
          <w:color w:val="373737" w:themeColor="text1"/>
          <w:sz w:val="20"/>
          <w:szCs w:val="20"/>
        </w:rPr>
      </w:pPr>
    </w:p>
    <w:sectPr w:rsidR="003F30B5" w:rsidSect="005F79DE">
      <w:headerReference w:type="default" r:id="rId65"/>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5F31" w:rsidRDefault="00485F31">
      <w:pPr>
        <w:spacing w:before="0" w:after="0" w:line="240" w:lineRule="auto"/>
      </w:pPr>
      <w:r>
        <w:separator/>
      </w:r>
    </w:p>
  </w:endnote>
  <w:endnote w:type="continuationSeparator" w:id="0">
    <w:p w:rsidR="00485F31" w:rsidRDefault="00485F3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67073B" w:rsidRDefault="0067073B">
        <w:pPr>
          <w:pStyle w:val="Footer"/>
        </w:pPr>
        <w:r>
          <w:fldChar w:fldCharType="begin"/>
        </w:r>
        <w:r>
          <w:instrText xml:space="preserve"> PAGE   \* MERGEFORMAT </w:instrText>
        </w:r>
        <w:r>
          <w:fldChar w:fldCharType="separate"/>
        </w:r>
        <w:r w:rsidR="00452825">
          <w:rPr>
            <w:noProof/>
          </w:rPr>
          <w:t>1</w:t>
        </w:r>
        <w:r>
          <w:rPr>
            <w:noProof/>
          </w:rPr>
          <w:fldChar w:fldCharType="end"/>
        </w:r>
      </w:p>
    </w:sdtContent>
  </w:sdt>
  <w:p w:rsidR="0067073B" w:rsidRDefault="006707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73B" w:rsidRDefault="0067073B">
    <w:pPr>
      <w:pStyle w:val="Footer"/>
    </w:pPr>
  </w:p>
  <w:p w:rsidR="0067073B" w:rsidRDefault="006707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252859"/>
      <w:docPartObj>
        <w:docPartGallery w:val="Page Numbers (Bottom of Page)"/>
        <w:docPartUnique/>
      </w:docPartObj>
    </w:sdtPr>
    <w:sdtEndPr>
      <w:rPr>
        <w:noProof/>
      </w:rPr>
    </w:sdtEndPr>
    <w:sdtContent>
      <w:p w:rsidR="002F44BA" w:rsidRDefault="002F44BA">
        <w:pPr>
          <w:pStyle w:val="Footer"/>
        </w:pPr>
        <w:r>
          <w:fldChar w:fldCharType="begin"/>
        </w:r>
        <w:r>
          <w:instrText xml:space="preserve"> PAGE   \* MERGEFORMAT </w:instrText>
        </w:r>
        <w:r>
          <w:fldChar w:fldCharType="separate"/>
        </w:r>
        <w:r>
          <w:rPr>
            <w:noProof/>
          </w:rPr>
          <w:t>2</w:t>
        </w:r>
        <w:r>
          <w:rPr>
            <w:noProof/>
          </w:rPr>
          <w:fldChar w:fldCharType="end"/>
        </w:r>
      </w:p>
    </w:sdtContent>
  </w:sdt>
  <w:p w:rsidR="0067073B" w:rsidRDefault="006707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67073B" w:rsidRDefault="0067073B">
        <w:pPr>
          <w:pStyle w:val="Footer"/>
        </w:pPr>
        <w:r>
          <w:fldChar w:fldCharType="begin"/>
        </w:r>
        <w:r>
          <w:instrText xml:space="preserve"> PAGE   \* MERGEFORMAT </w:instrText>
        </w:r>
        <w:r>
          <w:fldChar w:fldCharType="separate"/>
        </w:r>
        <w:r w:rsidR="001961A4">
          <w:rPr>
            <w:noProof/>
          </w:rPr>
          <w:t>1</w:t>
        </w:r>
        <w:r>
          <w:rPr>
            <w:noProof/>
          </w:rPr>
          <w:fldChar w:fldCharType="end"/>
        </w:r>
      </w:p>
    </w:sdtContent>
  </w:sdt>
  <w:p w:rsidR="0067073B" w:rsidRDefault="006707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5F31" w:rsidRPr="005B2AAC" w:rsidRDefault="00485F31">
      <w:pPr>
        <w:spacing w:before="0" w:after="0" w:line="240" w:lineRule="auto"/>
        <w:rPr>
          <w:color w:val="F07E31" w:themeColor="accent1"/>
        </w:rPr>
      </w:pPr>
      <w:r>
        <w:rPr>
          <w:color w:val="F07E31" w:themeColor="accent1"/>
        </w:rPr>
        <w:separator/>
      </w:r>
    </w:p>
  </w:footnote>
  <w:footnote w:type="continuationSeparator" w:id="0">
    <w:p w:rsidR="00485F31" w:rsidRDefault="00485F31">
      <w:pPr>
        <w:spacing w:before="0" w:after="0" w:line="240" w:lineRule="auto"/>
      </w:pPr>
      <w:r>
        <w:continuationSeparator/>
      </w:r>
    </w:p>
  </w:footnote>
  <w:footnote w:id="1">
    <w:p w:rsidR="0067073B" w:rsidRPr="003563F4" w:rsidRDefault="0067073B">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Άρθρο 54 και άρθρο 56 παράγραφος 3 του κανονισμού (ΕΕ) αριθ. 1303/2013.</w:t>
      </w:r>
    </w:p>
  </w:footnote>
  <w:footnote w:id="2">
    <w:p w:rsidR="0067073B" w:rsidRPr="00E53246" w:rsidRDefault="0067073B" w:rsidP="00CD63F6">
      <w:pPr>
        <w:pStyle w:val="FootnoteText"/>
      </w:pPr>
      <w:r>
        <w:rPr>
          <w:rStyle w:val="FootnoteReference"/>
          <w:color w:val="878787" w:themeColor="text2" w:themeTint="99"/>
        </w:rPr>
        <w:footnoteRef/>
      </w:r>
      <w:r>
        <w:rPr>
          <w:color w:val="878787" w:themeColor="text2" w:themeTint="99"/>
        </w:rPr>
        <w:t xml:space="preserve"> Παράρτημα IV του κανονισμού (ΕΕ) αριθ. 808/2014.</w:t>
      </w:r>
    </w:p>
  </w:footnote>
  <w:footnote w:id="3">
    <w:p w:rsidR="0067073B" w:rsidRPr="003563F4" w:rsidRDefault="0067073B" w:rsidP="001C2076">
      <w:pPr>
        <w:pStyle w:val="FootnoteText"/>
        <w:rPr>
          <w:color w:val="878787" w:themeColor="text2" w:themeTint="99"/>
        </w:rPr>
      </w:pPr>
      <w:r>
        <w:rPr>
          <w:color w:val="878787" w:themeColor="text2" w:themeTint="99"/>
          <w:vertAlign w:val="superscript"/>
        </w:rPr>
        <w:footnoteRef/>
      </w:r>
      <w:r>
        <w:rPr>
          <w:color w:val="878787" w:themeColor="text2" w:themeTint="99"/>
        </w:rPr>
        <w:t xml:space="preserve"> Άρθρο 75 του </w:t>
      </w:r>
      <w:hyperlink r:id="rId1">
        <w:r>
          <w:rPr>
            <w:color w:val="878787" w:themeColor="text2" w:themeTint="99"/>
          </w:rPr>
          <w:t>κανονισμού (ΕΕ) αριθ. 1305/2013</w:t>
        </w:r>
      </w:hyperlink>
      <w:r>
        <w:rPr>
          <w:color w:val="878787" w:themeColor="text2" w:themeTint="99"/>
        </w:rPr>
        <w:t>.</w:t>
      </w:r>
    </w:p>
  </w:footnote>
  <w:footnote w:id="4">
    <w:p w:rsidR="0067073B" w:rsidRPr="003563F4" w:rsidRDefault="0067073B" w:rsidP="00BA41C1">
      <w:pPr>
        <w:pStyle w:val="FootnoteText"/>
        <w:rPr>
          <w:color w:val="878787" w:themeColor="text2" w:themeTint="99"/>
        </w:rPr>
      </w:pPr>
      <w:r>
        <w:rPr>
          <w:color w:val="878787" w:themeColor="text2" w:themeTint="99"/>
          <w:vertAlign w:val="superscript"/>
        </w:rPr>
        <w:footnoteRef/>
      </w:r>
      <w:r>
        <w:rPr>
          <w:color w:val="878787" w:themeColor="text2" w:themeTint="99"/>
          <w:vertAlign w:val="superscript"/>
        </w:rPr>
        <w:t xml:space="preserve"> </w:t>
      </w:r>
      <w:hyperlink r:id="rId2">
        <w:r>
          <w:rPr>
            <w:rStyle w:val="Hyperlink"/>
            <w:color w:val="878787" w:themeColor="text2" w:themeTint="99"/>
            <w:sz w:val="16"/>
            <w:u w:val="none"/>
          </w:rPr>
          <w:t xml:space="preserve">Κατευθυντήριες γραμμές: Establishing and implementing the evaluation plan of 2014-2020 RDPs» (Κατάρτιση και εφαρμογή του σχεδίου αξιολόγησης των ΠΑΑ 2014-2020). </w:t>
        </w:r>
      </w:hyperlink>
    </w:p>
  </w:footnote>
  <w:footnote w:id="5">
    <w:p w:rsidR="0067073B" w:rsidRPr="003563F4" w:rsidRDefault="0067073B"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Εκτελεστικός κανονισμός (ΕΕ) αριθ. 808/2014 της Επιτροπής, παράρτημα Ι σημείο 9 και παράρτημα VII σημείο 7</w:t>
        </w:r>
      </w:hyperlink>
      <w:r>
        <w:rPr>
          <w:rStyle w:val="Hyperlink"/>
          <w:color w:val="878787" w:themeColor="text2" w:themeTint="99"/>
          <w:sz w:val="16"/>
          <w:u w:val="none"/>
        </w:rPr>
        <w:t>.</w:t>
      </w:r>
    </w:p>
  </w:footnote>
  <w:footnote w:id="6">
    <w:p w:rsidR="0067073B" w:rsidRPr="003563F4" w:rsidRDefault="0067073B" w:rsidP="000D3DB8">
      <w:pPr>
        <w:pStyle w:val="FootnoteTex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 xml:space="preserve">Η Υπηρεσία Υποστήριξης της Αξιολόγησης συνόψισε τα πορίσματα των ΕΕΥ που υποβλήθηκαν το 2017 στο έγγραφο με τίτλο </w:t>
      </w:r>
      <w:hyperlink r:id="rId4">
        <w:r>
          <w:rPr>
            <w:color w:val="878787" w:themeColor="text2" w:themeTint="99"/>
          </w:rPr>
          <w:t xml:space="preserve">Summary Report Synthesis of the Evaluation Components of the 2017 Enhanced AIR (Συγκεφαλαιωτική έκθεση των συνιστωσών αξιολόγησης της βελτιωμένης ΕΕΥ του 2017: κεφάλαιο 7): κεφάλαιο 7 </w:t>
        </w:r>
      </w:hyperlink>
      <w:r>
        <w:rPr>
          <w:color w:val="878787" w:themeColor="text2" w:themeTint="99"/>
        </w:rPr>
        <w:t>.</w:t>
      </w:r>
    </w:p>
  </w:footnote>
  <w:footnote w:id="7">
    <w:p w:rsidR="0067073B" w:rsidRPr="00E53246" w:rsidRDefault="0067073B">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Παράρτημα VII του κανονισμού (ΕΕ) αριθ. 808/2014.</w:t>
      </w:r>
    </w:p>
  </w:footnote>
  <w:footnote w:id="8">
    <w:p w:rsidR="0067073B" w:rsidRPr="003563F4" w:rsidRDefault="0067073B"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5">
        <w:r>
          <w:rPr>
            <w:color w:val="878787" w:themeColor="text2" w:themeTint="99"/>
          </w:rPr>
          <w:t>Άρθρα 67 έως 79 του κανονισμού (ΕΕ) αριθ. 1305/2013</w:t>
        </w:r>
      </w:hyperlink>
      <w:r>
        <w:rPr>
          <w:color w:val="878787" w:themeColor="text2" w:themeTint="99"/>
        </w:rPr>
        <w:t xml:space="preserve">, </w:t>
      </w:r>
      <w:hyperlink r:id="rId6">
        <w:r>
          <w:rPr>
            <w:color w:val="878787" w:themeColor="text2" w:themeTint="99"/>
          </w:rPr>
          <w:t>άρθρο 110 του κανονισμού (ΕΕ) αριθ. 1306/2013,</w:t>
        </w:r>
      </w:hyperlink>
      <w:r>
        <w:rPr>
          <w:color w:val="878787" w:themeColor="text2" w:themeTint="99"/>
        </w:rPr>
        <w:t xml:space="preserve"> </w:t>
      </w:r>
      <w:hyperlink r:id="rId7">
        <w:r>
          <w:rPr>
            <w:color w:val="878787" w:themeColor="text2" w:themeTint="99"/>
          </w:rPr>
          <w:t>άρθρο 1 στοιχείο α) και παράρτημα I του κανονισμού (ΕΕ) αριθ. 808/2014</w:t>
        </w:r>
      </w:hyperlink>
      <w:r>
        <w:rPr>
          <w:color w:val="878787" w:themeColor="text2" w:themeTint="99"/>
        </w:rPr>
        <w:t xml:space="preserve">, </w:t>
      </w:r>
      <w:hyperlink r:id="rId8">
        <w:r>
          <w:rPr>
            <w:color w:val="878787" w:themeColor="text2" w:themeTint="99"/>
          </w:rPr>
          <w:t>άρθρο 14 και παραρτήματα IV, V, VI και VII του κανονισμού (ΕΕ) αριθ. 808/2014</w:t>
        </w:r>
      </w:hyperlink>
      <w:r>
        <w:rPr>
          <w:color w:val="878787" w:themeColor="text2" w:themeTint="99"/>
        </w:rPr>
        <w:t>.</w:t>
      </w:r>
    </w:p>
  </w:footnote>
  <w:footnote w:id="9">
    <w:p w:rsidR="0067073B" w:rsidRPr="003563F4" w:rsidRDefault="0067073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Άρθρο 54 του κανονισμού (ΕΕ) αριθ. 1303/2013.</w:t>
      </w:r>
    </w:p>
  </w:footnote>
  <w:footnote w:id="10">
    <w:p w:rsidR="0067073B" w:rsidRPr="003563F4" w:rsidRDefault="0067073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Άρθρο 56 του κανονισμού (ΕΕ) αριθ. 1303/2013.</w:t>
      </w:r>
    </w:p>
  </w:footnote>
  <w:footnote w:id="11">
    <w:p w:rsidR="0067073B" w:rsidRPr="003563F4" w:rsidRDefault="0067073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Άρθρο 110 του κανονισμού (ΕΕ) αριθ. 1306/2013.</w:t>
      </w:r>
    </w:p>
  </w:footnote>
  <w:footnote w:id="12">
    <w:p w:rsidR="0067073B" w:rsidRPr="003563F4" w:rsidRDefault="0067073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Άρθρο 110 παράγραφοι 3 και 4 του κανονισμού (ΕΕ) αριθ. 1306/2013.</w:t>
      </w:r>
    </w:p>
  </w:footnote>
  <w:footnote w:id="13">
    <w:p w:rsidR="0067073B" w:rsidRPr="003563F4" w:rsidRDefault="0067073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Άρθρα 67 και 68 του κανονισμού (ΕΕ) αριθ. 1305/2013.</w:t>
      </w:r>
    </w:p>
  </w:footnote>
  <w:footnote w:id="14">
    <w:p w:rsidR="0067073B" w:rsidRPr="00E53246" w:rsidRDefault="0067073B" w:rsidP="001C2076">
      <w:pPr>
        <w:pStyle w:val="FootnoteText"/>
      </w:pPr>
      <w:r>
        <w:rPr>
          <w:rStyle w:val="FootnoteReference"/>
          <w:color w:val="878787" w:themeColor="text2" w:themeTint="99"/>
        </w:rPr>
        <w:footnoteRef/>
      </w:r>
      <w:r>
        <w:rPr>
          <w:color w:val="878787" w:themeColor="text2" w:themeTint="99"/>
        </w:rPr>
        <w:t xml:space="preserve"> Άρθρο 69 του κανονισμού (ΕΕ) αριθ. 1305/2013.</w:t>
      </w:r>
    </w:p>
  </w:footnote>
  <w:footnote w:id="15">
    <w:p w:rsidR="0067073B" w:rsidRPr="003563F4" w:rsidRDefault="0067073B" w:rsidP="00693C0D">
      <w:pPr>
        <w:pStyle w:val="FootnoteText"/>
        <w:rPr>
          <w:color w:val="878787" w:themeColor="text2" w:themeTint="99"/>
        </w:rPr>
      </w:pPr>
      <w:r>
        <w:rPr>
          <w:rStyle w:val="FootnoteReference"/>
          <w:i w:val="0"/>
          <w:color w:val="878787" w:themeColor="text2" w:themeTint="99"/>
          <w:position w:val="0"/>
        </w:rPr>
        <w:footnoteRef/>
      </w:r>
      <w:r>
        <w:rPr>
          <w:color w:val="878787" w:themeColor="text2" w:themeTint="99"/>
        </w:rPr>
        <w:t xml:space="preserve"> </w:t>
      </w:r>
      <w:hyperlink r:id="rId9">
        <w:r>
          <w:rPr>
            <w:color w:val="878787" w:themeColor="text2" w:themeTint="99"/>
          </w:rPr>
          <w:t xml:space="preserve"> Technical Handbook on the Monitoring and Evaluation of the Common Agriculture Policy 2014-2020 (Τεχνικό εγχειρίδιο σχετικά με την παρακολούθηση και αξιολόγηση της κοινής γεωργικής πολιτικής 2014-2020), Ευρωπαϊκή Επιτροπή, Ιούνιος 2017</w:t>
        </w:r>
      </w:hyperlink>
      <w:r>
        <w:rPr>
          <w:rStyle w:val="Hyperlink"/>
          <w:color w:val="878787" w:themeColor="text2" w:themeTint="99"/>
          <w:sz w:val="16"/>
          <w:u w:val="none"/>
        </w:rPr>
        <w:t>.</w:t>
      </w:r>
    </w:p>
  </w:footnote>
  <w:footnote w:id="16">
    <w:p w:rsidR="0067073B" w:rsidRPr="003563F4" w:rsidRDefault="0067073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Άρθρο 14 του κανονισμού (ΕΕ) αριθ. 808/2014.</w:t>
      </w:r>
    </w:p>
  </w:footnote>
  <w:footnote w:id="17">
    <w:p w:rsidR="0067073B" w:rsidRPr="003563F4" w:rsidRDefault="0067073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Παράρτημα IV του κανονισμού (ΕΕ) αριθ. 808/2014.</w:t>
      </w:r>
    </w:p>
  </w:footnote>
  <w:footnote w:id="18">
    <w:p w:rsidR="0067073B" w:rsidRPr="003563F4" w:rsidRDefault="0067073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Παράρτημα V του κανονισμού (ΕΕ) αριθ. 808/2014.</w:t>
      </w:r>
    </w:p>
  </w:footnote>
  <w:footnote w:id="19">
    <w:p w:rsidR="0067073B" w:rsidRPr="003563F4" w:rsidRDefault="0067073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Παράρτημα VII σημείο 2 του κανονισμού (ΕΕ) αριθ. 808/2014.</w:t>
      </w:r>
    </w:p>
  </w:footnote>
  <w:footnote w:id="20">
    <w:p w:rsidR="0067073B" w:rsidRPr="003563F4" w:rsidRDefault="0067073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Παράρτημα Ι μέρος I σημείο 9 του κανονισμού (ΕΕ) αριθ. 808/2014.</w:t>
      </w:r>
    </w:p>
  </w:footnote>
  <w:footnote w:id="21">
    <w:p w:rsidR="0067073B" w:rsidRPr="003563F4" w:rsidRDefault="0067073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Παράρτημα VII σημείο 7 του κανονισμού (ΕΕ) αριθ. 808/2014.</w:t>
      </w:r>
    </w:p>
  </w:footnote>
  <w:footnote w:id="22">
    <w:p w:rsidR="0067073B" w:rsidRPr="00E53246" w:rsidRDefault="0067073B" w:rsidP="00FC0340">
      <w:pPr>
        <w:pStyle w:val="FootnoteText"/>
      </w:pPr>
      <w:r>
        <w:rPr>
          <w:rStyle w:val="FootnoteReference"/>
          <w:color w:val="878787" w:themeColor="text2" w:themeTint="99"/>
        </w:rPr>
        <w:footnoteRef/>
      </w:r>
      <w:r>
        <w:rPr>
          <w:color w:val="878787" w:themeColor="text2" w:themeTint="99"/>
        </w:rPr>
        <w:t xml:space="preserve"> Παράρτημα VI του κανονισμού (ΕΕ) αριθ. 808/2014.</w:t>
      </w:r>
    </w:p>
  </w:footnote>
  <w:footnote w:id="23">
    <w:p w:rsidR="0067073B" w:rsidRPr="00E53246" w:rsidRDefault="0067073B">
      <w:pPr>
        <w:pStyle w:val="FootnoteText"/>
      </w:pPr>
      <w:r>
        <w:rPr>
          <w:rStyle w:val="FootnoteReference"/>
          <w:color w:val="878787" w:themeColor="text2" w:themeTint="99"/>
        </w:rPr>
        <w:footnoteRef/>
      </w:r>
      <w:r>
        <w:rPr>
          <w:color w:val="878787" w:themeColor="text2" w:themeTint="99"/>
        </w:rPr>
        <w:t xml:space="preserve"> </w:t>
      </w:r>
      <w:hyperlink r:id="rId10">
        <w:r>
          <w:rPr>
            <w:color w:val="878787" w:themeColor="text2" w:themeTint="99"/>
          </w:rPr>
          <w:t xml:space="preserve"> Technical Handbook on the Monitoring and Evaluation of the Common Agriculture Policy 2014-2020 (Τεχνικό εγχειρίδιο σχετικά με την παρακολούθηση και αξιολόγηση της κοινής γεωργικής πολιτικής 2014-2020), Ευρωπαϊκή Επιτροπή, Ιούνιος 2017</w:t>
        </w:r>
      </w:hyperlink>
      <w:r>
        <w:rPr>
          <w:rStyle w:val="Hyperlink"/>
          <w:color w:val="878787" w:themeColor="text2" w:themeTint="99"/>
          <w:sz w:val="16"/>
          <w:u w:val="none"/>
        </w:rPr>
        <w:t>.</w:t>
      </w:r>
    </w:p>
  </w:footnote>
  <w:footnote w:id="24">
    <w:p w:rsidR="0067073B" w:rsidRPr="000D3DB8" w:rsidRDefault="0067073B" w:rsidP="00176032">
      <w:pPr>
        <w:pStyle w:val="FootnoteText"/>
        <w:rPr>
          <w:rStyle w:val="Hyperlink"/>
          <w:sz w:val="16"/>
          <w:szCs w:val="16"/>
        </w:rPr>
      </w:pPr>
      <w:r>
        <w:rPr>
          <w:rStyle w:val="FootnoteReference"/>
          <w:color w:val="878787" w:themeColor="text2" w:themeTint="99"/>
        </w:rPr>
        <w:footnoteRef/>
      </w:r>
      <w:r>
        <w:rPr>
          <w:color w:val="878787" w:themeColor="text2" w:themeTint="99"/>
        </w:rPr>
        <w:t xml:space="preserve"> Περισσότερες πληροφορίες σχετικά με τον κύκλο αξιολόγησης παρατίθενται στις κατευθυντήριες γραμμές </w:t>
      </w:r>
      <w:hyperlink r:id="rId11">
        <w:r>
          <w:rPr>
            <w:rStyle w:val="Hyperlink"/>
            <w:sz w:val="16"/>
          </w:rPr>
          <w:t>Assessment of RDP results: how to prepare for reporting on evaluation in 2017 (Αξιολόγηση των αποτελεσμάτων του ΠΑΑ: τρόπος προετοιμασίας για την υποβολή εκθέσεων σχετικά με την αξιολόγηση το 2017).</w:t>
        </w:r>
      </w:hyperlink>
    </w:p>
  </w:footnote>
  <w:footnote w:id="25">
    <w:p w:rsidR="0067073B" w:rsidRPr="00E53246" w:rsidRDefault="0067073B" w:rsidP="000D3DB8">
      <w:pPr>
        <w:pStyle w:val="FootnoteText"/>
      </w:pPr>
      <w:r>
        <w:rPr>
          <w:rStyle w:val="FootnoteReference"/>
          <w:color w:val="878787" w:themeColor="text2" w:themeTint="99"/>
        </w:rPr>
        <w:footnoteRef/>
      </w:r>
      <w:r>
        <w:t xml:space="preserve"> ΔΑ – διαχειριστική αρχή, ΕΠ - επιτροπή παρακολούθησης, ΟΠ – οργανισμός πληρωμών, ΜΑ – μονάδα αξιολόγησης, ΟΣΑ – ομάδα συντονισμού αξιολόγησης, Αξ – αξιολογητές, ΠΔ – πάροχοι δεδομένων, Α – Άλλοι.</w:t>
      </w:r>
    </w:p>
  </w:footnote>
  <w:footnote w:id="26">
    <w:p w:rsidR="0067073B" w:rsidRPr="00274AB7" w:rsidRDefault="0067073B">
      <w:pPr>
        <w:pStyle w:val="FootnoteText"/>
      </w:pPr>
      <w:r>
        <w:rPr>
          <w:rStyle w:val="FootnoteReference"/>
          <w:color w:val="878787" w:themeColor="text2" w:themeTint="99"/>
        </w:rPr>
        <w:footnoteRef/>
      </w:r>
      <w:r>
        <w:rPr>
          <w:color w:val="878787" w:themeColor="text2" w:themeTint="99"/>
        </w:rPr>
        <w:t xml:space="preserve"> Το ENVIEVAL ήταν ένα συνεργατικό έργο της ΕΕ (συμφωνία επιχορήγησης αριθ. 312071), το οποίο έλαβε χρηματοδότηση από τον Ιανουάριο του 2013 έως τον Δεκέμβριο του 2015 στο πλαίσιο του εβδόμου προγράμματος-πλαισίου δραστηριοτήτων έρευνας, τεχνολογικής ανάπτυξης και επίδειξης της Ευρωπαϊκής Ένωσης.</w:t>
      </w:r>
    </w:p>
  </w:footnote>
  <w:footnote w:id="27">
    <w:p w:rsidR="0067073B" w:rsidRPr="00E53246" w:rsidRDefault="0067073B">
      <w:pPr>
        <w:pStyle w:val="FootnoteText"/>
      </w:pPr>
      <w:r>
        <w:rPr>
          <w:rStyle w:val="FootnoteReference"/>
          <w:color w:val="878787" w:themeColor="text2" w:themeTint="99"/>
        </w:rPr>
        <w:footnoteRef/>
      </w:r>
      <w:r>
        <w:t xml:space="preserve"> Methodological Handbook for the evaluation of environmental impacts of RDPs: Report D9.5 (Μεθοδολογικό εγχειρίδιο για την αξιολόγηση των περιβαλλοντικών επιπτώσεων των ΠΑΑ: Έκθεση D9.5), έργο ENVIEVAL (συμφωνία επιχορήγησης αριθ. 312071). Βρυξέλλες: Ευρωπαϊκή Επιτροπή, Morkvenas Z., Navickas K., Gulbinas J., Jefanovas A., Schwarz G., Wolff A., Offermann F., Osterburg B., Aalders I., Miller D., Morrice J., Βλάχος Γ., Σμυρνιωτοπούλου A., Artell J., Aakkula J., Toikkanen H., Povellato A., Longhitano D., Lasorella V., Balazs K., et al (2015), σ. 152.</w:t>
      </w:r>
    </w:p>
  </w:footnote>
  <w:footnote w:id="28">
    <w:p w:rsidR="0067073B" w:rsidRPr="00E53246" w:rsidRDefault="0067073B" w:rsidP="00820050">
      <w:pPr>
        <w:pStyle w:val="FootnoteText"/>
      </w:pPr>
      <w:r>
        <w:rPr>
          <w:rStyle w:val="FootnoteReference"/>
          <w:color w:val="878787" w:themeColor="text2" w:themeTint="99"/>
        </w:rPr>
        <w:footnoteRef/>
      </w:r>
      <w:r>
        <w:rPr>
          <w:color w:val="878787" w:themeColor="text2" w:themeTint="99"/>
        </w:rPr>
        <w:t xml:space="preserve"> </w:t>
      </w:r>
      <w:r>
        <w:t xml:space="preserve">Τα βήματα που πρέπει να πραγματοποιούνται στο πλαίσιο της καθαρής εκτίμησης των  επιπτώσεων του ΠΑΑ περιγράφονται περαιτέρω στο έγγραφο </w:t>
      </w:r>
      <w:hyperlink r:id="rId12">
        <w:r>
          <w:rPr>
            <w:rStyle w:val="Hyperlink"/>
            <w:sz w:val="16"/>
          </w:rPr>
          <w:t>Guidelines for the ex post evaluation of 2007-2013 RDPs (Κατευθυντήριες γραμμές για την εκ των υστέρων αξιολόγηση των ΠΑΑ 2007-2013)</w:t>
        </w:r>
      </w:hyperlink>
      <w:r>
        <w:t>, και δη στα κεφάλαια 4.2.3 και 4.2.4.</w:t>
      </w:r>
    </w:p>
  </w:footnote>
  <w:footnote w:id="29">
    <w:p w:rsidR="0067073B" w:rsidRPr="0067073B" w:rsidRDefault="0067073B" w:rsidP="00B9614C">
      <w:pPr>
        <w:pStyle w:val="FootnoteText"/>
        <w:rPr>
          <w:lang w:val="en-GB"/>
        </w:rPr>
      </w:pPr>
      <w:r>
        <w:rPr>
          <w:rStyle w:val="FootnoteReference"/>
          <w:color w:val="878787" w:themeColor="text2" w:themeTint="99"/>
        </w:rPr>
        <w:footnoteRef/>
      </w:r>
      <w:r>
        <w:t xml:space="preserve"> Για περισσότερες πληροφορίες: «Landscape-moderated biodiversity effects of agri-environmental management: a meta-analysis», Proceedings. </w:t>
      </w:r>
      <w:r w:rsidRPr="0067073B">
        <w:rPr>
          <w:lang w:val="en-GB"/>
        </w:rPr>
        <w:t xml:space="preserve">Biological sciences / The Royal Society, 278(1713): 1894–1902, Batáry P, Báldi A, Kleijn D, Tscharntke T, (2011). </w:t>
      </w:r>
    </w:p>
  </w:footnote>
  <w:footnote w:id="30">
    <w:p w:rsidR="0067073B" w:rsidRPr="0067073B" w:rsidRDefault="0067073B" w:rsidP="00FC012D">
      <w:pPr>
        <w:pStyle w:val="FootnoteText"/>
        <w:rPr>
          <w:lang w:val="en-GB"/>
        </w:rPr>
      </w:pPr>
      <w:r>
        <w:rPr>
          <w:rStyle w:val="FootnoteReference"/>
          <w:color w:val="878787" w:themeColor="text2" w:themeTint="99"/>
        </w:rPr>
        <w:footnoteRef/>
      </w:r>
      <w:r w:rsidRPr="0067073B">
        <w:rPr>
          <w:color w:val="878787" w:themeColor="text2" w:themeTint="99"/>
          <w:lang w:val="en-GB"/>
        </w:rPr>
        <w:t xml:space="preserve"> </w:t>
      </w:r>
      <w:r>
        <w:t>Για</w:t>
      </w:r>
      <w:r w:rsidRPr="0067073B">
        <w:rPr>
          <w:lang w:val="en-GB"/>
        </w:rPr>
        <w:t xml:space="preserve"> </w:t>
      </w:r>
      <w:r>
        <w:t>περισσότερες</w:t>
      </w:r>
      <w:r w:rsidRPr="0067073B">
        <w:rPr>
          <w:lang w:val="en-GB"/>
        </w:rPr>
        <w:t xml:space="preserve"> </w:t>
      </w:r>
      <w:r>
        <w:t>πληροφορίες</w:t>
      </w:r>
      <w:r w:rsidRPr="0067073B">
        <w:rPr>
          <w:lang w:val="en-GB"/>
        </w:rPr>
        <w:t xml:space="preserve">: «Organic farming at local and landscape scales benefits plant diversity», Ecography 33(3): 514- 522, Rundlöf M, Edlund M, Smith HG,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73B" w:rsidRPr="00E4509B" w:rsidRDefault="0067073B" w:rsidP="008D52EA">
    <w:pPr>
      <w:pStyle w:val="Header"/>
    </w:pPr>
    <w:r>
      <w:tab/>
      <w:t>Μέρος I – Ποια στοιχεία σχετικά με την αξιολόγηση πρέπει να περιλαμβάνει η ΕΕΥ του 2019;</w:t>
    </w:r>
  </w:p>
  <w:p w:rsidR="0067073B" w:rsidRPr="002C3379" w:rsidRDefault="0067073B" w:rsidP="00E45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73B" w:rsidRDefault="0067073B" w:rsidP="000412E5">
    <w:pPr>
      <w:pStyle w:val="Header"/>
      <w:tabs>
        <w:tab w:val="clear" w:pos="9072"/>
        <w:tab w:val="right" w:pos="14175"/>
      </w:tabs>
    </w:pPr>
    <w:r>
      <w:t>Μέρος III – Δελτία σχετικά με τις απαντήσεις στα ΚΕΑ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70BAE8C6"/>
    <w:lvl w:ilvl="0" w:tplc="7264BFF4">
      <w:start w:val="1"/>
      <w:numFmt w:val="decimal"/>
      <w:pStyle w:val="HHeadingfigures"/>
      <w:lvlText w:val="Figure %1."/>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53EAC4D6"/>
    <w:lvl w:ilvl="0" w:tplc="E8C0D4C0">
      <w:start w:val="1"/>
      <w:numFmt w:val="decimal"/>
      <w:pStyle w:val="HHeadingtables"/>
      <w:lvlText w:val="Table %1."/>
      <w:lvlJc w:val="left"/>
      <w:pPr>
        <w:ind w:left="360" w:hanging="360"/>
      </w:pPr>
      <w:rPr>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C75"/>
    <w:rsid w:val="00150D5B"/>
    <w:rsid w:val="00150E9E"/>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1A4"/>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419CA"/>
    <w:rsid w:val="002426BA"/>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57D4"/>
    <w:rsid w:val="002C5A1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4BA"/>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EE6"/>
    <w:rsid w:val="00452515"/>
    <w:rsid w:val="004527EE"/>
    <w:rsid w:val="00452825"/>
    <w:rsid w:val="00452E3F"/>
    <w:rsid w:val="00454A07"/>
    <w:rsid w:val="00456C47"/>
    <w:rsid w:val="0046042F"/>
    <w:rsid w:val="004610C9"/>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0F3"/>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5F31"/>
    <w:rsid w:val="004865BD"/>
    <w:rsid w:val="0048695C"/>
    <w:rsid w:val="0048782B"/>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48E"/>
    <w:rsid w:val="004B4061"/>
    <w:rsid w:val="004B42AD"/>
    <w:rsid w:val="004B44AA"/>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22D"/>
    <w:rsid w:val="00533757"/>
    <w:rsid w:val="00533777"/>
    <w:rsid w:val="00533F86"/>
    <w:rsid w:val="00534340"/>
    <w:rsid w:val="00535279"/>
    <w:rsid w:val="00535481"/>
    <w:rsid w:val="005356E4"/>
    <w:rsid w:val="00536141"/>
    <w:rsid w:val="00536AFE"/>
    <w:rsid w:val="0053733F"/>
    <w:rsid w:val="00537B0D"/>
    <w:rsid w:val="00537EBC"/>
    <w:rsid w:val="00542440"/>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B7E"/>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73B"/>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A7D"/>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55BD"/>
    <w:rsid w:val="008F63FC"/>
    <w:rsid w:val="008F664A"/>
    <w:rsid w:val="008F76E5"/>
    <w:rsid w:val="00901829"/>
    <w:rsid w:val="00901C55"/>
    <w:rsid w:val="00902B4C"/>
    <w:rsid w:val="00902F20"/>
    <w:rsid w:val="00903793"/>
    <w:rsid w:val="00903D92"/>
    <w:rsid w:val="009042D7"/>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407AE"/>
    <w:rsid w:val="00940FD6"/>
    <w:rsid w:val="00941201"/>
    <w:rsid w:val="00941D2D"/>
    <w:rsid w:val="00946215"/>
    <w:rsid w:val="0095134D"/>
    <w:rsid w:val="009516DF"/>
    <w:rsid w:val="00951C79"/>
    <w:rsid w:val="0095356C"/>
    <w:rsid w:val="009543F6"/>
    <w:rsid w:val="0095480A"/>
    <w:rsid w:val="009553A7"/>
    <w:rsid w:val="0095652F"/>
    <w:rsid w:val="00956A0F"/>
    <w:rsid w:val="0096202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028"/>
    <w:rsid w:val="009E68C2"/>
    <w:rsid w:val="009F2D87"/>
    <w:rsid w:val="009F3146"/>
    <w:rsid w:val="009F38AF"/>
    <w:rsid w:val="009F4965"/>
    <w:rsid w:val="009F4B4A"/>
    <w:rsid w:val="009F5116"/>
    <w:rsid w:val="009F68F2"/>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3491"/>
    <w:rsid w:val="00A136C8"/>
    <w:rsid w:val="00A17B7D"/>
    <w:rsid w:val="00A20A24"/>
    <w:rsid w:val="00A21A87"/>
    <w:rsid w:val="00A222EC"/>
    <w:rsid w:val="00A228A7"/>
    <w:rsid w:val="00A23F87"/>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68EB"/>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689A"/>
    <w:rsid w:val="00DB73AF"/>
    <w:rsid w:val="00DB7DC1"/>
    <w:rsid w:val="00DB7F10"/>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0876"/>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27E6"/>
    <w:rsid w:val="00FA38D1"/>
    <w:rsid w:val="00FA509D"/>
    <w:rsid w:val="00FA5BC8"/>
    <w:rsid w:val="00FA6E10"/>
    <w:rsid w:val="00FA7537"/>
    <w:rsid w:val="00FA7E7B"/>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023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el-GR"/>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el-GR"/>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el-GR"/>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el-GR"/>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tabs>
        <w:tab w:val="clear" w:pos="964"/>
        <w:tab w:val="num" w:pos="2666"/>
      </w:tabs>
      <w:spacing w:before="240"/>
      <w:ind w:left="567" w:hanging="567"/>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el-GR"/>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el-GR"/>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el-GR"/>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el-GR"/>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el-GR" w:eastAsia="el-GR"/>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el-GR"/>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el-GR" w:eastAsia="el-GR"/>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el-GR"/>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el-GR"/>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el-GR"/>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europa.eu/sfc/en/system/files/ged/RDP_Annex%2011.pdf" TargetMode="External"/><Relationship Id="rId26" Type="http://schemas.openxmlformats.org/officeDocument/2006/relationships/hyperlink" Target="https://enrd.ec.europa.eu/evaluation/publications/evaluation-innovation-rural-development-programmes-2014-2020_en" TargetMode="External"/><Relationship Id="rId39" Type="http://schemas.openxmlformats.org/officeDocument/2006/relationships/image" Target="media/image7.emf"/><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image" Target="media/image5.png"/><Relationship Id="rId42" Type="http://schemas.openxmlformats.org/officeDocument/2006/relationships/hyperlink" Target="https://ec.europa.eu/agriculture/sites/agriculture/files/evaluation/guidelines/2007-2013-ex-post_en.pdf" TargetMode="External"/><Relationship Id="rId47" Type="http://schemas.openxmlformats.org/officeDocument/2006/relationships/hyperlink" Target="http://enrd.ec.europa.eu/enrd-static/app_templates/enrd_assets/pdf/evaluation/epe_master.pdf" TargetMode="External"/><Relationship Id="rId50" Type="http://schemas.openxmlformats.org/officeDocument/2006/relationships/hyperlink" Target="https://ec.europa.eu/agriculture/sites/agriculture/files/evaluation/rural-development-reports/2014/investment-support-rdp/fulltext_en.pdf" TargetMode="External"/><Relationship Id="rId55" Type="http://schemas.openxmlformats.org/officeDocument/2006/relationships/image" Target="media/image11.png"/><Relationship Id="rId63"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agriculture/sites/agriculture/files/cap-indicators/impact/impact-indicators-fiches.pdf" TargetMode="External"/><Relationship Id="rId29" Type="http://schemas.openxmlformats.org/officeDocument/2006/relationships/hyperlink" Target="http://ec.europa.eu/eurostat/documents/4411192/4411431/Europe_2020_Target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c.europa.eu/agriculture/sites/agriculture/files/cap-indicators/impact/2016-impact-indicators-fiches.pdf" TargetMode="External"/><Relationship Id="rId32" Type="http://schemas.openxmlformats.org/officeDocument/2006/relationships/footer" Target="footer3.xml"/><Relationship Id="rId37" Type="http://schemas.openxmlformats.org/officeDocument/2006/relationships/hyperlink" Target="https://www.envieval.eu/fileadmin/envieval/dissemination/deliverables/D9.5_Handbook_for_the_evaluation_of_environmental_impacts_of_RDPs.pdf" TargetMode="External"/><Relationship Id="rId40" Type="http://schemas.openxmlformats.org/officeDocument/2006/relationships/hyperlink" Target="https://www.envieval.eu/" TargetMode="External"/><Relationship Id="rId45" Type="http://schemas.openxmlformats.org/officeDocument/2006/relationships/hyperlink" Target="https://enrd.ec.europa.eu/news-events/news/ex-post-evaluation-rdps-2007-2013_en" TargetMode="Externa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enrd.ec.europa.eu/evaluation/publications/evaluation-innovation-rural-development-programmes-2014-2020_en" TargetMode="External"/><Relationship Id="rId28" Type="http://schemas.openxmlformats.org/officeDocument/2006/relationships/hyperlink" Target="http://ec.europa.eu/eurostat/web/products-statistical-books/-/KS-EZ-17-001" TargetMode="External"/><Relationship Id="rId36" Type="http://schemas.openxmlformats.org/officeDocument/2006/relationships/hyperlink" Target="https://www.envieval.eu/fileadmin/envieval/dissemination/deliverables/D9.5_Handbook_for_the_evaluation_of_environmental_impacts_of_RDPs.pdf" TargetMode="External"/><Relationship Id="rId49" Type="http://schemas.openxmlformats.org/officeDocument/2006/relationships/hyperlink" Target="https://ec.europa.eu/agriculture/sites/agriculture/files/evaluation/guidelines/2007-2013-ex-post_en.pdf" TargetMode="External"/><Relationship Id="rId57" Type="http://schemas.openxmlformats.org/officeDocument/2006/relationships/image" Target="media/image13.png"/><Relationship Id="rId61"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yperlink" Target="https://ec.europa.eu/agriculture/sites/agriculture/files/cap-indicators/result/rd-target-indicators_en.pdf" TargetMode="External"/><Relationship Id="rId31" Type="http://schemas.openxmlformats.org/officeDocument/2006/relationships/hyperlink" Target="https://enrd.ec.europa.eu/sites/enrd/files/uploaded-files/wp_evaluation_questions_2015.pdf" TargetMode="External"/><Relationship Id="rId44" Type="http://schemas.openxmlformats.org/officeDocument/2006/relationships/hyperlink" Target="https://enrd.ec.europa.eu/news-events/news/ex-post-evaluation-rdps-2007-2013_en" TargetMode="Externa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s://enrd.ec.europa.eu/evaluation/publications/evaluation-leaderclld_en" TargetMode="External"/><Relationship Id="rId27" Type="http://schemas.openxmlformats.org/officeDocument/2006/relationships/hyperlink" Target="http://ec.europa.eu/eurostat/web/europe-2020-indicators/europe-2020-strategy/targets" TargetMode="External"/><Relationship Id="rId30" Type="http://schemas.openxmlformats.org/officeDocument/2006/relationships/hyperlink" Target="https://ec.europa.eu/agriculture/cap-indicators/context/2016/2016-context-indicators-fiches.pdf" TargetMode="External"/><Relationship Id="rId35" Type="http://schemas.openxmlformats.org/officeDocument/2006/relationships/hyperlink" Target="https://www.envieval.eu/" TargetMode="External"/><Relationship Id="rId43" Type="http://schemas.openxmlformats.org/officeDocument/2006/relationships/hyperlink" Target="https://ec.europa.eu/agriculture/sites/agriculture/files/evaluation/guidelines/2007-2013-ex-post_en.pdf" TargetMode="External"/><Relationship Id="rId48" Type="http://schemas.openxmlformats.org/officeDocument/2006/relationships/hyperlink" Target="https://ec.europa.eu/agriculture/sites/agriculture/files/evaluation/guidelines/2007-2013-ex-post_en.pdf" TargetMode="External"/><Relationship Id="rId56" Type="http://schemas.openxmlformats.org/officeDocument/2006/relationships/image" Target="media/image12.png"/><Relationship Id="rId64"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rd.ec.europa.eu/sites/enrd/files/twg-01_rdp_results.pdf" TargetMode="External"/><Relationship Id="rId25" Type="http://schemas.openxmlformats.org/officeDocument/2006/relationships/hyperlink" Target="https://ec.europa.eu/agriculture/cap-indicators/context_el" TargetMode="External"/><Relationship Id="rId33" Type="http://schemas.openxmlformats.org/officeDocument/2006/relationships/footer" Target="footer4.xml"/><Relationship Id="rId38" Type="http://schemas.openxmlformats.org/officeDocument/2006/relationships/image" Target="media/image6.emf"/><Relationship Id="rId46" Type="http://schemas.openxmlformats.org/officeDocument/2006/relationships/hyperlink" Target="http://enrd.ec.europa.eu/enrd-static/app_templates/enrd_assets/pdf/evaluation/epe_master.pdf" TargetMode="External"/><Relationship Id="rId59" Type="http://schemas.openxmlformats.org/officeDocument/2006/relationships/image" Target="media/image15.png"/><Relationship Id="rId67" Type="http://schemas.openxmlformats.org/officeDocument/2006/relationships/theme" Target="theme/theme1.xml"/><Relationship Id="rId20" Type="http://schemas.openxmlformats.org/officeDocument/2006/relationships/hyperlink" Target="https://ec.europa.eu/agriculture/sites/agriculture/files/cap-indicators/result/complementary-result-indicator-fiches-pillar-ii_en.pdf" TargetMode="External"/><Relationship Id="rId41" Type="http://schemas.openxmlformats.org/officeDocument/2006/relationships/hyperlink" Target="https://www.envieval.eu/fileadmin/envieval/dissemination/deliverables/D9.5_Handbook_for_the_evaluation_of_environmental_impacts_of_RDPs.pdf" TargetMode="External"/><Relationship Id="rId54" Type="http://schemas.openxmlformats.org/officeDocument/2006/relationships/image" Target="media/image10.png"/><Relationship Id="rId62"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l/ALL/?uri=CELEX:32014R0808" TargetMode="External"/><Relationship Id="rId3" Type="http://schemas.openxmlformats.org/officeDocument/2006/relationships/hyperlink" Target="https://eur-lex.europa.eu/legal-content/el/ALL/?uri=CELEX:32014R0808" TargetMode="External"/><Relationship Id="rId7" Type="http://schemas.openxmlformats.org/officeDocument/2006/relationships/hyperlink" Target="http://eur-lex.europa.eu/legal-content/EL/TXT/?uri=CELEX: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s://eur-lex.europa.eu/legal-content/el/ALL/?uri=CELEX:32013R1305" TargetMode="External"/><Relationship Id="rId6" Type="http://schemas.openxmlformats.org/officeDocument/2006/relationships/hyperlink" Target="http://eur-lex.europa.eu/legal-content/EL/TXT/?uri=celex:32013R1306"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file:///\\\https:\\eur-lex.europa.eu\legal-content\el\TXT\?uri=CELEX%3A32013R1305"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382FC-AF96-4CB3-BE91-074C9DFD9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9263</Words>
  <Characters>52804</Characters>
  <Application>Microsoft Office Word</Application>
  <DocSecurity>0</DocSecurity>
  <Lines>440</Lines>
  <Paragraphs>123</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61944</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2018-11-19T16:50:00Z</dcterms:created>
  <dcterms:modified xsi:type="dcterms:W3CDTF">2018-11-19T16:56:00Z</dcterms:modified>
</cp:coreProperties>
</file>