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746" w:rsidRPr="00E05D08" w:rsidRDefault="00F204F1" w:rsidP="00ED3746">
      <w:pPr>
        <w:spacing w:after="120" w:line="280" w:lineRule="atLeast"/>
        <w:mirrorIndents/>
        <w:rPr>
          <w:rFonts w:eastAsia="Times New Roman" w:cs="Times New Roman"/>
          <w:szCs w:val="20"/>
        </w:rPr>
      </w:pPr>
      <w:bookmarkStart w:id="0" w:name="_Hlk503275930"/>
      <w:r>
        <w:rPr>
          <w:noProof/>
        </w:rPr>
        <mc:AlternateContent>
          <mc:Choice Requires="wps">
            <w:drawing>
              <wp:anchor distT="0" distB="0" distL="114300" distR="114300" simplePos="0" relativeHeight="251640320" behindDoc="1" locked="0" layoutInCell="1" allowOverlap="1">
                <wp:simplePos x="0" y="0"/>
                <wp:positionH relativeFrom="page">
                  <wp:posOffset>2052320</wp:posOffset>
                </wp:positionH>
                <wp:positionV relativeFrom="page">
                  <wp:posOffset>5022850</wp:posOffset>
                </wp:positionV>
                <wp:extent cx="4958080" cy="3855720"/>
                <wp:effectExtent l="0" t="0" r="0" b="0"/>
                <wp:wrapTight wrapText="bothSides">
                  <wp:wrapPolygon edited="0">
                    <wp:start x="0" y="0"/>
                    <wp:lineTo x="0" y="21557"/>
                    <wp:lineTo x="21578" y="21557"/>
                    <wp:lineTo x="21578" y="0"/>
                    <wp:lineTo x="0" y="0"/>
                  </wp:wrapPolygon>
                </wp:wrapTight>
                <wp:docPr id="7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0F" w:rsidRPr="00DD6E53" w:rsidRDefault="00260B0F" w:rsidP="00ED3746">
                            <w:pPr>
                              <w:pStyle w:val="HTitle1"/>
                            </w:pPr>
                            <w:r>
                              <w:t xml:space="preserve">Lignes directrices </w:t>
                            </w:r>
                          </w:p>
                          <w:p w:rsidR="00260B0F" w:rsidRPr="00DD6E53" w:rsidRDefault="00260B0F" w:rsidP="00ED3746">
                            <w:pPr>
                              <w:pStyle w:val="HTitle2"/>
                              <w:jc w:val="left"/>
                            </w:pPr>
                            <w:bookmarkStart w:id="1" w:name="_Hlk501355929"/>
                            <w:r>
                              <w:t>Évaluation de l’innovation dans</w:t>
                            </w:r>
                            <w:r>
                              <w:br/>
                              <w:t>les programmes de développement rural 2014-2020</w:t>
                            </w:r>
                            <w:bookmarkEnd w:id="1"/>
                            <w:r>
                              <w:t xml:space="preserve"> </w:t>
                            </w:r>
                          </w:p>
                          <w:p w:rsidR="00260B0F" w:rsidRPr="00DD6E53" w:rsidRDefault="00260B0F" w:rsidP="00ED3746">
                            <w:pPr>
                              <w:rPr>
                                <w:color w:val="6F6F6F"/>
                                <w:sz w:val="28"/>
                                <w:szCs w:val="28"/>
                              </w:rPr>
                            </w:pPr>
                          </w:p>
                          <w:p w:rsidR="00260B0F" w:rsidRDefault="00260B0F" w:rsidP="00ED3746">
                            <w:pPr>
                              <w:pStyle w:val="HTitle3"/>
                            </w:pPr>
                            <w:r>
                              <w:t xml:space="preserve">Décembre 2017 </w:t>
                            </w:r>
                          </w:p>
                          <w:p w:rsidR="00260B0F" w:rsidRDefault="00260B0F" w:rsidP="00ED3746">
                            <w:pPr>
                              <w:pStyle w:val="HTitle3"/>
                            </w:pPr>
                          </w:p>
                          <w:p w:rsidR="00260B0F" w:rsidRDefault="00260B0F" w:rsidP="00ED3746">
                            <w:pPr>
                              <w:pStyle w:val="HTitle3"/>
                            </w:pPr>
                          </w:p>
                          <w:p w:rsidR="00260B0F" w:rsidRDefault="00260B0F" w:rsidP="00ED3746">
                            <w:pPr>
                              <w:pStyle w:val="HTitle3"/>
                            </w:pPr>
                          </w:p>
                          <w:p w:rsidR="00260B0F" w:rsidRPr="00912430" w:rsidRDefault="00260B0F" w:rsidP="00ED3746">
                            <w:pPr>
                              <w:rPr>
                                <w:color w:val="000000"/>
                                <w:sz w:val="18"/>
                                <w:szCs w:val="18"/>
                              </w:rPr>
                            </w:pPr>
                            <w:r>
                              <w:rPr>
                                <w:i/>
                                <w:sz w:val="18"/>
                              </w:rPr>
                              <w:t>Le présent document est la traduction du document</w:t>
                            </w:r>
                            <w:proofErr w:type="gramStart"/>
                            <w:r>
                              <w:rPr>
                                <w:i/>
                                <w:sz w:val="18"/>
                              </w:rPr>
                              <w:t xml:space="preserve"> «Guidelines</w:t>
                            </w:r>
                            <w:proofErr w:type="gramEnd"/>
                            <w:r>
                              <w:rPr>
                                <w:i/>
                                <w:sz w:val="18"/>
                              </w:rPr>
                              <w:t xml:space="preserve">: Evaluation of Innovation in Rural </w:t>
                            </w:r>
                            <w:proofErr w:type="spellStart"/>
                            <w:r>
                              <w:rPr>
                                <w:i/>
                                <w:sz w:val="18"/>
                              </w:rPr>
                              <w:t>Development</w:t>
                            </w:r>
                            <w:proofErr w:type="spellEnd"/>
                            <w:r>
                              <w:rPr>
                                <w:i/>
                                <w:sz w:val="18"/>
                              </w:rPr>
                              <w:t xml:space="preserve"> Programmes 2014-2020» dans sa version de décembre 2017. Cette traduction est fournie afin de rendre les lignes directrices plus utiles et accessibles à toutes les parties concernées. Il est à noter que la version anglaise constitue la version de référence définitive. La version anglaise est disponible </w:t>
                            </w:r>
                            <w:hyperlink r:id="rId8" w:tgtFrame="_blank" w:history="1">
                              <w:r>
                                <w:rPr>
                                  <w:rStyle w:val="Hyperlink"/>
                                  <w:i/>
                                  <w:sz w:val="18"/>
                                </w:rPr>
                                <w:t>ici</w:t>
                              </w:r>
                            </w:hyperlink>
                            <w:r>
                              <w:rPr>
                                <w:rStyle w:val="Hyperlink"/>
                                <w:color w:val="000000"/>
                                <w:sz w:val="18"/>
                                <w:u w:val="none"/>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oorsQIAAKw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" filled="f" stroked="f">
                <v:textbox inset="0,0,0,0">
                  <w:txbxContent>
                    <w:p w:rsidR="00260B0F" w:rsidRPr="00DD6E53" w:rsidRDefault="00260B0F" w:rsidP="00ED3746">
                      <w:pPr>
                        <w:pStyle w:val="HTitle1"/>
                      </w:pPr>
                      <w:r>
                        <w:t xml:space="preserve">Lignes directrices </w:t>
                      </w:r>
                    </w:p>
                    <w:p w:rsidR="00260B0F" w:rsidRPr="00DD6E53" w:rsidRDefault="00260B0F" w:rsidP="00ED3746">
                      <w:pPr>
                        <w:pStyle w:val="HTitle2"/>
                        <w:jc w:val="left"/>
                      </w:pPr>
                      <w:bookmarkStart w:id="2" w:name="_Hlk501355929"/>
                      <w:r>
                        <w:t>Évaluation de l’innovation dans</w:t>
                      </w:r>
                      <w:r>
                        <w:br/>
                        <w:t>les programmes de développement rural 2014-2020</w:t>
                      </w:r>
                      <w:bookmarkEnd w:id="2"/>
                      <w:r>
                        <w:t xml:space="preserve"> </w:t>
                      </w:r>
                    </w:p>
                    <w:p w:rsidR="00260B0F" w:rsidRPr="00DD6E53" w:rsidRDefault="00260B0F" w:rsidP="00ED3746">
                      <w:pPr>
                        <w:rPr>
                          <w:color w:val="6F6F6F"/>
                          <w:sz w:val="28"/>
                          <w:szCs w:val="28"/>
                        </w:rPr>
                      </w:pPr>
                    </w:p>
                    <w:p w:rsidR="00260B0F" w:rsidRDefault="00260B0F" w:rsidP="00ED3746">
                      <w:pPr>
                        <w:pStyle w:val="HTitle3"/>
                      </w:pPr>
                      <w:r>
                        <w:t xml:space="preserve">Décembre 2017 </w:t>
                      </w:r>
                    </w:p>
                    <w:p w:rsidR="00260B0F" w:rsidRDefault="00260B0F" w:rsidP="00ED3746">
                      <w:pPr>
                        <w:pStyle w:val="HTitle3"/>
                      </w:pPr>
                    </w:p>
                    <w:p w:rsidR="00260B0F" w:rsidRDefault="00260B0F" w:rsidP="00ED3746">
                      <w:pPr>
                        <w:pStyle w:val="HTitle3"/>
                      </w:pPr>
                    </w:p>
                    <w:p w:rsidR="00260B0F" w:rsidRDefault="00260B0F" w:rsidP="00ED3746">
                      <w:pPr>
                        <w:pStyle w:val="HTitle3"/>
                      </w:pPr>
                    </w:p>
                    <w:p w:rsidR="00260B0F" w:rsidRPr="00912430" w:rsidRDefault="00260B0F" w:rsidP="00ED3746">
                      <w:pPr>
                        <w:rPr>
                          <w:color w:val="000000"/>
                          <w:sz w:val="18"/>
                          <w:szCs w:val="18"/>
                        </w:rPr>
                      </w:pPr>
                      <w:r>
                        <w:rPr>
                          <w:i/>
                          <w:sz w:val="18"/>
                        </w:rPr>
                        <w:t>Le présent document est la traduction du document</w:t>
                      </w:r>
                      <w:proofErr w:type="gramStart"/>
                      <w:r>
                        <w:rPr>
                          <w:i/>
                          <w:sz w:val="18"/>
                        </w:rPr>
                        <w:t xml:space="preserve"> «Guidelines</w:t>
                      </w:r>
                      <w:proofErr w:type="gramEnd"/>
                      <w:r>
                        <w:rPr>
                          <w:i/>
                          <w:sz w:val="18"/>
                        </w:rPr>
                        <w:t xml:space="preserve">: Evaluation of Innovation in Rural </w:t>
                      </w:r>
                      <w:proofErr w:type="spellStart"/>
                      <w:r>
                        <w:rPr>
                          <w:i/>
                          <w:sz w:val="18"/>
                        </w:rPr>
                        <w:t>Development</w:t>
                      </w:r>
                      <w:proofErr w:type="spellEnd"/>
                      <w:r>
                        <w:rPr>
                          <w:i/>
                          <w:sz w:val="18"/>
                        </w:rPr>
                        <w:t xml:space="preserve"> Programmes 2014-2020» dans sa version de décembre 2017. Cette traduction est fournie afin de rendre les lignes directrices plus utiles et accessibles à toutes les parties concernées. Il est à noter que la version anglaise constitue la version de référence définitive. La version anglaise est disponible </w:t>
                      </w:r>
                      <w:hyperlink r:id="rId9" w:tgtFrame="_blank" w:history="1">
                        <w:r>
                          <w:rPr>
                            <w:rStyle w:val="Hyperlink"/>
                            <w:i/>
                            <w:sz w:val="18"/>
                          </w:rPr>
                          <w:t>ici</w:t>
                        </w:r>
                      </w:hyperlink>
                      <w:r>
                        <w:rPr>
                          <w:rStyle w:val="Hyperlink"/>
                          <w:color w:val="000000"/>
                          <w:sz w:val="18"/>
                          <w:u w:val="none"/>
                        </w:rPr>
                        <w:t>.</w:t>
                      </w:r>
                    </w:p>
                  </w:txbxContent>
                </v:textbox>
                <w10:wrap type="tight" anchorx="page" anchory="page"/>
              </v:shape>
            </w:pict>
          </mc:Fallback>
        </mc:AlternateContent>
      </w:r>
      <w:r w:rsidR="00ED3746">
        <w:br w:type="page"/>
      </w:r>
    </w:p>
    <w:p w:rsidR="00ED3746" w:rsidRPr="00E05D08" w:rsidRDefault="00F204F1" w:rsidP="00ED3746">
      <w:pPr>
        <w:spacing w:after="120" w:line="280" w:lineRule="atLeast"/>
        <w:mirrorIndents/>
        <w:rPr>
          <w:rFonts w:eastAsia="Times New Roman" w:cs="Times New Roman"/>
          <w:szCs w:val="20"/>
        </w:rPr>
      </w:pPr>
      <w:r>
        <w:rPr>
          <w:noProof/>
        </w:rPr>
        <w:lastRenderedPageBreak/>
        <mc:AlternateContent>
          <mc:Choice Requires="wps">
            <w:drawing>
              <wp:anchor distT="0" distB="0" distL="114300" distR="114300" simplePos="0" relativeHeight="251641344" behindDoc="0" locked="0" layoutInCell="1" allowOverlap="1">
                <wp:simplePos x="0" y="0"/>
                <wp:positionH relativeFrom="margin">
                  <wp:posOffset>-426085</wp:posOffset>
                </wp:positionH>
                <wp:positionV relativeFrom="paragraph">
                  <wp:posOffset>4095115</wp:posOffset>
                </wp:positionV>
                <wp:extent cx="6583680" cy="5161915"/>
                <wp:effectExtent l="0" t="0" r="0" b="0"/>
                <wp:wrapNone/>
                <wp:docPr id="70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260B0F" w:rsidRPr="007F1B7F" w:rsidRDefault="00260B0F" w:rsidP="00ED3746">
                            <w:pPr>
                              <w:pStyle w:val="Normal12PTcouleurgris"/>
                              <w:rPr>
                                <w:sz w:val="18"/>
                              </w:rPr>
                            </w:pPr>
                            <w:r>
                              <w:rPr>
                                <w:sz w:val="18"/>
                              </w:rPr>
                              <w:t>Droits d’auteur</w:t>
                            </w:r>
                          </w:p>
                          <w:p w:rsidR="00260B0F" w:rsidRPr="007F1B7F" w:rsidRDefault="00260B0F" w:rsidP="00ED3746">
                            <w:pPr>
                              <w:pStyle w:val="Normal12PTcouleurgris"/>
                              <w:rPr>
                                <w:sz w:val="18"/>
                              </w:rPr>
                            </w:pPr>
                            <w:r>
                              <w:rPr>
                                <w:sz w:val="18"/>
                              </w:rPr>
                              <w:t>© Union européenne, 2017</w:t>
                            </w:r>
                          </w:p>
                          <w:p w:rsidR="00260B0F" w:rsidRPr="007F1B7F" w:rsidRDefault="00260B0F" w:rsidP="00ED3746">
                            <w:pPr>
                              <w:pStyle w:val="Normal12PTcouleurgris"/>
                              <w:rPr>
                                <w:sz w:val="18"/>
                              </w:rPr>
                            </w:pPr>
                            <w:r>
                              <w:rPr>
                                <w:sz w:val="18"/>
                              </w:rPr>
                              <w:t>Reproduction autorisée, moyennant mention de la source.</w:t>
                            </w:r>
                          </w:p>
                          <w:p w:rsidR="00260B0F" w:rsidRPr="0002668A" w:rsidRDefault="00260B0F" w:rsidP="00ED3746">
                            <w:pPr>
                              <w:pStyle w:val="Normal12PTcouleurgris"/>
                              <w:rPr>
                                <w:sz w:val="18"/>
                              </w:rPr>
                            </w:pPr>
                            <w:r>
                              <w:rPr>
                                <w:u w:val="single"/>
                              </w:rPr>
                              <w:t xml:space="preserve">Citation </w:t>
                            </w:r>
                            <w:proofErr w:type="gramStart"/>
                            <w:r>
                              <w:rPr>
                                <w:u w:val="single"/>
                              </w:rPr>
                              <w:t>recommandée</w:t>
                            </w:r>
                            <w:r>
                              <w:t>:</w:t>
                            </w:r>
                            <w:proofErr w:type="gramEnd"/>
                            <w:r>
                              <w:rPr>
                                <w:sz w:val="18"/>
                              </w:rPr>
                              <w:t xml:space="preserve"> </w:t>
                            </w:r>
                          </w:p>
                          <w:p w:rsidR="00260B0F" w:rsidRPr="0002668A" w:rsidRDefault="00260B0F" w:rsidP="00ED3746">
                            <w:pPr>
                              <w:pStyle w:val="Normal12PTcouleurgris"/>
                              <w:rPr>
                                <w:sz w:val="18"/>
                              </w:rPr>
                            </w:pPr>
                            <w:r>
                              <w:rPr>
                                <w:sz w:val="18"/>
                              </w:rPr>
                              <w:t>COMMISSION EUROPÉENNE – Direction générale de l’agriculture et du développement rural – Unité C.4 (2017</w:t>
                            </w:r>
                            <w:proofErr w:type="gramStart"/>
                            <w:r>
                              <w:rPr>
                                <w:sz w:val="18"/>
                              </w:rPr>
                              <w:t>):</w:t>
                            </w:r>
                            <w:proofErr w:type="gramEnd"/>
                            <w:r>
                              <w:rPr>
                                <w:sz w:val="18"/>
                              </w:rPr>
                              <w:t xml:space="preserve"> Lignes directrices. Évaluation de l’innovation dans les programmes de développement rural 2014-2020.</w:t>
                            </w:r>
                          </w:p>
                          <w:p w:rsidR="00260B0F" w:rsidRPr="0002668A" w:rsidRDefault="00260B0F" w:rsidP="00ED3746">
                            <w:pPr>
                              <w:pStyle w:val="Normal12PTcouleurgris"/>
                              <w:rPr>
                                <w:bCs/>
                                <w:sz w:val="18"/>
                                <w:u w:val="single"/>
                              </w:rPr>
                            </w:pPr>
                            <w:proofErr w:type="gramStart"/>
                            <w:r>
                              <w:rPr>
                                <w:sz w:val="18"/>
                                <w:u w:val="single"/>
                              </w:rPr>
                              <w:t>Avertissement:</w:t>
                            </w:r>
                            <w:proofErr w:type="gramEnd"/>
                          </w:p>
                          <w:p w:rsidR="00260B0F" w:rsidRPr="0002668A" w:rsidRDefault="00260B0F" w:rsidP="00ED3746">
                            <w:pPr>
                              <w:pStyle w:val="Normal12PTcouleurgris"/>
                              <w:rPr>
                                <w:sz w:val="18"/>
                              </w:rPr>
                            </w:pPr>
                            <w:r>
                              <w:rPr>
                                <w:sz w:val="18"/>
                              </w:rPr>
                              <w:t>Les renseignements et avis contenus dans le présent rapport sont ceux de l’auteur ou des auteurs et ne reflètent pas nécessairement la position officielle de la Commission européenne. La Commission ne garantit pas l’exactitude des données figurant dans le présent rapport. Ni la Commission ni quiconque agissant en son nom ne saurait être tenu responsable de l’usage qui pourrait être fait des informations contenues dans le présent document.</w:t>
                            </w:r>
                          </w:p>
                          <w:p w:rsidR="00260B0F" w:rsidRPr="000B1DDA" w:rsidRDefault="00260B0F" w:rsidP="00ED3746">
                            <w:pPr>
                              <w:pStyle w:val="Normal12PTcouleurgris"/>
                            </w:pPr>
                          </w:p>
                          <w:p w:rsidR="00260B0F" w:rsidRPr="004D4D87" w:rsidRDefault="00260B0F" w:rsidP="00ED3746">
                            <w:pPr>
                              <w:pStyle w:val="Normal12PTcouleurgris"/>
                            </w:pPr>
                            <w:r>
                              <w:rPr>
                                <w:noProof/>
                              </w:rPr>
                              <w:drawing>
                                <wp:inline distT="0" distB="0" distL="0" distR="0">
                                  <wp:extent cx="1677670" cy="795020"/>
                                  <wp:effectExtent l="0" t="0" r="0" b="0"/>
                                  <wp:docPr id="2"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OK3.jpg"/>
                                          <pic:cNvPicPr>
                                            <a:picLocks noChangeAspect="1" noChangeArrowheads="1"/>
                                          </pic:cNvPicPr>
                                        </pic:nvPicPr>
                                        <pic:blipFill>
                                          <a:blip r:embed="rId10">
                                            <a:extLst>
                                              <a:ext uri="{28A0092B-C50C-407E-A947-70E740481C1C}">
                                                <a14:useLocalDpi xmlns:a14="http://schemas.microsoft.com/office/drawing/2010/main" val="0"/>
                                              </a:ext>
                                            </a:extLst>
                                          </a:blip>
                                          <a:srcRect l="19669" r="17921"/>
                                          <a:stretch>
                                            <a:fillRect/>
                                          </a:stretch>
                                        </pic:blipFill>
                                        <pic:spPr bwMode="auto">
                                          <a:xfrm>
                                            <a:off x="0" y="0"/>
                                            <a:ext cx="1677670" cy="795020"/>
                                          </a:xfrm>
                                          <a:prstGeom prst="rect">
                                            <a:avLst/>
                                          </a:prstGeom>
                                          <a:noFill/>
                                          <a:ln>
                                            <a:noFill/>
                                          </a:ln>
                                        </pic:spPr>
                                      </pic:pic>
                                    </a:graphicData>
                                  </a:graphic>
                                </wp:inline>
                              </w:drawing>
                            </w:r>
                            <w:r>
                              <w:tab/>
                            </w:r>
                            <w:r>
                              <w:tab/>
                            </w:r>
                            <w:r>
                              <w:tab/>
                            </w:r>
                            <w:r>
                              <w:tab/>
                            </w:r>
                            <w:r>
                              <w:tab/>
                            </w:r>
                            <w:r>
                              <w:tab/>
                            </w:r>
                            <w:r>
                              <w:rPr>
                                <w:noProof/>
                              </w:rPr>
                              <w:drawing>
                                <wp:inline distT="0" distB="0" distL="0" distR="0">
                                  <wp:extent cx="1804670" cy="668020"/>
                                  <wp:effectExtent l="0" t="0" r="0" b="0"/>
                                  <wp:docPr id="3"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670" cy="668020"/>
                                          </a:xfrm>
                                          <a:prstGeom prst="rect">
                                            <a:avLst/>
                                          </a:prstGeom>
                                          <a:noFill/>
                                          <a:ln>
                                            <a:noFill/>
                                          </a:ln>
                                        </pic:spPr>
                                      </pic:pic>
                                    </a:graphicData>
                                  </a:graphic>
                                </wp:inline>
                              </w:drawing>
                            </w:r>
                          </w:p>
                          <w:p w:rsidR="00260B0F" w:rsidRPr="00E05D08" w:rsidRDefault="00260B0F" w:rsidP="00ED3746">
                            <w:pPr>
                              <w:pStyle w:val="Normal12PTcouleurgris"/>
                              <w:rPr>
                                <w:color w:val="BFBFBF"/>
                              </w:rPr>
                            </w:pPr>
                          </w:p>
                          <w:p w:rsidR="00260B0F" w:rsidRPr="007F1B7F" w:rsidRDefault="00260B0F" w:rsidP="00ED3746">
                            <w:pPr>
                              <w:pStyle w:val="Normal12PTcouleurgris"/>
                              <w:rPr>
                                <w:sz w:val="18"/>
                              </w:rPr>
                            </w:pPr>
                            <w:r>
                              <w:rPr>
                                <w:sz w:val="18"/>
                              </w:rPr>
                              <w:t>Le Helpdesk Évaluation est responsable de l</w:t>
                            </w:r>
                            <w:proofErr w:type="gramStart"/>
                            <w:r>
                              <w:rPr>
                                <w:sz w:val="18"/>
                              </w:rPr>
                              <w:t>’«évaluation</w:t>
                            </w:r>
                            <w:proofErr w:type="gramEnd"/>
                            <w:r>
                              <w:rPr>
                                <w:sz w:val="18"/>
                              </w:rPr>
                              <w:t>» au sein du Réseau européen de développement rural (REDR) et fournit dans ce cadre une orientation sur l’évaluation des programmes de développement rural (PDR) et des politiques relevant de la compétence et de la supervision de l’unité C4 «Suivi et évaluation» de la DG AGRI de la Commission européenne (CE). Afin d’améliorer l’évaluation de la politique européenne de développement rural, le Helpdesk Évaluation assiste toutes les parties intervenant dans l’évaluation, en particulier la DG AGRI, les autorités nationales, les autorités de gestion des PDR et les évaluateurs, en favorisant l’élaboration et la diffusion de méthodes et d’outils appropriés, la collecte et l’échange de bonnes pratiques, ainsi que le renforcement des capacités et la communication avec les membres du réseau sur des questions liées à l’évaluation.</w:t>
                            </w:r>
                          </w:p>
                          <w:p w:rsidR="00260B0F" w:rsidRPr="007F1B7F" w:rsidRDefault="00260B0F" w:rsidP="00ED3746">
                            <w:pPr>
                              <w:pStyle w:val="Normal12PTcouleurgris"/>
                              <w:rPr>
                                <w:sz w:val="18"/>
                              </w:rPr>
                            </w:pPr>
                            <w:r>
                              <w:rPr>
                                <w:sz w:val="18"/>
                              </w:rPr>
                              <w:t xml:space="preserve">Des informations supplémentaires sur les activités menées par </w:t>
                            </w:r>
                            <w:proofErr w:type="gramStart"/>
                            <w:r>
                              <w:rPr>
                                <w:sz w:val="18"/>
                              </w:rPr>
                              <w:t>le Helpdesk Évaluation</w:t>
                            </w:r>
                            <w:proofErr w:type="gramEnd"/>
                            <w:r>
                              <w:rPr>
                                <w:sz w:val="18"/>
                              </w:rPr>
                              <w:t xml:space="preserve"> européen pour le développement rural sont disponibles en ligne sur le serveur Europa (https://enrd.ec.europa.eu/home-page_fr).</w:t>
                            </w:r>
                          </w:p>
                          <w:p w:rsidR="00260B0F" w:rsidRPr="00811EF1" w:rsidRDefault="00260B0F" w:rsidP="00ED3746">
                            <w:pPr>
                              <w:pStyle w:val="Hdisclaim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3.55pt;margin-top:322.45pt;width:518.4pt;height:406.45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" stroked="f">
                <v:fill opacity="0"/>
                <v:textbox>
                  <w:txbxContent>
                    <w:p w:rsidR="00260B0F" w:rsidRPr="007F1B7F" w:rsidRDefault="00260B0F" w:rsidP="00ED3746">
                      <w:pPr>
                        <w:pStyle w:val="Normal12PTcouleurgris"/>
                        <w:rPr>
                          <w:sz w:val="18"/>
                        </w:rPr>
                      </w:pPr>
                      <w:r>
                        <w:rPr>
                          <w:sz w:val="18"/>
                        </w:rPr>
                        <w:t>Droits d’auteur</w:t>
                      </w:r>
                    </w:p>
                    <w:p w:rsidR="00260B0F" w:rsidRPr="007F1B7F" w:rsidRDefault="00260B0F" w:rsidP="00ED3746">
                      <w:pPr>
                        <w:pStyle w:val="Normal12PTcouleurgris"/>
                        <w:rPr>
                          <w:sz w:val="18"/>
                        </w:rPr>
                      </w:pPr>
                      <w:r>
                        <w:rPr>
                          <w:sz w:val="18"/>
                        </w:rPr>
                        <w:t>© Union européenne, 2017</w:t>
                      </w:r>
                    </w:p>
                    <w:p w:rsidR="00260B0F" w:rsidRPr="007F1B7F" w:rsidRDefault="00260B0F" w:rsidP="00ED3746">
                      <w:pPr>
                        <w:pStyle w:val="Normal12PTcouleurgris"/>
                        <w:rPr>
                          <w:sz w:val="18"/>
                        </w:rPr>
                      </w:pPr>
                      <w:r>
                        <w:rPr>
                          <w:sz w:val="18"/>
                        </w:rPr>
                        <w:t>Reproduction autorisée, moyennant mention de la source.</w:t>
                      </w:r>
                    </w:p>
                    <w:p w:rsidR="00260B0F" w:rsidRPr="0002668A" w:rsidRDefault="00260B0F" w:rsidP="00ED3746">
                      <w:pPr>
                        <w:pStyle w:val="Normal12PTcouleurgris"/>
                        <w:rPr>
                          <w:sz w:val="18"/>
                        </w:rPr>
                      </w:pPr>
                      <w:r>
                        <w:rPr>
                          <w:u w:val="single"/>
                        </w:rPr>
                        <w:t xml:space="preserve">Citation </w:t>
                      </w:r>
                      <w:proofErr w:type="gramStart"/>
                      <w:r>
                        <w:rPr>
                          <w:u w:val="single"/>
                        </w:rPr>
                        <w:t>recommandée</w:t>
                      </w:r>
                      <w:r>
                        <w:t>:</w:t>
                      </w:r>
                      <w:proofErr w:type="gramEnd"/>
                      <w:r>
                        <w:rPr>
                          <w:sz w:val="18"/>
                        </w:rPr>
                        <w:t xml:space="preserve"> </w:t>
                      </w:r>
                    </w:p>
                    <w:p w:rsidR="00260B0F" w:rsidRPr="0002668A" w:rsidRDefault="00260B0F" w:rsidP="00ED3746">
                      <w:pPr>
                        <w:pStyle w:val="Normal12PTcouleurgris"/>
                        <w:rPr>
                          <w:sz w:val="18"/>
                        </w:rPr>
                      </w:pPr>
                      <w:r>
                        <w:rPr>
                          <w:sz w:val="18"/>
                        </w:rPr>
                        <w:t>COMMISSION EUROPÉENNE – Direction générale de l’agriculture et du développement rural – Unité C.4 (2017</w:t>
                      </w:r>
                      <w:proofErr w:type="gramStart"/>
                      <w:r>
                        <w:rPr>
                          <w:sz w:val="18"/>
                        </w:rPr>
                        <w:t>):</w:t>
                      </w:r>
                      <w:proofErr w:type="gramEnd"/>
                      <w:r>
                        <w:rPr>
                          <w:sz w:val="18"/>
                        </w:rPr>
                        <w:t xml:space="preserve"> Lignes directrices. Évaluation de l’innovation dans les programmes de développement rural 2014-2020.</w:t>
                      </w:r>
                    </w:p>
                    <w:p w:rsidR="00260B0F" w:rsidRPr="0002668A" w:rsidRDefault="00260B0F" w:rsidP="00ED3746">
                      <w:pPr>
                        <w:pStyle w:val="Normal12PTcouleurgris"/>
                        <w:rPr>
                          <w:bCs/>
                          <w:sz w:val="18"/>
                          <w:u w:val="single"/>
                        </w:rPr>
                      </w:pPr>
                      <w:proofErr w:type="gramStart"/>
                      <w:r>
                        <w:rPr>
                          <w:sz w:val="18"/>
                          <w:u w:val="single"/>
                        </w:rPr>
                        <w:t>Avertissement:</w:t>
                      </w:r>
                      <w:proofErr w:type="gramEnd"/>
                    </w:p>
                    <w:p w:rsidR="00260B0F" w:rsidRPr="0002668A" w:rsidRDefault="00260B0F" w:rsidP="00ED3746">
                      <w:pPr>
                        <w:pStyle w:val="Normal12PTcouleurgris"/>
                        <w:rPr>
                          <w:sz w:val="18"/>
                        </w:rPr>
                      </w:pPr>
                      <w:r>
                        <w:rPr>
                          <w:sz w:val="18"/>
                        </w:rPr>
                        <w:t>Les renseignements et avis contenus dans le présent rapport sont ceux de l’auteur ou des auteurs et ne reflètent pas nécessairement la position officielle de la Commission européenne. La Commission ne garantit pas l’exactitude des données figurant dans le présent rapport. Ni la Commission ni quiconque agissant en son nom ne saurait être tenu responsable de l’usage qui pourrait être fait des informations contenues dans le présent document.</w:t>
                      </w:r>
                    </w:p>
                    <w:p w:rsidR="00260B0F" w:rsidRPr="000B1DDA" w:rsidRDefault="00260B0F" w:rsidP="00ED3746">
                      <w:pPr>
                        <w:pStyle w:val="Normal12PTcouleurgris"/>
                      </w:pPr>
                    </w:p>
                    <w:p w:rsidR="00260B0F" w:rsidRPr="004D4D87" w:rsidRDefault="00260B0F" w:rsidP="00ED3746">
                      <w:pPr>
                        <w:pStyle w:val="Normal12PTcouleurgris"/>
                      </w:pPr>
                      <w:r>
                        <w:rPr>
                          <w:noProof/>
                        </w:rPr>
                        <w:drawing>
                          <wp:inline distT="0" distB="0" distL="0" distR="0">
                            <wp:extent cx="1677670" cy="795020"/>
                            <wp:effectExtent l="0" t="0" r="0" b="0"/>
                            <wp:docPr id="2"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ogo-OK3.jpg"/>
                                    <pic:cNvPicPr>
                                      <a:picLocks noChangeAspect="1" noChangeArrowheads="1"/>
                                    </pic:cNvPicPr>
                                  </pic:nvPicPr>
                                  <pic:blipFill>
                                    <a:blip r:embed="rId10">
                                      <a:extLst>
                                        <a:ext uri="{28A0092B-C50C-407E-A947-70E740481C1C}">
                                          <a14:useLocalDpi xmlns:a14="http://schemas.microsoft.com/office/drawing/2010/main" val="0"/>
                                        </a:ext>
                                      </a:extLst>
                                    </a:blip>
                                    <a:srcRect l="19669" r="17921"/>
                                    <a:stretch>
                                      <a:fillRect/>
                                    </a:stretch>
                                  </pic:blipFill>
                                  <pic:spPr bwMode="auto">
                                    <a:xfrm>
                                      <a:off x="0" y="0"/>
                                      <a:ext cx="1677670" cy="795020"/>
                                    </a:xfrm>
                                    <a:prstGeom prst="rect">
                                      <a:avLst/>
                                    </a:prstGeom>
                                    <a:noFill/>
                                    <a:ln>
                                      <a:noFill/>
                                    </a:ln>
                                  </pic:spPr>
                                </pic:pic>
                              </a:graphicData>
                            </a:graphic>
                          </wp:inline>
                        </w:drawing>
                      </w:r>
                      <w:r>
                        <w:tab/>
                      </w:r>
                      <w:r>
                        <w:tab/>
                      </w:r>
                      <w:r>
                        <w:tab/>
                      </w:r>
                      <w:r>
                        <w:tab/>
                      </w:r>
                      <w:r>
                        <w:tab/>
                      </w:r>
                      <w:r>
                        <w:tab/>
                      </w:r>
                      <w:r>
                        <w:rPr>
                          <w:noProof/>
                        </w:rPr>
                        <w:drawing>
                          <wp:inline distT="0" distB="0" distL="0" distR="0">
                            <wp:extent cx="1804670" cy="668020"/>
                            <wp:effectExtent l="0" t="0" r="0" b="0"/>
                            <wp:docPr id="3"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4670" cy="668020"/>
                                    </a:xfrm>
                                    <a:prstGeom prst="rect">
                                      <a:avLst/>
                                    </a:prstGeom>
                                    <a:noFill/>
                                    <a:ln>
                                      <a:noFill/>
                                    </a:ln>
                                  </pic:spPr>
                                </pic:pic>
                              </a:graphicData>
                            </a:graphic>
                          </wp:inline>
                        </w:drawing>
                      </w:r>
                    </w:p>
                    <w:p w:rsidR="00260B0F" w:rsidRPr="00E05D08" w:rsidRDefault="00260B0F" w:rsidP="00ED3746">
                      <w:pPr>
                        <w:pStyle w:val="Normal12PTcouleurgris"/>
                        <w:rPr>
                          <w:color w:val="BFBFBF"/>
                        </w:rPr>
                      </w:pPr>
                    </w:p>
                    <w:p w:rsidR="00260B0F" w:rsidRPr="007F1B7F" w:rsidRDefault="00260B0F" w:rsidP="00ED3746">
                      <w:pPr>
                        <w:pStyle w:val="Normal12PTcouleurgris"/>
                        <w:rPr>
                          <w:sz w:val="18"/>
                        </w:rPr>
                      </w:pPr>
                      <w:r>
                        <w:rPr>
                          <w:sz w:val="18"/>
                        </w:rPr>
                        <w:t>Le Helpdesk Évaluation est responsable de l</w:t>
                      </w:r>
                      <w:proofErr w:type="gramStart"/>
                      <w:r>
                        <w:rPr>
                          <w:sz w:val="18"/>
                        </w:rPr>
                        <w:t>’«évaluation</w:t>
                      </w:r>
                      <w:proofErr w:type="gramEnd"/>
                      <w:r>
                        <w:rPr>
                          <w:sz w:val="18"/>
                        </w:rPr>
                        <w:t>» au sein du Réseau européen de développement rural (REDR) et fournit dans ce cadre une orientation sur l’évaluation des programmes de développement rural (PDR) et des politiques relevant de la compétence et de la supervision de l’unité C4 «Suivi et évaluation» de la DG AGRI de la Commission européenne (CE). Afin d’améliorer l’évaluation de la politique européenne de développement rural, le Helpdesk Évaluation assiste toutes les parties intervenant dans l’évaluation, en particulier la DG AGRI, les autorités nationales, les autorités de gestion des PDR et les évaluateurs, en favorisant l’élaboration et la diffusion de méthodes et d’outils appropriés, la collecte et l’échange de bonnes pratiques, ainsi que le renforcement des capacités et la communication avec les membres du réseau sur des questions liées à l’évaluation.</w:t>
                      </w:r>
                    </w:p>
                    <w:p w:rsidR="00260B0F" w:rsidRPr="007F1B7F" w:rsidRDefault="00260B0F" w:rsidP="00ED3746">
                      <w:pPr>
                        <w:pStyle w:val="Normal12PTcouleurgris"/>
                        <w:rPr>
                          <w:sz w:val="18"/>
                        </w:rPr>
                      </w:pPr>
                      <w:r>
                        <w:rPr>
                          <w:sz w:val="18"/>
                        </w:rPr>
                        <w:t xml:space="preserve">Des informations supplémentaires sur les activités menées par </w:t>
                      </w:r>
                      <w:proofErr w:type="gramStart"/>
                      <w:r>
                        <w:rPr>
                          <w:sz w:val="18"/>
                        </w:rPr>
                        <w:t>le Helpdesk Évaluation</w:t>
                      </w:r>
                      <w:proofErr w:type="gramEnd"/>
                      <w:r>
                        <w:rPr>
                          <w:sz w:val="18"/>
                        </w:rPr>
                        <w:t xml:space="preserve"> européen pour le développement rural sont disponibles en ligne sur le serveur Europa (https://enrd.ec.europa.eu/home-page_fr).</w:t>
                      </w:r>
                    </w:p>
                    <w:p w:rsidR="00260B0F" w:rsidRPr="00811EF1" w:rsidRDefault="00260B0F" w:rsidP="00ED3746">
                      <w:pPr>
                        <w:pStyle w:val="Hdisclaimer"/>
                      </w:pPr>
                    </w:p>
                  </w:txbxContent>
                </v:textbox>
                <w10:wrap anchorx="margin"/>
              </v:shape>
            </w:pict>
          </mc:Fallback>
        </mc:AlternateContent>
      </w:r>
      <w:r w:rsidR="00ED3746">
        <w:br w:type="page"/>
      </w:r>
    </w:p>
    <w:p w:rsidR="00ED3746" w:rsidRPr="00E05D08" w:rsidRDefault="00ED3746" w:rsidP="00ED3746">
      <w:pPr>
        <w:spacing w:after="120" w:line="280" w:lineRule="atLeast"/>
        <w:mirrorIndents/>
        <w:rPr>
          <w:rFonts w:eastAsia="Times New Roman" w:cs="Times New Roman"/>
          <w:szCs w:val="20"/>
        </w:rPr>
      </w:pPr>
    </w:p>
    <w:p w:rsidR="00ED3746" w:rsidRPr="00E05D08" w:rsidRDefault="00ED3746" w:rsidP="00ED3746">
      <w:pPr>
        <w:spacing w:after="120" w:line="280" w:lineRule="atLeast"/>
        <w:mirrorIndents/>
        <w:rPr>
          <w:rFonts w:eastAsia="Times New Roman" w:cs="Times New Roman"/>
          <w:szCs w:val="20"/>
        </w:rPr>
      </w:pPr>
    </w:p>
    <w:p w:rsidR="00ED3746" w:rsidRPr="00E05D08" w:rsidRDefault="00ED3746" w:rsidP="00ED3746">
      <w:pPr>
        <w:spacing w:after="120" w:line="280" w:lineRule="atLeast"/>
        <w:mirrorIndents/>
        <w:rPr>
          <w:rFonts w:eastAsia="Times New Roman" w:cs="Times New Roman"/>
          <w:szCs w:val="20"/>
        </w:rPr>
      </w:pPr>
    </w:p>
    <w:p w:rsidR="00ED3746" w:rsidRPr="00E05D08" w:rsidRDefault="00F204F1" w:rsidP="00ED3746">
      <w:pPr>
        <w:spacing w:after="120" w:line="280" w:lineRule="atLeast"/>
        <w:mirrorIndents/>
        <w:rPr>
          <w:rFonts w:eastAsia="Times New Roman" w:cs="Times New Roman"/>
          <w:szCs w:val="20"/>
        </w:rPr>
      </w:pPr>
      <w:r>
        <w:rPr>
          <w:noProof/>
        </w:rPr>
        <mc:AlternateContent>
          <mc:Choice Requires="wps">
            <w:drawing>
              <wp:anchor distT="0" distB="0" distL="114300" distR="114300" simplePos="0" relativeHeight="251642368" behindDoc="1" locked="0" layoutInCell="1" allowOverlap="1">
                <wp:simplePos x="0" y="0"/>
                <wp:positionH relativeFrom="page">
                  <wp:posOffset>2204720</wp:posOffset>
                </wp:positionH>
                <wp:positionV relativeFrom="page">
                  <wp:posOffset>5175250</wp:posOffset>
                </wp:positionV>
                <wp:extent cx="4958080" cy="3855720"/>
                <wp:effectExtent l="0" t="0" r="0" b="0"/>
                <wp:wrapTight wrapText="bothSides">
                  <wp:wrapPolygon edited="0">
                    <wp:start x="0" y="0"/>
                    <wp:lineTo x="0" y="21557"/>
                    <wp:lineTo x="21578" y="21557"/>
                    <wp:lineTo x="21578" y="0"/>
                    <wp:lineTo x="0" y="0"/>
                  </wp:wrapPolygon>
                </wp:wrapTight>
                <wp:docPr id="6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0B0F" w:rsidRPr="002D3552" w:rsidRDefault="00260B0F" w:rsidP="00ED3746">
                            <w:pPr>
                              <w:pStyle w:val="HTitle1"/>
                            </w:pPr>
                            <w:r>
                              <w:t xml:space="preserve">Lignes directrices </w:t>
                            </w:r>
                          </w:p>
                          <w:p w:rsidR="00260B0F" w:rsidRPr="00DD6E53" w:rsidRDefault="00260B0F" w:rsidP="00ED3746">
                            <w:pPr>
                              <w:pStyle w:val="HTitle2"/>
                              <w:jc w:val="left"/>
                            </w:pPr>
                            <w:r>
                              <w:t xml:space="preserve">Évaluation de l’innovation dans les programmes de développement rural 2014-2020 </w:t>
                            </w:r>
                          </w:p>
                          <w:p w:rsidR="00260B0F" w:rsidRPr="00DD6E53" w:rsidRDefault="00260B0F" w:rsidP="00ED3746">
                            <w:pPr>
                              <w:rPr>
                                <w:color w:val="6F6F6F"/>
                                <w:sz w:val="28"/>
                                <w:szCs w:val="28"/>
                              </w:rPr>
                            </w:pPr>
                          </w:p>
                          <w:p w:rsidR="00260B0F" w:rsidRDefault="00260B0F" w:rsidP="00ED3746">
                            <w:pPr>
                              <w:pStyle w:val="HTitle3"/>
                            </w:pPr>
                            <w:r>
                              <w:t xml:space="preserve">Décembre 2017 </w:t>
                            </w:r>
                          </w:p>
                          <w:p w:rsidR="00260B0F" w:rsidRPr="00BE49CF" w:rsidRDefault="00260B0F" w:rsidP="00ED374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left:0;text-align:left;margin-left:173.6pt;margin-top:407.5pt;width:390.4pt;height:303.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6wWtA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" filled="f" stroked="f">
                <v:textbox inset="0,0,0,0">
                  <w:txbxContent>
                    <w:p w:rsidR="00260B0F" w:rsidRPr="002D3552" w:rsidRDefault="00260B0F" w:rsidP="00ED3746">
                      <w:pPr>
                        <w:pStyle w:val="HTitle1"/>
                      </w:pPr>
                      <w:r>
                        <w:t xml:space="preserve">Lignes directrices </w:t>
                      </w:r>
                    </w:p>
                    <w:p w:rsidR="00260B0F" w:rsidRPr="00DD6E53" w:rsidRDefault="00260B0F" w:rsidP="00ED3746">
                      <w:pPr>
                        <w:pStyle w:val="HTitle2"/>
                        <w:jc w:val="left"/>
                      </w:pPr>
                      <w:r>
                        <w:t xml:space="preserve">Évaluation de l’innovation dans les programmes de développement rural 2014-2020 </w:t>
                      </w:r>
                    </w:p>
                    <w:p w:rsidR="00260B0F" w:rsidRPr="00DD6E53" w:rsidRDefault="00260B0F" w:rsidP="00ED3746">
                      <w:pPr>
                        <w:rPr>
                          <w:color w:val="6F6F6F"/>
                          <w:sz w:val="28"/>
                          <w:szCs w:val="28"/>
                        </w:rPr>
                      </w:pPr>
                    </w:p>
                    <w:p w:rsidR="00260B0F" w:rsidRDefault="00260B0F" w:rsidP="00ED3746">
                      <w:pPr>
                        <w:pStyle w:val="HTitle3"/>
                      </w:pPr>
                      <w:r>
                        <w:t xml:space="preserve">Décembre 2017 </w:t>
                      </w:r>
                    </w:p>
                    <w:p w:rsidR="00260B0F" w:rsidRPr="00BE49CF" w:rsidRDefault="00260B0F" w:rsidP="00ED3746">
                      <w:pPr>
                        <w:pStyle w:val="HTitle3"/>
                      </w:pPr>
                    </w:p>
                  </w:txbxContent>
                </v:textbox>
                <w10:wrap type="tight" anchorx="page" anchory="page"/>
              </v:shape>
            </w:pict>
          </mc:Fallback>
        </mc:AlternateContent>
      </w:r>
    </w:p>
    <w:p w:rsidR="00ED3746" w:rsidRDefault="00ED3746" w:rsidP="00ED3746">
      <w:pPr>
        <w:spacing w:after="120" w:line="280" w:lineRule="atLeast"/>
        <w:mirrorIndents/>
        <w:sectPr w:rsidR="00ED3746" w:rsidSect="00ED3746">
          <w:headerReference w:type="default" r:id="rId12"/>
          <w:endnotePr>
            <w:numFmt w:val="decimal"/>
          </w:endnotePr>
          <w:pgSz w:w="11906" w:h="16838" w:code="9"/>
          <w:pgMar w:top="1440" w:right="1440" w:bottom="1134" w:left="1440" w:header="624" w:footer="709" w:gutter="0"/>
          <w:cols w:space="708"/>
          <w:titlePg/>
          <w:docGrid w:linePitch="360"/>
        </w:sectPr>
      </w:pPr>
    </w:p>
    <w:p w:rsidR="00ED3746" w:rsidRPr="00E05D08" w:rsidRDefault="00ED3746" w:rsidP="00ED3746">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lastRenderedPageBreak/>
        <w:br w:type="page"/>
      </w:r>
      <w:bookmarkStart w:id="3" w:name="_Toc508889622"/>
      <w:r>
        <w:rPr>
          <w:b/>
          <w:caps/>
          <w:color w:val="F07E31"/>
          <w:kern w:val="32"/>
        </w:rPr>
        <w:lastRenderedPageBreak/>
        <w:t>Table des matières</w:t>
      </w:r>
      <w:bookmarkEnd w:id="3"/>
    </w:p>
    <w:p w:rsidR="00645B47" w:rsidRPr="00C53A7B" w:rsidRDefault="00645B47">
      <w:pPr>
        <w:pStyle w:val="TOC1"/>
        <w:tabs>
          <w:tab w:val="right" w:leader="dot" w:pos="9040"/>
        </w:tabs>
        <w:rPr>
          <w:rFonts w:ascii="Calibri" w:eastAsia="Times New Roman" w:hAnsi="Calibri" w:cs="Times New Roman"/>
          <w:b w:val="0"/>
          <w:caps w:val="0"/>
          <w:noProof/>
          <w:color w:val="auto"/>
          <w:sz w:val="22"/>
          <w:lang w:val="en-GB" w:eastAsia="en-GB"/>
        </w:rPr>
      </w:pPr>
      <w:r>
        <w:rPr>
          <w:rFonts w:ascii="Helvetica LT Pro" w:hAnsi="Helvetica LT Pro"/>
          <w:caps w:val="0"/>
          <w:color w:val="000000"/>
        </w:rPr>
        <w:fldChar w:fldCharType="begin"/>
      </w:r>
      <w:r>
        <w:rPr>
          <w:rFonts w:ascii="Helvetica LT Pro" w:hAnsi="Helvetica LT Pro"/>
          <w:caps w:val="0"/>
          <w:color w:val="000000"/>
        </w:rPr>
        <w:instrText xml:space="preserve"> TOC \o "1-3" \h \z \u </w:instrText>
      </w:r>
      <w:r>
        <w:rPr>
          <w:rFonts w:ascii="Helvetica LT Pro" w:hAnsi="Helvetica LT Pro"/>
          <w:caps w:val="0"/>
          <w:color w:val="000000"/>
        </w:rPr>
        <w:fldChar w:fldCharType="separate"/>
      </w:r>
      <w:hyperlink w:anchor="_Toc508889625" w:history="1">
        <w:r w:rsidRPr="001706E9">
          <w:rPr>
            <w:rStyle w:val="Hyperlink"/>
            <w:noProof/>
          </w:rPr>
          <w:t>1.</w:t>
        </w:r>
        <w:r w:rsidRPr="00C53A7B">
          <w:rPr>
            <w:rFonts w:ascii="Calibri" w:eastAsia="Times New Roman" w:hAnsi="Calibri" w:cs="Times New Roman"/>
            <w:b w:val="0"/>
            <w:caps w:val="0"/>
            <w:noProof/>
            <w:color w:val="auto"/>
            <w:sz w:val="22"/>
            <w:lang w:val="en-GB" w:eastAsia="en-GB"/>
          </w:rPr>
          <w:tab/>
        </w:r>
        <w:r w:rsidRPr="001706E9">
          <w:rPr>
            <w:rStyle w:val="Hyperlink"/>
            <w:noProof/>
          </w:rPr>
          <w:t>LE CADRE CONCEPTUEL</w:t>
        </w:r>
        <w:r>
          <w:rPr>
            <w:noProof/>
            <w:webHidden/>
          </w:rPr>
          <w:tab/>
        </w:r>
        <w:r>
          <w:rPr>
            <w:noProof/>
            <w:webHidden/>
          </w:rPr>
          <w:fldChar w:fldCharType="begin"/>
        </w:r>
        <w:r>
          <w:rPr>
            <w:noProof/>
            <w:webHidden/>
          </w:rPr>
          <w:instrText xml:space="preserve"> PAGEREF _Toc508889625 \h </w:instrText>
        </w:r>
        <w:r>
          <w:rPr>
            <w:noProof/>
            <w:webHidden/>
          </w:rPr>
        </w:r>
        <w:r>
          <w:rPr>
            <w:noProof/>
            <w:webHidden/>
          </w:rPr>
          <w:fldChar w:fldCharType="separate"/>
        </w:r>
        <w:r w:rsidR="002D3388">
          <w:rPr>
            <w:noProof/>
            <w:webHidden/>
          </w:rPr>
          <w:t>12</w:t>
        </w:r>
        <w:r>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26" w:history="1">
        <w:r w:rsidR="00645B47" w:rsidRPr="001706E9">
          <w:rPr>
            <w:rStyle w:val="Hyperlink"/>
            <w:noProof/>
          </w:rPr>
          <w:t>1.1</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Innovation et développement rural</w:t>
        </w:r>
        <w:r w:rsidR="00645B47">
          <w:rPr>
            <w:noProof/>
            <w:webHidden/>
          </w:rPr>
          <w:tab/>
        </w:r>
        <w:r w:rsidR="00645B47">
          <w:rPr>
            <w:noProof/>
            <w:webHidden/>
          </w:rPr>
          <w:fldChar w:fldCharType="begin"/>
        </w:r>
        <w:r w:rsidR="00645B47">
          <w:rPr>
            <w:noProof/>
            <w:webHidden/>
          </w:rPr>
          <w:instrText xml:space="preserve"> PAGEREF _Toc508889626 \h </w:instrText>
        </w:r>
        <w:r w:rsidR="00645B47">
          <w:rPr>
            <w:noProof/>
            <w:webHidden/>
          </w:rPr>
        </w:r>
        <w:r w:rsidR="00645B47">
          <w:rPr>
            <w:noProof/>
            <w:webHidden/>
          </w:rPr>
          <w:fldChar w:fldCharType="separate"/>
        </w:r>
        <w:r w:rsidR="002D3388">
          <w:rPr>
            <w:noProof/>
            <w:webHidden/>
          </w:rPr>
          <w:t>12</w:t>
        </w:r>
        <w:r w:rsidR="00645B47">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27" w:history="1">
        <w:r w:rsidR="00645B47" w:rsidRPr="001706E9">
          <w:rPr>
            <w:rStyle w:val="Hyperlink"/>
            <w:noProof/>
          </w:rPr>
          <w:t>1.2</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Le cadre politique de l’Union européenne</w:t>
        </w:r>
        <w:r w:rsidR="00645B47">
          <w:rPr>
            <w:noProof/>
            <w:webHidden/>
          </w:rPr>
          <w:tab/>
        </w:r>
        <w:r w:rsidR="00645B47">
          <w:rPr>
            <w:noProof/>
            <w:webHidden/>
          </w:rPr>
          <w:fldChar w:fldCharType="begin"/>
        </w:r>
        <w:r w:rsidR="00645B47">
          <w:rPr>
            <w:noProof/>
            <w:webHidden/>
          </w:rPr>
          <w:instrText xml:space="preserve"> PAGEREF _Toc508889627 \h </w:instrText>
        </w:r>
        <w:r w:rsidR="00645B47">
          <w:rPr>
            <w:noProof/>
            <w:webHidden/>
          </w:rPr>
        </w:r>
        <w:r w:rsidR="00645B47">
          <w:rPr>
            <w:noProof/>
            <w:webHidden/>
          </w:rPr>
          <w:fldChar w:fldCharType="separate"/>
        </w:r>
        <w:r w:rsidR="002D3388">
          <w:rPr>
            <w:noProof/>
            <w:webHidden/>
          </w:rPr>
          <w:t>18</w:t>
        </w:r>
        <w:r w:rsidR="00645B47">
          <w:rPr>
            <w:noProof/>
            <w:webHidden/>
          </w:rPr>
          <w:fldChar w:fldCharType="end"/>
        </w:r>
      </w:hyperlink>
    </w:p>
    <w:p w:rsidR="00645B47" w:rsidRPr="00C53A7B" w:rsidRDefault="00260B0F">
      <w:pPr>
        <w:pStyle w:val="TOC3"/>
        <w:tabs>
          <w:tab w:val="right" w:leader="dot" w:pos="9040"/>
        </w:tabs>
        <w:rPr>
          <w:rFonts w:ascii="Calibri" w:eastAsia="Times New Roman" w:hAnsi="Calibri" w:cs="Times New Roman"/>
          <w:noProof/>
          <w:color w:val="auto"/>
          <w:sz w:val="22"/>
          <w:lang w:val="en-GB" w:eastAsia="en-GB"/>
        </w:rPr>
      </w:pPr>
      <w:hyperlink w:anchor="_Toc508889628" w:history="1">
        <w:r w:rsidR="00645B47" w:rsidRPr="001706E9">
          <w:rPr>
            <w:rStyle w:val="Hyperlink"/>
            <w:noProof/>
          </w:rPr>
          <w:t>1.2.1</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Le cadre politique pour l’innovation dans l’Union européenne et la politique de développement rural</w:t>
        </w:r>
        <w:r w:rsidR="00645B47">
          <w:rPr>
            <w:noProof/>
            <w:webHidden/>
          </w:rPr>
          <w:tab/>
        </w:r>
        <w:r w:rsidR="00645B47">
          <w:rPr>
            <w:noProof/>
            <w:webHidden/>
          </w:rPr>
          <w:fldChar w:fldCharType="begin"/>
        </w:r>
        <w:r w:rsidR="00645B47">
          <w:rPr>
            <w:noProof/>
            <w:webHidden/>
          </w:rPr>
          <w:instrText xml:space="preserve"> PAGEREF _Toc508889628 \h </w:instrText>
        </w:r>
        <w:r w:rsidR="00645B47">
          <w:rPr>
            <w:noProof/>
            <w:webHidden/>
          </w:rPr>
        </w:r>
        <w:r w:rsidR="00645B47">
          <w:rPr>
            <w:noProof/>
            <w:webHidden/>
          </w:rPr>
          <w:fldChar w:fldCharType="separate"/>
        </w:r>
        <w:r w:rsidR="002D3388">
          <w:rPr>
            <w:noProof/>
            <w:webHidden/>
          </w:rPr>
          <w:t>18</w:t>
        </w:r>
        <w:r w:rsidR="00645B47">
          <w:rPr>
            <w:noProof/>
            <w:webHidden/>
          </w:rPr>
          <w:fldChar w:fldCharType="end"/>
        </w:r>
      </w:hyperlink>
    </w:p>
    <w:p w:rsidR="00645B47" w:rsidRPr="00C53A7B" w:rsidRDefault="00260B0F">
      <w:pPr>
        <w:pStyle w:val="TOC3"/>
        <w:tabs>
          <w:tab w:val="right" w:leader="dot" w:pos="9040"/>
        </w:tabs>
        <w:rPr>
          <w:rFonts w:ascii="Calibri" w:eastAsia="Times New Roman" w:hAnsi="Calibri" w:cs="Times New Roman"/>
          <w:noProof/>
          <w:color w:val="auto"/>
          <w:sz w:val="22"/>
          <w:lang w:val="en-GB" w:eastAsia="en-GB"/>
        </w:rPr>
      </w:pPr>
      <w:hyperlink w:anchor="_Toc508889629" w:history="1">
        <w:r w:rsidR="00645B47" w:rsidRPr="001706E9">
          <w:rPr>
            <w:rStyle w:val="Hyperlink"/>
            <w:noProof/>
          </w:rPr>
          <w:t>1.2.2</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Les éléments d’évaluation communs pour l’innovation</w:t>
        </w:r>
        <w:r w:rsidR="00645B47">
          <w:rPr>
            <w:noProof/>
            <w:webHidden/>
          </w:rPr>
          <w:tab/>
        </w:r>
        <w:r w:rsidR="00645B47">
          <w:rPr>
            <w:noProof/>
            <w:webHidden/>
          </w:rPr>
          <w:fldChar w:fldCharType="begin"/>
        </w:r>
        <w:r w:rsidR="00645B47">
          <w:rPr>
            <w:noProof/>
            <w:webHidden/>
          </w:rPr>
          <w:instrText xml:space="preserve"> PAGEREF _Toc508889629 \h </w:instrText>
        </w:r>
        <w:r w:rsidR="00645B47">
          <w:rPr>
            <w:noProof/>
            <w:webHidden/>
          </w:rPr>
        </w:r>
        <w:r w:rsidR="00645B47">
          <w:rPr>
            <w:noProof/>
            <w:webHidden/>
          </w:rPr>
          <w:fldChar w:fldCharType="separate"/>
        </w:r>
        <w:r w:rsidR="002D3388">
          <w:rPr>
            <w:noProof/>
            <w:webHidden/>
          </w:rPr>
          <w:t>21</w:t>
        </w:r>
        <w:r w:rsidR="00645B47">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30" w:history="1">
        <w:r w:rsidR="00645B47" w:rsidRPr="001706E9">
          <w:rPr>
            <w:rStyle w:val="Hyperlink"/>
            <w:noProof/>
          </w:rPr>
          <w:t>1.3</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Les difficultés de l’évaluation de l’innovation</w:t>
        </w:r>
        <w:r w:rsidR="00645B47">
          <w:rPr>
            <w:noProof/>
            <w:webHidden/>
          </w:rPr>
          <w:tab/>
        </w:r>
        <w:r w:rsidR="00645B47">
          <w:rPr>
            <w:noProof/>
            <w:webHidden/>
          </w:rPr>
          <w:fldChar w:fldCharType="begin"/>
        </w:r>
        <w:r w:rsidR="00645B47">
          <w:rPr>
            <w:noProof/>
            <w:webHidden/>
          </w:rPr>
          <w:instrText xml:space="preserve"> PAGEREF _Toc508889630 \h </w:instrText>
        </w:r>
        <w:r w:rsidR="00645B47">
          <w:rPr>
            <w:noProof/>
            <w:webHidden/>
          </w:rPr>
        </w:r>
        <w:r w:rsidR="00645B47">
          <w:rPr>
            <w:noProof/>
            <w:webHidden/>
          </w:rPr>
          <w:fldChar w:fldCharType="separate"/>
        </w:r>
        <w:r w:rsidR="002D3388">
          <w:rPr>
            <w:noProof/>
            <w:webHidden/>
          </w:rPr>
          <w:t>23</w:t>
        </w:r>
        <w:r w:rsidR="00645B47">
          <w:rPr>
            <w:noProof/>
            <w:webHidden/>
          </w:rPr>
          <w:fldChar w:fldCharType="end"/>
        </w:r>
      </w:hyperlink>
    </w:p>
    <w:p w:rsidR="00645B47" w:rsidRPr="00C53A7B" w:rsidRDefault="00260B0F">
      <w:pPr>
        <w:pStyle w:val="TOC1"/>
        <w:tabs>
          <w:tab w:val="right" w:leader="dot" w:pos="9040"/>
        </w:tabs>
        <w:rPr>
          <w:rFonts w:ascii="Calibri" w:eastAsia="Times New Roman" w:hAnsi="Calibri" w:cs="Times New Roman"/>
          <w:b w:val="0"/>
          <w:caps w:val="0"/>
          <w:noProof/>
          <w:color w:val="auto"/>
          <w:sz w:val="22"/>
          <w:lang w:val="en-GB" w:eastAsia="en-GB"/>
        </w:rPr>
      </w:pPr>
      <w:hyperlink w:anchor="_Toc508889631" w:history="1">
        <w:r w:rsidR="00645B47" w:rsidRPr="001706E9">
          <w:rPr>
            <w:rStyle w:val="Hyperlink"/>
            <w:noProof/>
          </w:rPr>
          <w:t>2.</w:t>
        </w:r>
        <w:r w:rsidR="00645B47" w:rsidRPr="00C53A7B">
          <w:rPr>
            <w:rFonts w:ascii="Calibri" w:eastAsia="Times New Roman" w:hAnsi="Calibri" w:cs="Times New Roman"/>
            <w:b w:val="0"/>
            <w:caps w:val="0"/>
            <w:noProof/>
            <w:color w:val="auto"/>
            <w:sz w:val="22"/>
            <w:lang w:val="en-GB" w:eastAsia="en-GB"/>
          </w:rPr>
          <w:tab/>
        </w:r>
        <w:r w:rsidR="00645B47" w:rsidRPr="001706E9">
          <w:rPr>
            <w:rStyle w:val="Hyperlink"/>
            <w:noProof/>
          </w:rPr>
          <w:t>Comment évaluer l’innovation dans les PDR?</w:t>
        </w:r>
        <w:r w:rsidR="00645B47">
          <w:rPr>
            <w:noProof/>
            <w:webHidden/>
          </w:rPr>
          <w:tab/>
        </w:r>
        <w:r w:rsidR="00645B47">
          <w:rPr>
            <w:noProof/>
            <w:webHidden/>
          </w:rPr>
          <w:fldChar w:fldCharType="begin"/>
        </w:r>
        <w:r w:rsidR="00645B47">
          <w:rPr>
            <w:noProof/>
            <w:webHidden/>
          </w:rPr>
          <w:instrText xml:space="preserve"> PAGEREF _Toc508889631 \h </w:instrText>
        </w:r>
        <w:r w:rsidR="00645B47">
          <w:rPr>
            <w:noProof/>
            <w:webHidden/>
          </w:rPr>
        </w:r>
        <w:r w:rsidR="00645B47">
          <w:rPr>
            <w:noProof/>
            <w:webHidden/>
          </w:rPr>
          <w:fldChar w:fldCharType="separate"/>
        </w:r>
        <w:r w:rsidR="002D3388">
          <w:rPr>
            <w:noProof/>
            <w:webHidden/>
          </w:rPr>
          <w:t>25</w:t>
        </w:r>
        <w:r w:rsidR="00645B47">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32" w:history="1">
        <w:r w:rsidR="00645B47" w:rsidRPr="001706E9">
          <w:rPr>
            <w:rStyle w:val="Hyperlink"/>
            <w:noProof/>
          </w:rPr>
          <w:t>2.1</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Approche proposée pour évaluer l’innovation dans les PDR 2014-2020 (vue d’ensemble)</w:t>
        </w:r>
        <w:r w:rsidR="00645B47">
          <w:rPr>
            <w:noProof/>
            <w:webHidden/>
          </w:rPr>
          <w:tab/>
        </w:r>
        <w:r w:rsidR="00645B47">
          <w:rPr>
            <w:noProof/>
            <w:webHidden/>
          </w:rPr>
          <w:fldChar w:fldCharType="begin"/>
        </w:r>
        <w:r w:rsidR="00645B47">
          <w:rPr>
            <w:noProof/>
            <w:webHidden/>
          </w:rPr>
          <w:instrText xml:space="preserve"> PAGEREF _Toc508889632 \h </w:instrText>
        </w:r>
        <w:r w:rsidR="00645B47">
          <w:rPr>
            <w:noProof/>
            <w:webHidden/>
          </w:rPr>
        </w:r>
        <w:r w:rsidR="00645B47">
          <w:rPr>
            <w:noProof/>
            <w:webHidden/>
          </w:rPr>
          <w:fldChar w:fldCharType="separate"/>
        </w:r>
        <w:r w:rsidR="002D3388">
          <w:rPr>
            <w:noProof/>
            <w:webHidden/>
          </w:rPr>
          <w:t>25</w:t>
        </w:r>
        <w:r w:rsidR="00645B47">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33" w:history="1">
        <w:r w:rsidR="00645B47" w:rsidRPr="001706E9">
          <w:rPr>
            <w:rStyle w:val="Hyperlink"/>
            <w:noProof/>
          </w:rPr>
          <w:t>2.2</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Analyser le potentiel d’innovation des mesures/sous-mesures du PDR (recommandé)</w:t>
        </w:r>
        <w:r w:rsidR="00645B47">
          <w:rPr>
            <w:noProof/>
            <w:webHidden/>
          </w:rPr>
          <w:tab/>
        </w:r>
        <w:r w:rsidR="00645B47">
          <w:rPr>
            <w:noProof/>
            <w:webHidden/>
          </w:rPr>
          <w:fldChar w:fldCharType="begin"/>
        </w:r>
        <w:r w:rsidR="00645B47">
          <w:rPr>
            <w:noProof/>
            <w:webHidden/>
          </w:rPr>
          <w:instrText xml:space="preserve"> PAGEREF _Toc508889633 \h </w:instrText>
        </w:r>
        <w:r w:rsidR="00645B47">
          <w:rPr>
            <w:noProof/>
            <w:webHidden/>
          </w:rPr>
        </w:r>
        <w:r w:rsidR="00645B47">
          <w:rPr>
            <w:noProof/>
            <w:webHidden/>
          </w:rPr>
          <w:fldChar w:fldCharType="separate"/>
        </w:r>
        <w:r w:rsidR="002D3388">
          <w:rPr>
            <w:noProof/>
            <w:webHidden/>
          </w:rPr>
          <w:t>28</w:t>
        </w:r>
        <w:r w:rsidR="00645B47">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34" w:history="1">
        <w:r w:rsidR="00645B47" w:rsidRPr="001706E9">
          <w:rPr>
            <w:rStyle w:val="Hyperlink"/>
            <w:noProof/>
          </w:rPr>
          <w:t>2.3</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Compléter les éléments d’évaluation communs pour l’innovation (recommandé)</w:t>
        </w:r>
        <w:r w:rsidR="00645B47">
          <w:rPr>
            <w:noProof/>
            <w:webHidden/>
          </w:rPr>
          <w:tab/>
        </w:r>
        <w:r w:rsidR="00645B47">
          <w:rPr>
            <w:noProof/>
            <w:webHidden/>
          </w:rPr>
          <w:fldChar w:fldCharType="begin"/>
        </w:r>
        <w:r w:rsidR="00645B47">
          <w:rPr>
            <w:noProof/>
            <w:webHidden/>
          </w:rPr>
          <w:instrText xml:space="preserve"> PAGEREF _Toc508889634 \h </w:instrText>
        </w:r>
        <w:r w:rsidR="00645B47">
          <w:rPr>
            <w:noProof/>
            <w:webHidden/>
          </w:rPr>
        </w:r>
        <w:r w:rsidR="00645B47">
          <w:rPr>
            <w:noProof/>
            <w:webHidden/>
          </w:rPr>
          <w:fldChar w:fldCharType="separate"/>
        </w:r>
        <w:r w:rsidR="002D3388">
          <w:rPr>
            <w:noProof/>
            <w:webHidden/>
          </w:rPr>
          <w:t>31</w:t>
        </w:r>
        <w:r w:rsidR="00645B47">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35" w:history="1">
        <w:r w:rsidR="00645B47" w:rsidRPr="001706E9">
          <w:rPr>
            <w:rStyle w:val="Hyperlink"/>
            <w:noProof/>
            <w:snapToGrid w:val="0"/>
          </w:rPr>
          <w:t>2.4</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Répondre aux questions d’évaluation communes pertinentes (obligatoire)</w:t>
        </w:r>
        <w:r w:rsidR="00645B47">
          <w:rPr>
            <w:noProof/>
            <w:webHidden/>
          </w:rPr>
          <w:tab/>
        </w:r>
        <w:r w:rsidR="00645B47">
          <w:rPr>
            <w:noProof/>
            <w:webHidden/>
          </w:rPr>
          <w:fldChar w:fldCharType="begin"/>
        </w:r>
        <w:r w:rsidR="00645B47">
          <w:rPr>
            <w:noProof/>
            <w:webHidden/>
          </w:rPr>
          <w:instrText xml:space="preserve"> PAGEREF _Toc508889635 \h </w:instrText>
        </w:r>
        <w:r w:rsidR="00645B47">
          <w:rPr>
            <w:noProof/>
            <w:webHidden/>
          </w:rPr>
        </w:r>
        <w:r w:rsidR="00645B47">
          <w:rPr>
            <w:noProof/>
            <w:webHidden/>
          </w:rPr>
          <w:fldChar w:fldCharType="separate"/>
        </w:r>
        <w:r w:rsidR="002D3388">
          <w:rPr>
            <w:noProof/>
            <w:webHidden/>
          </w:rPr>
          <w:t>32</w:t>
        </w:r>
        <w:r w:rsidR="00645B47">
          <w:rPr>
            <w:noProof/>
            <w:webHidden/>
          </w:rPr>
          <w:fldChar w:fldCharType="end"/>
        </w:r>
      </w:hyperlink>
    </w:p>
    <w:p w:rsidR="00645B47" w:rsidRPr="00C53A7B" w:rsidRDefault="00260B0F">
      <w:pPr>
        <w:pStyle w:val="TOC3"/>
        <w:tabs>
          <w:tab w:val="right" w:leader="dot" w:pos="9040"/>
        </w:tabs>
        <w:rPr>
          <w:rFonts w:ascii="Calibri" w:eastAsia="Times New Roman" w:hAnsi="Calibri" w:cs="Times New Roman"/>
          <w:noProof/>
          <w:color w:val="auto"/>
          <w:sz w:val="22"/>
          <w:lang w:val="en-GB" w:eastAsia="en-GB"/>
        </w:rPr>
      </w:pPr>
      <w:hyperlink w:anchor="_Toc508889636" w:history="1">
        <w:r w:rsidR="00645B47" w:rsidRPr="001706E9">
          <w:rPr>
            <w:rStyle w:val="Hyperlink"/>
            <w:noProof/>
          </w:rPr>
          <w:t>2.4.1</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QEC nº 1: «Dans quelle mesure les interventions du PDR ont-elles soutenu l’innovation, la coopération et le développement de la base de connaissances dans les zones rurales?»</w:t>
        </w:r>
        <w:r w:rsidR="00645B47">
          <w:rPr>
            <w:noProof/>
            <w:webHidden/>
          </w:rPr>
          <w:tab/>
        </w:r>
        <w:r w:rsidR="00645B47">
          <w:rPr>
            <w:noProof/>
            <w:webHidden/>
          </w:rPr>
          <w:fldChar w:fldCharType="begin"/>
        </w:r>
        <w:r w:rsidR="00645B47">
          <w:rPr>
            <w:noProof/>
            <w:webHidden/>
          </w:rPr>
          <w:instrText xml:space="preserve"> PAGEREF _Toc508889636 \h </w:instrText>
        </w:r>
        <w:r w:rsidR="00645B47">
          <w:rPr>
            <w:noProof/>
            <w:webHidden/>
          </w:rPr>
        </w:r>
        <w:r w:rsidR="00645B47">
          <w:rPr>
            <w:noProof/>
            <w:webHidden/>
          </w:rPr>
          <w:fldChar w:fldCharType="separate"/>
        </w:r>
        <w:r w:rsidR="002D3388">
          <w:rPr>
            <w:noProof/>
            <w:webHidden/>
          </w:rPr>
          <w:t>33</w:t>
        </w:r>
        <w:r w:rsidR="00645B47">
          <w:rPr>
            <w:noProof/>
            <w:webHidden/>
          </w:rPr>
          <w:fldChar w:fldCharType="end"/>
        </w:r>
      </w:hyperlink>
    </w:p>
    <w:p w:rsidR="00645B47" w:rsidRPr="00C53A7B" w:rsidRDefault="00260B0F">
      <w:pPr>
        <w:pStyle w:val="TOC3"/>
        <w:tabs>
          <w:tab w:val="right" w:leader="dot" w:pos="9040"/>
        </w:tabs>
        <w:rPr>
          <w:rFonts w:ascii="Calibri" w:eastAsia="Times New Roman" w:hAnsi="Calibri" w:cs="Times New Roman"/>
          <w:noProof/>
          <w:color w:val="auto"/>
          <w:sz w:val="22"/>
          <w:lang w:val="en-GB" w:eastAsia="en-GB"/>
        </w:rPr>
      </w:pPr>
      <w:hyperlink w:anchor="_Toc508889637" w:history="1">
        <w:r w:rsidR="00645B47" w:rsidRPr="001706E9">
          <w:rPr>
            <w:rStyle w:val="Hyperlink"/>
            <w:noProof/>
          </w:rPr>
          <w:t>2.4.2</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QEC nº 2: «Dans quelle mesure les interventions du PDR ont-elles favorisé le renforcement des liens entre l’agriculture, la production alimentaire et la foresterie, la recherche et l’innovation, y compris aux fins d’améliorer la gestion et les performances environnementales?»</w:t>
        </w:r>
        <w:r w:rsidR="00645B47">
          <w:rPr>
            <w:noProof/>
            <w:webHidden/>
          </w:rPr>
          <w:tab/>
        </w:r>
        <w:r w:rsidR="00645B47">
          <w:rPr>
            <w:noProof/>
            <w:webHidden/>
          </w:rPr>
          <w:fldChar w:fldCharType="begin"/>
        </w:r>
        <w:r w:rsidR="00645B47">
          <w:rPr>
            <w:noProof/>
            <w:webHidden/>
          </w:rPr>
          <w:instrText xml:space="preserve"> PAGEREF _Toc508889637 \h </w:instrText>
        </w:r>
        <w:r w:rsidR="00645B47">
          <w:rPr>
            <w:noProof/>
            <w:webHidden/>
          </w:rPr>
        </w:r>
        <w:r w:rsidR="00645B47">
          <w:rPr>
            <w:noProof/>
            <w:webHidden/>
          </w:rPr>
          <w:fldChar w:fldCharType="separate"/>
        </w:r>
        <w:r w:rsidR="002D3388">
          <w:rPr>
            <w:noProof/>
            <w:webHidden/>
          </w:rPr>
          <w:t>43</w:t>
        </w:r>
        <w:r w:rsidR="00645B47">
          <w:rPr>
            <w:noProof/>
            <w:webHidden/>
          </w:rPr>
          <w:fldChar w:fldCharType="end"/>
        </w:r>
      </w:hyperlink>
    </w:p>
    <w:p w:rsidR="00645B47" w:rsidRPr="00C53A7B" w:rsidRDefault="00260B0F">
      <w:pPr>
        <w:pStyle w:val="TOC3"/>
        <w:tabs>
          <w:tab w:val="right" w:leader="dot" w:pos="9040"/>
        </w:tabs>
        <w:rPr>
          <w:rFonts w:ascii="Calibri" w:eastAsia="Times New Roman" w:hAnsi="Calibri" w:cs="Times New Roman"/>
          <w:noProof/>
          <w:color w:val="auto"/>
          <w:sz w:val="22"/>
          <w:lang w:val="en-GB" w:eastAsia="en-GB"/>
        </w:rPr>
      </w:pPr>
      <w:hyperlink w:anchor="_Toc508889638" w:history="1">
        <w:r w:rsidR="00645B47" w:rsidRPr="001706E9">
          <w:rPr>
            <w:rStyle w:val="Hyperlink"/>
            <w:noProof/>
          </w:rPr>
          <w:t>2.4.3</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QEC nº 21: «Dans quelle mesure le RRN a-t-il contribué à la réalisation des objectifs fixés à l’article 54, paragraphe 2, du règlement (UE) nº 1305/2013?»</w:t>
        </w:r>
        <w:r w:rsidR="00645B47">
          <w:rPr>
            <w:noProof/>
            <w:webHidden/>
          </w:rPr>
          <w:tab/>
        </w:r>
        <w:r w:rsidR="00645B47">
          <w:rPr>
            <w:noProof/>
            <w:webHidden/>
          </w:rPr>
          <w:fldChar w:fldCharType="begin"/>
        </w:r>
        <w:r w:rsidR="00645B47">
          <w:rPr>
            <w:noProof/>
            <w:webHidden/>
          </w:rPr>
          <w:instrText xml:space="preserve"> PAGEREF _Toc508889638 \h </w:instrText>
        </w:r>
        <w:r w:rsidR="00645B47">
          <w:rPr>
            <w:noProof/>
            <w:webHidden/>
          </w:rPr>
        </w:r>
        <w:r w:rsidR="00645B47">
          <w:rPr>
            <w:noProof/>
            <w:webHidden/>
          </w:rPr>
          <w:fldChar w:fldCharType="separate"/>
        </w:r>
        <w:r w:rsidR="002D3388">
          <w:rPr>
            <w:noProof/>
            <w:webHidden/>
          </w:rPr>
          <w:t>52</w:t>
        </w:r>
        <w:r w:rsidR="00645B47">
          <w:rPr>
            <w:noProof/>
            <w:webHidden/>
          </w:rPr>
          <w:fldChar w:fldCharType="end"/>
        </w:r>
      </w:hyperlink>
    </w:p>
    <w:p w:rsidR="00645B47" w:rsidRPr="00C53A7B" w:rsidRDefault="00260B0F">
      <w:pPr>
        <w:pStyle w:val="TOC3"/>
        <w:tabs>
          <w:tab w:val="right" w:leader="dot" w:pos="9040"/>
        </w:tabs>
        <w:rPr>
          <w:rFonts w:ascii="Calibri" w:eastAsia="Times New Roman" w:hAnsi="Calibri" w:cs="Times New Roman"/>
          <w:noProof/>
          <w:color w:val="auto"/>
          <w:sz w:val="22"/>
          <w:lang w:val="en-GB" w:eastAsia="en-GB"/>
        </w:rPr>
      </w:pPr>
      <w:hyperlink w:anchor="_Toc508889639" w:history="1">
        <w:r w:rsidR="00645B47" w:rsidRPr="001706E9">
          <w:rPr>
            <w:rStyle w:val="Hyperlink"/>
            <w:noProof/>
          </w:rPr>
          <w:t>2.4.4</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QEC nº 23: «Dans quelle mesure le PDR a-t-il contribué à la réalisation de l’objectif phare de la stratégie Europe 2020 visant à investir 3 % du PIB de l’Union européenne dans la recherche et le développement et l’innovation?»</w:t>
        </w:r>
        <w:r w:rsidR="00645B47">
          <w:rPr>
            <w:noProof/>
            <w:webHidden/>
          </w:rPr>
          <w:tab/>
        </w:r>
        <w:r w:rsidR="00645B47">
          <w:rPr>
            <w:noProof/>
            <w:webHidden/>
          </w:rPr>
          <w:fldChar w:fldCharType="begin"/>
        </w:r>
        <w:r w:rsidR="00645B47">
          <w:rPr>
            <w:noProof/>
            <w:webHidden/>
          </w:rPr>
          <w:instrText xml:space="preserve"> PAGEREF _Toc508889639 \h </w:instrText>
        </w:r>
        <w:r w:rsidR="00645B47">
          <w:rPr>
            <w:noProof/>
            <w:webHidden/>
          </w:rPr>
        </w:r>
        <w:r w:rsidR="00645B47">
          <w:rPr>
            <w:noProof/>
            <w:webHidden/>
          </w:rPr>
          <w:fldChar w:fldCharType="separate"/>
        </w:r>
        <w:r w:rsidR="002D3388">
          <w:rPr>
            <w:noProof/>
            <w:webHidden/>
          </w:rPr>
          <w:t>63</w:t>
        </w:r>
        <w:r w:rsidR="00645B47">
          <w:rPr>
            <w:noProof/>
            <w:webHidden/>
          </w:rPr>
          <w:fldChar w:fldCharType="end"/>
        </w:r>
      </w:hyperlink>
    </w:p>
    <w:p w:rsidR="00645B47" w:rsidRPr="00C53A7B" w:rsidRDefault="00260B0F">
      <w:pPr>
        <w:pStyle w:val="TOC3"/>
        <w:tabs>
          <w:tab w:val="right" w:leader="dot" w:pos="9040"/>
        </w:tabs>
        <w:rPr>
          <w:rFonts w:ascii="Calibri" w:eastAsia="Times New Roman" w:hAnsi="Calibri" w:cs="Times New Roman"/>
          <w:noProof/>
          <w:color w:val="auto"/>
          <w:sz w:val="22"/>
          <w:lang w:val="en-GB" w:eastAsia="en-GB"/>
        </w:rPr>
      </w:pPr>
      <w:hyperlink w:anchor="_Toc508889640" w:history="1">
        <w:r w:rsidR="00645B47" w:rsidRPr="001706E9">
          <w:rPr>
            <w:rStyle w:val="Hyperlink"/>
            <w:noProof/>
          </w:rPr>
          <w:t>2.4.5</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QEC nº 30: «Dans quelle mesure les interventions du PDR ont-elles contribué à favoriser l’innovation?»</w:t>
        </w:r>
        <w:r w:rsidR="00645B47">
          <w:rPr>
            <w:noProof/>
            <w:webHidden/>
          </w:rPr>
          <w:tab/>
        </w:r>
        <w:r w:rsidR="00645B47">
          <w:rPr>
            <w:noProof/>
            <w:webHidden/>
          </w:rPr>
          <w:fldChar w:fldCharType="begin"/>
        </w:r>
        <w:r w:rsidR="00645B47">
          <w:rPr>
            <w:noProof/>
            <w:webHidden/>
          </w:rPr>
          <w:instrText xml:space="preserve"> PAGEREF _Toc508889640 \h </w:instrText>
        </w:r>
        <w:r w:rsidR="00645B47">
          <w:rPr>
            <w:noProof/>
            <w:webHidden/>
          </w:rPr>
        </w:r>
        <w:r w:rsidR="00645B47">
          <w:rPr>
            <w:noProof/>
            <w:webHidden/>
          </w:rPr>
          <w:fldChar w:fldCharType="separate"/>
        </w:r>
        <w:r w:rsidR="002D3388">
          <w:rPr>
            <w:noProof/>
            <w:webHidden/>
          </w:rPr>
          <w:t>69</w:t>
        </w:r>
        <w:r w:rsidR="00645B47">
          <w:rPr>
            <w:noProof/>
            <w:webHidden/>
          </w:rPr>
          <w:fldChar w:fldCharType="end"/>
        </w:r>
      </w:hyperlink>
    </w:p>
    <w:p w:rsidR="00645B47" w:rsidRPr="00C53A7B" w:rsidRDefault="00260B0F">
      <w:pPr>
        <w:pStyle w:val="TOC1"/>
        <w:tabs>
          <w:tab w:val="right" w:leader="dot" w:pos="9040"/>
        </w:tabs>
        <w:rPr>
          <w:rFonts w:ascii="Calibri" w:eastAsia="Times New Roman" w:hAnsi="Calibri" w:cs="Times New Roman"/>
          <w:b w:val="0"/>
          <w:caps w:val="0"/>
          <w:noProof/>
          <w:color w:val="auto"/>
          <w:sz w:val="22"/>
          <w:lang w:val="en-GB" w:eastAsia="en-GB"/>
        </w:rPr>
      </w:pPr>
      <w:hyperlink w:anchor="_Toc508889641" w:history="1">
        <w:r w:rsidR="00645B47" w:rsidRPr="001706E9">
          <w:rPr>
            <w:rStyle w:val="Hyperlink"/>
            <w:noProof/>
          </w:rPr>
          <w:t>3.</w:t>
        </w:r>
        <w:r w:rsidR="00645B47" w:rsidRPr="00C53A7B">
          <w:rPr>
            <w:rFonts w:ascii="Calibri" w:eastAsia="Times New Roman" w:hAnsi="Calibri" w:cs="Times New Roman"/>
            <w:b w:val="0"/>
            <w:caps w:val="0"/>
            <w:noProof/>
            <w:color w:val="auto"/>
            <w:sz w:val="22"/>
            <w:lang w:val="en-GB" w:eastAsia="en-GB"/>
          </w:rPr>
          <w:tab/>
        </w:r>
        <w:r w:rsidR="00645B47" w:rsidRPr="001706E9">
          <w:rPr>
            <w:rStyle w:val="Hyperlink"/>
            <w:noProof/>
          </w:rPr>
          <w:t>ANNEXES</w:t>
        </w:r>
        <w:r w:rsidR="00645B47">
          <w:rPr>
            <w:noProof/>
            <w:webHidden/>
          </w:rPr>
          <w:tab/>
        </w:r>
        <w:r w:rsidR="00645B47">
          <w:rPr>
            <w:noProof/>
            <w:webHidden/>
          </w:rPr>
          <w:fldChar w:fldCharType="begin"/>
        </w:r>
        <w:r w:rsidR="00645B47">
          <w:rPr>
            <w:noProof/>
            <w:webHidden/>
          </w:rPr>
          <w:instrText xml:space="preserve"> PAGEREF _Toc508889641 \h </w:instrText>
        </w:r>
        <w:r w:rsidR="00645B47">
          <w:rPr>
            <w:noProof/>
            <w:webHidden/>
          </w:rPr>
        </w:r>
        <w:r w:rsidR="00645B47">
          <w:rPr>
            <w:noProof/>
            <w:webHidden/>
          </w:rPr>
          <w:fldChar w:fldCharType="separate"/>
        </w:r>
        <w:r w:rsidR="002D3388">
          <w:rPr>
            <w:noProof/>
            <w:webHidden/>
          </w:rPr>
          <w:t>82</w:t>
        </w:r>
        <w:r w:rsidR="00645B47">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42" w:history="1">
        <w:r w:rsidR="00645B47" w:rsidRPr="001706E9">
          <w:rPr>
            <w:rStyle w:val="Hyperlink"/>
            <w:noProof/>
          </w:rPr>
          <w:t>3.1</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Glossaire</w:t>
        </w:r>
        <w:r w:rsidR="00645B47">
          <w:rPr>
            <w:noProof/>
            <w:webHidden/>
          </w:rPr>
          <w:tab/>
        </w:r>
        <w:r w:rsidR="00645B47">
          <w:rPr>
            <w:noProof/>
            <w:webHidden/>
          </w:rPr>
          <w:fldChar w:fldCharType="begin"/>
        </w:r>
        <w:r w:rsidR="00645B47">
          <w:rPr>
            <w:noProof/>
            <w:webHidden/>
          </w:rPr>
          <w:instrText xml:space="preserve"> PAGEREF _Toc508889642 \h </w:instrText>
        </w:r>
        <w:r w:rsidR="00645B47">
          <w:rPr>
            <w:noProof/>
            <w:webHidden/>
          </w:rPr>
        </w:r>
        <w:r w:rsidR="00645B47">
          <w:rPr>
            <w:noProof/>
            <w:webHidden/>
          </w:rPr>
          <w:fldChar w:fldCharType="separate"/>
        </w:r>
        <w:r w:rsidR="002D3388">
          <w:rPr>
            <w:noProof/>
            <w:webHidden/>
          </w:rPr>
          <w:t>82</w:t>
        </w:r>
        <w:r w:rsidR="00645B47">
          <w:rPr>
            <w:noProof/>
            <w:webHidden/>
          </w:rPr>
          <w:fldChar w:fldCharType="end"/>
        </w:r>
      </w:hyperlink>
    </w:p>
    <w:p w:rsidR="00645B47" w:rsidRPr="00C53A7B" w:rsidRDefault="00260B0F">
      <w:pPr>
        <w:pStyle w:val="TOC2"/>
        <w:tabs>
          <w:tab w:val="right" w:leader="dot" w:pos="9040"/>
        </w:tabs>
        <w:rPr>
          <w:rFonts w:ascii="Calibri" w:eastAsia="Times New Roman" w:hAnsi="Calibri" w:cs="Times New Roman"/>
          <w:noProof/>
          <w:color w:val="auto"/>
          <w:sz w:val="22"/>
          <w:lang w:val="en-GB" w:eastAsia="en-GB"/>
        </w:rPr>
      </w:pPr>
      <w:hyperlink w:anchor="_Toc508889643" w:history="1">
        <w:r w:rsidR="00645B47" w:rsidRPr="001706E9">
          <w:rPr>
            <w:rStyle w:val="Hyperlink"/>
            <w:noProof/>
          </w:rPr>
          <w:t>3.2</w:t>
        </w:r>
        <w:r w:rsidR="00645B47" w:rsidRPr="00C53A7B">
          <w:rPr>
            <w:rFonts w:ascii="Calibri" w:eastAsia="Times New Roman" w:hAnsi="Calibri" w:cs="Times New Roman"/>
            <w:noProof/>
            <w:color w:val="auto"/>
            <w:sz w:val="22"/>
            <w:lang w:val="en-GB" w:eastAsia="en-GB"/>
          </w:rPr>
          <w:tab/>
        </w:r>
        <w:r w:rsidR="00645B47" w:rsidRPr="001706E9">
          <w:rPr>
            <w:rStyle w:val="Hyperlink"/>
            <w:noProof/>
          </w:rPr>
          <w:t>Déterminer le potentiel d’innovation du PDR: étape par étape</w:t>
        </w:r>
        <w:r w:rsidR="00645B47">
          <w:rPr>
            <w:noProof/>
            <w:webHidden/>
          </w:rPr>
          <w:tab/>
        </w:r>
        <w:r w:rsidR="00645B47">
          <w:rPr>
            <w:noProof/>
            <w:webHidden/>
          </w:rPr>
          <w:fldChar w:fldCharType="begin"/>
        </w:r>
        <w:r w:rsidR="00645B47">
          <w:rPr>
            <w:noProof/>
            <w:webHidden/>
          </w:rPr>
          <w:instrText xml:space="preserve"> PAGEREF _Toc508889643 \h </w:instrText>
        </w:r>
        <w:r w:rsidR="00645B47">
          <w:rPr>
            <w:noProof/>
            <w:webHidden/>
          </w:rPr>
        </w:r>
        <w:r w:rsidR="00645B47">
          <w:rPr>
            <w:noProof/>
            <w:webHidden/>
          </w:rPr>
          <w:fldChar w:fldCharType="separate"/>
        </w:r>
        <w:r w:rsidR="002D3388">
          <w:rPr>
            <w:noProof/>
            <w:webHidden/>
          </w:rPr>
          <w:t>84</w:t>
        </w:r>
        <w:r w:rsidR="00645B47">
          <w:rPr>
            <w:noProof/>
            <w:webHidden/>
          </w:rPr>
          <w:fldChar w:fldCharType="end"/>
        </w:r>
      </w:hyperlink>
    </w:p>
    <w:p w:rsidR="00ED3746" w:rsidRPr="00645B47" w:rsidRDefault="00645B47">
      <w:pPr>
        <w:pStyle w:val="TOC1"/>
        <w:tabs>
          <w:tab w:val="right" w:leader="dot" w:pos="9040"/>
        </w:tabs>
        <w:rPr>
          <w:rFonts w:ascii="Helvetica LT Pro" w:eastAsia="Times New Roman" w:hAnsi="Helvetica LT Pro" w:cs="Times New Roman"/>
          <w:b w:val="0"/>
          <w:color w:val="000000"/>
          <w:szCs w:val="20"/>
          <w:lang w:val="en-GB"/>
        </w:rPr>
      </w:pPr>
      <w:r>
        <w:rPr>
          <w:rFonts w:ascii="Helvetica LT Pro" w:hAnsi="Helvetica LT Pro"/>
          <w:caps w:val="0"/>
          <w:color w:val="000000"/>
        </w:rPr>
        <w:fldChar w:fldCharType="end"/>
      </w:r>
    </w:p>
    <w:p w:rsidR="00ED3746" w:rsidRPr="00E05D08" w:rsidRDefault="00ED3746" w:rsidP="00ED3746">
      <w:pPr>
        <w:keepNext/>
        <w:pageBreakBefore/>
        <w:tabs>
          <w:tab w:val="left" w:pos="227"/>
        </w:tabs>
        <w:suppressAutoHyphens/>
        <w:spacing w:before="360" w:after="360" w:line="280" w:lineRule="atLeast"/>
        <w:outlineLvl w:val="0"/>
        <w:rPr>
          <w:rFonts w:eastAsia="Times New Roman" w:cs="Arial"/>
          <w:b/>
          <w:bCs/>
          <w:caps/>
          <w:color w:val="F07E31"/>
          <w:kern w:val="32"/>
          <w:szCs w:val="32"/>
        </w:rPr>
      </w:pPr>
      <w:bookmarkStart w:id="4" w:name="_Toc508889623"/>
      <w:r>
        <w:rPr>
          <w:b/>
          <w:caps/>
          <w:color w:val="F07E31"/>
          <w:kern w:val="32"/>
        </w:rPr>
        <w:lastRenderedPageBreak/>
        <w:t>Tableaux et figures</w:t>
      </w:r>
      <w:bookmarkEnd w:id="4"/>
    </w:p>
    <w:p w:rsidR="009966F7" w:rsidRPr="00376E80" w:rsidRDefault="009966F7">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r>
        <w:rPr>
          <w:rStyle w:val="Hyperlink"/>
        </w:rPr>
        <w:fldChar w:fldCharType="begin"/>
      </w:r>
      <w:r>
        <w:rPr>
          <w:rStyle w:val="Hyperlink"/>
        </w:rPr>
        <w:instrText xml:space="preserve"> TOC \h \z \t "H_Heading_tables,1" </w:instrText>
      </w:r>
      <w:r>
        <w:rPr>
          <w:rStyle w:val="Hyperlink"/>
        </w:rPr>
        <w:fldChar w:fldCharType="separate"/>
      </w:r>
      <w:hyperlink w:anchor="_Toc508894474" w:history="1">
        <w:r w:rsidRPr="009966F7">
          <w:rPr>
            <w:rStyle w:val="Hyperlink"/>
            <w:b w:val="0"/>
            <w:caps w:val="0"/>
            <w:noProof/>
            <w:szCs w:val="16"/>
          </w:rPr>
          <w:t>Table 1.</w:t>
        </w:r>
        <w:r w:rsidRPr="00376E80">
          <w:rPr>
            <w:rFonts w:ascii="Calibri" w:eastAsia="Times New Roman" w:hAnsi="Calibri" w:cs="Times New Roman"/>
            <w:b w:val="0"/>
            <w:caps w:val="0"/>
            <w:noProof/>
            <w:color w:val="auto"/>
            <w:sz w:val="16"/>
            <w:szCs w:val="16"/>
            <w:lang w:val="en-GB" w:eastAsia="en-GB"/>
          </w:rPr>
          <w:tab/>
        </w:r>
        <w:r w:rsidRPr="009966F7">
          <w:rPr>
            <w:rStyle w:val="Hyperlink"/>
            <w:b w:val="0"/>
            <w:caps w:val="0"/>
            <w:noProof/>
            <w:szCs w:val="16"/>
          </w:rPr>
          <w:t>Éléments d’évaluation et sources d’information en relation avec la QEC nº 1</w:t>
        </w:r>
        <w:r w:rsidRPr="009966F7">
          <w:rPr>
            <w:b w:val="0"/>
            <w:caps w:val="0"/>
            <w:noProof/>
            <w:webHidden/>
            <w:sz w:val="16"/>
            <w:szCs w:val="16"/>
          </w:rPr>
          <w:tab/>
        </w:r>
        <w:r w:rsidRPr="009966F7">
          <w:rPr>
            <w:b w:val="0"/>
            <w:caps w:val="0"/>
            <w:noProof/>
            <w:webHidden/>
            <w:sz w:val="16"/>
            <w:szCs w:val="16"/>
          </w:rPr>
          <w:fldChar w:fldCharType="begin"/>
        </w:r>
        <w:r w:rsidRPr="009966F7">
          <w:rPr>
            <w:b w:val="0"/>
            <w:caps w:val="0"/>
            <w:noProof/>
            <w:webHidden/>
            <w:sz w:val="16"/>
            <w:szCs w:val="16"/>
          </w:rPr>
          <w:instrText xml:space="preserve"> PAGEREF _Toc508894474 \h </w:instrText>
        </w:r>
        <w:r w:rsidRPr="009966F7">
          <w:rPr>
            <w:b w:val="0"/>
            <w:caps w:val="0"/>
            <w:noProof/>
            <w:webHidden/>
            <w:sz w:val="16"/>
            <w:szCs w:val="16"/>
          </w:rPr>
        </w:r>
        <w:r w:rsidRPr="009966F7">
          <w:rPr>
            <w:b w:val="0"/>
            <w:caps w:val="0"/>
            <w:noProof/>
            <w:webHidden/>
            <w:sz w:val="16"/>
            <w:szCs w:val="16"/>
          </w:rPr>
          <w:fldChar w:fldCharType="separate"/>
        </w:r>
        <w:r w:rsidR="002D3388">
          <w:rPr>
            <w:b w:val="0"/>
            <w:caps w:val="0"/>
            <w:noProof/>
            <w:webHidden/>
            <w:sz w:val="16"/>
            <w:szCs w:val="16"/>
          </w:rPr>
          <w:t>37</w:t>
        </w:r>
        <w:r w:rsidRPr="009966F7">
          <w:rPr>
            <w:b w:val="0"/>
            <w:caps w:val="0"/>
            <w:noProof/>
            <w:webHidden/>
            <w:sz w:val="16"/>
            <w:szCs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hyperlink w:anchor="_Toc508894475" w:history="1">
        <w:r w:rsidR="009966F7" w:rsidRPr="009966F7">
          <w:rPr>
            <w:rStyle w:val="Hyperlink"/>
            <w:b w:val="0"/>
            <w:caps w:val="0"/>
            <w:noProof/>
            <w:szCs w:val="16"/>
          </w:rPr>
          <w:t>Table 2.</w:t>
        </w:r>
        <w:r w:rsidR="009966F7" w:rsidRPr="00376E80">
          <w:rPr>
            <w:rFonts w:ascii="Calibri" w:eastAsia="Times New Roman" w:hAnsi="Calibri" w:cs="Times New Roman"/>
            <w:b w:val="0"/>
            <w:caps w:val="0"/>
            <w:noProof/>
            <w:color w:val="auto"/>
            <w:sz w:val="16"/>
            <w:szCs w:val="16"/>
            <w:lang w:val="en-GB" w:eastAsia="en-GB"/>
          </w:rPr>
          <w:tab/>
        </w:r>
        <w:r w:rsidR="009966F7" w:rsidRPr="009966F7">
          <w:rPr>
            <w:rStyle w:val="Hyperlink"/>
            <w:b w:val="0"/>
            <w:caps w:val="0"/>
            <w:noProof/>
            <w:szCs w:val="16"/>
          </w:rPr>
          <w:t>Méthodes recommandées pour la QEC nº 1</w:t>
        </w:r>
        <w:r w:rsidR="009966F7" w:rsidRPr="009966F7">
          <w:rPr>
            <w:b w:val="0"/>
            <w:caps w:val="0"/>
            <w:noProof/>
            <w:webHidden/>
            <w:sz w:val="16"/>
            <w:szCs w:val="16"/>
          </w:rPr>
          <w:tab/>
        </w:r>
        <w:r w:rsidR="009966F7" w:rsidRPr="009966F7">
          <w:rPr>
            <w:b w:val="0"/>
            <w:caps w:val="0"/>
            <w:noProof/>
            <w:webHidden/>
            <w:sz w:val="16"/>
            <w:szCs w:val="16"/>
          </w:rPr>
          <w:fldChar w:fldCharType="begin"/>
        </w:r>
        <w:r w:rsidR="009966F7" w:rsidRPr="009966F7">
          <w:rPr>
            <w:b w:val="0"/>
            <w:caps w:val="0"/>
            <w:noProof/>
            <w:webHidden/>
            <w:sz w:val="16"/>
            <w:szCs w:val="16"/>
          </w:rPr>
          <w:instrText xml:space="preserve"> PAGEREF _Toc508894475 \h </w:instrText>
        </w:r>
        <w:r w:rsidR="009966F7" w:rsidRPr="009966F7">
          <w:rPr>
            <w:b w:val="0"/>
            <w:caps w:val="0"/>
            <w:noProof/>
            <w:webHidden/>
            <w:sz w:val="16"/>
            <w:szCs w:val="16"/>
          </w:rPr>
        </w:r>
        <w:r w:rsidR="009966F7" w:rsidRPr="009966F7">
          <w:rPr>
            <w:b w:val="0"/>
            <w:caps w:val="0"/>
            <w:noProof/>
            <w:webHidden/>
            <w:sz w:val="16"/>
            <w:szCs w:val="16"/>
          </w:rPr>
          <w:fldChar w:fldCharType="separate"/>
        </w:r>
        <w:r w:rsidR="002D3388">
          <w:rPr>
            <w:b w:val="0"/>
            <w:caps w:val="0"/>
            <w:noProof/>
            <w:webHidden/>
            <w:sz w:val="16"/>
            <w:szCs w:val="16"/>
          </w:rPr>
          <w:t>40</w:t>
        </w:r>
        <w:r w:rsidR="009966F7" w:rsidRPr="009966F7">
          <w:rPr>
            <w:b w:val="0"/>
            <w:caps w:val="0"/>
            <w:noProof/>
            <w:webHidden/>
            <w:sz w:val="16"/>
            <w:szCs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hyperlink w:anchor="_Toc508894476" w:history="1">
        <w:r w:rsidR="009966F7" w:rsidRPr="009966F7">
          <w:rPr>
            <w:rStyle w:val="Hyperlink"/>
            <w:b w:val="0"/>
            <w:caps w:val="0"/>
            <w:noProof/>
            <w:szCs w:val="16"/>
          </w:rPr>
          <w:t>Table 3.</w:t>
        </w:r>
        <w:r w:rsidR="009966F7" w:rsidRPr="00376E80">
          <w:rPr>
            <w:rFonts w:ascii="Calibri" w:eastAsia="Times New Roman" w:hAnsi="Calibri" w:cs="Times New Roman"/>
            <w:b w:val="0"/>
            <w:caps w:val="0"/>
            <w:noProof/>
            <w:color w:val="auto"/>
            <w:sz w:val="16"/>
            <w:szCs w:val="16"/>
            <w:lang w:val="en-GB" w:eastAsia="en-GB"/>
          </w:rPr>
          <w:tab/>
        </w:r>
        <w:r w:rsidR="009966F7" w:rsidRPr="009966F7">
          <w:rPr>
            <w:rStyle w:val="Hyperlink"/>
            <w:b w:val="0"/>
            <w:caps w:val="0"/>
            <w:noProof/>
            <w:szCs w:val="16"/>
          </w:rPr>
          <w:t>Critères de jugement, indicateurs, données requises et sources de données</w:t>
        </w:r>
        <w:r w:rsidR="009966F7" w:rsidRPr="009966F7">
          <w:rPr>
            <w:b w:val="0"/>
            <w:caps w:val="0"/>
            <w:noProof/>
            <w:webHidden/>
            <w:sz w:val="16"/>
            <w:szCs w:val="16"/>
          </w:rPr>
          <w:tab/>
        </w:r>
        <w:r w:rsidR="009966F7" w:rsidRPr="009966F7">
          <w:rPr>
            <w:b w:val="0"/>
            <w:caps w:val="0"/>
            <w:noProof/>
            <w:webHidden/>
            <w:sz w:val="16"/>
            <w:szCs w:val="16"/>
          </w:rPr>
          <w:fldChar w:fldCharType="begin"/>
        </w:r>
        <w:r w:rsidR="009966F7" w:rsidRPr="009966F7">
          <w:rPr>
            <w:b w:val="0"/>
            <w:caps w:val="0"/>
            <w:noProof/>
            <w:webHidden/>
            <w:sz w:val="16"/>
            <w:szCs w:val="16"/>
          </w:rPr>
          <w:instrText xml:space="preserve"> PAGEREF _Toc508894476 \h </w:instrText>
        </w:r>
        <w:r w:rsidR="009966F7" w:rsidRPr="009966F7">
          <w:rPr>
            <w:b w:val="0"/>
            <w:caps w:val="0"/>
            <w:noProof/>
            <w:webHidden/>
            <w:sz w:val="16"/>
            <w:szCs w:val="16"/>
          </w:rPr>
        </w:r>
        <w:r w:rsidR="009966F7" w:rsidRPr="009966F7">
          <w:rPr>
            <w:b w:val="0"/>
            <w:caps w:val="0"/>
            <w:noProof/>
            <w:webHidden/>
            <w:sz w:val="16"/>
            <w:szCs w:val="16"/>
          </w:rPr>
          <w:fldChar w:fldCharType="separate"/>
        </w:r>
        <w:r w:rsidR="002D3388">
          <w:rPr>
            <w:b w:val="0"/>
            <w:caps w:val="0"/>
            <w:noProof/>
            <w:webHidden/>
            <w:sz w:val="16"/>
            <w:szCs w:val="16"/>
          </w:rPr>
          <w:t>47</w:t>
        </w:r>
        <w:r w:rsidR="009966F7" w:rsidRPr="009966F7">
          <w:rPr>
            <w:b w:val="0"/>
            <w:caps w:val="0"/>
            <w:noProof/>
            <w:webHidden/>
            <w:sz w:val="16"/>
            <w:szCs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hyperlink w:anchor="_Toc508894477" w:history="1">
        <w:r w:rsidR="009966F7" w:rsidRPr="009966F7">
          <w:rPr>
            <w:rStyle w:val="Hyperlink"/>
            <w:b w:val="0"/>
            <w:caps w:val="0"/>
            <w:noProof/>
            <w:szCs w:val="16"/>
          </w:rPr>
          <w:t>Table 4.</w:t>
        </w:r>
        <w:r w:rsidR="009966F7" w:rsidRPr="00376E80">
          <w:rPr>
            <w:rFonts w:ascii="Calibri" w:eastAsia="Times New Roman" w:hAnsi="Calibri" w:cs="Times New Roman"/>
            <w:b w:val="0"/>
            <w:caps w:val="0"/>
            <w:noProof/>
            <w:color w:val="auto"/>
            <w:sz w:val="16"/>
            <w:szCs w:val="16"/>
            <w:lang w:val="en-GB" w:eastAsia="en-GB"/>
          </w:rPr>
          <w:tab/>
        </w:r>
        <w:r w:rsidR="009966F7" w:rsidRPr="009966F7">
          <w:rPr>
            <w:rStyle w:val="Hyperlink"/>
            <w:b w:val="0"/>
            <w:caps w:val="0"/>
            <w:noProof/>
            <w:szCs w:val="16"/>
          </w:rPr>
          <w:t>Méthodes recommandées pour la QEC nº 2</w:t>
        </w:r>
        <w:r w:rsidR="009966F7" w:rsidRPr="009966F7">
          <w:rPr>
            <w:b w:val="0"/>
            <w:caps w:val="0"/>
            <w:noProof/>
            <w:webHidden/>
            <w:sz w:val="16"/>
            <w:szCs w:val="16"/>
          </w:rPr>
          <w:tab/>
        </w:r>
        <w:r w:rsidR="009966F7" w:rsidRPr="009966F7">
          <w:rPr>
            <w:b w:val="0"/>
            <w:caps w:val="0"/>
            <w:noProof/>
            <w:webHidden/>
            <w:sz w:val="16"/>
            <w:szCs w:val="16"/>
          </w:rPr>
          <w:fldChar w:fldCharType="begin"/>
        </w:r>
        <w:r w:rsidR="009966F7" w:rsidRPr="009966F7">
          <w:rPr>
            <w:b w:val="0"/>
            <w:caps w:val="0"/>
            <w:noProof/>
            <w:webHidden/>
            <w:sz w:val="16"/>
            <w:szCs w:val="16"/>
          </w:rPr>
          <w:instrText xml:space="preserve"> PAGEREF _Toc508894477 \h </w:instrText>
        </w:r>
        <w:r w:rsidR="009966F7" w:rsidRPr="009966F7">
          <w:rPr>
            <w:b w:val="0"/>
            <w:caps w:val="0"/>
            <w:noProof/>
            <w:webHidden/>
            <w:sz w:val="16"/>
            <w:szCs w:val="16"/>
          </w:rPr>
        </w:r>
        <w:r w:rsidR="009966F7" w:rsidRPr="009966F7">
          <w:rPr>
            <w:b w:val="0"/>
            <w:caps w:val="0"/>
            <w:noProof/>
            <w:webHidden/>
            <w:sz w:val="16"/>
            <w:szCs w:val="16"/>
          </w:rPr>
          <w:fldChar w:fldCharType="separate"/>
        </w:r>
        <w:r w:rsidR="002D3388">
          <w:rPr>
            <w:b w:val="0"/>
            <w:caps w:val="0"/>
            <w:noProof/>
            <w:webHidden/>
            <w:sz w:val="16"/>
            <w:szCs w:val="16"/>
          </w:rPr>
          <w:t>49</w:t>
        </w:r>
        <w:r w:rsidR="009966F7" w:rsidRPr="009966F7">
          <w:rPr>
            <w:b w:val="0"/>
            <w:caps w:val="0"/>
            <w:noProof/>
            <w:webHidden/>
            <w:sz w:val="16"/>
            <w:szCs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hyperlink w:anchor="_Toc508894478" w:history="1">
        <w:r w:rsidR="009966F7" w:rsidRPr="009966F7">
          <w:rPr>
            <w:rStyle w:val="Hyperlink"/>
            <w:b w:val="0"/>
            <w:caps w:val="0"/>
            <w:noProof/>
            <w:szCs w:val="16"/>
          </w:rPr>
          <w:t>Table 5.</w:t>
        </w:r>
        <w:r w:rsidR="009966F7" w:rsidRPr="00376E80">
          <w:rPr>
            <w:rFonts w:ascii="Calibri" w:eastAsia="Times New Roman" w:hAnsi="Calibri" w:cs="Times New Roman"/>
            <w:b w:val="0"/>
            <w:caps w:val="0"/>
            <w:noProof/>
            <w:color w:val="auto"/>
            <w:sz w:val="16"/>
            <w:szCs w:val="16"/>
            <w:lang w:val="en-GB" w:eastAsia="en-GB"/>
          </w:rPr>
          <w:tab/>
        </w:r>
        <w:r w:rsidR="009966F7" w:rsidRPr="009966F7">
          <w:rPr>
            <w:rStyle w:val="Hyperlink"/>
            <w:b w:val="0"/>
            <w:caps w:val="0"/>
            <w:noProof/>
            <w:szCs w:val="16"/>
          </w:rPr>
          <w:t>Critères de jugement, indicateurs et données supplémentaires proposés pour répondre à la QEC nº 21.</w:t>
        </w:r>
        <w:r w:rsidR="009966F7" w:rsidRPr="009966F7">
          <w:rPr>
            <w:b w:val="0"/>
            <w:caps w:val="0"/>
            <w:noProof/>
            <w:webHidden/>
            <w:sz w:val="16"/>
            <w:szCs w:val="16"/>
          </w:rPr>
          <w:tab/>
        </w:r>
        <w:r w:rsidR="009966F7" w:rsidRPr="009966F7">
          <w:rPr>
            <w:b w:val="0"/>
            <w:caps w:val="0"/>
            <w:noProof/>
            <w:webHidden/>
            <w:sz w:val="16"/>
            <w:szCs w:val="16"/>
          </w:rPr>
          <w:fldChar w:fldCharType="begin"/>
        </w:r>
        <w:r w:rsidR="009966F7" w:rsidRPr="009966F7">
          <w:rPr>
            <w:b w:val="0"/>
            <w:caps w:val="0"/>
            <w:noProof/>
            <w:webHidden/>
            <w:sz w:val="16"/>
            <w:szCs w:val="16"/>
          </w:rPr>
          <w:instrText xml:space="preserve"> PAGEREF _Toc508894478 \h </w:instrText>
        </w:r>
        <w:r w:rsidR="009966F7" w:rsidRPr="009966F7">
          <w:rPr>
            <w:b w:val="0"/>
            <w:caps w:val="0"/>
            <w:noProof/>
            <w:webHidden/>
            <w:sz w:val="16"/>
            <w:szCs w:val="16"/>
          </w:rPr>
        </w:r>
        <w:r w:rsidR="009966F7" w:rsidRPr="009966F7">
          <w:rPr>
            <w:b w:val="0"/>
            <w:caps w:val="0"/>
            <w:noProof/>
            <w:webHidden/>
            <w:sz w:val="16"/>
            <w:szCs w:val="16"/>
          </w:rPr>
          <w:fldChar w:fldCharType="separate"/>
        </w:r>
        <w:r w:rsidR="002D3388">
          <w:rPr>
            <w:b w:val="0"/>
            <w:caps w:val="0"/>
            <w:noProof/>
            <w:webHidden/>
            <w:sz w:val="16"/>
            <w:szCs w:val="16"/>
          </w:rPr>
          <w:t>56</w:t>
        </w:r>
        <w:r w:rsidR="009966F7" w:rsidRPr="009966F7">
          <w:rPr>
            <w:b w:val="0"/>
            <w:caps w:val="0"/>
            <w:noProof/>
            <w:webHidden/>
            <w:sz w:val="16"/>
            <w:szCs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hyperlink w:anchor="_Toc508894479" w:history="1">
        <w:r w:rsidR="009966F7" w:rsidRPr="009966F7">
          <w:rPr>
            <w:rStyle w:val="Hyperlink"/>
            <w:b w:val="0"/>
            <w:caps w:val="0"/>
            <w:noProof/>
            <w:szCs w:val="16"/>
          </w:rPr>
          <w:t>Table 6.</w:t>
        </w:r>
        <w:r w:rsidR="009966F7" w:rsidRPr="00376E80">
          <w:rPr>
            <w:rFonts w:ascii="Calibri" w:eastAsia="Times New Roman" w:hAnsi="Calibri" w:cs="Times New Roman"/>
            <w:b w:val="0"/>
            <w:caps w:val="0"/>
            <w:noProof/>
            <w:color w:val="auto"/>
            <w:sz w:val="16"/>
            <w:szCs w:val="16"/>
            <w:lang w:val="en-GB" w:eastAsia="en-GB"/>
          </w:rPr>
          <w:tab/>
        </w:r>
        <w:r w:rsidR="009966F7" w:rsidRPr="009966F7">
          <w:rPr>
            <w:rStyle w:val="Hyperlink"/>
            <w:b w:val="0"/>
            <w:caps w:val="0"/>
            <w:noProof/>
            <w:szCs w:val="16"/>
          </w:rPr>
          <w:t>Méthodes recommandées pour la QEC nº 21</w:t>
        </w:r>
        <w:r w:rsidR="009966F7" w:rsidRPr="009966F7">
          <w:rPr>
            <w:b w:val="0"/>
            <w:caps w:val="0"/>
            <w:noProof/>
            <w:webHidden/>
            <w:sz w:val="16"/>
            <w:szCs w:val="16"/>
          </w:rPr>
          <w:tab/>
        </w:r>
        <w:r w:rsidR="009966F7" w:rsidRPr="009966F7">
          <w:rPr>
            <w:b w:val="0"/>
            <w:caps w:val="0"/>
            <w:noProof/>
            <w:webHidden/>
            <w:sz w:val="16"/>
            <w:szCs w:val="16"/>
          </w:rPr>
          <w:fldChar w:fldCharType="begin"/>
        </w:r>
        <w:r w:rsidR="009966F7" w:rsidRPr="009966F7">
          <w:rPr>
            <w:b w:val="0"/>
            <w:caps w:val="0"/>
            <w:noProof/>
            <w:webHidden/>
            <w:sz w:val="16"/>
            <w:szCs w:val="16"/>
          </w:rPr>
          <w:instrText xml:space="preserve"> PAGEREF _Toc508894479 \h </w:instrText>
        </w:r>
        <w:r w:rsidR="009966F7" w:rsidRPr="009966F7">
          <w:rPr>
            <w:b w:val="0"/>
            <w:caps w:val="0"/>
            <w:noProof/>
            <w:webHidden/>
            <w:sz w:val="16"/>
            <w:szCs w:val="16"/>
          </w:rPr>
        </w:r>
        <w:r w:rsidR="009966F7" w:rsidRPr="009966F7">
          <w:rPr>
            <w:b w:val="0"/>
            <w:caps w:val="0"/>
            <w:noProof/>
            <w:webHidden/>
            <w:sz w:val="16"/>
            <w:szCs w:val="16"/>
          </w:rPr>
          <w:fldChar w:fldCharType="separate"/>
        </w:r>
        <w:r w:rsidR="002D3388">
          <w:rPr>
            <w:b w:val="0"/>
            <w:caps w:val="0"/>
            <w:noProof/>
            <w:webHidden/>
            <w:sz w:val="16"/>
            <w:szCs w:val="16"/>
          </w:rPr>
          <w:t>60</w:t>
        </w:r>
        <w:r w:rsidR="009966F7" w:rsidRPr="009966F7">
          <w:rPr>
            <w:b w:val="0"/>
            <w:caps w:val="0"/>
            <w:noProof/>
            <w:webHidden/>
            <w:sz w:val="16"/>
            <w:szCs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hyperlink w:anchor="_Toc508894480" w:history="1">
        <w:r w:rsidR="009966F7" w:rsidRPr="009966F7">
          <w:rPr>
            <w:rStyle w:val="Hyperlink"/>
            <w:b w:val="0"/>
            <w:caps w:val="0"/>
            <w:noProof/>
            <w:szCs w:val="16"/>
          </w:rPr>
          <w:t>Table 7.</w:t>
        </w:r>
        <w:r w:rsidR="009966F7" w:rsidRPr="00376E80">
          <w:rPr>
            <w:rFonts w:ascii="Calibri" w:eastAsia="Times New Roman" w:hAnsi="Calibri" w:cs="Times New Roman"/>
            <w:b w:val="0"/>
            <w:caps w:val="0"/>
            <w:noProof/>
            <w:color w:val="auto"/>
            <w:sz w:val="16"/>
            <w:szCs w:val="16"/>
            <w:lang w:val="en-GB" w:eastAsia="en-GB"/>
          </w:rPr>
          <w:tab/>
        </w:r>
        <w:r w:rsidR="009966F7" w:rsidRPr="009966F7">
          <w:rPr>
            <w:rStyle w:val="Hyperlink"/>
            <w:b w:val="0"/>
            <w:caps w:val="0"/>
            <w:noProof/>
            <w:szCs w:val="16"/>
          </w:rPr>
          <w:t>Critères de jugement, indicateurs et données requises pour répondre à la QEC nº 23</w:t>
        </w:r>
        <w:r w:rsidR="009966F7" w:rsidRPr="009966F7">
          <w:rPr>
            <w:b w:val="0"/>
            <w:caps w:val="0"/>
            <w:noProof/>
            <w:webHidden/>
            <w:sz w:val="16"/>
            <w:szCs w:val="16"/>
          </w:rPr>
          <w:tab/>
        </w:r>
        <w:r w:rsidR="009966F7" w:rsidRPr="009966F7">
          <w:rPr>
            <w:b w:val="0"/>
            <w:caps w:val="0"/>
            <w:noProof/>
            <w:webHidden/>
            <w:sz w:val="16"/>
            <w:szCs w:val="16"/>
          </w:rPr>
          <w:fldChar w:fldCharType="begin"/>
        </w:r>
        <w:r w:rsidR="009966F7" w:rsidRPr="009966F7">
          <w:rPr>
            <w:b w:val="0"/>
            <w:caps w:val="0"/>
            <w:noProof/>
            <w:webHidden/>
            <w:sz w:val="16"/>
            <w:szCs w:val="16"/>
          </w:rPr>
          <w:instrText xml:space="preserve"> PAGEREF _Toc508894480 \h </w:instrText>
        </w:r>
        <w:r w:rsidR="009966F7" w:rsidRPr="009966F7">
          <w:rPr>
            <w:b w:val="0"/>
            <w:caps w:val="0"/>
            <w:noProof/>
            <w:webHidden/>
            <w:sz w:val="16"/>
            <w:szCs w:val="16"/>
          </w:rPr>
        </w:r>
        <w:r w:rsidR="009966F7" w:rsidRPr="009966F7">
          <w:rPr>
            <w:b w:val="0"/>
            <w:caps w:val="0"/>
            <w:noProof/>
            <w:webHidden/>
            <w:sz w:val="16"/>
            <w:szCs w:val="16"/>
          </w:rPr>
          <w:fldChar w:fldCharType="separate"/>
        </w:r>
        <w:r w:rsidR="002D3388">
          <w:rPr>
            <w:b w:val="0"/>
            <w:caps w:val="0"/>
            <w:noProof/>
            <w:webHidden/>
            <w:sz w:val="16"/>
            <w:szCs w:val="16"/>
          </w:rPr>
          <w:t>65</w:t>
        </w:r>
        <w:r w:rsidR="009966F7" w:rsidRPr="009966F7">
          <w:rPr>
            <w:b w:val="0"/>
            <w:caps w:val="0"/>
            <w:noProof/>
            <w:webHidden/>
            <w:sz w:val="16"/>
            <w:szCs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hyperlink w:anchor="_Toc508894481" w:history="1">
        <w:r w:rsidR="009966F7" w:rsidRPr="009966F7">
          <w:rPr>
            <w:rStyle w:val="Hyperlink"/>
            <w:b w:val="0"/>
            <w:caps w:val="0"/>
            <w:noProof/>
            <w:szCs w:val="16"/>
          </w:rPr>
          <w:t>Table 8.</w:t>
        </w:r>
        <w:r w:rsidR="009966F7" w:rsidRPr="00376E80">
          <w:rPr>
            <w:rFonts w:ascii="Calibri" w:eastAsia="Times New Roman" w:hAnsi="Calibri" w:cs="Times New Roman"/>
            <w:b w:val="0"/>
            <w:caps w:val="0"/>
            <w:noProof/>
            <w:color w:val="auto"/>
            <w:sz w:val="16"/>
            <w:szCs w:val="16"/>
            <w:lang w:val="en-GB" w:eastAsia="en-GB"/>
          </w:rPr>
          <w:tab/>
        </w:r>
        <w:r w:rsidR="009966F7" w:rsidRPr="009966F7">
          <w:rPr>
            <w:rStyle w:val="Hyperlink"/>
            <w:b w:val="0"/>
            <w:caps w:val="0"/>
            <w:noProof/>
            <w:szCs w:val="16"/>
          </w:rPr>
          <w:t>Exemple de valeurs prévues et réelles des indicateurs communs et supplémentaires</w:t>
        </w:r>
        <w:r w:rsidR="009966F7" w:rsidRPr="009966F7">
          <w:rPr>
            <w:b w:val="0"/>
            <w:caps w:val="0"/>
            <w:noProof/>
            <w:webHidden/>
            <w:sz w:val="16"/>
            <w:szCs w:val="16"/>
          </w:rPr>
          <w:tab/>
        </w:r>
        <w:r w:rsidR="009966F7" w:rsidRPr="009966F7">
          <w:rPr>
            <w:b w:val="0"/>
            <w:caps w:val="0"/>
            <w:noProof/>
            <w:webHidden/>
            <w:sz w:val="16"/>
            <w:szCs w:val="16"/>
          </w:rPr>
          <w:fldChar w:fldCharType="begin"/>
        </w:r>
        <w:r w:rsidR="009966F7" w:rsidRPr="009966F7">
          <w:rPr>
            <w:b w:val="0"/>
            <w:caps w:val="0"/>
            <w:noProof/>
            <w:webHidden/>
            <w:sz w:val="16"/>
            <w:szCs w:val="16"/>
          </w:rPr>
          <w:instrText xml:space="preserve"> PAGEREF _Toc508894481 \h </w:instrText>
        </w:r>
        <w:r w:rsidR="009966F7" w:rsidRPr="009966F7">
          <w:rPr>
            <w:b w:val="0"/>
            <w:caps w:val="0"/>
            <w:noProof/>
            <w:webHidden/>
            <w:sz w:val="16"/>
            <w:szCs w:val="16"/>
          </w:rPr>
        </w:r>
        <w:r w:rsidR="009966F7" w:rsidRPr="009966F7">
          <w:rPr>
            <w:b w:val="0"/>
            <w:caps w:val="0"/>
            <w:noProof/>
            <w:webHidden/>
            <w:sz w:val="16"/>
            <w:szCs w:val="16"/>
          </w:rPr>
          <w:fldChar w:fldCharType="separate"/>
        </w:r>
        <w:r w:rsidR="002D3388">
          <w:rPr>
            <w:b w:val="0"/>
            <w:caps w:val="0"/>
            <w:noProof/>
            <w:webHidden/>
            <w:sz w:val="16"/>
            <w:szCs w:val="16"/>
          </w:rPr>
          <w:t>68</w:t>
        </w:r>
        <w:r w:rsidR="009966F7" w:rsidRPr="009966F7">
          <w:rPr>
            <w:b w:val="0"/>
            <w:caps w:val="0"/>
            <w:noProof/>
            <w:webHidden/>
            <w:sz w:val="16"/>
            <w:szCs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szCs w:val="16"/>
          <w:lang w:val="en-GB" w:eastAsia="en-GB"/>
        </w:rPr>
      </w:pPr>
      <w:hyperlink w:anchor="_Toc508894482" w:history="1">
        <w:r w:rsidR="009966F7" w:rsidRPr="009966F7">
          <w:rPr>
            <w:rStyle w:val="Hyperlink"/>
            <w:b w:val="0"/>
            <w:caps w:val="0"/>
            <w:noProof/>
            <w:szCs w:val="16"/>
          </w:rPr>
          <w:t>Table 9.</w:t>
        </w:r>
        <w:r w:rsidR="009966F7" w:rsidRPr="00376E80">
          <w:rPr>
            <w:rFonts w:ascii="Calibri" w:eastAsia="Times New Roman" w:hAnsi="Calibri" w:cs="Times New Roman"/>
            <w:b w:val="0"/>
            <w:caps w:val="0"/>
            <w:noProof/>
            <w:color w:val="auto"/>
            <w:sz w:val="16"/>
            <w:szCs w:val="16"/>
            <w:lang w:val="en-GB" w:eastAsia="en-GB"/>
          </w:rPr>
          <w:tab/>
        </w:r>
        <w:r w:rsidR="009966F7" w:rsidRPr="009966F7">
          <w:rPr>
            <w:rStyle w:val="Hyperlink"/>
            <w:b w:val="0"/>
            <w:caps w:val="0"/>
            <w:noProof/>
            <w:szCs w:val="16"/>
          </w:rPr>
          <w:t>Éléments d’évaluation liés à la QEC nº 30</w:t>
        </w:r>
        <w:r w:rsidR="009966F7" w:rsidRPr="009966F7">
          <w:rPr>
            <w:b w:val="0"/>
            <w:caps w:val="0"/>
            <w:noProof/>
            <w:webHidden/>
            <w:sz w:val="16"/>
            <w:szCs w:val="16"/>
          </w:rPr>
          <w:tab/>
        </w:r>
        <w:r w:rsidR="009966F7" w:rsidRPr="009966F7">
          <w:rPr>
            <w:b w:val="0"/>
            <w:caps w:val="0"/>
            <w:noProof/>
            <w:webHidden/>
            <w:sz w:val="16"/>
            <w:szCs w:val="16"/>
          </w:rPr>
          <w:fldChar w:fldCharType="begin"/>
        </w:r>
        <w:r w:rsidR="009966F7" w:rsidRPr="009966F7">
          <w:rPr>
            <w:b w:val="0"/>
            <w:caps w:val="0"/>
            <w:noProof/>
            <w:webHidden/>
            <w:sz w:val="16"/>
            <w:szCs w:val="16"/>
          </w:rPr>
          <w:instrText xml:space="preserve"> PAGEREF _Toc508894482 \h </w:instrText>
        </w:r>
        <w:r w:rsidR="009966F7" w:rsidRPr="009966F7">
          <w:rPr>
            <w:b w:val="0"/>
            <w:caps w:val="0"/>
            <w:noProof/>
            <w:webHidden/>
            <w:sz w:val="16"/>
            <w:szCs w:val="16"/>
          </w:rPr>
        </w:r>
        <w:r w:rsidR="009966F7" w:rsidRPr="009966F7">
          <w:rPr>
            <w:b w:val="0"/>
            <w:caps w:val="0"/>
            <w:noProof/>
            <w:webHidden/>
            <w:sz w:val="16"/>
            <w:szCs w:val="16"/>
          </w:rPr>
          <w:fldChar w:fldCharType="separate"/>
        </w:r>
        <w:r w:rsidR="002D3388">
          <w:rPr>
            <w:b w:val="0"/>
            <w:caps w:val="0"/>
            <w:noProof/>
            <w:webHidden/>
            <w:sz w:val="16"/>
            <w:szCs w:val="16"/>
          </w:rPr>
          <w:t>73</w:t>
        </w:r>
        <w:r w:rsidR="009966F7" w:rsidRPr="009966F7">
          <w:rPr>
            <w:b w:val="0"/>
            <w:caps w:val="0"/>
            <w:noProof/>
            <w:webHidden/>
            <w:sz w:val="16"/>
            <w:szCs w:val="16"/>
          </w:rPr>
          <w:fldChar w:fldCharType="end"/>
        </w:r>
      </w:hyperlink>
    </w:p>
    <w:p w:rsidR="00ED3746" w:rsidRPr="00553423" w:rsidRDefault="009966F7">
      <w:pPr>
        <w:pStyle w:val="TOC2"/>
        <w:tabs>
          <w:tab w:val="left" w:pos="1100"/>
          <w:tab w:val="right" w:leader="dot" w:pos="9323"/>
        </w:tabs>
        <w:rPr>
          <w:rStyle w:val="Hyperlink"/>
          <w:lang w:val="en-GB"/>
        </w:rPr>
      </w:pPr>
      <w:r>
        <w:rPr>
          <w:rStyle w:val="Hyperlink"/>
        </w:rPr>
        <w:fldChar w:fldCharType="end"/>
      </w:r>
    </w:p>
    <w:p w:rsidR="009966F7" w:rsidRPr="00376E80" w:rsidRDefault="009966F7">
      <w:pPr>
        <w:pStyle w:val="TOC1"/>
        <w:tabs>
          <w:tab w:val="left" w:pos="1540"/>
          <w:tab w:val="right" w:leader="dot" w:pos="9040"/>
        </w:tabs>
        <w:rPr>
          <w:rFonts w:ascii="Calibri" w:eastAsia="Times New Roman" w:hAnsi="Calibri" w:cs="Times New Roman"/>
          <w:b w:val="0"/>
          <w:caps w:val="0"/>
          <w:noProof/>
          <w:color w:val="auto"/>
          <w:sz w:val="16"/>
          <w:lang w:val="en-GB" w:eastAsia="en-GB"/>
        </w:rPr>
      </w:pPr>
      <w:r>
        <w:rPr>
          <w:rStyle w:val="Hyperlink"/>
        </w:rPr>
        <w:fldChar w:fldCharType="begin"/>
      </w:r>
      <w:r>
        <w:rPr>
          <w:rStyle w:val="Hyperlink"/>
        </w:rPr>
        <w:instrText xml:space="preserve"> TOC \h \z \t "H_Heading_figures,1" </w:instrText>
      </w:r>
      <w:r>
        <w:rPr>
          <w:rStyle w:val="Hyperlink"/>
        </w:rPr>
        <w:fldChar w:fldCharType="separate"/>
      </w:r>
      <w:hyperlink w:anchor="_Toc508894546" w:history="1">
        <w:r w:rsidRPr="009966F7">
          <w:rPr>
            <w:rStyle w:val="Hyperlink"/>
            <w:b w:val="0"/>
            <w:caps w:val="0"/>
            <w:noProof/>
          </w:rPr>
          <w:t>Figure 1.</w:t>
        </w:r>
        <w:r w:rsidRPr="00376E80">
          <w:rPr>
            <w:rFonts w:ascii="Calibri" w:eastAsia="Times New Roman" w:hAnsi="Calibri" w:cs="Times New Roman"/>
            <w:b w:val="0"/>
            <w:caps w:val="0"/>
            <w:noProof/>
            <w:color w:val="auto"/>
            <w:sz w:val="16"/>
            <w:lang w:val="en-GB" w:eastAsia="en-GB"/>
          </w:rPr>
          <w:tab/>
        </w:r>
        <w:r w:rsidRPr="009966F7">
          <w:rPr>
            <w:rStyle w:val="Hyperlink"/>
            <w:b w:val="0"/>
            <w:caps w:val="0"/>
            <w:noProof/>
          </w:rPr>
          <w:t>Graphique simplifié de la manière dont les PDR favorisent l’innovation</w:t>
        </w:r>
        <w:r w:rsidRPr="009966F7">
          <w:rPr>
            <w:b w:val="0"/>
            <w:caps w:val="0"/>
            <w:noProof/>
            <w:webHidden/>
            <w:sz w:val="16"/>
          </w:rPr>
          <w:tab/>
        </w:r>
        <w:r w:rsidRPr="009966F7">
          <w:rPr>
            <w:b w:val="0"/>
            <w:caps w:val="0"/>
            <w:noProof/>
            <w:webHidden/>
            <w:sz w:val="16"/>
          </w:rPr>
          <w:fldChar w:fldCharType="begin"/>
        </w:r>
        <w:r w:rsidRPr="009966F7">
          <w:rPr>
            <w:b w:val="0"/>
            <w:caps w:val="0"/>
            <w:noProof/>
            <w:webHidden/>
            <w:sz w:val="16"/>
          </w:rPr>
          <w:instrText xml:space="preserve"> PAGEREF _Toc508894546 \h </w:instrText>
        </w:r>
        <w:r w:rsidRPr="009966F7">
          <w:rPr>
            <w:b w:val="0"/>
            <w:caps w:val="0"/>
            <w:noProof/>
            <w:webHidden/>
            <w:sz w:val="16"/>
          </w:rPr>
        </w:r>
        <w:r w:rsidRPr="009966F7">
          <w:rPr>
            <w:b w:val="0"/>
            <w:caps w:val="0"/>
            <w:noProof/>
            <w:webHidden/>
            <w:sz w:val="16"/>
          </w:rPr>
          <w:fldChar w:fldCharType="separate"/>
        </w:r>
        <w:r w:rsidR="002D3388">
          <w:rPr>
            <w:b w:val="0"/>
            <w:caps w:val="0"/>
            <w:noProof/>
            <w:webHidden/>
            <w:sz w:val="16"/>
          </w:rPr>
          <w:t>13</w:t>
        </w:r>
        <w:r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47" w:history="1">
        <w:r w:rsidR="009966F7" w:rsidRPr="009966F7">
          <w:rPr>
            <w:rStyle w:val="Hyperlink"/>
            <w:b w:val="0"/>
            <w:caps w:val="0"/>
            <w:noProof/>
          </w:rPr>
          <w:t>Figure 2.</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Le cadre politique pour l’inn</w:t>
        </w:r>
        <w:bookmarkStart w:id="5" w:name="_GoBack"/>
        <w:bookmarkEnd w:id="5"/>
        <w:r w:rsidR="009966F7" w:rsidRPr="009966F7">
          <w:rPr>
            <w:rStyle w:val="Hyperlink"/>
            <w:b w:val="0"/>
            <w:caps w:val="0"/>
            <w:noProof/>
          </w:rPr>
          <w:t>ovation dans l’Union européenne et la politique de développement rural</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_Toc508894547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18</w:t>
        </w:r>
        <w:r w:rsidR="009966F7" w:rsidRPr="009966F7">
          <w:rPr>
            <w:b w:val="0"/>
            <w:caps w:val="0"/>
            <w:noProof/>
            <w:webHidden/>
            <w:sz w:val="16"/>
          </w:rPr>
          <w:fldChar w:fldCharType="end"/>
        </w:r>
      </w:hyperlink>
    </w:p>
    <w:p w:rsidR="009966F7" w:rsidRPr="00376E80" w:rsidRDefault="00260B0F">
      <w:pPr>
        <w:pStyle w:val="TOC1"/>
        <w:tabs>
          <w:tab w:val="left" w:pos="1540"/>
          <w:tab w:val="right" w:leader="dot" w:pos="9040"/>
        </w:tabs>
        <w:rPr>
          <w:rFonts w:ascii="Calibri" w:eastAsia="Times New Roman" w:hAnsi="Calibri" w:cs="Times New Roman"/>
          <w:b w:val="0"/>
          <w:caps w:val="0"/>
          <w:noProof/>
          <w:color w:val="auto"/>
          <w:sz w:val="16"/>
          <w:lang w:val="en-GB" w:eastAsia="en-GB"/>
        </w:rPr>
      </w:pPr>
      <w:hyperlink w:anchor="_Toc508894548" w:history="1">
        <w:r w:rsidR="009966F7" w:rsidRPr="009966F7">
          <w:rPr>
            <w:rStyle w:val="Hyperlink"/>
            <w:b w:val="0"/>
            <w:caps w:val="0"/>
            <w:noProof/>
          </w:rPr>
          <w:t>Figure 3.</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Les éléments d’évaluation communs pour l’évaluation de l’innovation</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_Toc508894548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23</w:t>
        </w:r>
        <w:r w:rsidR="009966F7"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49" w:history="1">
        <w:r w:rsidR="009966F7" w:rsidRPr="009966F7">
          <w:rPr>
            <w:rStyle w:val="Hyperlink"/>
            <w:b w:val="0"/>
            <w:caps w:val="0"/>
            <w:noProof/>
          </w:rPr>
          <w:t>Figure 4.</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Gérer l’évaluation de l’innovation dans les PDR 2014-2020</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_Toc508894549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25</w:t>
        </w:r>
        <w:r w:rsidR="009966F7"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50" w:history="1">
        <w:r w:rsidR="009966F7" w:rsidRPr="009966F7">
          <w:rPr>
            <w:rStyle w:val="Hyperlink"/>
            <w:b w:val="0"/>
            <w:caps w:val="0"/>
            <w:noProof/>
          </w:rPr>
          <w:t>Figure 5.</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Exigences en matière de rapports en relation avec l’innovation</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_Toc508894550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26</w:t>
        </w:r>
        <w:r w:rsidR="009966F7"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51" w:history="1">
        <w:r w:rsidR="009966F7" w:rsidRPr="009966F7">
          <w:rPr>
            <w:rStyle w:val="Hyperlink"/>
            <w:b w:val="0"/>
            <w:caps w:val="0"/>
            <w:noProof/>
          </w:rPr>
          <w:t>Figure 6.</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Approche de l’évaluation de l’innovation dans les PDR</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_Toc508894551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28</w:t>
        </w:r>
        <w:r w:rsidR="009966F7"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52" w:history="1">
        <w:r w:rsidR="009966F7" w:rsidRPr="009966F7">
          <w:rPr>
            <w:rStyle w:val="Hyperlink"/>
            <w:b w:val="0"/>
            <w:caps w:val="0"/>
            <w:noProof/>
          </w:rPr>
          <w:t>Figure 7.</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Étapes de l’analyse du potentiel d’innovation des mesures/sous-mesures du PDR</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_Toc508894552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29</w:t>
        </w:r>
        <w:r w:rsidR="009966F7"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53" w:history="1">
        <w:r w:rsidR="009966F7" w:rsidRPr="009966F7">
          <w:rPr>
            <w:rStyle w:val="Hyperlink"/>
            <w:b w:val="0"/>
            <w:caps w:val="0"/>
            <w:noProof/>
          </w:rPr>
          <w:t>Figure 8.</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Exemple de logique d’intervention liée à la QEC nº 1</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_Toc508894553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35</w:t>
        </w:r>
        <w:r w:rsidR="009966F7"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54" w:history="1">
        <w:r w:rsidR="009966F7" w:rsidRPr="009966F7">
          <w:rPr>
            <w:rStyle w:val="Hyperlink"/>
            <w:b w:val="0"/>
            <w:caps w:val="0"/>
            <w:noProof/>
          </w:rPr>
          <w:t>Figure 9.</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Exemple du potentiel d’innovation de chaque sous-mesure M16</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_Toc508894554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45</w:t>
        </w:r>
        <w:r w:rsidR="009966F7"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55" w:history="1">
        <w:r w:rsidR="009966F7" w:rsidRPr="009966F7">
          <w:rPr>
            <w:rStyle w:val="Hyperlink"/>
            <w:b w:val="0"/>
            <w:caps w:val="0"/>
            <w:noProof/>
          </w:rPr>
          <w:t>Figure 10.</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Logique d’intervention du RRN en matière d’innovation</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_Toc508894555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55</w:t>
        </w:r>
        <w:r w:rsidR="009966F7" w:rsidRPr="009966F7">
          <w:rPr>
            <w:b w:val="0"/>
            <w:caps w:val="0"/>
            <w:noProof/>
            <w:webHidden/>
            <w:sz w:val="16"/>
          </w:rPr>
          <w:fldChar w:fldCharType="end"/>
        </w:r>
      </w:hyperlink>
    </w:p>
    <w:p w:rsidR="009966F7" w:rsidRPr="00376E80" w:rsidRDefault="00260B0F">
      <w:pPr>
        <w:pStyle w:val="TOC1"/>
        <w:tabs>
          <w:tab w:val="left" w:pos="1320"/>
          <w:tab w:val="right" w:leader="dot" w:pos="9040"/>
        </w:tabs>
        <w:rPr>
          <w:rFonts w:ascii="Calibri" w:eastAsia="Times New Roman" w:hAnsi="Calibri" w:cs="Times New Roman"/>
          <w:b w:val="0"/>
          <w:caps w:val="0"/>
          <w:noProof/>
          <w:color w:val="auto"/>
          <w:sz w:val="16"/>
          <w:lang w:val="en-GB" w:eastAsia="en-GB"/>
        </w:rPr>
      </w:pPr>
      <w:hyperlink w:anchor="_Toc508894556" w:history="1">
        <w:r w:rsidR="009966F7" w:rsidRPr="009966F7">
          <w:rPr>
            <w:rStyle w:val="Hyperlink"/>
            <w:b w:val="0"/>
            <w:caps w:val="0"/>
            <w:noProof/>
          </w:rPr>
          <w:t>Figure 11.</w:t>
        </w:r>
        <w:r w:rsidR="009966F7" w:rsidRPr="00376E80">
          <w:rPr>
            <w:rFonts w:ascii="Calibri" w:eastAsia="Times New Roman" w:hAnsi="Calibri" w:cs="Times New Roman"/>
            <w:b w:val="0"/>
            <w:caps w:val="0"/>
            <w:noProof/>
            <w:color w:val="auto"/>
            <w:sz w:val="16"/>
            <w:lang w:val="en-GB" w:eastAsia="en-GB"/>
          </w:rPr>
          <w:tab/>
        </w:r>
        <w:r w:rsidR="009966F7" w:rsidRPr="009966F7">
          <w:rPr>
            <w:rStyle w:val="Hyperlink"/>
            <w:b w:val="0"/>
            <w:caps w:val="0"/>
            <w:noProof/>
          </w:rPr>
          <w:t>Exemple de logique d’intervention pour la QEC nº 30</w:t>
        </w:r>
        <w:r w:rsidR="009966F7" w:rsidRPr="009966F7">
          <w:rPr>
            <w:b w:val="0"/>
            <w:caps w:val="0"/>
            <w:noProof/>
            <w:webHidden/>
            <w:sz w:val="16"/>
          </w:rPr>
          <w:tab/>
        </w:r>
        <w:r w:rsidR="009966F7" w:rsidRPr="009966F7">
          <w:rPr>
            <w:b w:val="0"/>
            <w:caps w:val="0"/>
            <w:noProof/>
            <w:webHidden/>
            <w:sz w:val="16"/>
          </w:rPr>
          <w:fldChar w:fldCharType="begin"/>
        </w:r>
        <w:r w:rsidR="009966F7" w:rsidRPr="009966F7">
          <w:rPr>
            <w:b w:val="0"/>
            <w:caps w:val="0"/>
            <w:noProof/>
            <w:webHidden/>
            <w:sz w:val="16"/>
          </w:rPr>
          <w:instrText xml:space="preserve"> PAGEREF _Toc508894556 \h </w:instrText>
        </w:r>
        <w:r w:rsidR="009966F7" w:rsidRPr="009966F7">
          <w:rPr>
            <w:b w:val="0"/>
            <w:caps w:val="0"/>
            <w:noProof/>
            <w:webHidden/>
            <w:sz w:val="16"/>
          </w:rPr>
        </w:r>
        <w:r w:rsidR="009966F7" w:rsidRPr="009966F7">
          <w:rPr>
            <w:b w:val="0"/>
            <w:caps w:val="0"/>
            <w:noProof/>
            <w:webHidden/>
            <w:sz w:val="16"/>
          </w:rPr>
          <w:fldChar w:fldCharType="separate"/>
        </w:r>
        <w:r w:rsidR="002D3388">
          <w:rPr>
            <w:b w:val="0"/>
            <w:caps w:val="0"/>
            <w:noProof/>
            <w:webHidden/>
            <w:sz w:val="16"/>
          </w:rPr>
          <w:t>71</w:t>
        </w:r>
        <w:r w:rsidR="009966F7" w:rsidRPr="009966F7">
          <w:rPr>
            <w:b w:val="0"/>
            <w:caps w:val="0"/>
            <w:noProof/>
            <w:webHidden/>
            <w:sz w:val="16"/>
          </w:rPr>
          <w:fldChar w:fldCharType="end"/>
        </w:r>
      </w:hyperlink>
    </w:p>
    <w:p w:rsidR="00ED3746" w:rsidRPr="00553423" w:rsidRDefault="009966F7" w:rsidP="00ED3746">
      <w:pPr>
        <w:pStyle w:val="TOC4"/>
        <w:tabs>
          <w:tab w:val="left" w:pos="1276"/>
          <w:tab w:val="right" w:leader="dot" w:pos="9323"/>
        </w:tabs>
        <w:rPr>
          <w:rFonts w:eastAsia="Times New Roman" w:cs="Times New Roman"/>
          <w:szCs w:val="20"/>
          <w:lang w:val="en-GB"/>
        </w:rPr>
      </w:pPr>
      <w:r>
        <w:rPr>
          <w:rStyle w:val="Hyperlink"/>
        </w:rPr>
        <w:fldChar w:fldCharType="end"/>
      </w:r>
    </w:p>
    <w:p w:rsidR="0024496E" w:rsidRDefault="0024496E" w:rsidP="00ED3746">
      <w:pPr>
        <w:keepNext/>
        <w:spacing w:before="360" w:after="360" w:line="280" w:lineRule="atLeast"/>
        <w:outlineLvl w:val="0"/>
        <w:rPr>
          <w:lang w:val="en-GB"/>
        </w:rPr>
        <w:sectPr w:rsidR="0024496E" w:rsidSect="00ED3746">
          <w:footerReference w:type="default" r:id="rId13"/>
          <w:endnotePr>
            <w:numFmt w:val="decimal"/>
          </w:endnotePr>
          <w:type w:val="continuous"/>
          <w:pgSz w:w="11906" w:h="16838" w:code="9"/>
          <w:pgMar w:top="1440" w:right="1440" w:bottom="1134" w:left="1440" w:header="567" w:footer="1021" w:gutter="0"/>
          <w:cols w:space="708"/>
          <w:noEndnote/>
          <w:docGrid w:linePitch="360"/>
        </w:sectPr>
      </w:pPr>
      <w:bookmarkStart w:id="6" w:name="_Toc508889624"/>
    </w:p>
    <w:p w:rsidR="00ED3746" w:rsidRPr="00E05D08" w:rsidRDefault="0024496E" w:rsidP="00ED3746">
      <w:pPr>
        <w:keepNext/>
        <w:spacing w:before="360" w:after="360" w:line="280" w:lineRule="atLeast"/>
        <w:outlineLvl w:val="0"/>
        <w:rPr>
          <w:rFonts w:ascii="Helvetica" w:eastAsia="Times New Roman" w:hAnsi="Helvetica" w:cs="Times New Roman"/>
          <w:b/>
          <w:bCs/>
          <w:caps/>
          <w:color w:val="F07E31"/>
          <w:kern w:val="32"/>
          <w:sz w:val="24"/>
          <w:szCs w:val="24"/>
        </w:rPr>
      </w:pPr>
      <w:r w:rsidRPr="00260B0F">
        <w:rPr>
          <w:lang w:val="fr-BE"/>
        </w:rPr>
        <w:lastRenderedPageBreak/>
        <w:br w:type="page"/>
      </w:r>
      <w:r w:rsidR="00ED3746">
        <w:rPr>
          <w:rFonts w:ascii="Helvetica" w:hAnsi="Helvetica"/>
          <w:b/>
          <w:caps/>
          <w:color w:val="F07E31"/>
          <w:kern w:val="32"/>
          <w:sz w:val="24"/>
        </w:rPr>
        <w:lastRenderedPageBreak/>
        <w:t>Remerciements</w:t>
      </w:r>
      <w:bookmarkEnd w:id="6"/>
    </w:p>
    <w:p w:rsidR="00ED3746" w:rsidRPr="00E05D08" w:rsidRDefault="00ED3746" w:rsidP="00ED3746">
      <w:pPr>
        <w:spacing w:after="120" w:line="280" w:lineRule="atLeast"/>
        <w:mirrorIndents/>
        <w:rPr>
          <w:rFonts w:eastAsia="Times New Roman" w:cs="Times New Roman"/>
          <w:i/>
          <w:szCs w:val="20"/>
        </w:rPr>
      </w:pPr>
      <w:r>
        <w:rPr>
          <w:i/>
        </w:rPr>
        <w:t xml:space="preserve">Les présentes lignes directrices ont été rédigées par une équipe d’experts </w:t>
      </w:r>
      <w:proofErr w:type="gramStart"/>
      <w:r>
        <w:rPr>
          <w:i/>
        </w:rPr>
        <w:t>du Helpdesk Évaluation</w:t>
      </w:r>
      <w:proofErr w:type="gramEnd"/>
      <w:r>
        <w:rPr>
          <w:i/>
        </w:rPr>
        <w:t xml:space="preserve"> européen pour le développement rural composée de Boru Douthwaite, Marili Parissaki, Andreas Resch, Jela Tvrdonova, Valérie Dumont, Matteo Metta, Myles Stiffler et Hannes Wimmer. </w:t>
      </w:r>
    </w:p>
    <w:p w:rsidR="00ED3746" w:rsidRPr="00E05D08" w:rsidRDefault="00ED3746" w:rsidP="00ED3746">
      <w:pPr>
        <w:spacing w:after="120" w:line="280" w:lineRule="atLeast"/>
        <w:mirrorIndents/>
        <w:rPr>
          <w:rFonts w:eastAsia="Times New Roman" w:cs="Times New Roman"/>
          <w:i/>
          <w:szCs w:val="20"/>
        </w:rPr>
      </w:pPr>
      <w:r>
        <w:rPr>
          <w:i/>
        </w:rPr>
        <w:t xml:space="preserve">Plusieurs experts ont joué le rôle de pairs évaluateurs (Anna Maria Augustyn, Simona Cristiano, </w:t>
      </w:r>
      <w:proofErr w:type="spellStart"/>
      <w:r>
        <w:rPr>
          <w:i/>
        </w:rPr>
        <w:t>Anikó</w:t>
      </w:r>
      <w:proofErr w:type="spellEnd"/>
      <w:r>
        <w:rPr>
          <w:i/>
        </w:rPr>
        <w:t xml:space="preserve"> </w:t>
      </w:r>
      <w:proofErr w:type="spellStart"/>
      <w:r>
        <w:rPr>
          <w:i/>
        </w:rPr>
        <w:t>Juhász</w:t>
      </w:r>
      <w:proofErr w:type="spellEnd"/>
      <w:r>
        <w:rPr>
          <w:i/>
        </w:rPr>
        <w:t xml:space="preserve">, Bill </w:t>
      </w:r>
      <w:proofErr w:type="spellStart"/>
      <w:r>
        <w:rPr>
          <w:i/>
        </w:rPr>
        <w:t>Slee</w:t>
      </w:r>
      <w:proofErr w:type="spellEnd"/>
      <w:r>
        <w:rPr>
          <w:i/>
        </w:rPr>
        <w:t xml:space="preserve">) ou ont mis à disposition leurs connaissances sur les pratiques d’évaluation (Bart Van Herck, </w:t>
      </w:r>
      <w:proofErr w:type="spellStart"/>
      <w:r>
        <w:rPr>
          <w:i/>
        </w:rPr>
        <w:t>Dimitris</w:t>
      </w:r>
      <w:proofErr w:type="spellEnd"/>
      <w:r>
        <w:rPr>
          <w:i/>
        </w:rPr>
        <w:t xml:space="preserve"> </w:t>
      </w:r>
      <w:proofErr w:type="spellStart"/>
      <w:r>
        <w:rPr>
          <w:i/>
        </w:rPr>
        <w:t>Skuras</w:t>
      </w:r>
      <w:proofErr w:type="spellEnd"/>
      <w:r>
        <w:rPr>
          <w:i/>
        </w:rPr>
        <w:t xml:space="preserve">). </w:t>
      </w:r>
    </w:p>
    <w:p w:rsidR="00ED3746" w:rsidRPr="00E05D08" w:rsidRDefault="00ED3746" w:rsidP="00ED3746">
      <w:pPr>
        <w:spacing w:after="120" w:line="280" w:lineRule="atLeast"/>
        <w:mirrorIndents/>
        <w:rPr>
          <w:rFonts w:eastAsia="Times New Roman" w:cs="Times New Roman"/>
          <w:i/>
          <w:szCs w:val="20"/>
        </w:rPr>
      </w:pPr>
      <w:r>
        <w:rPr>
          <w:i/>
        </w:rPr>
        <w:t>Des représentants de la DG Agriculture et développement rural se sont assurés de la cohérence des lignes directrices avec le cadre politique de l’Union européenne.</w:t>
      </w:r>
    </w:p>
    <w:p w:rsidR="00ED3746" w:rsidRPr="00E05D08" w:rsidRDefault="00ED3746" w:rsidP="00ED3746">
      <w:pPr>
        <w:spacing w:after="120" w:line="280" w:lineRule="atLeast"/>
        <w:mirrorIndents/>
        <w:rPr>
          <w:rFonts w:eastAsia="Times New Roman" w:cs="Times New Roman"/>
          <w:i/>
          <w:szCs w:val="20"/>
        </w:rPr>
      </w:pPr>
      <w:r>
        <w:rPr>
          <w:i/>
        </w:rPr>
        <w:t xml:space="preserve">Des représentants des États membres ont formulé des observations sur les versions préliminaires des lignes directrices lors de la réunion de l’organe de réflexion le 22 mars 2017 ainsi que lors de la réunion du groupe d’experts chargé du suivi et de l’évaluation de la politique agricole commune (PAC) le 10 mai 2017.  </w:t>
      </w:r>
    </w:p>
    <w:p w:rsidR="00ED3746" w:rsidRPr="00E05D08" w:rsidRDefault="00ED3746" w:rsidP="00ED3746">
      <w:pPr>
        <w:spacing w:after="120" w:line="280" w:lineRule="atLeast"/>
        <w:mirrorIndents/>
        <w:rPr>
          <w:rFonts w:eastAsia="Times New Roman" w:cs="Times New Roman"/>
          <w:i/>
          <w:szCs w:val="20"/>
        </w:rPr>
      </w:pPr>
      <w:r>
        <w:rPr>
          <w:i/>
        </w:rPr>
        <w:t>Le point de contact du REDR ainsi que le point de service du partenariat européen d’innovation (PEI) ont également été invités à présenter leurs observations sur les lignes directrices.</w:t>
      </w:r>
    </w:p>
    <w:p w:rsidR="00553423" w:rsidRDefault="00553423" w:rsidP="00ED3746">
      <w:pPr>
        <w:spacing w:after="0" w:line="240" w:lineRule="auto"/>
        <w:sectPr w:rsidR="00553423" w:rsidSect="0024496E">
          <w:endnotePr>
            <w:numFmt w:val="decimal"/>
          </w:endnotePr>
          <w:pgSz w:w="11906" w:h="16838" w:code="9"/>
          <w:pgMar w:top="1440" w:right="1440" w:bottom="1134" w:left="1440" w:header="567" w:footer="1021" w:gutter="0"/>
          <w:cols w:space="708"/>
          <w:noEndnote/>
          <w:docGrid w:linePitch="360"/>
        </w:sectPr>
      </w:pPr>
    </w:p>
    <w:p w:rsidR="00ED3746" w:rsidRPr="00E05D08" w:rsidRDefault="00ED3746" w:rsidP="00ED3746">
      <w:pPr>
        <w:spacing w:after="0" w:line="240" w:lineRule="auto"/>
        <w:rPr>
          <w:rFonts w:eastAsia="Times New Roman" w:cs="Times New Roman"/>
          <w:szCs w:val="20"/>
        </w:rPr>
      </w:pPr>
      <w:r>
        <w:br w:type="page"/>
      </w:r>
    </w:p>
    <w:p w:rsidR="00ED3746" w:rsidRPr="00E05D08" w:rsidRDefault="00ED3746" w:rsidP="00ED3746">
      <w:pPr>
        <w:spacing w:after="120" w:line="280" w:lineRule="atLeast"/>
        <w:mirrorIndents/>
        <w:rPr>
          <w:rFonts w:eastAsia="Times New Roman" w:cs="Arial"/>
          <w:smallCaps/>
          <w:color w:val="F07E31"/>
          <w:sz w:val="36"/>
          <w:szCs w:val="60"/>
        </w:rPr>
      </w:pPr>
      <w:r>
        <w:rPr>
          <w:smallCaps/>
          <w:color w:val="F07E31"/>
          <w:sz w:val="36"/>
        </w:rPr>
        <w:lastRenderedPageBreak/>
        <w:t xml:space="preserve">INTRODUCTION </w:t>
      </w:r>
    </w:p>
    <w:p w:rsidR="00ED3746" w:rsidRPr="00E05D08" w:rsidRDefault="00ED3746" w:rsidP="00ED3746">
      <w:pPr>
        <w:keepNext/>
        <w:spacing w:before="240" w:after="240" w:line="280" w:lineRule="atLeast"/>
        <w:outlineLvl w:val="3"/>
        <w:rPr>
          <w:rFonts w:eastAsia="Times New Roman" w:cs="Times New Roman"/>
          <w:b/>
          <w:bCs/>
          <w:color w:val="57825E"/>
          <w:kern w:val="32"/>
          <w:szCs w:val="24"/>
        </w:rPr>
      </w:pPr>
      <w:r>
        <w:rPr>
          <w:b/>
          <w:color w:val="57825E"/>
          <w:kern w:val="32"/>
        </w:rPr>
        <w:t xml:space="preserve">Pourquoi évaluer l’innovation dans les </w:t>
      </w:r>
      <w:proofErr w:type="gramStart"/>
      <w:r>
        <w:rPr>
          <w:b/>
          <w:color w:val="57825E"/>
          <w:kern w:val="32"/>
        </w:rPr>
        <w:t>PDR?</w:t>
      </w:r>
      <w:proofErr w:type="gramEnd"/>
      <w:r>
        <w:rPr>
          <w:b/>
          <w:color w:val="57825E"/>
          <w:kern w:val="32"/>
        </w:rPr>
        <w:t xml:space="preserve"> </w:t>
      </w:r>
    </w:p>
    <w:p w:rsidR="00ED3746" w:rsidRPr="00E05D08" w:rsidRDefault="00ED3746" w:rsidP="00ED3746">
      <w:pPr>
        <w:spacing w:after="120" w:line="280" w:lineRule="atLeast"/>
        <w:mirrorIndents/>
        <w:rPr>
          <w:rFonts w:eastAsia="Times New Roman" w:cs="Times New Roman"/>
          <w:bCs/>
          <w:iCs/>
          <w:color w:val="000000"/>
          <w:szCs w:val="20"/>
        </w:rPr>
      </w:pPr>
      <w:r>
        <w:rPr>
          <w:b/>
          <w:i/>
        </w:rPr>
        <w:t>L’innovation est l’un des trois objectifs transversaux de la politique rurale</w:t>
      </w:r>
      <w:r>
        <w:rPr>
          <w:b/>
          <w:i/>
          <w:color w:val="000000"/>
          <w:vertAlign w:val="superscript"/>
        </w:rPr>
        <w:footnoteReference w:id="1"/>
      </w:r>
      <w:r>
        <w:rPr>
          <w:b/>
          <w:i/>
          <w:color w:val="000000"/>
        </w:rPr>
        <w:t xml:space="preserve"> </w:t>
      </w:r>
      <w:r>
        <w:rPr>
          <w:b/>
          <w:i/>
        </w:rPr>
        <w:t>qu’il est possible d’atteindre grâce aux interventions mises en œuvre au titre des mesures et des domaines prioritaires (DP) des programmes de développement rural (PDR) 2014-2020</w:t>
      </w:r>
      <w:r>
        <w:rPr>
          <w:b/>
          <w:i/>
          <w:vertAlign w:val="superscript"/>
        </w:rPr>
        <w:footnoteReference w:id="2"/>
      </w:r>
      <w:r>
        <w:rPr>
          <w:b/>
          <w:i/>
        </w:rPr>
        <w:t>.</w:t>
      </w:r>
      <w:r>
        <w:rPr>
          <w:b/>
          <w:i/>
          <w:color w:val="000000"/>
        </w:rPr>
        <w:t xml:space="preserve"> </w:t>
      </w:r>
    </w:p>
    <w:p w:rsidR="00ED3746" w:rsidRPr="00E05D08" w:rsidRDefault="00ED3746" w:rsidP="00ED3746">
      <w:pPr>
        <w:spacing w:after="120" w:line="280" w:lineRule="atLeast"/>
        <w:mirrorIndents/>
        <w:rPr>
          <w:rFonts w:eastAsia="Times New Roman" w:cs="Times New Roman"/>
          <w:szCs w:val="20"/>
        </w:rPr>
      </w:pPr>
      <w:r>
        <w:rPr>
          <w:b/>
        </w:rPr>
        <w:t>Les réalisations de cet objectif transversal font l’objet de l’évaluation de l’innovation</w:t>
      </w:r>
      <w:r>
        <w:rPr>
          <w:b/>
          <w:color w:val="000000"/>
          <w:vertAlign w:val="superscript"/>
        </w:rPr>
        <w:footnoteReference w:id="3"/>
      </w:r>
      <w:r>
        <w:t>. Dans ce contexte, les contributions des innovations soutenues par le Fonds européen agricole pour le développement rural (Feader) à la réalisation des objectifs des PDR et de la politique de l’Union sont évaluées afin de répondre aux questions d’évaluation communes relatives à l’innovation.</w:t>
      </w:r>
    </w:p>
    <w:p w:rsidR="00ED3746" w:rsidRPr="00E05D08" w:rsidRDefault="00ED3746" w:rsidP="00ED3746">
      <w:pPr>
        <w:spacing w:after="120" w:line="280" w:lineRule="atLeast"/>
        <w:mirrorIndents/>
        <w:rPr>
          <w:rFonts w:eastAsia="Times New Roman" w:cs="Times New Roman"/>
          <w:szCs w:val="20"/>
        </w:rPr>
      </w:pPr>
      <w:r>
        <w:t xml:space="preserve">Il existe différentes raisons pour lesquelles l’innovation doit être </w:t>
      </w:r>
      <w:proofErr w:type="gramStart"/>
      <w:r>
        <w:t>évaluée:</w:t>
      </w:r>
      <w:proofErr w:type="gramEnd"/>
    </w:p>
    <w:p w:rsidR="00ED3746" w:rsidRPr="00B05B45" w:rsidRDefault="00ED3746" w:rsidP="00ED3746">
      <w:pPr>
        <w:pStyle w:val="Hlistbullet"/>
      </w:pPr>
      <w:proofErr w:type="gramStart"/>
      <w:r>
        <w:rPr>
          <w:b/>
        </w:rPr>
        <w:t>pour</w:t>
      </w:r>
      <w:proofErr w:type="gramEnd"/>
      <w:r>
        <w:rPr>
          <w:b/>
        </w:rPr>
        <w:t xml:space="preserve"> rendre des comptes sur les interventions de développement rural</w:t>
      </w:r>
      <w:r>
        <w:t xml:space="preserve"> et démontrer comment elles ont favorisé l’innovation dans les zones rurales et contribué aux résultats des programmes et à leurs incidences sur la politique rurale ainsi qu’aux objectifs de la stratégie Europe 2020; </w:t>
      </w:r>
    </w:p>
    <w:p w:rsidR="00ED3746" w:rsidRPr="00B05B45" w:rsidRDefault="00ED3746" w:rsidP="00ED3746">
      <w:pPr>
        <w:pStyle w:val="Hlistbullet"/>
      </w:pPr>
      <w:proofErr w:type="gramStart"/>
      <w:r>
        <w:rPr>
          <w:b/>
        </w:rPr>
        <w:t>pour</w:t>
      </w:r>
      <w:proofErr w:type="gramEnd"/>
      <w:r>
        <w:rPr>
          <w:b/>
        </w:rPr>
        <w:t xml:space="preserve"> mieux cibler le soutien du Feader en faveur de l’innovation</w:t>
      </w:r>
      <w:r>
        <w:t xml:space="preserve"> en sélectionnant les bénéficiaires des programmes et les territoires les plus pertinents, ainsi que les actions les mieux adaptées et  plus susceptibles de bénéficier d'un soutien; </w:t>
      </w:r>
    </w:p>
    <w:p w:rsidR="00ED3746" w:rsidRPr="00B05B45" w:rsidRDefault="00ED3746" w:rsidP="00ED3746">
      <w:pPr>
        <w:pStyle w:val="Hlistbullet"/>
      </w:pPr>
      <w:proofErr w:type="gramStart"/>
      <w:r>
        <w:rPr>
          <w:b/>
        </w:rPr>
        <w:t>pour</w:t>
      </w:r>
      <w:proofErr w:type="gramEnd"/>
      <w:r>
        <w:rPr>
          <w:b/>
        </w:rPr>
        <w:t xml:space="preserve"> améliorer la mise en commun des connaissances entre les parties intéressées</w:t>
      </w:r>
      <w:r>
        <w:t xml:space="preserve"> concernant les meilleurs moyens de soutenir et de mettre en œuvre les projets innovants en tirant des enseignements des expériences passées et en comprenant les conditions de la réussite. </w:t>
      </w:r>
    </w:p>
    <w:p w:rsidR="00ED3746" w:rsidRPr="00B77106" w:rsidRDefault="00F204F1" w:rsidP="00ED3746">
      <w:pPr>
        <w:keepNext/>
        <w:keepLines/>
        <w:tabs>
          <w:tab w:val="left" w:pos="680"/>
        </w:tabs>
        <w:spacing w:before="240" w:after="240" w:line="280" w:lineRule="atLeast"/>
        <w:mirrorIndents/>
        <w:outlineLvl w:val="3"/>
        <w:rPr>
          <w:rFonts w:eastAsia="Times New Roman" w:cs="Arial"/>
          <w:b/>
          <w:color w:val="416246"/>
          <w:szCs w:val="20"/>
        </w:rPr>
      </w:pPr>
      <w:r>
        <w:rPr>
          <w:noProof/>
        </w:rPr>
        <mc:AlternateContent>
          <mc:Choice Requires="wps">
            <w:drawing>
              <wp:anchor distT="0" distB="0" distL="114300" distR="114300" simplePos="0" relativeHeight="251646464" behindDoc="0" locked="0" layoutInCell="1" allowOverlap="1">
                <wp:simplePos x="0" y="0"/>
                <wp:positionH relativeFrom="column">
                  <wp:posOffset>3114675</wp:posOffset>
                </wp:positionH>
                <wp:positionV relativeFrom="paragraph">
                  <wp:posOffset>190500</wp:posOffset>
                </wp:positionV>
                <wp:extent cx="2649855" cy="2944495"/>
                <wp:effectExtent l="0" t="0" r="0" b="8255"/>
                <wp:wrapSquare wrapText="bothSides"/>
                <wp:docPr id="90"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9855" cy="2944495"/>
                        </a:xfrm>
                        <a:prstGeom prst="round2DiagRect">
                          <a:avLst>
                            <a:gd name="adj1" fmla="val 8733"/>
                            <a:gd name="adj2" fmla="val 0"/>
                          </a:avLst>
                        </a:prstGeom>
                        <a:noFill/>
                        <a:ln w="25400" cap="flat" cmpd="sng" algn="ctr">
                          <a:solidFill>
                            <a:srgbClr val="BE4A35"/>
                          </a:solidFill>
                          <a:prstDash val="solid"/>
                        </a:ln>
                        <a:effectLst/>
                      </wps:spPr>
                      <wps:txbx>
                        <w:txbxContent>
                          <w:p w:rsidR="00260B0F" w:rsidRPr="00D74B10" w:rsidRDefault="00260B0F" w:rsidP="00ED3746">
                            <w:pPr>
                              <w:pStyle w:val="HBox"/>
                            </w:pPr>
                            <w:r>
                              <w:rPr>
                                <w:noProof/>
                              </w:rPr>
                              <w:drawing>
                                <wp:inline distT="0" distB="0" distL="0" distR="0">
                                  <wp:extent cx="668020" cy="485140"/>
                                  <wp:effectExtent l="0" t="0" r="0" b="0"/>
                                  <wp:docPr id="4"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 xml:space="preserve">Le présent document a pour principal objectif de compléter les autres lignes directrices et de prodiguer des conseils aux parties intervenant dans l’évaluation des PDR quant à la manière de mener les activités d’évaluation pour </w:t>
                            </w:r>
                            <w:r>
                              <w:rPr>
                                <w:b/>
                              </w:rPr>
                              <w:t xml:space="preserve">répondre aux questions d’évaluation communes relatives à l’innovation. </w:t>
                            </w:r>
                            <w:r>
                              <w:t xml:space="preserve">Étant donné que les effets des PDR sur l’innovation dans les zones rurales devraient plus que probablement se faire sentir à </w:t>
                            </w:r>
                            <w:r>
                              <w:rPr>
                                <w:b/>
                              </w:rPr>
                              <w:t>long terme</w:t>
                            </w:r>
                            <w:r>
                              <w:t>, les lignes directrices portent plus particulièrement sur les activités d’évaluation qui feront l’objet du rapport annuel de mise en œuvre (RAM) 2019 et de l’évaluation</w:t>
                            </w:r>
                            <w:r>
                              <w:rPr>
                                <w:i/>
                              </w:rPr>
                              <w:t xml:space="preserve"> ex post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90" o:spid="_x0000_s1029" style="position:absolute;left:0;text-align:left;margin-left:245.25pt;margin-top:15pt;width:208.65pt;height:231.8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9855,29444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" adj="-11796480,,5400" path="m231412,l2649855,r,l2649855,2713083v,127805,-103607,231412,-231412,231412l,2944495r,l,231412c,103607,103607,,231412,xe" filled="f" strokecolor="#be4a35" strokeweight="2pt">
                <v:stroke joinstyle="miter"/>
                <v:formulas/>
                <v:path arrowok="t" o:connecttype="custom" o:connectlocs="231412,0;2649855,0;2649855,0;2649855,2713083;2418443,2944495;0,2944495;0,2944495;0,231412;231412,0" o:connectangles="0,0,0,0,0,0,0,0,0" textboxrect="0,0,2649855,2944495"/>
                <v:textbox>
                  <w:txbxContent>
                    <w:p w:rsidR="00260B0F" w:rsidRPr="00D74B10" w:rsidRDefault="00260B0F" w:rsidP="00ED3746">
                      <w:pPr>
                        <w:pStyle w:val="HBox"/>
                      </w:pPr>
                      <w:r>
                        <w:rPr>
                          <w:noProof/>
                        </w:rPr>
                        <w:drawing>
                          <wp:inline distT="0" distB="0" distL="0" distR="0">
                            <wp:extent cx="668020" cy="485140"/>
                            <wp:effectExtent l="0" t="0" r="0" b="0"/>
                            <wp:docPr id="4"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 xml:space="preserve">Le présent document a pour principal objectif de compléter les autres lignes directrices et de prodiguer des conseils aux parties intervenant dans l’évaluation des PDR quant à la manière de mener les activités d’évaluation pour </w:t>
                      </w:r>
                      <w:r>
                        <w:rPr>
                          <w:b/>
                        </w:rPr>
                        <w:t xml:space="preserve">répondre aux questions d’évaluation communes relatives à l’innovation. </w:t>
                      </w:r>
                      <w:r>
                        <w:t xml:space="preserve">Étant donné que les effets des PDR sur l’innovation dans les zones rurales devraient plus que probablement se faire sentir à </w:t>
                      </w:r>
                      <w:r>
                        <w:rPr>
                          <w:b/>
                        </w:rPr>
                        <w:t>long terme</w:t>
                      </w:r>
                      <w:r>
                        <w:t>, les lignes directrices portent plus particulièrement sur les activités d’évaluation qui feront l’objet du rapport annuel de mise en œuvre (RAM) 2019 et de l’évaluation</w:t>
                      </w:r>
                      <w:r>
                        <w:rPr>
                          <w:i/>
                        </w:rPr>
                        <w:t xml:space="preserve"> ex post</w:t>
                      </w:r>
                      <w:r>
                        <w:t>.</w:t>
                      </w:r>
                    </w:p>
                  </w:txbxContent>
                </v:textbox>
                <w10:wrap type="square"/>
              </v:shape>
            </w:pict>
          </mc:Fallback>
        </mc:AlternateContent>
      </w:r>
      <w:r w:rsidR="00ED3746">
        <w:rPr>
          <w:b/>
          <w:color w:val="57825E"/>
        </w:rPr>
        <w:t xml:space="preserve">Pourquoi ces lignes directrices sont-elles </w:t>
      </w:r>
      <w:proofErr w:type="gramStart"/>
      <w:r w:rsidR="00ED3746">
        <w:rPr>
          <w:b/>
          <w:color w:val="57825E"/>
        </w:rPr>
        <w:t>nécessaires?</w:t>
      </w:r>
      <w:proofErr w:type="gramEnd"/>
    </w:p>
    <w:p w:rsidR="00ED3746" w:rsidRPr="00E05D08" w:rsidRDefault="00ED3746" w:rsidP="00ED3746">
      <w:pPr>
        <w:spacing w:after="120" w:line="280" w:lineRule="atLeast"/>
        <w:mirrorIndents/>
        <w:rPr>
          <w:rFonts w:eastAsia="Times New Roman" w:cs="Times New Roman"/>
          <w:szCs w:val="20"/>
        </w:rPr>
      </w:pPr>
      <w:r>
        <w:rPr>
          <w:b/>
        </w:rPr>
        <w:t>L’évaluation de l’innovation a pris de l’importance</w:t>
      </w:r>
      <w:r>
        <w:t xml:space="preserve"> au cours de la période de programmation 2014-2020 en raison de la place de choix que le sujet occupe désormais dans l’agenda politique général. Les programmes de développement rural peuvent contribuer aux processus d’innovation et donner lieu à plusieurs réalisations tangibles et intangibles dans la zone couverte par le programme et dans le système d’innovation dans son ensemble. </w:t>
      </w:r>
    </w:p>
    <w:p w:rsidR="00ED3746" w:rsidRPr="00E05D08" w:rsidRDefault="00ED3746" w:rsidP="00ED3746">
      <w:pPr>
        <w:spacing w:after="120" w:line="280" w:lineRule="atLeast"/>
        <w:mirrorIndents/>
        <w:rPr>
          <w:rFonts w:eastAsia="Times New Roman" w:cs="Times New Roman"/>
          <w:szCs w:val="20"/>
        </w:rPr>
      </w:pPr>
      <w:r>
        <w:rPr>
          <w:b/>
        </w:rPr>
        <w:t xml:space="preserve">Plusieurs difficultés méthodologiques se posent sur le plan de l’évaluation au moment de rendre compte de ces </w:t>
      </w:r>
      <w:proofErr w:type="gramStart"/>
      <w:r>
        <w:rPr>
          <w:b/>
        </w:rPr>
        <w:t>effets</w:t>
      </w:r>
      <w:r>
        <w:t>:</w:t>
      </w:r>
      <w:proofErr w:type="gramEnd"/>
      <w:r>
        <w:rPr>
          <w:b/>
        </w:rPr>
        <w:t xml:space="preserve"> </w:t>
      </w:r>
      <w:r>
        <w:t xml:space="preserve">comment déterminer l’objet de l’évaluation? Quels effets contribuant aux processus d’innovation dans les zones rurales peuvent être attribués au </w:t>
      </w:r>
      <w:proofErr w:type="gramStart"/>
      <w:r>
        <w:t>PDR?</w:t>
      </w:r>
      <w:proofErr w:type="gramEnd"/>
      <w:r>
        <w:t xml:space="preserve"> Comment évaluer les contributions des innovations générées par le soutien du </w:t>
      </w:r>
      <w:r>
        <w:lastRenderedPageBreak/>
        <w:t xml:space="preserve">Feader aux résultats et incidences plus vastes du </w:t>
      </w:r>
      <w:proofErr w:type="gramStart"/>
      <w:r>
        <w:t>PDR?</w:t>
      </w:r>
      <w:proofErr w:type="gramEnd"/>
      <w:r>
        <w:t xml:space="preserve"> Comment mesurer les réalisations des objectifs des politiques régionales/nationales/de </w:t>
      </w:r>
      <w:proofErr w:type="gramStart"/>
      <w:r>
        <w:t>l’Union?</w:t>
      </w:r>
      <w:proofErr w:type="gramEnd"/>
    </w:p>
    <w:p w:rsidR="00ED3746" w:rsidRDefault="00ED3746" w:rsidP="00ED3746">
      <w:r>
        <w:t xml:space="preserve">Le </w:t>
      </w:r>
      <w:r>
        <w:rPr>
          <w:b/>
        </w:rPr>
        <w:t>4</w:t>
      </w:r>
      <w:r>
        <w:rPr>
          <w:b/>
          <w:vertAlign w:val="superscript"/>
        </w:rPr>
        <w:t>e</w:t>
      </w:r>
      <w:r>
        <w:t> </w:t>
      </w:r>
      <w:r>
        <w:rPr>
          <w:b/>
        </w:rPr>
        <w:t>groupe de travail thématique (GTT4)</w:t>
      </w:r>
      <w:r>
        <w:t xml:space="preserve"> </w:t>
      </w:r>
      <w:r>
        <w:rPr>
          <w:b/>
        </w:rPr>
        <w:t xml:space="preserve">«Évaluation de l’innovation dans les PDR 2014-2020» </w:t>
      </w:r>
      <w:r>
        <w:t xml:space="preserve">du Helpdesk Évaluation avait pour but 1) d’examiner les difficultés majeures de l’évaluation de l’innovation et d’y répondre; 2) d’analyser les expériences d’évaluation existantes dans le domaine; 3) d’établir et de concevoir des solutions pratiques pour l’évaluation de l’innovation dans les PDR; 4) d’élaborer des </w:t>
      </w:r>
      <w:r>
        <w:rPr>
          <w:b/>
        </w:rPr>
        <w:t>lignes directrices non contraignantes pour répondre aux questions d’évaluation communes relatives à l’innovation</w:t>
      </w:r>
      <w:r>
        <w:t xml:space="preserve"> en complétant les orientations existantes et le système commun de suivi et d’évaluation (CMES). </w:t>
      </w:r>
    </w:p>
    <w:p w:rsidR="00ED3746" w:rsidRPr="00E05D08" w:rsidRDefault="00ED3746" w:rsidP="00ED3746">
      <w:pPr>
        <w:spacing w:after="120" w:line="280" w:lineRule="atLeast"/>
        <w:mirrorIndents/>
        <w:rPr>
          <w:rFonts w:eastAsia="Times New Roman" w:cs="Times New Roman"/>
          <w:b/>
          <w:color w:val="57825E"/>
          <w:szCs w:val="20"/>
        </w:rPr>
      </w:pPr>
      <w:r>
        <w:rPr>
          <w:b/>
          <w:color w:val="57825E"/>
        </w:rPr>
        <w:t xml:space="preserve">À qui s’adressent ces lignes </w:t>
      </w:r>
      <w:proofErr w:type="gramStart"/>
      <w:r>
        <w:rPr>
          <w:b/>
          <w:color w:val="57825E"/>
        </w:rPr>
        <w:t>directrices?</w:t>
      </w:r>
      <w:proofErr w:type="gramEnd"/>
    </w:p>
    <w:p w:rsidR="00ED3746" w:rsidRPr="00E05D08" w:rsidRDefault="00ED3746" w:rsidP="00ED3746">
      <w:pPr>
        <w:spacing w:after="120" w:line="280" w:lineRule="atLeast"/>
        <w:mirrorIndents/>
        <w:rPr>
          <w:rFonts w:eastAsia="Times New Roman" w:cs="Times New Roman"/>
          <w:szCs w:val="20"/>
        </w:rPr>
      </w:pPr>
      <w:r>
        <w:t>Les lignes directrices</w:t>
      </w:r>
      <w:proofErr w:type="gramStart"/>
      <w:r>
        <w:t xml:space="preserve"> </w:t>
      </w:r>
      <w:r>
        <w:rPr>
          <w:i/>
        </w:rPr>
        <w:t>«Évaluation</w:t>
      </w:r>
      <w:proofErr w:type="gramEnd"/>
      <w:r>
        <w:rPr>
          <w:i/>
        </w:rPr>
        <w:t xml:space="preserve"> de l’innovation dans les PDR 2014-2020»</w:t>
      </w:r>
      <w:r>
        <w:t xml:space="preserve"> sont destinées à différents groupes de parties concernées par le développement rural:</w:t>
      </w:r>
    </w:p>
    <w:p w:rsidR="00ED3746" w:rsidRPr="00E16522" w:rsidRDefault="00ED3746" w:rsidP="00ED3746">
      <w:r>
        <w:t xml:space="preserve">Les </w:t>
      </w:r>
      <w:r>
        <w:rPr>
          <w:b/>
        </w:rPr>
        <w:t>autorités de gestion</w:t>
      </w:r>
      <w:r>
        <w:t xml:space="preserve"> y trouveront des informations sur l’évaluation de l’innovation au niveau du </w:t>
      </w:r>
      <w:proofErr w:type="gramStart"/>
      <w:r>
        <w:t>PDR:</w:t>
      </w:r>
      <w:proofErr w:type="gramEnd"/>
      <w:r>
        <w:t xml:space="preserve"> telles que sur le concept, le cadre politique et les thèmes centraux des questions d’évaluation relatives à l’innovation. Des orientations pratiques sont données afin de montrer comment préparer, gérer et coordonner l’évaluation et comment évaluer les contributions des innovations aux objectifs du PDR. </w:t>
      </w:r>
    </w:p>
    <w:p w:rsidR="00ED3746" w:rsidRPr="00C37C7A" w:rsidRDefault="00ED3746" w:rsidP="00ED3746">
      <w:r>
        <w:t xml:space="preserve">Les </w:t>
      </w:r>
      <w:r>
        <w:rPr>
          <w:b/>
        </w:rPr>
        <w:t>experts en matière d’évaluation</w:t>
      </w:r>
      <w:r>
        <w:t xml:space="preserve"> y trouveront des solutions aux différentes difficultés liées à l’évaluation de l’innovation (par exemple, comment analyser le potentiel d’innovation du PDR au moment de définir sa logique d’intervention en matière d’innovation, ou comment analyser la contribution des innovations à la réalisation des objectifs du PDR et aux résultats et aux incidences du PDR). Les évaluateurs y trouveront aussi de l’aide afin de sélectionner la meilleure approche d’évaluation et de collecter les éléments probants pour répondre aux questions d’évaluation. </w:t>
      </w:r>
    </w:p>
    <w:p w:rsidR="00ED3746" w:rsidRPr="00E16522" w:rsidRDefault="00ED3746" w:rsidP="00ED3746">
      <w:pPr>
        <w:pStyle w:val="HStandard"/>
      </w:pPr>
      <w:r>
        <w:t>D’</w:t>
      </w:r>
      <w:r>
        <w:rPr>
          <w:b/>
        </w:rPr>
        <w:t>autres parties concernées</w:t>
      </w:r>
      <w:r>
        <w:t xml:space="preserve"> pourront aussi utiliser les lignes directrices comme document de référence: les</w:t>
      </w:r>
      <w:r>
        <w:rPr>
          <w:b/>
        </w:rPr>
        <w:t xml:space="preserve"> fonctionnaires de la Commission européenne (CE)</w:t>
      </w:r>
      <w:r>
        <w:t xml:space="preserve"> (pour les questions qui se posent concernant l’évaluation de l’innovation); les </w:t>
      </w:r>
      <w:r>
        <w:rPr>
          <w:b/>
        </w:rPr>
        <w:t>groupes opérationnels (GO) du partenariat européen d’innovation (PEI)</w:t>
      </w:r>
      <w:r>
        <w:t xml:space="preserve"> (comme informations de référence pour concevoir des projets et comprendre leur potentiel d’innovation); les </w:t>
      </w:r>
      <w:r>
        <w:rPr>
          <w:b/>
        </w:rPr>
        <w:t>membres des groupes d’action locale (GAL)</w:t>
      </w:r>
      <w:r>
        <w:t xml:space="preserve"> [pour évaluer/auto-évaluer les éléments innovants de leurs stratégies de développement local mené par les acteurs locaux (DLAL) et leurs effets sur l’innovation en milieu rural]; les </w:t>
      </w:r>
      <w:r>
        <w:rPr>
          <w:b/>
        </w:rPr>
        <w:t>réseaux ruraux nationaux (RRN)</w:t>
      </w:r>
      <w:r>
        <w:t xml:space="preserve"> pour préparer et soutenir les GAL et les groupes opérationnels du PEI. </w:t>
      </w:r>
    </w:p>
    <w:p w:rsidR="00ED3746" w:rsidRPr="00E05D08" w:rsidRDefault="00ED3746" w:rsidP="00ED3746">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rPr>
        <w:t xml:space="preserve">Comment les lignes directrices sont-elles </w:t>
      </w:r>
      <w:proofErr w:type="gramStart"/>
      <w:r>
        <w:rPr>
          <w:b/>
          <w:color w:val="57825E"/>
        </w:rPr>
        <w:t>structurées?</w:t>
      </w:r>
      <w:proofErr w:type="gramEnd"/>
    </w:p>
    <w:p w:rsidR="00ED3746" w:rsidRPr="00E05D08" w:rsidRDefault="00ED3746" w:rsidP="00ED3746">
      <w:pPr>
        <w:spacing w:after="120" w:line="280" w:lineRule="atLeast"/>
        <w:mirrorIndents/>
        <w:rPr>
          <w:rFonts w:eastAsia="Times New Roman" w:cs="Times New Roman"/>
          <w:szCs w:val="20"/>
        </w:rPr>
      </w:pPr>
      <w:r>
        <w:t xml:space="preserve">Les présentes lignes directrices se composent de trois parties. </w:t>
      </w:r>
    </w:p>
    <w:p w:rsidR="00ED3746" w:rsidRPr="00E05D08" w:rsidRDefault="00ED3746" w:rsidP="00ED3746">
      <w:pPr>
        <w:spacing w:after="120" w:line="280" w:lineRule="atLeast"/>
        <w:mirrorIndents/>
        <w:rPr>
          <w:rFonts w:eastAsia="Times New Roman" w:cs="Times New Roman"/>
          <w:szCs w:val="20"/>
        </w:rPr>
      </w:pPr>
      <w:r>
        <w:t xml:space="preserve">Le </w:t>
      </w:r>
      <w:r>
        <w:rPr>
          <w:b/>
          <w:color w:val="F07E31"/>
        </w:rPr>
        <w:t xml:space="preserve">chapitre 1 </w:t>
      </w:r>
      <w:r>
        <w:t xml:space="preserve">explique le système d’innovation dans les zones rurales et le concept de l’évaluation de l’innovation dans le développement rural. Ce concept introduit les cadres politiques de l’Union et des PDR et la manière dont ils sont interconnectés, ainsi qu’une vue d’ensemble des éléments d’évaluation communs. Le chapitre 1.3 aborde aussi les difficultés liées à l’évaluation de l’innovation dans la politique de développement rural. </w:t>
      </w:r>
    </w:p>
    <w:p w:rsidR="00ED3746" w:rsidRPr="00E05D08" w:rsidRDefault="00ED3746" w:rsidP="00ED3746">
      <w:pPr>
        <w:spacing w:after="120" w:line="280" w:lineRule="atLeast"/>
        <w:mirrorIndents/>
        <w:rPr>
          <w:rFonts w:eastAsia="Times New Roman" w:cs="Times New Roman"/>
          <w:szCs w:val="20"/>
        </w:rPr>
      </w:pPr>
      <w:r>
        <w:t xml:space="preserve">Le </w:t>
      </w:r>
      <w:r>
        <w:rPr>
          <w:b/>
          <w:color w:val="F07E31"/>
        </w:rPr>
        <w:t>chapitre 2</w:t>
      </w:r>
      <w:r>
        <w:rPr>
          <w:color w:val="F07E31"/>
        </w:rPr>
        <w:t xml:space="preserve"> </w:t>
      </w:r>
      <w:r>
        <w:t xml:space="preserve">éclaire les autorités de gestion sur les particularités liées à la gestion de l’évaluation de l’innovation et sur les obligations en matière de rapports. Le chapitre 2.2 explique les approches à adopter pour répondre aux questions d’évaluation relatives à l’innovation et fournit des orientations spécifiques pour chacune des questions d’évaluation communes – numéros 1, 2, 21, 23 et 30 concernant les aspects liés à l’innovation –, et donne une description des méthodes adéquates pour évaluer l’innovation. </w:t>
      </w:r>
    </w:p>
    <w:p w:rsidR="00ED3746" w:rsidRPr="00E05D08" w:rsidRDefault="00ED3746" w:rsidP="00ED3746">
      <w:pPr>
        <w:spacing w:after="120" w:line="280" w:lineRule="atLeast"/>
        <w:mirrorIndents/>
        <w:rPr>
          <w:rFonts w:eastAsia="Times New Roman" w:cs="Times New Roman"/>
          <w:szCs w:val="20"/>
        </w:rPr>
      </w:pPr>
      <w:r>
        <w:lastRenderedPageBreak/>
        <w:t xml:space="preserve">Le </w:t>
      </w:r>
      <w:r>
        <w:rPr>
          <w:b/>
          <w:color w:val="F07E31"/>
        </w:rPr>
        <w:t xml:space="preserve">chapitre 3 </w:t>
      </w:r>
      <w:r>
        <w:t xml:space="preserve">(annexes) inclut le glossaire et les étapes de la détermination du potentiel d’innovation du PDR. </w:t>
      </w:r>
    </w:p>
    <w:p w:rsidR="00ED3746" w:rsidRPr="00B77106" w:rsidRDefault="00ED3746" w:rsidP="00ED3746">
      <w:pPr>
        <w:spacing w:after="0" w:line="240" w:lineRule="auto"/>
        <w:rPr>
          <w:rFonts w:cs="Arial"/>
          <w:color w:val="292929"/>
          <w:szCs w:val="18"/>
        </w:rPr>
      </w:pPr>
      <w:bookmarkStart w:id="7" w:name="_Toc501382120"/>
    </w:p>
    <w:p w:rsidR="00ED3746" w:rsidRPr="00967CFD" w:rsidRDefault="00F204F1" w:rsidP="00ED3746">
      <w:pPr>
        <w:pStyle w:val="HHeading1"/>
        <w:tabs>
          <w:tab w:val="clear" w:pos="567"/>
        </w:tabs>
      </w:pPr>
      <w:bookmarkStart w:id="8" w:name="_Toc503368714"/>
      <w:bookmarkStart w:id="9" w:name="_Toc508889625"/>
      <w:r>
        <w:rPr>
          <w:noProof/>
        </w:rPr>
        <w:lastRenderedPageBreak/>
        <mc:AlternateContent>
          <mc:Choice Requires="wps">
            <w:drawing>
              <wp:anchor distT="0" distB="0" distL="114300" distR="114300" simplePos="0" relativeHeight="251647488" behindDoc="0" locked="0" layoutInCell="1" allowOverlap="1">
                <wp:simplePos x="0" y="0"/>
                <wp:positionH relativeFrom="column">
                  <wp:posOffset>3029585</wp:posOffset>
                </wp:positionH>
                <wp:positionV relativeFrom="paragraph">
                  <wp:posOffset>281305</wp:posOffset>
                </wp:positionV>
                <wp:extent cx="2642235" cy="3595370"/>
                <wp:effectExtent l="0" t="0" r="5715" b="5080"/>
                <wp:wrapSquare wrapText="bothSides"/>
                <wp:docPr id="62" name="Rectangle: Diagonal Corners Rounded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2235" cy="3595370"/>
                        </a:xfrm>
                        <a:prstGeom prst="round2DiagRect">
                          <a:avLst>
                            <a:gd name="adj1" fmla="val 6695"/>
                            <a:gd name="adj2" fmla="val 0"/>
                          </a:avLst>
                        </a:prstGeom>
                        <a:noFill/>
                        <a:ln w="25400" cap="flat" cmpd="sng" algn="ctr">
                          <a:solidFill>
                            <a:srgbClr val="BE4A35"/>
                          </a:solidFill>
                          <a:prstDash val="solid"/>
                        </a:ln>
                        <a:effectLst/>
                      </wps:spPr>
                      <wps:txbx>
                        <w:txbxContent>
                          <w:p w:rsidR="00260B0F" w:rsidRDefault="00260B0F" w:rsidP="00ED3746">
                            <w:pPr>
                              <w:pStyle w:val="HStandard"/>
                            </w:pPr>
                            <w:r>
                              <w:rPr>
                                <w:noProof/>
                              </w:rPr>
                              <w:drawing>
                                <wp:inline distT="0" distB="0" distL="0" distR="0">
                                  <wp:extent cx="668020" cy="485140"/>
                                  <wp:effectExtent l="0" t="0" r="0" b="0"/>
                                  <wp:docPr id="5"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proofErr w:type="gramStart"/>
                            <w:r>
                              <w:rPr>
                                <w:color w:val="BE4A35"/>
                                <w:sz w:val="18"/>
                              </w:rPr>
                              <w:t>«L’innovation</w:t>
                            </w:r>
                            <w:proofErr w:type="gramEnd"/>
                            <w:r>
                              <w:rPr>
                                <w:color w:val="BE4A35"/>
                                <w:sz w:val="18"/>
                              </w:rPr>
                              <w:t xml:space="preserve"> est souvent décrite comme </w:t>
                            </w:r>
                            <w:r>
                              <w:rPr>
                                <w:b/>
                                <w:color w:val="BE4A35"/>
                                <w:sz w:val="18"/>
                              </w:rPr>
                              <w:t>une idée nouvelle qui se voit couronnée de succès dans la pratique.</w:t>
                            </w:r>
                            <w:r>
                              <w:rPr>
                                <w:sz w:val="18"/>
                              </w:rPr>
                              <w:t xml:space="preserve"> Celle-ci peut être d’origine technologique, mais aussi non technologique, organisationnelle ou sociale. L’innovation peut reposer sur des nouvelles pratiques, mais aussi sur des pratiques traditionnelles dans un nouveau contexte géographique ou environnemental. </w:t>
                            </w:r>
                            <w:r>
                              <w:t xml:space="preserve">L’idée nouvelle peut porter sur un nouveau produit, une nouvelle pratique, un nouveau service, un nouveau procédé de production ou un nouveau mode d’organisation, etc. Cette idée nouvelle ne devient une innovation que si elle est largement adoptée et s’avère utile dans la </w:t>
                            </w:r>
                            <w:proofErr w:type="gramStart"/>
                            <w:r>
                              <w:t>pratique»</w:t>
                            </w:r>
                            <w:proofErr w:type="gramEnd"/>
                            <w:r>
                              <w:rPr>
                                <w:sz w:val="18"/>
                                <w:vertAlign w:val="superscript"/>
                              </w:rPr>
                              <w:t>4</w:t>
                            </w:r>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2" o:spid="_x0000_s1030" style="position:absolute;left:0;text-align:left;margin-left:238.55pt;margin-top:22.15pt;width:208.05pt;height:283.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595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" adj="-11796480,,5400" path="m176898,l2642235,r,l2642235,3418472v,97698,-79200,176898,-176898,176898l,3595370r,l,176898c,79200,79200,,176898,xe" filled="f" strokecolor="#be4a35" strokeweight="2pt">
                <v:stroke joinstyle="miter"/>
                <v:formulas/>
                <v:path arrowok="t" o:connecttype="custom" o:connectlocs="176898,0;2642235,0;2642235,0;2642235,3418472;2465337,3595370;0,3595370;0,3595370;0,176898;176898,0" o:connectangles="0,0,0,0,0,0,0,0,0" textboxrect="0,0,2642235,3595370"/>
                <v:textbox>
                  <w:txbxContent>
                    <w:p w:rsidR="00260B0F" w:rsidRDefault="00260B0F" w:rsidP="00ED3746">
                      <w:pPr>
                        <w:pStyle w:val="HStandard"/>
                      </w:pPr>
                      <w:r>
                        <w:rPr>
                          <w:noProof/>
                        </w:rPr>
                        <w:drawing>
                          <wp:inline distT="0" distB="0" distL="0" distR="0">
                            <wp:extent cx="668020" cy="485140"/>
                            <wp:effectExtent l="0" t="0" r="0" b="0"/>
                            <wp:docPr id="5"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proofErr w:type="gramStart"/>
                      <w:r>
                        <w:rPr>
                          <w:color w:val="BE4A35"/>
                          <w:sz w:val="18"/>
                        </w:rPr>
                        <w:t>«L’innovation</w:t>
                      </w:r>
                      <w:proofErr w:type="gramEnd"/>
                      <w:r>
                        <w:rPr>
                          <w:color w:val="BE4A35"/>
                          <w:sz w:val="18"/>
                        </w:rPr>
                        <w:t xml:space="preserve"> est souvent décrite comme </w:t>
                      </w:r>
                      <w:r>
                        <w:rPr>
                          <w:b/>
                          <w:color w:val="BE4A35"/>
                          <w:sz w:val="18"/>
                        </w:rPr>
                        <w:t>une idée nouvelle qui se voit couronnée de succès dans la pratique.</w:t>
                      </w:r>
                      <w:r>
                        <w:rPr>
                          <w:sz w:val="18"/>
                        </w:rPr>
                        <w:t xml:space="preserve"> Celle-ci peut être d’origine technologique, mais aussi non technologique, organisationnelle ou sociale. L’innovation peut reposer sur des nouvelles pratiques, mais aussi sur des pratiques traditionnelles dans un nouveau contexte géographique ou environnemental. </w:t>
                      </w:r>
                      <w:r>
                        <w:t xml:space="preserve">L’idée nouvelle peut porter sur un nouveau produit, une nouvelle pratique, un nouveau service, un nouveau procédé de production ou un nouveau mode d’organisation, etc. Cette idée nouvelle ne devient une innovation que si elle est largement adoptée et s’avère utile dans la </w:t>
                      </w:r>
                      <w:proofErr w:type="gramStart"/>
                      <w:r>
                        <w:t>pratique»</w:t>
                      </w:r>
                      <w:proofErr w:type="gramEnd"/>
                      <w:r>
                        <w:rPr>
                          <w:sz w:val="18"/>
                          <w:vertAlign w:val="superscript"/>
                        </w:rPr>
                        <w:t>4</w:t>
                      </w:r>
                      <w:r>
                        <w:rPr>
                          <w:sz w:val="18"/>
                        </w:rPr>
                        <w:t xml:space="preserve">. </w:t>
                      </w:r>
                    </w:p>
                  </w:txbxContent>
                </v:textbox>
                <w10:wrap type="square"/>
              </v:shape>
            </w:pict>
          </mc:Fallback>
        </mc:AlternateContent>
      </w:r>
      <w:r w:rsidR="00ED3746">
        <w:t>LE CADRE CONCEPTUEL</w:t>
      </w:r>
      <w:bookmarkEnd w:id="7"/>
      <w:bookmarkEnd w:id="8"/>
      <w:bookmarkEnd w:id="9"/>
    </w:p>
    <w:p w:rsidR="00ED3746" w:rsidRPr="00967CFD" w:rsidRDefault="00ED3746" w:rsidP="00ED3746">
      <w:pPr>
        <w:pStyle w:val="HHeading2"/>
      </w:pPr>
      <w:bookmarkStart w:id="10" w:name="Innovation_RD"/>
      <w:bookmarkStart w:id="11" w:name="_Toc501382121"/>
      <w:bookmarkStart w:id="12" w:name="_Toc503368715"/>
      <w:bookmarkStart w:id="13" w:name="_Toc508889626"/>
      <w:bookmarkStart w:id="14" w:name="_Toc493151895"/>
      <w:bookmarkEnd w:id="10"/>
      <w:r>
        <w:t>Innovation et développement rural</w:t>
      </w:r>
      <w:bookmarkEnd w:id="11"/>
      <w:bookmarkEnd w:id="12"/>
      <w:bookmarkEnd w:id="13"/>
      <w:r>
        <w:t xml:space="preserve"> </w:t>
      </w:r>
      <w:bookmarkEnd w:id="14"/>
    </w:p>
    <w:p w:rsidR="00ED3746" w:rsidRPr="00E05D08" w:rsidRDefault="00ED3746" w:rsidP="00ED3746">
      <w:pPr>
        <w:pStyle w:val="HHeading4"/>
      </w:pPr>
      <w:r>
        <w:t xml:space="preserve">Comment pouvons-nous comprendre </w:t>
      </w:r>
      <w:proofErr w:type="gramStart"/>
      <w:r>
        <w:t>l’innovation?</w:t>
      </w:r>
      <w:proofErr w:type="gramEnd"/>
    </w:p>
    <w:p w:rsidR="00ED3746" w:rsidRPr="00E05D08" w:rsidRDefault="00ED3746" w:rsidP="00ED3746">
      <w:pPr>
        <w:spacing w:after="120" w:line="280" w:lineRule="atLeast"/>
        <w:mirrorIndents/>
        <w:rPr>
          <w:rFonts w:eastAsia="Times New Roman" w:cs="Times New Roman"/>
          <w:szCs w:val="20"/>
        </w:rPr>
      </w:pPr>
      <w:r>
        <w:rPr>
          <w:b/>
        </w:rPr>
        <w:t>Dans le contexte du développement rural de l’Union européenne</w:t>
      </w:r>
      <w:r>
        <w:t>, l’innovation est interprétée de manière assez large.</w:t>
      </w:r>
      <w:r>
        <w:rPr>
          <w:rStyle w:val="FootnoteReference"/>
          <w:color w:val="FFFFFF"/>
        </w:rPr>
        <w:footnoteReference w:id="4"/>
      </w:r>
      <w:bookmarkStart w:id="15" w:name="_Hlk501370282"/>
      <w:r>
        <w:rPr>
          <w:b/>
        </w:rPr>
        <w:t>Cette interprétation large de l’innovation</w:t>
      </w:r>
      <w:r>
        <w:t xml:space="preserve"> permet d’adapter celle-ci à différentes situations socio-économiques et environnementales dans toute l’Union, et ce grâce à l’architecture du PDR et à sa capacité de s’insérer dans le contexte existant et de garantir de nouvelles solutions pour remédier aux difficultés et répondre aux besoins ruraux. Ces solutions ne sont pas nécessairement radicales et majeures, mais peuvent faire intervenir des changements plus limités qui préparent parfois le terrain pour des changements plus importants. </w:t>
      </w:r>
    </w:p>
    <w:p w:rsidR="00ED3746" w:rsidRPr="00E05D08" w:rsidRDefault="00ED3746" w:rsidP="00ED3746">
      <w:pPr>
        <w:pStyle w:val="HHeading4"/>
      </w:pPr>
      <w:r>
        <w:t xml:space="preserve">Comment les interventions des PDR contribuent-elles à </w:t>
      </w:r>
      <w:proofErr w:type="gramStart"/>
      <w:r>
        <w:t>l’innovation?</w:t>
      </w:r>
      <w:proofErr w:type="gramEnd"/>
    </w:p>
    <w:p w:rsidR="00ED3746" w:rsidRPr="00E05D08" w:rsidRDefault="00ED3746" w:rsidP="00ED3746">
      <w:pPr>
        <w:spacing w:after="120" w:line="280" w:lineRule="atLeast"/>
        <w:mirrorIndents/>
        <w:rPr>
          <w:rFonts w:eastAsia="Times New Roman" w:cs="Times New Roman"/>
          <w:szCs w:val="20"/>
        </w:rPr>
      </w:pPr>
      <w:r>
        <w:rPr>
          <w:b/>
        </w:rPr>
        <w:t>La politique de développement rural vise à favoriser l’innovation</w:t>
      </w:r>
      <w:r>
        <w:t xml:space="preserve"> (technologique, institutionnelle et sociale) comme facteur facilitant la réalisation des objectifs et des priorités de développement rural, et à répondre aux défis ruraux. Les mesures/sous-mesures et les bénéficiaires du PDR (par exemple, les groupes opérationnels du PEI, les GAL, les agriculteurs, etc.) produisent des réalisations et des résultats et ont des incidences qui contribuent à la réalisation des objectifs du PDR et qui influencent et sont influencés par le système d’innovation auquel il appartient. </w:t>
      </w:r>
    </w:p>
    <w:p w:rsidR="00ED3746" w:rsidRPr="00E05D08" w:rsidRDefault="00ED3746" w:rsidP="00ED3746">
      <w:pPr>
        <w:spacing w:after="120" w:line="280" w:lineRule="atLeast"/>
        <w:mirrorIndents/>
        <w:rPr>
          <w:rFonts w:eastAsia="Times New Roman" w:cs="Times New Roman"/>
          <w:szCs w:val="20"/>
        </w:rPr>
      </w:pPr>
      <w:r>
        <w:rPr>
          <w:b/>
        </w:rPr>
        <w:t>Le système d’innovation</w:t>
      </w:r>
      <w:r>
        <w:t xml:space="preserve"> au niveau local, régional, national ou supranational fait intervenir un groupe assez hétérogène d’acteurs de l’innovation, notamment les entrepreneurs ruraux (par exemple, les exploitants agricoles et forestiers), les secteurs des intrants et du tourisme, les transformateurs, les négociants, les régulateurs, les chercheurs, les services de conseil, les gouvernements et les organisations de la société civile. L’apprentissage expérimental interactif entre ces acteurs joue un rôle vital dans le système d’innovation, car ils mettent à profit de nouvelles idées (nouvelles pour le système). Le flux de technologies et d’informations entre les acteurs est essentiel au processus d’innovation au sein du système d’innovation. </w:t>
      </w:r>
    </w:p>
    <w:p w:rsidR="00007AF8" w:rsidRDefault="00007AF8" w:rsidP="00007AF8">
      <w:pPr>
        <w:jc w:val="left"/>
        <w:rPr>
          <w:rFonts w:eastAsia="Times New Roman" w:cs="Times New Roman"/>
          <w:b/>
          <w:szCs w:val="20"/>
        </w:rPr>
      </w:pPr>
      <w:r>
        <w:br w:type="page"/>
      </w:r>
    </w:p>
    <w:p w:rsidR="00ED3746" w:rsidRPr="00E05D08" w:rsidRDefault="00F204F1" w:rsidP="00ED3746">
      <w:pPr>
        <w:spacing w:after="120" w:line="280" w:lineRule="atLeast"/>
        <w:mirrorIndents/>
        <w:rPr>
          <w:rFonts w:eastAsia="Times New Roman" w:cs="Times New Roman"/>
          <w:szCs w:val="20"/>
        </w:rPr>
      </w:pPr>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87630</wp:posOffset>
                </wp:positionH>
                <wp:positionV relativeFrom="paragraph">
                  <wp:posOffset>-377825</wp:posOffset>
                </wp:positionV>
                <wp:extent cx="5811520" cy="2318385"/>
                <wp:effectExtent l="20955" t="14605" r="15875" b="19685"/>
                <wp:wrapSquare wrapText="bothSides"/>
                <wp:docPr id="59" name="Rectangle: Diagonal Corners Rounded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1520" cy="2318385"/>
                        </a:xfrm>
                        <a:custGeom>
                          <a:avLst/>
                          <a:gdLst>
                            <a:gd name="T0" fmla="*/ 156066 w 5811520"/>
                            <a:gd name="T1" fmla="*/ 0 h 2200275"/>
                            <a:gd name="T2" fmla="*/ 5811520 w 5811520"/>
                            <a:gd name="T3" fmla="*/ 0 h 2200275"/>
                            <a:gd name="T4" fmla="*/ 5811520 w 5811520"/>
                            <a:gd name="T5" fmla="*/ 0 h 2200275"/>
                            <a:gd name="T6" fmla="*/ 5811520 w 5811520"/>
                            <a:gd name="T7" fmla="*/ 2044209 h 2200275"/>
                            <a:gd name="T8" fmla="*/ 5655454 w 5811520"/>
                            <a:gd name="T9" fmla="*/ 2200275 h 2200275"/>
                            <a:gd name="T10" fmla="*/ 0 w 5811520"/>
                            <a:gd name="T11" fmla="*/ 2200275 h 2200275"/>
                            <a:gd name="T12" fmla="*/ 0 w 5811520"/>
                            <a:gd name="T13" fmla="*/ 2200275 h 2200275"/>
                            <a:gd name="T14" fmla="*/ 0 w 5811520"/>
                            <a:gd name="T15" fmla="*/ 156066 h 2200275"/>
                            <a:gd name="T16" fmla="*/ 156066 w 5811520"/>
                            <a:gd name="T17" fmla="*/ 0 h 22002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1520"/>
                            <a:gd name="T28" fmla="*/ 0 h 2200275"/>
                            <a:gd name="T29" fmla="*/ 5811520 w 5811520"/>
                            <a:gd name="T30" fmla="*/ 2200275 h 220027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1520" h="2200275">
                              <a:moveTo>
                                <a:pt x="156066" y="0"/>
                              </a:moveTo>
                              <a:lnTo>
                                <a:pt x="5811520" y="0"/>
                              </a:lnTo>
                              <a:lnTo>
                                <a:pt x="5811520" y="2044209"/>
                              </a:lnTo>
                              <a:cubicBezTo>
                                <a:pt x="5811520" y="2130402"/>
                                <a:pt x="5741647" y="2200275"/>
                                <a:pt x="5655454" y="2200275"/>
                              </a:cubicBezTo>
                              <a:lnTo>
                                <a:pt x="0" y="2200275"/>
                              </a:lnTo>
                              <a:lnTo>
                                <a:pt x="0" y="156066"/>
                              </a:lnTo>
                              <a:cubicBezTo>
                                <a:pt x="0" y="69873"/>
                                <a:pt x="69873" y="0"/>
                                <a:pt x="156066" y="0"/>
                              </a:cubicBezTo>
                              <a:close/>
                            </a:path>
                          </a:pathLst>
                        </a:custGeom>
                        <a:noFill/>
                        <a:ln w="25400" algn="ctr">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260B0F" w:rsidRPr="00270814" w:rsidRDefault="00260B0F" w:rsidP="00ED3746">
                            <w:pPr>
                              <w:pStyle w:val="HBox"/>
                            </w:pPr>
                            <w:r>
                              <w:rPr>
                                <w:noProof/>
                              </w:rPr>
                              <w:drawing>
                                <wp:inline distT="0" distB="0" distL="0" distR="0">
                                  <wp:extent cx="668020" cy="485140"/>
                                  <wp:effectExtent l="0" t="0" r="0" b="0"/>
                                  <wp:docPr id="29"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 xml:space="preserve">Outre la politique de développement rural, le </w:t>
                            </w:r>
                            <w:r>
                              <w:rPr>
                                <w:b/>
                                <w:color w:val="BE4A35"/>
                              </w:rPr>
                              <w:t>système d’innovation peut être influencé par de nombreux autres facteurs</w:t>
                            </w:r>
                            <w:r>
                              <w:t xml:space="preserve"> présents en milieu rural, tels que la recherche, l’éducation, les politiques budgétaires, et d’autres programmes financés par les fonds de l’Union (Horizon 2020, les programmes opérationnels financés par les Fonds ESI) qui soutiennent les actions et les procédés innovants. La demande d’innovation sur le marché peut aussi jouer un rôle déterminant.</w:t>
                            </w:r>
                          </w:p>
                          <w:p w:rsidR="00260B0F" w:rsidRPr="00D74B10" w:rsidRDefault="00260B0F" w:rsidP="00ED3746">
                            <w:pPr>
                              <w:pStyle w:val="HBox"/>
                            </w:pPr>
                            <w:r>
                              <w:t>Le fait qu’une innovation se généralise dépend non seulement de la force de l’idée créative, mais aussi des possibilités de marché, de la volonté du secteur de l’adopter, du rapport coût-efficacité, des connaissances et des perceptions, des facteurs extérieurs accidentels, etc. Il est impossible de prédire comment ces facteurs vont interagir pour faire d’une nouvelle idée une innovation. On ne peut donc déterminer qu’a posteriori si une nouvelle idée a donné lieu à une véritable innovation.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53" o:spid="_x0000_s1031" style="position:absolute;left:0;text-align:left;margin-left:6.9pt;margin-top:-29.75pt;width:457.6pt;height:18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520,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" adj="-11796480,,5400" path="m156066,l5811520,r,2044209c5811520,2130402,5741647,2200275,5655454,2200275l,2200275,,156066c,69873,69873,,156066,xe" filled="f" strokecolor="#be4a35" strokeweight="2pt">
                <v:stroke joinstyle="miter"/>
                <v:formulas/>
                <v:path arrowok="t" o:connecttype="custom" o:connectlocs="156066,0;5811520,0;5811520,0;5811520,2153941;5655454,2318385;0,2318385;0,2318385;0,164444;156066,0" o:connectangles="0,0,0,0,0,0,0,0,0" textboxrect="0,0,5811520,2200275"/>
                <v:textbox>
                  <w:txbxContent>
                    <w:p w:rsidR="00260B0F" w:rsidRPr="00270814" w:rsidRDefault="00260B0F" w:rsidP="00ED3746">
                      <w:pPr>
                        <w:pStyle w:val="HBox"/>
                      </w:pPr>
                      <w:r>
                        <w:rPr>
                          <w:noProof/>
                        </w:rPr>
                        <w:drawing>
                          <wp:inline distT="0" distB="0" distL="0" distR="0">
                            <wp:extent cx="668020" cy="485140"/>
                            <wp:effectExtent l="0" t="0" r="0" b="0"/>
                            <wp:docPr id="29"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 xml:space="preserve">Outre la politique de développement rural, le </w:t>
                      </w:r>
                      <w:r>
                        <w:rPr>
                          <w:b/>
                          <w:color w:val="BE4A35"/>
                        </w:rPr>
                        <w:t>système d’innovation peut être influencé par de nombreux autres facteurs</w:t>
                      </w:r>
                      <w:r>
                        <w:t xml:space="preserve"> présents en milieu rural, tels que la recherche, l’éducation, les politiques budgétaires, et d’autres programmes financés par les fonds de l’Union (Horizon 2020, les programmes opérationnels financés par les Fonds ESI) qui soutiennent les actions et les procédés innovants. La demande d’innovation sur le marché peut aussi jouer un rôle déterminant.</w:t>
                      </w:r>
                    </w:p>
                    <w:p w:rsidR="00260B0F" w:rsidRPr="00D74B10" w:rsidRDefault="00260B0F" w:rsidP="00ED3746">
                      <w:pPr>
                        <w:pStyle w:val="HBox"/>
                      </w:pPr>
                      <w:r>
                        <w:t>Le fait qu’une innovation se généralise dépend non seulement de la force de l’idée créative, mais aussi des possibilités de marché, de la volonté du secteur de l’adopter, du rapport coût-efficacité, des connaissances et des perceptions, des facteurs extérieurs accidentels, etc. Il est impossible de prédire comment ces facteurs vont interagir pour faire d’une nouvelle idée une innovation. On ne peut donc déterminer qu’a posteriori si une nouvelle idée a donné lieu à une véritable innovation.</w:t>
                      </w:r>
                    </w:p>
                  </w:txbxContent>
                </v:textbox>
                <w10:wrap type="square"/>
              </v:shape>
            </w:pict>
          </mc:Fallback>
        </mc:AlternateContent>
      </w:r>
      <w:r w:rsidR="00ED3746">
        <w:rPr>
          <w:b/>
        </w:rPr>
        <w:t>Le processus d’innovation fait intervenir trois </w:t>
      </w:r>
      <w:proofErr w:type="gramStart"/>
      <w:r w:rsidR="00ED3746">
        <w:rPr>
          <w:b/>
        </w:rPr>
        <w:t>démarches</w:t>
      </w:r>
      <w:r w:rsidR="00ED3746">
        <w:t>:</w:t>
      </w:r>
      <w:proofErr w:type="gramEnd"/>
      <w:r w:rsidR="00ED3746">
        <w:t xml:space="preserve"> </w:t>
      </w:r>
    </w:p>
    <w:p w:rsidR="00ED3746" w:rsidRPr="00987055" w:rsidRDefault="00ED3746" w:rsidP="00ED3746">
      <w:pPr>
        <w:numPr>
          <w:ilvl w:val="0"/>
          <w:numId w:val="66"/>
        </w:numPr>
        <w:mirrorIndents/>
        <w:rPr>
          <w:szCs w:val="20"/>
        </w:rPr>
      </w:pPr>
      <w:proofErr w:type="gramStart"/>
      <w:r>
        <w:rPr>
          <w:b/>
          <w:color w:val="F07E31"/>
        </w:rPr>
        <w:t>la</w:t>
      </w:r>
      <w:proofErr w:type="gramEnd"/>
      <w:r>
        <w:rPr>
          <w:b/>
          <w:color w:val="F07E31"/>
        </w:rPr>
        <w:t xml:space="preserve"> démarche 1:</w:t>
      </w:r>
      <w:r>
        <w:t xml:space="preserve"> implique de s’emparer de nouvelles idées et d’en développer (autrement dit, de nouveaux points de vue, approches, produits, pratiques, services, procédés/technologies de production, modes d’organisation ou formes de coopération et d’apprentissage); </w:t>
      </w:r>
    </w:p>
    <w:p w:rsidR="00ED3746" w:rsidRDefault="00ED3746" w:rsidP="00ED3746">
      <w:pPr>
        <w:numPr>
          <w:ilvl w:val="0"/>
          <w:numId w:val="66"/>
        </w:numPr>
        <w:mirrorIndents/>
        <w:rPr>
          <w:szCs w:val="20"/>
        </w:rPr>
      </w:pPr>
      <w:proofErr w:type="gramStart"/>
      <w:r>
        <w:rPr>
          <w:b/>
          <w:color w:val="F07E31"/>
        </w:rPr>
        <w:t>la</w:t>
      </w:r>
      <w:proofErr w:type="gramEnd"/>
      <w:r>
        <w:rPr>
          <w:b/>
          <w:color w:val="F07E31"/>
        </w:rPr>
        <w:t xml:space="preserve"> démarche 2:</w:t>
      </w:r>
      <w:r>
        <w:rPr>
          <w:b/>
        </w:rPr>
        <w:t xml:space="preserve"> </w:t>
      </w:r>
      <w:r>
        <w:t>concerne la capacité des personnes et du système de connaissance et d’innovation lui-même d’expérimenter, de s’</w:t>
      </w:r>
      <w:proofErr w:type="spellStart"/>
      <w:r>
        <w:t>auto-organiser</w:t>
      </w:r>
      <w:proofErr w:type="spellEnd"/>
      <w:r>
        <w:t xml:space="preserve"> et d’utiliser les nouvelles idées et approches; </w:t>
      </w:r>
    </w:p>
    <w:p w:rsidR="00ED3746" w:rsidRPr="00987055" w:rsidRDefault="00ED3746" w:rsidP="00ED3746">
      <w:pPr>
        <w:numPr>
          <w:ilvl w:val="0"/>
          <w:numId w:val="66"/>
        </w:numPr>
        <w:mirrorIndents/>
        <w:rPr>
          <w:szCs w:val="20"/>
        </w:rPr>
      </w:pPr>
      <w:proofErr w:type="gramStart"/>
      <w:r>
        <w:rPr>
          <w:b/>
          <w:color w:val="F07E31"/>
        </w:rPr>
        <w:t>la</w:t>
      </w:r>
      <w:proofErr w:type="gramEnd"/>
      <w:r>
        <w:rPr>
          <w:b/>
          <w:color w:val="F07E31"/>
        </w:rPr>
        <w:t xml:space="preserve"> démarche 3:</w:t>
      </w:r>
      <w:r>
        <w:t xml:space="preserve"> nécessite de rendre l’environnement institutionnel et politique propice aux procédés innovants émergents. </w:t>
      </w:r>
      <w:bookmarkStart w:id="16" w:name="_Toc476660915"/>
      <w:bookmarkStart w:id="17" w:name="_Toc476661047"/>
    </w:p>
    <w:p w:rsidR="00ED3746" w:rsidRPr="0095292E" w:rsidRDefault="00ED3746" w:rsidP="00ED3746">
      <w:pPr>
        <w:mirrorIndents/>
        <w:rPr>
          <w:szCs w:val="20"/>
        </w:rPr>
      </w:pPr>
      <w:r>
        <w:t>Les trois démarches ne doivent pas être considérées séparément, mais plutôt comme des points d’accès à l’innovation interdépendants qui se recoupent (figure 1).</w:t>
      </w:r>
    </w:p>
    <w:p w:rsidR="00ED3746" w:rsidRPr="00447906" w:rsidRDefault="00ED3746" w:rsidP="00ED3746">
      <w:pPr>
        <w:pStyle w:val="HHeadingfigures"/>
      </w:pPr>
      <w:bookmarkStart w:id="18" w:name="Pathways"/>
      <w:bookmarkStart w:id="19" w:name="_Toc503284754"/>
      <w:bookmarkStart w:id="20" w:name="_Toc508894546"/>
      <w:bookmarkEnd w:id="18"/>
      <w:r>
        <w:t>Graphique simplifié de la manière dont les PDR favorisent l’innovation</w:t>
      </w:r>
      <w:bookmarkEnd w:id="19"/>
      <w:bookmarkEnd w:id="20"/>
      <w:r>
        <w:t xml:space="preserve"> </w:t>
      </w:r>
      <w:bookmarkEnd w:id="16"/>
      <w:bookmarkEnd w:id="17"/>
    </w:p>
    <w:p w:rsidR="00ED3746" w:rsidRPr="00E05D08" w:rsidRDefault="00F204F1" w:rsidP="00ED3746">
      <w:pPr>
        <w:spacing w:after="0" w:line="280" w:lineRule="atLeast"/>
        <w:jc w:val="center"/>
        <w:rPr>
          <w:rFonts w:eastAsia="Times New Roman" w:cs="Arial"/>
          <w:szCs w:val="18"/>
        </w:rPr>
      </w:pPr>
      <w:r w:rsidRPr="00D97603">
        <w:rPr>
          <w:noProof/>
        </w:rPr>
        <w:drawing>
          <wp:inline distT="0" distB="0" distL="0" distR="0">
            <wp:extent cx="5796280" cy="32124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l="4678" t="10802" r="22047" b="7832"/>
                    <a:stretch>
                      <a:fillRect/>
                    </a:stretch>
                  </pic:blipFill>
                  <pic:spPr bwMode="auto">
                    <a:xfrm>
                      <a:off x="0" y="0"/>
                      <a:ext cx="5796280" cy="3212465"/>
                    </a:xfrm>
                    <a:prstGeom prst="rect">
                      <a:avLst/>
                    </a:prstGeom>
                    <a:noFill/>
                    <a:ln>
                      <a:noFill/>
                    </a:ln>
                  </pic:spPr>
                </pic:pic>
              </a:graphicData>
            </a:graphic>
          </wp:inline>
        </w:drawing>
      </w:r>
    </w:p>
    <w:p w:rsidR="00ED3746" w:rsidRPr="00E05D08" w:rsidRDefault="00ED3746" w:rsidP="00ED3746">
      <w:pPr>
        <w:suppressAutoHyphens/>
        <w:spacing w:before="60" w:after="140" w:line="240" w:lineRule="auto"/>
        <w:ind w:left="1134" w:right="1134"/>
        <w:mirrorIndents/>
        <w:jc w:val="center"/>
        <w:rPr>
          <w:rFonts w:eastAsia="Times New Roman" w:cs="Times New Roman"/>
          <w:i/>
          <w:sz w:val="16"/>
          <w:szCs w:val="20"/>
        </w:rPr>
      </w:pPr>
      <w:proofErr w:type="gramStart"/>
      <w:r>
        <w:rPr>
          <w:i/>
          <w:sz w:val="16"/>
        </w:rPr>
        <w:t>Source:</w:t>
      </w:r>
      <w:proofErr w:type="gramEnd"/>
      <w:r>
        <w:rPr>
          <w:i/>
          <w:sz w:val="16"/>
        </w:rPr>
        <w:t xml:space="preserve"> Helpdesk Évaluation européen pour le développement rural, 2017.</w:t>
      </w:r>
    </w:p>
    <w:p w:rsidR="00ED3746" w:rsidRDefault="00ED3746" w:rsidP="00ED3746">
      <w:pPr>
        <w:spacing w:after="120" w:line="280" w:lineRule="atLeast"/>
        <w:mirrorIndents/>
        <w:rPr>
          <w:rFonts w:eastAsia="Times New Roman" w:cs="Times New Roman"/>
          <w:szCs w:val="20"/>
        </w:rPr>
      </w:pPr>
      <w:r>
        <w:t xml:space="preserve">Les mesures/sous-mesures du PDR et leur combinaison peuvent contribuer à une, à deux ou à l’ensemble des trois démarches à un degré différent en fonction de l’approche particulière du PDR pour soutenir l’innovation (voir la </w:t>
      </w:r>
      <w:hyperlink w:anchor="Policy_framework" w:history="1">
        <w:r>
          <w:rPr>
            <w:rStyle w:val="Hyperlink"/>
            <w:sz w:val="20"/>
          </w:rPr>
          <w:t>section 1.2.1</w:t>
        </w:r>
      </w:hyperlink>
      <w:r>
        <w:t xml:space="preserve">). </w:t>
      </w:r>
      <w:bookmarkStart w:id="21" w:name="_Hlk501621429"/>
    </w:p>
    <w:p w:rsidR="00ED3746" w:rsidRDefault="00706C65">
      <w:pPr>
        <w:rPr>
          <w:rFonts w:eastAsia="Times New Roman" w:cs="Times New Roman"/>
          <w:b/>
          <w:color w:val="F07E31"/>
          <w:szCs w:val="20"/>
        </w:rPr>
      </w:pPr>
      <w:r>
        <w:rPr>
          <w:noProof/>
        </w:rPr>
        <w:lastRenderedPageBreak/>
        <mc:AlternateContent>
          <mc:Choice Requires="wps">
            <w:drawing>
              <wp:anchor distT="0" distB="0" distL="114300" distR="114300" simplePos="0" relativeHeight="251648512" behindDoc="0" locked="0" layoutInCell="1" allowOverlap="1">
                <wp:simplePos x="0" y="0"/>
                <wp:positionH relativeFrom="column">
                  <wp:posOffset>-66040</wp:posOffset>
                </wp:positionH>
                <wp:positionV relativeFrom="paragraph">
                  <wp:posOffset>255905</wp:posOffset>
                </wp:positionV>
                <wp:extent cx="2832735" cy="4425315"/>
                <wp:effectExtent l="0" t="0" r="24765" b="13335"/>
                <wp:wrapSquare wrapText="bothSides"/>
                <wp:docPr id="57" name="Rectangle: Diagonal Corners Rounded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735" cy="4425315"/>
                        </a:xfrm>
                        <a:prstGeom prst="round2DiagRect">
                          <a:avLst>
                            <a:gd name="adj1" fmla="val 6641"/>
                            <a:gd name="adj2" fmla="val 0"/>
                          </a:avLst>
                        </a:prstGeom>
                        <a:noFill/>
                        <a:ln w="25400" cap="flat" cmpd="sng" algn="ctr">
                          <a:solidFill>
                            <a:srgbClr val="F07E31"/>
                          </a:solidFill>
                          <a:prstDash val="solid"/>
                        </a:ln>
                        <a:effectLst/>
                      </wps:spPr>
                      <wps:txbx>
                        <w:txbxContent>
                          <w:p w:rsidR="00260B0F" w:rsidRPr="00E05D08" w:rsidRDefault="00260B0F" w:rsidP="00ED3746">
                            <w:pPr>
                              <w:pStyle w:val="Normal12PTcouleurgris"/>
                              <w:rPr>
                                <w:b/>
                                <w:color w:val="F07E31"/>
                              </w:rPr>
                            </w:pPr>
                            <w:r>
                              <w:rPr>
                                <w:noProof/>
                              </w:rPr>
                              <w:drawing>
                                <wp:inline distT="0" distB="0" distL="0" distR="0">
                                  <wp:extent cx="349885" cy="357505"/>
                                  <wp:effectExtent l="0" t="0" r="0" b="0"/>
                                  <wp:docPr id="3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w:t>
                            </w:r>
                            <w:r>
                              <w:rPr>
                                <w:b/>
                                <w:color w:val="F07E31"/>
                              </w:rPr>
                              <w:t>Exemples de soutien possible du PDR à la démarche </w:t>
                            </w:r>
                            <w:proofErr w:type="gramStart"/>
                            <w:r>
                              <w:rPr>
                                <w:b/>
                                <w:color w:val="F07E31"/>
                              </w:rPr>
                              <w:t>1:</w:t>
                            </w:r>
                            <w:proofErr w:type="gramEnd"/>
                          </w:p>
                          <w:p w:rsidR="00260B0F" w:rsidRPr="00230C31" w:rsidRDefault="00260B0F" w:rsidP="00ED3746">
                            <w:pPr>
                              <w:pStyle w:val="Hlistbullet"/>
                              <w:rPr>
                                <w:sz w:val="18"/>
                                <w:szCs w:val="18"/>
                              </w:rPr>
                            </w:pPr>
                            <w:proofErr w:type="gramStart"/>
                            <w:r>
                              <w:rPr>
                                <w:sz w:val="18"/>
                              </w:rPr>
                              <w:t>la</w:t>
                            </w:r>
                            <w:proofErr w:type="gramEnd"/>
                            <w:r>
                              <w:rPr>
                                <w:sz w:val="18"/>
                              </w:rPr>
                              <w:t xml:space="preserve"> mise au point, l’essai et la promotion d’une machine pour lutter contre les mauvaises herbes de façon mécanique sur les terres agricoles [par exemple, les opérations menées au titre des articles 17 et 35 du règlement (UE) nº 1305/2013]; </w:t>
                            </w:r>
                          </w:p>
                          <w:p w:rsidR="00260B0F" w:rsidRPr="00230C31" w:rsidRDefault="00260B0F" w:rsidP="00ED3746">
                            <w:pPr>
                              <w:pStyle w:val="Hlistbullet"/>
                              <w:rPr>
                                <w:sz w:val="18"/>
                                <w:szCs w:val="18"/>
                              </w:rPr>
                            </w:pPr>
                            <w:proofErr w:type="gramStart"/>
                            <w:r>
                              <w:rPr>
                                <w:sz w:val="18"/>
                              </w:rPr>
                              <w:t>l’essai</w:t>
                            </w:r>
                            <w:proofErr w:type="gramEnd"/>
                            <w:r>
                              <w:rPr>
                                <w:sz w:val="18"/>
                              </w:rPr>
                              <w:t xml:space="preserve"> et la fourniture de nouveaux types de services dans les zones rurales [par exemple, les opérations menées au titre des articles 20 et 35 du règlement (UE) nº 1305/2013]; </w:t>
                            </w:r>
                          </w:p>
                          <w:p w:rsidR="00260B0F" w:rsidRPr="00230C31" w:rsidRDefault="00260B0F" w:rsidP="00ED3746">
                            <w:pPr>
                              <w:pStyle w:val="Hlistbullet"/>
                              <w:rPr>
                                <w:sz w:val="18"/>
                                <w:szCs w:val="18"/>
                              </w:rPr>
                            </w:pPr>
                            <w:proofErr w:type="gramStart"/>
                            <w:r>
                              <w:rPr>
                                <w:sz w:val="18"/>
                              </w:rPr>
                              <w:t>l’introduction</w:t>
                            </w:r>
                            <w:proofErr w:type="gramEnd"/>
                            <w:r>
                              <w:rPr>
                                <w:sz w:val="18"/>
                              </w:rPr>
                              <w:t xml:space="preserve"> d’un nouveau mode d’organisation des réunions, des conférences et des formations (par exemple, à l’aide de nouvelles techniques d’animation, de tables rondes) [par exemple, les opérations menées au titre de l’article 14 du règlement (UE) nº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Diagonal Corners Rounded 55" o:spid="_x0000_s1032" style="position:absolute;left:0;text-align:left;margin-left:-5.2pt;margin-top:20.15pt;width:223.05pt;height:348.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32735,4425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" adj="-11796480,,5400" path="m188122,l2832735,r,l2832735,4237193v,103897,-84225,188122,-188122,188122l,4425315r,l,188122c,84225,84225,,188122,xe" filled="f" strokecolor="#f07e31" strokeweight="2pt">
                <v:stroke joinstyle="miter"/>
                <v:formulas/>
                <v:path arrowok="t" o:connecttype="custom" o:connectlocs="188122,0;2832735,0;2832735,0;2832735,4237193;2644613,4425315;0,4425315;0,4425315;0,188122;188122,0" o:connectangles="0,0,0,0,0,0,0,0,0" textboxrect="0,0,2832735,4425315"/>
                <v:textbox>
                  <w:txbxContent>
                    <w:p w:rsidR="00260B0F" w:rsidRPr="00E05D08" w:rsidRDefault="00260B0F" w:rsidP="00ED3746">
                      <w:pPr>
                        <w:pStyle w:val="Normal12PTcouleurgris"/>
                        <w:rPr>
                          <w:b/>
                          <w:color w:val="F07E31"/>
                        </w:rPr>
                      </w:pPr>
                      <w:r>
                        <w:rPr>
                          <w:noProof/>
                        </w:rPr>
                        <w:drawing>
                          <wp:inline distT="0" distB="0" distL="0" distR="0">
                            <wp:extent cx="349885" cy="357505"/>
                            <wp:effectExtent l="0" t="0" r="0" b="0"/>
                            <wp:docPr id="3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w:t>
                      </w:r>
                      <w:r>
                        <w:rPr>
                          <w:b/>
                          <w:color w:val="F07E31"/>
                        </w:rPr>
                        <w:t>Exemples de soutien possible du PDR à la démarche </w:t>
                      </w:r>
                      <w:proofErr w:type="gramStart"/>
                      <w:r>
                        <w:rPr>
                          <w:b/>
                          <w:color w:val="F07E31"/>
                        </w:rPr>
                        <w:t>1:</w:t>
                      </w:r>
                      <w:proofErr w:type="gramEnd"/>
                    </w:p>
                    <w:p w:rsidR="00260B0F" w:rsidRPr="00230C31" w:rsidRDefault="00260B0F" w:rsidP="00ED3746">
                      <w:pPr>
                        <w:pStyle w:val="Hlistbullet"/>
                        <w:rPr>
                          <w:sz w:val="18"/>
                          <w:szCs w:val="18"/>
                        </w:rPr>
                      </w:pPr>
                      <w:proofErr w:type="gramStart"/>
                      <w:r>
                        <w:rPr>
                          <w:sz w:val="18"/>
                        </w:rPr>
                        <w:t>la</w:t>
                      </w:r>
                      <w:proofErr w:type="gramEnd"/>
                      <w:r>
                        <w:rPr>
                          <w:sz w:val="18"/>
                        </w:rPr>
                        <w:t xml:space="preserve"> mise au point, l’essai et la promotion d’une machine pour lutter contre les mauvaises herbes de façon mécanique sur les terres agricoles [par exemple, les opérations menées au titre des articles 17 et 35 du règlement (UE) nº 1305/2013]; </w:t>
                      </w:r>
                    </w:p>
                    <w:p w:rsidR="00260B0F" w:rsidRPr="00230C31" w:rsidRDefault="00260B0F" w:rsidP="00ED3746">
                      <w:pPr>
                        <w:pStyle w:val="Hlistbullet"/>
                        <w:rPr>
                          <w:sz w:val="18"/>
                          <w:szCs w:val="18"/>
                        </w:rPr>
                      </w:pPr>
                      <w:proofErr w:type="gramStart"/>
                      <w:r>
                        <w:rPr>
                          <w:sz w:val="18"/>
                        </w:rPr>
                        <w:t>l’essai</w:t>
                      </w:r>
                      <w:proofErr w:type="gramEnd"/>
                      <w:r>
                        <w:rPr>
                          <w:sz w:val="18"/>
                        </w:rPr>
                        <w:t xml:space="preserve"> et la fourniture de nouveaux types de services dans les zones rurales [par exemple, les opérations menées au titre des articles 20 et 35 du règlement (UE) nº 1305/2013]; </w:t>
                      </w:r>
                    </w:p>
                    <w:p w:rsidR="00260B0F" w:rsidRPr="00230C31" w:rsidRDefault="00260B0F" w:rsidP="00ED3746">
                      <w:pPr>
                        <w:pStyle w:val="Hlistbullet"/>
                        <w:rPr>
                          <w:sz w:val="18"/>
                          <w:szCs w:val="18"/>
                        </w:rPr>
                      </w:pPr>
                      <w:proofErr w:type="gramStart"/>
                      <w:r>
                        <w:rPr>
                          <w:sz w:val="18"/>
                        </w:rPr>
                        <w:t>l’introduction</w:t>
                      </w:r>
                      <w:proofErr w:type="gramEnd"/>
                      <w:r>
                        <w:rPr>
                          <w:sz w:val="18"/>
                        </w:rPr>
                        <w:t xml:space="preserve"> d’un nouveau mode d’organisation des réunions, des conférences et des formations (par exemple, à l’aide de nouvelles techniques d’animation, de tables rondes) [par exemple, les opérations menées au titre de l’article 14 du règlement (UE) nº 1305/2013].</w:t>
                      </w:r>
                    </w:p>
                  </w:txbxContent>
                </v:textbox>
                <w10:wrap type="square"/>
              </v:shape>
            </w:pict>
          </mc:Fallback>
        </mc:AlternateContent>
      </w:r>
    </w:p>
    <w:p w:rsidR="00ED3746" w:rsidRPr="00E05D08" w:rsidRDefault="00ED3746" w:rsidP="00ED3746">
      <w:pPr>
        <w:spacing w:after="120" w:line="280" w:lineRule="atLeast"/>
        <w:mirrorIndents/>
        <w:rPr>
          <w:rFonts w:eastAsia="Times New Roman" w:cs="Times New Roman"/>
          <w:szCs w:val="20"/>
        </w:rPr>
      </w:pPr>
      <w:r>
        <w:rPr>
          <w:b/>
          <w:color w:val="F07E31"/>
        </w:rPr>
        <w:t>La première démarche</w:t>
      </w:r>
      <w:r>
        <w:t xml:space="preserve"> peut être décrite comme la capacité de repérer et de cultiver des idées prometteuses qui sont susceptibles de mener à un type d’innovation (technologique, non technologique, sociale, organisationnelle, etc.). Cette nouvelle idée grandit pour devenir une véritable innovation, qui répond idéalement à un besoin bien précis ou qui constitue une possibilité pour un grand nombre de personnes. Les deux principaux moyens de cultiver des idées en vue de créer des processus d’innovation sont les </w:t>
      </w:r>
      <w:proofErr w:type="gramStart"/>
      <w:r>
        <w:t>suivants:</w:t>
      </w:r>
      <w:proofErr w:type="gramEnd"/>
      <w:r>
        <w:t xml:space="preserve"> 1) par une approche individuelle (trouver un homme/une femme qui a une idée et l’aider à la cultiver); 2) à l’aide de différents acteurs travaillant en groupes pour découvrir de nouvelles idées à cultiver (en rassemblant les meilleurs partenaires en un groupe, qui combine les compétences complémentaires requises pour créer un projet d’innovation). </w:t>
      </w:r>
    </w:p>
    <w:bookmarkEnd w:id="21"/>
    <w:p w:rsidR="00ED3746" w:rsidRDefault="00ED3746" w:rsidP="00ED3746">
      <w:pPr>
        <w:spacing w:after="120" w:line="280" w:lineRule="atLeast"/>
        <w:mirrorIndents/>
        <w:rPr>
          <w:rFonts w:eastAsia="Times New Roman" w:cs="Times New Roman"/>
          <w:szCs w:val="20"/>
        </w:rPr>
      </w:pPr>
      <w:r>
        <w:t xml:space="preserve">Pour être innovante, l’idée, ou du moins certains de ses aspects, doit être nouvelle dans l’environnement ou l’endroit en question et constituer une promesse crédible d’être utile (autrement dit, d’aider une ou plusieurs parties concernées à faire quelque chose différemment, mieux ou à moindre frais, de répondre à un besoin ou de développer une possibilité). </w:t>
      </w:r>
    </w:p>
    <w:p w:rsidR="00ED3746" w:rsidRPr="00E05D08" w:rsidRDefault="00ED3746" w:rsidP="005169DB">
      <w:pPr>
        <w:rPr>
          <w:rFonts w:eastAsia="Times New Roman" w:cs="Times New Roman"/>
          <w:szCs w:val="20"/>
        </w:rPr>
      </w:pPr>
      <w:r>
        <w:rPr>
          <w:b/>
          <w:color w:val="F07E31"/>
        </w:rPr>
        <w:t>La deuxième démarche</w:t>
      </w:r>
      <w:r>
        <w:t xml:space="preserve"> consiste à renforcer la capacité d’innover. Cette démarche est, dans certains cas, le résultat de la première démarche. Le PDR peut faciliter le processus de détermination des difficultés et des possibilités de développement afin de rassembler des acteurs de l’innovation intéressés et pertinents [par exemple, par l’intermédiaire des groupes opérationnels du PEI</w:t>
      </w:r>
      <w:r>
        <w:rPr>
          <w:vertAlign w:val="superscript"/>
        </w:rPr>
        <w:footnoteReference w:id="5"/>
      </w:r>
      <w:r>
        <w:t xml:space="preserve"> qui testent les pratiques innovantes grâce à une coopération entre des acteurs pertinents qui possèdent des connaissances complémentaires (par exemple, les agriculteurs, les entreprises, les services de conseil, les chercheurs et d’autres) afin d’atteindre les objectifs d’un projet innovant]. Cela aide à combler le fossé entre la science et la pratique en renforçant les compétences et les connaissances nécessaires. Les synergies créées par les projets à acteurs multiples financés au titre de la politique de recherche et d’innovation de l’Union Horizon 2020 peuvent aussi être utiles</w:t>
      </w:r>
      <w:r>
        <w:rPr>
          <w:vertAlign w:val="superscript"/>
        </w:rPr>
        <w:footnoteReference w:id="6"/>
      </w:r>
      <w:r>
        <w:t> </w:t>
      </w:r>
      <w:r>
        <w:rPr>
          <w:vertAlign w:val="superscript"/>
        </w:rPr>
        <w:footnoteReference w:id="7"/>
      </w:r>
      <w:r>
        <w:t xml:space="preserve">. Les groupes opérationnels peuvent </w:t>
      </w:r>
      <w:r>
        <w:lastRenderedPageBreak/>
        <w:t xml:space="preserve">faire apparaître des niches sociotechniques. Une niche sociotechnique est un espace protégé qui permet aux personnes d’en apprendre davantage sur les nouvelles technologies, les institutions ou les nouvelles manières de faire les choses, et de les expérimenter. Lorsqu’elles sont bien construites et connectées, les niches peuvent faire office d’éléments constitutifs de changements sociétaux plus </w:t>
      </w:r>
      <w:r w:rsidR="00706C65">
        <w:rPr>
          <w:noProof/>
        </w:rPr>
        <mc:AlternateContent>
          <mc:Choice Requires="wps">
            <w:drawing>
              <wp:anchor distT="0" distB="0" distL="114300" distR="114300" simplePos="0" relativeHeight="251657728" behindDoc="0" locked="0" layoutInCell="1" allowOverlap="1">
                <wp:simplePos x="0" y="0"/>
                <wp:positionH relativeFrom="column">
                  <wp:posOffset>-417195</wp:posOffset>
                </wp:positionH>
                <wp:positionV relativeFrom="paragraph">
                  <wp:posOffset>914400</wp:posOffset>
                </wp:positionV>
                <wp:extent cx="6460490" cy="4030345"/>
                <wp:effectExtent l="0" t="0" r="16510" b="27305"/>
                <wp:wrapSquare wrapText="bothSides"/>
                <wp:docPr id="56" name="Rectangle: Diagonal Corners Rounded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0490" cy="4030345"/>
                        </a:xfrm>
                        <a:custGeom>
                          <a:avLst/>
                          <a:gdLst>
                            <a:gd name="T0" fmla="*/ 246273 w 6090263"/>
                            <a:gd name="T1" fmla="*/ 0 h 3712845"/>
                            <a:gd name="T2" fmla="*/ 6090263 w 6090263"/>
                            <a:gd name="T3" fmla="*/ 0 h 3712845"/>
                            <a:gd name="T4" fmla="*/ 6090263 w 6090263"/>
                            <a:gd name="T5" fmla="*/ 0 h 3712845"/>
                            <a:gd name="T6" fmla="*/ 6090263 w 6090263"/>
                            <a:gd name="T7" fmla="*/ 3466572 h 3712845"/>
                            <a:gd name="T8" fmla="*/ 5843990 w 6090263"/>
                            <a:gd name="T9" fmla="*/ 3712845 h 3712845"/>
                            <a:gd name="T10" fmla="*/ 0 w 6090263"/>
                            <a:gd name="T11" fmla="*/ 3712845 h 3712845"/>
                            <a:gd name="T12" fmla="*/ 0 w 6090263"/>
                            <a:gd name="T13" fmla="*/ 3712845 h 3712845"/>
                            <a:gd name="T14" fmla="*/ 0 w 6090263"/>
                            <a:gd name="T15" fmla="*/ 246273 h 3712845"/>
                            <a:gd name="T16" fmla="*/ 246273 w 6090263"/>
                            <a:gd name="T17" fmla="*/ 0 h 371284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0263"/>
                            <a:gd name="T28" fmla="*/ 0 h 3712845"/>
                            <a:gd name="T29" fmla="*/ 6090263 w 6090263"/>
                            <a:gd name="T30" fmla="*/ 3712845 h 371284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0263" h="3712845">
                              <a:moveTo>
                                <a:pt x="246273" y="0"/>
                              </a:moveTo>
                              <a:lnTo>
                                <a:pt x="6090263" y="0"/>
                              </a:lnTo>
                              <a:lnTo>
                                <a:pt x="6090263" y="3466572"/>
                              </a:lnTo>
                              <a:cubicBezTo>
                                <a:pt x="6090263" y="3602585"/>
                                <a:pt x="5980003" y="3712845"/>
                                <a:pt x="5843990" y="3712845"/>
                              </a:cubicBezTo>
                              <a:lnTo>
                                <a:pt x="0" y="3712845"/>
                              </a:lnTo>
                              <a:lnTo>
                                <a:pt x="0" y="246273"/>
                              </a:lnTo>
                              <a:cubicBezTo>
                                <a:pt x="0" y="110260"/>
                                <a:pt x="110260" y="0"/>
                                <a:pt x="246273" y="0"/>
                              </a:cubicBezTo>
                              <a:close/>
                            </a:path>
                          </a:pathLst>
                        </a:custGeom>
                        <a:noFill/>
                        <a:ln w="25400" algn="ctr">
                          <a:solidFill>
                            <a:srgbClr val="F07E31"/>
                          </a:solidFill>
                          <a:miter lim="800000"/>
                          <a:headEnd/>
                          <a:tailEnd/>
                        </a:ln>
                        <a:extLst>
                          <a:ext uri="{909E8E84-426E-40DD-AFC4-6F175D3DCCD1}">
                            <a14:hiddenFill xmlns:a14="http://schemas.microsoft.com/office/drawing/2010/main">
                              <a:solidFill>
                                <a:srgbClr val="FFFFFF"/>
                              </a:solidFill>
                            </a14:hiddenFill>
                          </a:ext>
                        </a:extLst>
                      </wps:spPr>
                      <wps:txbx>
                        <w:txbxContent>
                          <w:p w:rsidR="00260B0F" w:rsidRPr="002F0ABF" w:rsidRDefault="00260B0F" w:rsidP="00ED3746">
                            <w:pPr>
                              <w:pStyle w:val="Normal12PTcouleurgris"/>
                              <w:rPr>
                                <w:b/>
                                <w:color w:val="F07E31"/>
                                <w:sz w:val="16"/>
                                <w:szCs w:val="16"/>
                              </w:rPr>
                            </w:pPr>
                            <w:r>
                              <w:rPr>
                                <w:noProof/>
                              </w:rPr>
                              <w:drawing>
                                <wp:inline distT="0" distB="0" distL="0" distR="0">
                                  <wp:extent cx="349885" cy="357505"/>
                                  <wp:effectExtent l="0" t="0" r="0" b="0"/>
                                  <wp:docPr id="3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6"/>
                              </w:rPr>
                              <w:t>Exemples de soutien possible du PDR à la démarche 2</w:t>
                            </w:r>
                          </w:p>
                          <w:p w:rsidR="00260B0F" w:rsidRPr="002F0ABF" w:rsidRDefault="00260B0F" w:rsidP="00ED3746">
                            <w:pPr>
                              <w:pStyle w:val="Normal12PTcouleurgris"/>
                              <w:rPr>
                                <w:sz w:val="16"/>
                                <w:szCs w:val="16"/>
                              </w:rPr>
                            </w:pPr>
                            <w:r>
                              <w:rPr>
                                <w:sz w:val="16"/>
                              </w:rPr>
                              <w:t>Les compétences et qualités suivantes des acteurs de l’innovation</w:t>
                            </w:r>
                            <w:r>
                              <w:rPr>
                                <w:sz w:val="16"/>
                                <w:vertAlign w:val="superscript"/>
                              </w:rPr>
                              <w:t>9</w:t>
                            </w:r>
                            <w:r>
                              <w:rPr>
                                <w:sz w:val="16"/>
                              </w:rPr>
                              <w:t xml:space="preserve"> peuvent être favorisées par le PDR et influencer les opérations liées à la</w:t>
                            </w:r>
                            <w:proofErr w:type="gramStart"/>
                            <w:r>
                              <w:rPr>
                                <w:sz w:val="16"/>
                              </w:rPr>
                              <w:t xml:space="preserve"> «capacité</w:t>
                            </w:r>
                            <w:proofErr w:type="gramEnd"/>
                            <w:r>
                              <w:rPr>
                                <w:sz w:val="16"/>
                              </w:rPr>
                              <w:t xml:space="preserve"> d’innover»: </w:t>
                            </w:r>
                          </w:p>
                          <w:p w:rsidR="00260B0F" w:rsidRPr="002F0ABF" w:rsidRDefault="00260B0F" w:rsidP="00ED3746">
                            <w:pPr>
                              <w:pStyle w:val="Hlistbullet"/>
                              <w:rPr>
                                <w:sz w:val="16"/>
                                <w:szCs w:val="16"/>
                              </w:rPr>
                            </w:pPr>
                            <w:proofErr w:type="gramStart"/>
                            <w:r>
                              <w:rPr>
                                <w:sz w:val="16"/>
                              </w:rPr>
                              <w:t>les</w:t>
                            </w:r>
                            <w:proofErr w:type="gramEnd"/>
                            <w:r>
                              <w:rPr>
                                <w:sz w:val="16"/>
                              </w:rPr>
                              <w:t xml:space="preserve"> connaissances et les compétences techniques et propres à un certain domaine qui sont requises pour faire en sorte que les nouvelles idées fonctionnent en pratique, notamment la capacité de déterminer les options et de choisir entre celles-ci [par exemple, les opérations menées au titre des articles 14, 15 et 35 du règlement (UE) nº 1305/2013];</w:t>
                            </w:r>
                          </w:p>
                          <w:p w:rsidR="00260B0F" w:rsidRPr="002F0ABF" w:rsidRDefault="00260B0F" w:rsidP="00ED3746">
                            <w:pPr>
                              <w:pStyle w:val="Hlistbullet"/>
                              <w:rPr>
                                <w:sz w:val="16"/>
                                <w:szCs w:val="16"/>
                              </w:rPr>
                            </w:pPr>
                            <w:r>
                              <w:t>les compétences organisationnelles et non techniques requises dans le cadre de la facilitation et du courtage</w:t>
                            </w:r>
                            <w:r>
                              <w:rPr>
                                <w:sz w:val="16"/>
                                <w:vertAlign w:val="superscript"/>
                              </w:rPr>
                              <w:t>10</w:t>
                            </w:r>
                            <w:r>
                              <w:rPr>
                                <w:sz w:val="16"/>
                              </w:rPr>
                              <w:t xml:space="preserve"> des processus d’innovation, notamment la capacité de mettre les parties concernées en relation et en réseau, la capacité d’accomplir les cycles de visionnement itératif, de planification et d’apprentissage réflectif, et la capacité de déterminer les principales dynamiques et difficultés du système [par exemple, les opérations menées au titre de l’article 35 du règlement (UE) nº 1305/2013];</w:t>
                            </w:r>
                          </w:p>
                          <w:p w:rsidR="00260B0F" w:rsidRPr="002F0ABF" w:rsidRDefault="00260B0F" w:rsidP="00ED3746">
                            <w:pPr>
                              <w:pStyle w:val="Hlistbullet"/>
                              <w:rPr>
                                <w:sz w:val="16"/>
                                <w:szCs w:val="16"/>
                              </w:rPr>
                            </w:pPr>
                            <w:proofErr w:type="gramStart"/>
                            <w:r>
                              <w:rPr>
                                <w:sz w:val="16"/>
                              </w:rPr>
                              <w:t>une</w:t>
                            </w:r>
                            <w:proofErr w:type="gramEnd"/>
                            <w:r>
                              <w:rPr>
                                <w:sz w:val="16"/>
                              </w:rPr>
                              <w:t xml:space="preserve"> capacité accrue d’action collective effective</w:t>
                            </w:r>
                            <w:r>
                              <w:rPr>
                                <w:sz w:val="16"/>
                                <w:vertAlign w:val="superscript"/>
                              </w:rPr>
                              <w:t>11</w:t>
                            </w:r>
                            <w:r>
                              <w:rPr>
                                <w:sz w:val="16"/>
                              </w:rPr>
                              <w:t xml:space="preserve"> (par exemple, pour organiser des activités de démonstration et d’information de manière collaborative dans le but de transférer les expériences et les connaissances entre les acteurs, ou pour la coopération entre les acteurs de la chaîne d'approvisionnement dans le cadre de la fourniture de biomasse pour la production d’aliments et d’énergie, etc.) [opérations menées au titre des articles 14, 15 et 35 du règlement (UE) nº 1305/2013];</w:t>
                            </w:r>
                          </w:p>
                          <w:p w:rsidR="00260B0F" w:rsidRPr="002F0ABF" w:rsidRDefault="00260B0F" w:rsidP="00ED3746">
                            <w:pPr>
                              <w:pStyle w:val="Hlistbullet"/>
                              <w:rPr>
                                <w:sz w:val="16"/>
                                <w:szCs w:val="16"/>
                              </w:rPr>
                            </w:pPr>
                            <w:proofErr w:type="gramStart"/>
                            <w:r>
                              <w:rPr>
                                <w:sz w:val="16"/>
                              </w:rPr>
                              <w:t>les</w:t>
                            </w:r>
                            <w:proofErr w:type="gramEnd"/>
                            <w:r>
                              <w:rPr>
                                <w:sz w:val="16"/>
                              </w:rPr>
                              <w:t xml:space="preserve"> interventions du PDR peuvent renforcer la capacité d’innover en offrant des possibilités de transfert de connaissances (par exemple, des services, des formations et des activités de mentorat) [opérations menées au titre de l’article 15 du règlement (UE) nº 1305/2013].</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57" o:spid="_x0000_s1033" style="position:absolute;left:0;text-align:left;margin-left:-32.85pt;margin-top:1in;width:508.7pt;height:31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90263,3712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" adj="-11796480,,5400" path="m246273,l6090263,r,3466572c6090263,3602585,5980003,3712845,5843990,3712845l,3712845,,246273c,110260,110260,,246273,xe" filled="f" strokecolor="#f07e31" strokeweight="2pt">
                <v:stroke joinstyle="miter"/>
                <v:formulas/>
                <v:path arrowok="t" o:connecttype="custom" o:connectlocs="261244,0;6460490,0;6460490,0;6460490,3763012;6199246,4030345;0,4030345;0,4030345;0,267333;261244,0" o:connectangles="0,0,0,0,0,0,0,0,0" textboxrect="0,0,6090263,3712845"/>
                <v:textbox inset=",0,,0">
                  <w:txbxContent>
                    <w:p w:rsidR="00260B0F" w:rsidRPr="002F0ABF" w:rsidRDefault="00260B0F" w:rsidP="00ED3746">
                      <w:pPr>
                        <w:pStyle w:val="Normal12PTcouleurgris"/>
                        <w:rPr>
                          <w:b/>
                          <w:color w:val="F07E31"/>
                          <w:sz w:val="16"/>
                          <w:szCs w:val="16"/>
                        </w:rPr>
                      </w:pPr>
                      <w:r>
                        <w:rPr>
                          <w:noProof/>
                        </w:rPr>
                        <w:drawing>
                          <wp:inline distT="0" distB="0" distL="0" distR="0">
                            <wp:extent cx="349885" cy="357505"/>
                            <wp:effectExtent l="0" t="0" r="0" b="0"/>
                            <wp:docPr id="3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6"/>
                        </w:rPr>
                        <w:t>Exemples de soutien possible du PDR à la démarche 2</w:t>
                      </w:r>
                    </w:p>
                    <w:p w:rsidR="00260B0F" w:rsidRPr="002F0ABF" w:rsidRDefault="00260B0F" w:rsidP="00ED3746">
                      <w:pPr>
                        <w:pStyle w:val="Normal12PTcouleurgris"/>
                        <w:rPr>
                          <w:sz w:val="16"/>
                          <w:szCs w:val="16"/>
                        </w:rPr>
                      </w:pPr>
                      <w:r>
                        <w:rPr>
                          <w:sz w:val="16"/>
                        </w:rPr>
                        <w:t>Les compétences et qualités suivantes des acteurs de l’innovation</w:t>
                      </w:r>
                      <w:r>
                        <w:rPr>
                          <w:sz w:val="16"/>
                          <w:vertAlign w:val="superscript"/>
                        </w:rPr>
                        <w:t>9</w:t>
                      </w:r>
                      <w:r>
                        <w:rPr>
                          <w:sz w:val="16"/>
                        </w:rPr>
                        <w:t xml:space="preserve"> peuvent être favorisées par le PDR et influencer les opérations liées à la</w:t>
                      </w:r>
                      <w:proofErr w:type="gramStart"/>
                      <w:r>
                        <w:rPr>
                          <w:sz w:val="16"/>
                        </w:rPr>
                        <w:t xml:space="preserve"> «capacité</w:t>
                      </w:r>
                      <w:proofErr w:type="gramEnd"/>
                      <w:r>
                        <w:rPr>
                          <w:sz w:val="16"/>
                        </w:rPr>
                        <w:t xml:space="preserve"> d’innover»: </w:t>
                      </w:r>
                    </w:p>
                    <w:p w:rsidR="00260B0F" w:rsidRPr="002F0ABF" w:rsidRDefault="00260B0F" w:rsidP="00ED3746">
                      <w:pPr>
                        <w:pStyle w:val="Hlistbullet"/>
                        <w:rPr>
                          <w:sz w:val="16"/>
                          <w:szCs w:val="16"/>
                        </w:rPr>
                      </w:pPr>
                      <w:proofErr w:type="gramStart"/>
                      <w:r>
                        <w:rPr>
                          <w:sz w:val="16"/>
                        </w:rPr>
                        <w:t>les</w:t>
                      </w:r>
                      <w:proofErr w:type="gramEnd"/>
                      <w:r>
                        <w:rPr>
                          <w:sz w:val="16"/>
                        </w:rPr>
                        <w:t xml:space="preserve"> connaissances et les compétences techniques et propres à un certain domaine qui sont requises pour faire en sorte que les nouvelles idées fonctionnent en pratique, notamment la capacité de déterminer les options et de choisir entre celles-ci [par exemple, les opérations menées au titre des articles 14, 15 et 35 du règlement (UE) nº 1305/2013];</w:t>
                      </w:r>
                    </w:p>
                    <w:p w:rsidR="00260B0F" w:rsidRPr="002F0ABF" w:rsidRDefault="00260B0F" w:rsidP="00ED3746">
                      <w:pPr>
                        <w:pStyle w:val="Hlistbullet"/>
                        <w:rPr>
                          <w:sz w:val="16"/>
                          <w:szCs w:val="16"/>
                        </w:rPr>
                      </w:pPr>
                      <w:r>
                        <w:t>les compétences organisationnelles et non techniques requises dans le cadre de la facilitation et du courtage</w:t>
                      </w:r>
                      <w:r>
                        <w:rPr>
                          <w:sz w:val="16"/>
                          <w:vertAlign w:val="superscript"/>
                        </w:rPr>
                        <w:t>10</w:t>
                      </w:r>
                      <w:r>
                        <w:rPr>
                          <w:sz w:val="16"/>
                        </w:rPr>
                        <w:t xml:space="preserve"> des processus d’innovation, notamment la capacité de mettre les parties concernées en relation et en réseau, la capacité d’accomplir les cycles de visionnement itératif, de planification et d’apprentissage réflectif, et la capacité de déterminer les principales dynamiques et difficultés du système [par exemple, les opérations menées au titre de l’article 35 du règlement (UE) nº 1305/2013];</w:t>
                      </w:r>
                    </w:p>
                    <w:p w:rsidR="00260B0F" w:rsidRPr="002F0ABF" w:rsidRDefault="00260B0F" w:rsidP="00ED3746">
                      <w:pPr>
                        <w:pStyle w:val="Hlistbullet"/>
                        <w:rPr>
                          <w:sz w:val="16"/>
                          <w:szCs w:val="16"/>
                        </w:rPr>
                      </w:pPr>
                      <w:proofErr w:type="gramStart"/>
                      <w:r>
                        <w:rPr>
                          <w:sz w:val="16"/>
                        </w:rPr>
                        <w:t>une</w:t>
                      </w:r>
                      <w:proofErr w:type="gramEnd"/>
                      <w:r>
                        <w:rPr>
                          <w:sz w:val="16"/>
                        </w:rPr>
                        <w:t xml:space="preserve"> capacité accrue d’action collective effective</w:t>
                      </w:r>
                      <w:r>
                        <w:rPr>
                          <w:sz w:val="16"/>
                          <w:vertAlign w:val="superscript"/>
                        </w:rPr>
                        <w:t>11</w:t>
                      </w:r>
                      <w:r>
                        <w:rPr>
                          <w:sz w:val="16"/>
                        </w:rPr>
                        <w:t xml:space="preserve"> (par exemple, pour organiser des activités de démonstration et d’information de manière collaborative dans le but de transférer les expériences et les connaissances entre les acteurs, ou pour la coopération entre les acteurs de la chaîne d'approvisionnement dans le cadre de la fourniture de biomasse pour la production d’aliments et d’énergie, etc.) [opérations menées au titre des articles 14, 15 et 35 du règlement (UE) nº 1305/2013];</w:t>
                      </w:r>
                    </w:p>
                    <w:p w:rsidR="00260B0F" w:rsidRPr="002F0ABF" w:rsidRDefault="00260B0F" w:rsidP="00ED3746">
                      <w:pPr>
                        <w:pStyle w:val="Hlistbullet"/>
                        <w:rPr>
                          <w:sz w:val="16"/>
                          <w:szCs w:val="16"/>
                        </w:rPr>
                      </w:pPr>
                      <w:proofErr w:type="gramStart"/>
                      <w:r>
                        <w:rPr>
                          <w:sz w:val="16"/>
                        </w:rPr>
                        <w:t>les</w:t>
                      </w:r>
                      <w:proofErr w:type="gramEnd"/>
                      <w:r>
                        <w:rPr>
                          <w:sz w:val="16"/>
                        </w:rPr>
                        <w:t xml:space="preserve"> interventions du PDR peuvent renforcer la capacité d’innover en offrant des possibilités de transfert de connaissances (par exemple, des services, des formations et des activités de mentorat) [opérations menées au titre de l’article 15 du règlement (UE) nº 1305/2013].</w:t>
                      </w:r>
                    </w:p>
                  </w:txbxContent>
                </v:textbox>
                <w10:wrap type="square"/>
              </v:shape>
            </w:pict>
          </mc:Fallback>
        </mc:AlternateContent>
      </w:r>
      <w:r>
        <w:t>vastes sur la voie du développement durable</w:t>
      </w:r>
      <w:r>
        <w:rPr>
          <w:vertAlign w:val="superscript"/>
        </w:rPr>
        <w:footnoteReference w:id="8"/>
      </w:r>
      <w:r>
        <w:t xml:space="preserve">. </w:t>
      </w:r>
      <w:r>
        <w:rPr>
          <w:rStyle w:val="FootnoteReference"/>
          <w:color w:val="FFFFFF"/>
        </w:rPr>
        <w:footnoteReference w:id="9"/>
      </w:r>
      <w:r>
        <w:rPr>
          <w:rStyle w:val="FootnoteReference"/>
          <w:color w:val="FFFFFF"/>
        </w:rPr>
        <w:footnoteReference w:id="10"/>
      </w:r>
      <w:r>
        <w:rPr>
          <w:rStyle w:val="FootnoteReference"/>
          <w:color w:val="FFFFFF"/>
        </w:rPr>
        <w:footnoteReference w:id="11"/>
      </w:r>
    </w:p>
    <w:p w:rsidR="00007AF8" w:rsidRDefault="00007AF8" w:rsidP="00ED3746">
      <w:pPr>
        <w:spacing w:after="120" w:line="280" w:lineRule="atLeast"/>
        <w:mirrorIndents/>
      </w:pPr>
    </w:p>
    <w:p w:rsidR="005169DB" w:rsidRDefault="005169DB" w:rsidP="00ED3746">
      <w:pPr>
        <w:spacing w:after="120" w:line="280" w:lineRule="atLeast"/>
        <w:mirrorIndents/>
      </w:pPr>
    </w:p>
    <w:p w:rsidR="005169DB" w:rsidRPr="005169DB" w:rsidRDefault="005169DB" w:rsidP="00ED3746">
      <w:pPr>
        <w:spacing w:after="120" w:line="280" w:lineRule="atLeast"/>
        <w:mirrorIndents/>
      </w:pPr>
    </w:p>
    <w:p w:rsidR="005169DB" w:rsidRPr="005169DB" w:rsidRDefault="005169DB" w:rsidP="00ED3746">
      <w:pPr>
        <w:spacing w:after="120" w:line="280" w:lineRule="atLeast"/>
        <w:mirrorIndents/>
      </w:pPr>
    </w:p>
    <w:p w:rsidR="005169DB" w:rsidRPr="005169DB" w:rsidRDefault="005169DB" w:rsidP="00ED3746">
      <w:pPr>
        <w:spacing w:after="120" w:line="280" w:lineRule="atLeast"/>
        <w:mirrorIndents/>
      </w:pPr>
    </w:p>
    <w:p w:rsidR="005169DB" w:rsidRPr="005169DB" w:rsidRDefault="005169DB" w:rsidP="00ED3746">
      <w:pPr>
        <w:spacing w:after="120" w:line="280" w:lineRule="atLeast"/>
        <w:mirrorIndents/>
      </w:pPr>
    </w:p>
    <w:p w:rsidR="005169DB" w:rsidRPr="005169DB" w:rsidRDefault="005169DB" w:rsidP="00ED3746">
      <w:pPr>
        <w:spacing w:after="120" w:line="280" w:lineRule="atLeast"/>
        <w:mirrorIndents/>
      </w:pPr>
    </w:p>
    <w:p w:rsidR="005169DB" w:rsidRPr="005169DB" w:rsidRDefault="005169DB" w:rsidP="00ED3746">
      <w:pPr>
        <w:spacing w:after="120" w:line="280" w:lineRule="atLeast"/>
        <w:mirrorIndents/>
      </w:pPr>
    </w:p>
    <w:p w:rsidR="005169DB" w:rsidRPr="005169DB" w:rsidRDefault="005169DB" w:rsidP="00ED3746">
      <w:pPr>
        <w:spacing w:after="120" w:line="280" w:lineRule="atLeast"/>
        <w:mirrorIndents/>
      </w:pPr>
    </w:p>
    <w:p w:rsidR="005169DB" w:rsidRPr="005169DB" w:rsidRDefault="005169DB" w:rsidP="00ED3746">
      <w:pPr>
        <w:spacing w:after="120" w:line="280" w:lineRule="atLeast"/>
        <w:mirrorIndents/>
      </w:pPr>
    </w:p>
    <w:p w:rsidR="00ED3746" w:rsidRPr="00E05D08" w:rsidRDefault="00F204F1" w:rsidP="00ED3746">
      <w:pPr>
        <w:spacing w:after="120" w:line="280" w:lineRule="atLeast"/>
        <w:mirrorIndents/>
        <w:rPr>
          <w:rFonts w:eastAsia="Times New Roman" w:cs="Times New Roman"/>
          <w:szCs w:val="20"/>
        </w:rPr>
      </w:pPr>
      <w:r>
        <w:rPr>
          <w:noProof/>
        </w:rPr>
        <w:lastRenderedPageBreak/>
        <mc:AlternateContent>
          <mc:Choice Requires="wps">
            <w:drawing>
              <wp:anchor distT="0" distB="0" distL="114300" distR="114300" simplePos="0" relativeHeight="251665920" behindDoc="0" locked="0" layoutInCell="1" allowOverlap="1">
                <wp:simplePos x="0" y="0"/>
                <wp:positionH relativeFrom="column">
                  <wp:posOffset>3235325</wp:posOffset>
                </wp:positionH>
                <wp:positionV relativeFrom="paragraph">
                  <wp:posOffset>23495</wp:posOffset>
                </wp:positionV>
                <wp:extent cx="2832735" cy="7510145"/>
                <wp:effectExtent l="15875" t="13970" r="18415" b="19685"/>
                <wp:wrapSquare wrapText="bothSides"/>
                <wp:docPr id="55" name="Rectangle: Diagonal Corners Rounded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32735" cy="7510145"/>
                        </a:xfrm>
                        <a:custGeom>
                          <a:avLst/>
                          <a:gdLst>
                            <a:gd name="T0" fmla="*/ 167330 w 2832735"/>
                            <a:gd name="T1" fmla="*/ 0 h 6774815"/>
                            <a:gd name="T2" fmla="*/ 2832735 w 2832735"/>
                            <a:gd name="T3" fmla="*/ 0 h 6774815"/>
                            <a:gd name="T4" fmla="*/ 2832735 w 2832735"/>
                            <a:gd name="T5" fmla="*/ 0 h 6774815"/>
                            <a:gd name="T6" fmla="*/ 2832735 w 2832735"/>
                            <a:gd name="T7" fmla="*/ 6607485 h 6774815"/>
                            <a:gd name="T8" fmla="*/ 2665405 w 2832735"/>
                            <a:gd name="T9" fmla="*/ 6774815 h 6774815"/>
                            <a:gd name="T10" fmla="*/ 0 w 2832735"/>
                            <a:gd name="T11" fmla="*/ 6774815 h 6774815"/>
                            <a:gd name="T12" fmla="*/ 0 w 2832735"/>
                            <a:gd name="T13" fmla="*/ 6774815 h 6774815"/>
                            <a:gd name="T14" fmla="*/ 0 w 2832735"/>
                            <a:gd name="T15" fmla="*/ 167330 h 6774815"/>
                            <a:gd name="T16" fmla="*/ 167330 w 2832735"/>
                            <a:gd name="T17" fmla="*/ 0 h 67748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832735"/>
                            <a:gd name="T28" fmla="*/ 0 h 6774815"/>
                            <a:gd name="T29" fmla="*/ 2832735 w 2832735"/>
                            <a:gd name="T30" fmla="*/ 6774815 h 677481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2832735" h="6774815">
                              <a:moveTo>
                                <a:pt x="167330" y="0"/>
                              </a:moveTo>
                              <a:lnTo>
                                <a:pt x="2832735" y="0"/>
                              </a:lnTo>
                              <a:lnTo>
                                <a:pt x="2832735" y="6607485"/>
                              </a:lnTo>
                              <a:cubicBezTo>
                                <a:pt x="2832735" y="6699899"/>
                                <a:pt x="2757819" y="6774815"/>
                                <a:pt x="2665405" y="6774815"/>
                              </a:cubicBezTo>
                              <a:lnTo>
                                <a:pt x="0" y="6774815"/>
                              </a:lnTo>
                              <a:lnTo>
                                <a:pt x="0" y="167330"/>
                              </a:lnTo>
                              <a:cubicBezTo>
                                <a:pt x="0" y="74916"/>
                                <a:pt x="74916" y="0"/>
                                <a:pt x="167330" y="0"/>
                              </a:cubicBezTo>
                              <a:close/>
                            </a:path>
                          </a:pathLst>
                        </a:custGeom>
                        <a:noFill/>
                        <a:ln w="25400" algn="ctr">
                          <a:solidFill>
                            <a:srgbClr val="F07E31"/>
                          </a:solidFill>
                          <a:miter lim="800000"/>
                          <a:headEnd/>
                          <a:tailEnd/>
                        </a:ln>
                        <a:extLst>
                          <a:ext uri="{909E8E84-426E-40DD-AFC4-6F175D3DCCD1}">
                            <a14:hiddenFill xmlns:a14="http://schemas.microsoft.com/office/drawing/2010/main">
                              <a:solidFill>
                                <a:srgbClr val="FFFFFF"/>
                              </a:solidFill>
                            </a14:hiddenFill>
                          </a:ext>
                        </a:extLst>
                      </wps:spPr>
                      <wps:txbx>
                        <w:txbxContent>
                          <w:p w:rsidR="00260B0F" w:rsidRPr="00E05D08" w:rsidRDefault="00260B0F" w:rsidP="005169DB">
                            <w:pPr>
                              <w:pStyle w:val="Normal12PTcouleurgris"/>
                              <w:rPr>
                                <w:b/>
                                <w:color w:val="F07E31"/>
                              </w:rPr>
                            </w:pPr>
                            <w:r>
                              <w:rPr>
                                <w:noProof/>
                              </w:rPr>
                              <w:drawing>
                                <wp:inline distT="0" distB="0" distL="0" distR="0">
                                  <wp:extent cx="349885" cy="357505"/>
                                  <wp:effectExtent l="0" t="0" r="0" b="0"/>
                                  <wp:docPr id="3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w:t>
                            </w:r>
                            <w:r>
                              <w:rPr>
                                <w:b/>
                                <w:color w:val="F07E31"/>
                              </w:rPr>
                              <w:t>Exemples de soutien possible du PDR à la démarche </w:t>
                            </w:r>
                            <w:proofErr w:type="gramStart"/>
                            <w:r>
                              <w:rPr>
                                <w:b/>
                                <w:color w:val="F07E31"/>
                              </w:rPr>
                              <w:t>3:</w:t>
                            </w:r>
                            <w:proofErr w:type="gramEnd"/>
                          </w:p>
                          <w:p w:rsidR="00260B0F" w:rsidRPr="002B58E1" w:rsidRDefault="00260B0F" w:rsidP="005169DB">
                            <w:pPr>
                              <w:pStyle w:val="Hlistbullet"/>
                              <w:rPr>
                                <w:sz w:val="18"/>
                                <w:szCs w:val="18"/>
                              </w:rPr>
                            </w:pPr>
                            <w:proofErr w:type="gramStart"/>
                            <w:r>
                              <w:rPr>
                                <w:sz w:val="18"/>
                              </w:rPr>
                              <w:t>un</w:t>
                            </w:r>
                            <w:proofErr w:type="gramEnd"/>
                            <w:r>
                              <w:rPr>
                                <w:sz w:val="18"/>
                              </w:rPr>
                              <w:t xml:space="preserve"> PDR qui donne la priorité aux actions de formation et d’information [article 14 du règlement (UE) nº 1305/2013] et aux services de conseil [article 15 du règlement (UE) nº 1305/2013] sur la base des pratiques innovantes qui sont mises au point dans leurs GO [article 35 du règlement (UE) nº 1305/2013] ou sur celles mises au point par les GO d’autres régions ou pays (activités des RRN, assistance technique); </w:t>
                            </w:r>
                          </w:p>
                          <w:p w:rsidR="00260B0F" w:rsidRPr="002B58E1" w:rsidRDefault="00260B0F" w:rsidP="005169DB">
                            <w:pPr>
                              <w:pStyle w:val="Hlistbullet"/>
                              <w:rPr>
                                <w:sz w:val="18"/>
                                <w:szCs w:val="18"/>
                              </w:rPr>
                            </w:pPr>
                            <w:proofErr w:type="gramStart"/>
                            <w:r>
                              <w:rPr>
                                <w:sz w:val="18"/>
                              </w:rPr>
                              <w:t>un</w:t>
                            </w:r>
                            <w:proofErr w:type="gramEnd"/>
                            <w:r>
                              <w:rPr>
                                <w:sz w:val="18"/>
                              </w:rPr>
                              <w:t xml:space="preserve"> PDR qui améliore l’accès à l’internet en milieu rural aidera les entreprises locales et les agriculteurs à accéder à l’information et aux marchés et à renforcer ainsi leur capacité et leur motivation à innover [par exemple, les opérations menées au titre de l’article 20 du règlement (UE) nº 1305/2013];</w:t>
                            </w:r>
                          </w:p>
                          <w:p w:rsidR="00260B0F" w:rsidRPr="002B58E1" w:rsidRDefault="00260B0F" w:rsidP="005169DB">
                            <w:pPr>
                              <w:pStyle w:val="Hlistbullet"/>
                              <w:rPr>
                                <w:b/>
                                <w:sz w:val="18"/>
                                <w:szCs w:val="18"/>
                              </w:rPr>
                            </w:pPr>
                            <w:proofErr w:type="gramStart"/>
                            <w:r>
                              <w:rPr>
                                <w:sz w:val="18"/>
                              </w:rPr>
                              <w:t>un</w:t>
                            </w:r>
                            <w:proofErr w:type="gramEnd"/>
                            <w:r>
                              <w:rPr>
                                <w:sz w:val="18"/>
                              </w:rPr>
                              <w:t xml:space="preserve"> PDR qui met au point un équipement de labourage innovant afin d’incorporer les résidus de culture d’un GO peut encourager les investissements innovants et un contrôle plus strict de l’application des lois afin d’interdire la crémation des résidus de culture [par exemple, opérations menées au titre de l’article 17 du règlement (UE) nº 1305/2013];</w:t>
                            </w:r>
                          </w:p>
                          <w:p w:rsidR="00260B0F" w:rsidRPr="002B58E1" w:rsidRDefault="00260B0F" w:rsidP="005169DB">
                            <w:pPr>
                              <w:pStyle w:val="Hlistbullet"/>
                              <w:rPr>
                                <w:sz w:val="18"/>
                                <w:szCs w:val="18"/>
                              </w:rPr>
                            </w:pPr>
                            <w:proofErr w:type="gramStart"/>
                            <w:r>
                              <w:t>un</w:t>
                            </w:r>
                            <w:proofErr w:type="gramEnd"/>
                            <w:r>
                              <w:t xml:space="preserve"> PDR qui soutient l’établissement de circuits d’approvisionnement courts pour les denrées alimentaires ou de coopératives de producteurs</w:t>
                            </w:r>
                            <w:r>
                              <w:rPr>
                                <w:sz w:val="18"/>
                              </w:rPr>
                              <w:t xml:space="preserve"> peut renforcer les liens et la coopération entre les consommateurs et les producteurs afin de créer un système de denrées alimentaires plus innovant</w:t>
                            </w:r>
                            <w:r>
                              <w:rPr>
                                <w:sz w:val="18"/>
                                <w:vertAlign w:val="superscript"/>
                              </w:rPr>
                              <w:t>13</w:t>
                            </w:r>
                            <w:r>
                              <w:rPr>
                                <w:sz w:val="18"/>
                              </w:rPr>
                              <w:t xml:space="preserve"> [par exemple, les opérations au titre des articles 16, 17 et 35 du règlement (UE) nº 1305/2013];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 id="Rectangle: Diagonal Corners Rounded 59" o:spid="_x0000_s1034" style="position:absolute;left:0;text-align:left;margin-left:254.75pt;margin-top:1.85pt;width:223.05pt;height:59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832735,67748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" adj="-11796480,,5400" path="m167330,l2832735,r,6607485c2832735,6699899,2757819,6774815,2665405,6774815l,6774815,,167330c,74916,74916,,167330,xe" filled="f" strokecolor="#f07e31" strokeweight="2pt">
                <v:stroke joinstyle="miter"/>
                <v:formulas/>
                <v:path arrowok="t" o:connecttype="custom" o:connectlocs="167330,0;2832735,0;2832735,0;2832735,7324653;2665405,7510145;0,7510145;0,7510145;0,185492;167330,0" o:connectangles="0,0,0,0,0,0,0,0,0" textboxrect="0,0,2832735,6774815"/>
                <v:textbox>
                  <w:txbxContent>
                    <w:p w:rsidR="00260B0F" w:rsidRPr="00E05D08" w:rsidRDefault="00260B0F" w:rsidP="005169DB">
                      <w:pPr>
                        <w:pStyle w:val="Normal12PTcouleurgris"/>
                        <w:rPr>
                          <w:b/>
                          <w:color w:val="F07E31"/>
                        </w:rPr>
                      </w:pPr>
                      <w:r>
                        <w:rPr>
                          <w:noProof/>
                        </w:rPr>
                        <w:drawing>
                          <wp:inline distT="0" distB="0" distL="0" distR="0">
                            <wp:extent cx="349885" cy="357505"/>
                            <wp:effectExtent l="0" t="0" r="0" b="0"/>
                            <wp:docPr id="3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w:t>
                      </w:r>
                      <w:r>
                        <w:rPr>
                          <w:b/>
                          <w:color w:val="F07E31"/>
                        </w:rPr>
                        <w:t>Exemples de soutien possible du PDR à la démarche </w:t>
                      </w:r>
                      <w:proofErr w:type="gramStart"/>
                      <w:r>
                        <w:rPr>
                          <w:b/>
                          <w:color w:val="F07E31"/>
                        </w:rPr>
                        <w:t>3:</w:t>
                      </w:r>
                      <w:proofErr w:type="gramEnd"/>
                    </w:p>
                    <w:p w:rsidR="00260B0F" w:rsidRPr="002B58E1" w:rsidRDefault="00260B0F" w:rsidP="005169DB">
                      <w:pPr>
                        <w:pStyle w:val="Hlistbullet"/>
                        <w:rPr>
                          <w:sz w:val="18"/>
                          <w:szCs w:val="18"/>
                        </w:rPr>
                      </w:pPr>
                      <w:proofErr w:type="gramStart"/>
                      <w:r>
                        <w:rPr>
                          <w:sz w:val="18"/>
                        </w:rPr>
                        <w:t>un</w:t>
                      </w:r>
                      <w:proofErr w:type="gramEnd"/>
                      <w:r>
                        <w:rPr>
                          <w:sz w:val="18"/>
                        </w:rPr>
                        <w:t xml:space="preserve"> PDR qui donne la priorité aux actions de formation et d’information [article 14 du règlement (UE) nº 1305/2013] et aux services de conseil [article 15 du règlement (UE) nº 1305/2013] sur la base des pratiques innovantes qui sont mises au point dans leurs GO [article 35 du règlement (UE) nº 1305/2013] ou sur celles mises au point par les GO d’autres régions ou pays (activités des RRN, assistance technique); </w:t>
                      </w:r>
                    </w:p>
                    <w:p w:rsidR="00260B0F" w:rsidRPr="002B58E1" w:rsidRDefault="00260B0F" w:rsidP="005169DB">
                      <w:pPr>
                        <w:pStyle w:val="Hlistbullet"/>
                        <w:rPr>
                          <w:sz w:val="18"/>
                          <w:szCs w:val="18"/>
                        </w:rPr>
                      </w:pPr>
                      <w:proofErr w:type="gramStart"/>
                      <w:r>
                        <w:rPr>
                          <w:sz w:val="18"/>
                        </w:rPr>
                        <w:t>un</w:t>
                      </w:r>
                      <w:proofErr w:type="gramEnd"/>
                      <w:r>
                        <w:rPr>
                          <w:sz w:val="18"/>
                        </w:rPr>
                        <w:t xml:space="preserve"> PDR qui améliore l’accès à l’internet en milieu rural aidera les entreprises locales et les agriculteurs à accéder à l’information et aux marchés et à renforcer ainsi leur capacité et leur motivation à innover [par exemple, les opérations menées au titre de l’article 20 du règlement (UE) nº 1305/2013];</w:t>
                      </w:r>
                    </w:p>
                    <w:p w:rsidR="00260B0F" w:rsidRPr="002B58E1" w:rsidRDefault="00260B0F" w:rsidP="005169DB">
                      <w:pPr>
                        <w:pStyle w:val="Hlistbullet"/>
                        <w:rPr>
                          <w:b/>
                          <w:sz w:val="18"/>
                          <w:szCs w:val="18"/>
                        </w:rPr>
                      </w:pPr>
                      <w:proofErr w:type="gramStart"/>
                      <w:r>
                        <w:rPr>
                          <w:sz w:val="18"/>
                        </w:rPr>
                        <w:t>un</w:t>
                      </w:r>
                      <w:proofErr w:type="gramEnd"/>
                      <w:r>
                        <w:rPr>
                          <w:sz w:val="18"/>
                        </w:rPr>
                        <w:t xml:space="preserve"> PDR qui met au point un équipement de labourage innovant afin d’incorporer les résidus de culture d’un GO peut encourager les investissements innovants et un contrôle plus strict de l’application des lois afin d’interdire la crémation des résidus de culture [par exemple, opérations menées au titre de l’article 17 du règlement (UE) nº 1305/2013];</w:t>
                      </w:r>
                    </w:p>
                    <w:p w:rsidR="00260B0F" w:rsidRPr="002B58E1" w:rsidRDefault="00260B0F" w:rsidP="005169DB">
                      <w:pPr>
                        <w:pStyle w:val="Hlistbullet"/>
                        <w:rPr>
                          <w:sz w:val="18"/>
                          <w:szCs w:val="18"/>
                        </w:rPr>
                      </w:pPr>
                      <w:proofErr w:type="gramStart"/>
                      <w:r>
                        <w:t>un</w:t>
                      </w:r>
                      <w:proofErr w:type="gramEnd"/>
                      <w:r>
                        <w:t xml:space="preserve"> PDR qui soutient l’établissement de circuits d’approvisionnement courts pour les denrées alimentaires ou de coopératives de producteurs</w:t>
                      </w:r>
                      <w:r>
                        <w:rPr>
                          <w:sz w:val="18"/>
                        </w:rPr>
                        <w:t xml:space="preserve"> peut renforcer les liens et la coopération entre les consommateurs et les producteurs afin de créer un système de denrées alimentaires plus innovant</w:t>
                      </w:r>
                      <w:r>
                        <w:rPr>
                          <w:sz w:val="18"/>
                          <w:vertAlign w:val="superscript"/>
                        </w:rPr>
                        <w:t>13</w:t>
                      </w:r>
                      <w:r>
                        <w:rPr>
                          <w:sz w:val="18"/>
                        </w:rPr>
                        <w:t xml:space="preserve"> [par exemple, les opérations au titre des articles 16, 17 et 35 du règlement (UE) nº 1305/2013];</w:t>
                      </w:r>
                    </w:p>
                  </w:txbxContent>
                </v:textbox>
                <w10:wrap type="square"/>
              </v:shape>
            </w:pict>
          </mc:Fallback>
        </mc:AlternateContent>
      </w:r>
      <w:r w:rsidR="00ED3746">
        <w:rPr>
          <w:b/>
          <w:color w:val="F07E31"/>
        </w:rPr>
        <w:t>La troisième démarche</w:t>
      </w:r>
      <w:r w:rsidR="00ED3746">
        <w:t xml:space="preserve"> concerne le changement des conditions et de l’environnement déterminants qui influencent les systèmes d’innovation. Cela inclut l’amélioration de différentes conditions propices</w:t>
      </w:r>
      <w:r w:rsidR="00ED3746">
        <w:rPr>
          <w:vertAlign w:val="superscript"/>
        </w:rPr>
        <w:footnoteReference w:id="12"/>
      </w:r>
      <w:r w:rsidR="00ED3746">
        <w:t xml:space="preserve">, telles </w:t>
      </w:r>
      <w:proofErr w:type="gramStart"/>
      <w:r w:rsidR="00ED3746">
        <w:t>que:</w:t>
      </w:r>
      <w:proofErr w:type="gramEnd"/>
    </w:p>
    <w:p w:rsidR="00ED3746" w:rsidRPr="0095292E" w:rsidRDefault="00ED3746" w:rsidP="00ED3746">
      <w:pPr>
        <w:pStyle w:val="Hlistbullet"/>
      </w:pPr>
      <w:proofErr w:type="gramStart"/>
      <w:r>
        <w:t>les</w:t>
      </w:r>
      <w:proofErr w:type="gramEnd"/>
      <w:r>
        <w:t xml:space="preserve"> conditions institutionnelles (par exemple, la mise à disposition de mandats, de normes, de l’environnement politique/législatif propices aux innovations); </w:t>
      </w:r>
    </w:p>
    <w:p w:rsidR="00ED3746" w:rsidRPr="0095292E" w:rsidRDefault="00ED3746" w:rsidP="00ED3746">
      <w:pPr>
        <w:pStyle w:val="Hlistbullet"/>
      </w:pPr>
      <w:proofErr w:type="gramStart"/>
      <w:r>
        <w:t>les</w:t>
      </w:r>
      <w:proofErr w:type="gramEnd"/>
      <w:r>
        <w:t xml:space="preserve"> conditions procédurales (par exemple, des sources de financement flexible afin de répondre aux besoins des parties concernées en innovations); </w:t>
      </w:r>
    </w:p>
    <w:p w:rsidR="00ED3746" w:rsidRPr="0095292E" w:rsidRDefault="00ED3746" w:rsidP="00ED3746">
      <w:pPr>
        <w:pStyle w:val="Hlistbullet"/>
      </w:pPr>
      <w:proofErr w:type="gramStart"/>
      <w:r>
        <w:t>les</w:t>
      </w:r>
      <w:proofErr w:type="gramEnd"/>
      <w:r>
        <w:t xml:space="preserve"> conditions professionnelles (par exemple, l’accès à la formation pour garantir les compétences et les connaissances nécessaires et des moyens de promouvoir les innovations); </w:t>
      </w:r>
    </w:p>
    <w:p w:rsidR="00ED3746" w:rsidRPr="0095292E" w:rsidRDefault="00ED3746" w:rsidP="00ED3746">
      <w:pPr>
        <w:pStyle w:val="Hlistbullet"/>
      </w:pPr>
      <w:proofErr w:type="gramStart"/>
      <w:r>
        <w:t>les</w:t>
      </w:r>
      <w:proofErr w:type="gramEnd"/>
      <w:r>
        <w:t xml:space="preserve"> conditions organisationnelles (par exemple, la possibilité d’interagir avec d’autres partenaires qui souhaitent trouver des solutions innovantes); </w:t>
      </w:r>
    </w:p>
    <w:p w:rsidR="00ED3746" w:rsidRPr="0095292E" w:rsidRDefault="00ED3746" w:rsidP="00ED3746">
      <w:pPr>
        <w:pStyle w:val="Hlistbullet"/>
      </w:pPr>
      <w:proofErr w:type="gramStart"/>
      <w:r>
        <w:t>les</w:t>
      </w:r>
      <w:proofErr w:type="gramEnd"/>
      <w:r>
        <w:t xml:space="preserve"> conditions opérationnelles (par exemple, faciliter l’innovation transnationale ou intersectorielle); </w:t>
      </w:r>
    </w:p>
    <w:p w:rsidR="00ED3746" w:rsidRPr="0095292E" w:rsidRDefault="00ED3746" w:rsidP="00ED3746">
      <w:pPr>
        <w:pStyle w:val="Hlistbullet"/>
      </w:pPr>
      <w:proofErr w:type="gramStart"/>
      <w:r>
        <w:t>les</w:t>
      </w:r>
      <w:proofErr w:type="gramEnd"/>
      <w:r>
        <w:t xml:space="preserve"> conditions techniques (par exemple, soutenir de nouvelles techniques et technologies applicables dans les secteurs économiques ruraux et dans les infrastructures rurales). </w:t>
      </w:r>
    </w:p>
    <w:p w:rsidR="00ED3746" w:rsidRPr="00E05D08" w:rsidRDefault="00ED3746" w:rsidP="00ED3746">
      <w:pPr>
        <w:spacing w:after="120" w:line="280" w:lineRule="atLeast"/>
        <w:mirrorIndents/>
        <w:rPr>
          <w:rFonts w:eastAsia="Times New Roman" w:cs="Times New Roman"/>
          <w:szCs w:val="20"/>
        </w:rPr>
      </w:pPr>
      <w:r>
        <w:t xml:space="preserve">Le PDR peut contribuer à la démarche 3 en combinant différentes mesures/sous-mesures (par exemple, les mesures d’investissement fournissent l’environnement propice à tout type d’innovation technique et technologique, les mesures relatives à la qualité et à la commercialisation favorisent les conditions institutionnelles et procédurales, et les mesures de transfert de connaissances et de conseil offrent un environnement professionnel propice). </w:t>
      </w:r>
      <w:r>
        <w:rPr>
          <w:rStyle w:val="FootnoteReference"/>
          <w:color w:val="FFFFFF"/>
        </w:rPr>
        <w:footnoteReference w:id="13"/>
      </w:r>
    </w:p>
    <w:p w:rsidR="00ED3746" w:rsidRPr="00E05D08" w:rsidRDefault="00ED3746" w:rsidP="00ED3746">
      <w:pPr>
        <w:spacing w:after="120" w:line="280" w:lineRule="atLeast"/>
        <w:mirrorIndents/>
        <w:rPr>
          <w:rFonts w:eastAsia="Times New Roman" w:cs="Times New Roman"/>
          <w:szCs w:val="20"/>
        </w:rPr>
      </w:pPr>
      <w:r>
        <w:rPr>
          <w:b/>
        </w:rPr>
        <w:t>Le potentiel de boucles de rétroaction multiples qui s’auto-renforcent</w:t>
      </w:r>
      <w:r>
        <w:t xml:space="preserve"> est en outre visible dans la </w:t>
      </w:r>
      <w:hyperlink w:anchor="Pathways" w:history="1">
        <w:r>
          <w:rPr>
            <w:rStyle w:val="Hyperlink"/>
            <w:sz w:val="20"/>
          </w:rPr>
          <w:t>figure 1</w:t>
        </w:r>
      </w:hyperlink>
      <w:r>
        <w:t xml:space="preserve">. Par </w:t>
      </w:r>
      <w:proofErr w:type="gramStart"/>
      <w:r>
        <w:t>exemple:</w:t>
      </w:r>
      <w:proofErr w:type="gramEnd"/>
    </w:p>
    <w:p w:rsidR="00ED3746" w:rsidRPr="004508D0" w:rsidRDefault="00ED3746" w:rsidP="00ED3746">
      <w:pPr>
        <w:pStyle w:val="Hlistbullet"/>
      </w:pPr>
      <w:proofErr w:type="gramStart"/>
      <w:r>
        <w:t>le</w:t>
      </w:r>
      <w:proofErr w:type="gramEnd"/>
      <w:r>
        <w:t xml:space="preserve"> processus d’innovation technologique et/ou institutionnelle renforce la capacité du système à innover, ce qui a pour conséquence directe d’accélérer le rythme de l’innovation et d’en renforcer la qualité; </w:t>
      </w:r>
    </w:p>
    <w:p w:rsidR="00ED3746" w:rsidRPr="000828C6" w:rsidRDefault="00ED3746" w:rsidP="00ED3746">
      <w:pPr>
        <w:pStyle w:val="Hlistbullet"/>
      </w:pPr>
      <w:proofErr w:type="gramStart"/>
      <w:r>
        <w:lastRenderedPageBreak/>
        <w:t>les</w:t>
      </w:r>
      <w:proofErr w:type="gramEnd"/>
      <w:r>
        <w:t xml:space="preserve"> interventions du PDR à l’appui d’une politique propice à l’innovation (démarche 3) entraînent une accélération du rythme de l’innovation qui renforce la capacité d’innover. </w:t>
      </w:r>
    </w:p>
    <w:p w:rsidR="00ED3746" w:rsidRPr="00E05D08" w:rsidRDefault="00ED3746" w:rsidP="00ED3746">
      <w:pPr>
        <w:spacing w:after="120" w:line="280" w:lineRule="atLeast"/>
        <w:mirrorIndents/>
        <w:rPr>
          <w:rFonts w:eastAsia="Times New Roman" w:cs="Times New Roman"/>
          <w:szCs w:val="20"/>
        </w:rPr>
      </w:pPr>
      <w:r>
        <w:t>Le fait de renforcer la capacité d’innover aide les acteurs de l’innovation à créer des liens et à utiliser ceux-ci pour influencer l’environnement institutionnel ou politique en faveur des innovations soutenues par le PDR. Ces boucles sont importantes parce qu’elles offrent la perspective d’un effet de levier</w:t>
      </w:r>
      <w:r>
        <w:rPr>
          <w:vertAlign w:val="superscript"/>
        </w:rPr>
        <w:footnoteReference w:id="14"/>
      </w:r>
      <w:r>
        <w:t xml:space="preserve">, autrement dit, de voir les interventions d’un PDR relativement mineur catalyser et favoriser les effets à plus grande échelle (par exemple, une pratique agricole innovante écoénergétique mise au point dans le cadre d’un projet d’innovation d’un PDR est diffusée grâce aux retours positifs des nouveaux utilisateurs, qui se propagent et encouragent d’autres personnes à adopter la même pratique, entraînant des économies d’énergie considérables dans la région). De plus, les projets d’innovation peuvent être à l’origine de l’amélioration des mesures du PDR. Par exemple, un projet d’innovation peut tester la faisabilité et le rapport coût-efficacité d’une future mesure agroenvironnementale et climatique (MAEC). </w:t>
      </w:r>
    </w:p>
    <w:p w:rsidR="00ED3746" w:rsidRPr="00E05D08" w:rsidRDefault="00ED3746" w:rsidP="00ED3746">
      <w:pPr>
        <w:pStyle w:val="HHeading4"/>
      </w:pPr>
      <w:r>
        <w:t xml:space="preserve">Comment le PDR </w:t>
      </w:r>
      <w:proofErr w:type="spellStart"/>
      <w:r>
        <w:t>interagit-il</w:t>
      </w:r>
      <w:proofErr w:type="spellEnd"/>
      <w:r>
        <w:t xml:space="preserve"> avec le système d’innovation plus </w:t>
      </w:r>
      <w:proofErr w:type="gramStart"/>
      <w:r>
        <w:t>vaste?</w:t>
      </w:r>
      <w:proofErr w:type="gramEnd"/>
      <w:r>
        <w:t xml:space="preserve"> </w:t>
      </w:r>
    </w:p>
    <w:p w:rsidR="00ED3746" w:rsidRPr="00E05D08" w:rsidRDefault="00ED3746" w:rsidP="00ED3746">
      <w:pPr>
        <w:spacing w:after="120" w:line="280" w:lineRule="atLeast"/>
        <w:mirrorIndents/>
        <w:rPr>
          <w:rFonts w:eastAsia="Times New Roman" w:cs="Times New Roman"/>
          <w:szCs w:val="20"/>
        </w:rPr>
      </w:pPr>
      <w:r>
        <w:t xml:space="preserve">Le PDR produit deux types de réalisations qui sont liées à </w:t>
      </w:r>
      <w:proofErr w:type="gramStart"/>
      <w:r>
        <w:t>l’innovation:</w:t>
      </w:r>
      <w:proofErr w:type="gramEnd"/>
      <w:r>
        <w:t xml:space="preserve"> </w:t>
      </w:r>
    </w:p>
    <w:p w:rsidR="00ED3746" w:rsidRPr="000828C6" w:rsidRDefault="00ED3746" w:rsidP="00ED3746">
      <w:pPr>
        <w:pStyle w:val="Hlistbullet"/>
      </w:pPr>
      <w:proofErr w:type="gramStart"/>
      <w:r>
        <w:t>les</w:t>
      </w:r>
      <w:proofErr w:type="gramEnd"/>
      <w:r>
        <w:t xml:space="preserve"> </w:t>
      </w:r>
      <w:r>
        <w:rPr>
          <w:b/>
        </w:rPr>
        <w:t>réalisations favorisant l’innovation</w:t>
      </w:r>
      <w:r>
        <w:t xml:space="preserve">, relatives aux trois démarches (par exemple, des changements dans le niveau d'innovation et la qualité des idées innovantes émergentes, la capacité d’innover, et l’environnement propice); </w:t>
      </w:r>
    </w:p>
    <w:p w:rsidR="00ED3746" w:rsidRPr="000828C6" w:rsidRDefault="00ED3746" w:rsidP="00ED3746">
      <w:pPr>
        <w:pStyle w:val="Hlistbullet"/>
      </w:pPr>
      <w:proofErr w:type="gramStart"/>
      <w:r>
        <w:t>les</w:t>
      </w:r>
      <w:proofErr w:type="gramEnd"/>
      <w:r>
        <w:t xml:space="preserve"> </w:t>
      </w:r>
      <w:r>
        <w:rPr>
          <w:b/>
        </w:rPr>
        <w:t>réalisations innovantes</w:t>
      </w:r>
      <w:r>
        <w:t>, qui découlent des réalisations favorisant l’innovation (par exemple, de nouvelles pratiques, un revenu accru ou l’adoption de pratiques agricoles plus durables).</w:t>
      </w:r>
    </w:p>
    <w:p w:rsidR="00ED3746" w:rsidRPr="00E05D08" w:rsidRDefault="00ED3746" w:rsidP="00ED3746">
      <w:pPr>
        <w:spacing w:after="120" w:line="280" w:lineRule="atLeast"/>
        <w:mirrorIndents/>
        <w:rPr>
          <w:rFonts w:eastAsia="Times New Roman" w:cs="Times New Roman"/>
          <w:szCs w:val="20"/>
        </w:rPr>
      </w:pPr>
      <w:r>
        <w:t>Les deux types de réalisations contribuent aux objectifs du PDR et peuvent être évalués au moyen des indicateurs adéquats. La mesure dans laquelle elles influencent le système d’innovation existant dépend de la manière dont les bénéficiaires du PDR interprètent et comprennent ce que le programme a à offrir</w:t>
      </w:r>
      <w:r>
        <w:rPr>
          <w:vertAlign w:val="superscript"/>
        </w:rPr>
        <w:footnoteReference w:id="15"/>
      </w:r>
      <w:r>
        <w:t xml:space="preserve">. Leur réaction est aussi influencée par l’histoire et par des processus en cours autres que le PDR, qui stimulent les </w:t>
      </w:r>
      <w:proofErr w:type="gramStart"/>
      <w:r>
        <w:t>innovations:</w:t>
      </w:r>
      <w:proofErr w:type="gramEnd"/>
      <w:r>
        <w:t xml:space="preserve"> </w:t>
      </w:r>
    </w:p>
    <w:p w:rsidR="00ED3746" w:rsidRPr="00161D7E" w:rsidRDefault="00ED3746" w:rsidP="00ED3746">
      <w:pPr>
        <w:pStyle w:val="Hlistbullet"/>
      </w:pPr>
      <w:proofErr w:type="gramStart"/>
      <w:r>
        <w:t>les</w:t>
      </w:r>
      <w:proofErr w:type="gramEnd"/>
      <w:r>
        <w:t xml:space="preserve"> activités de recherche sur les nouvelles technologies et les nouveaux procédés; </w:t>
      </w:r>
    </w:p>
    <w:p w:rsidR="00ED3746" w:rsidRPr="00161D7E" w:rsidRDefault="00ED3746" w:rsidP="00ED3746">
      <w:pPr>
        <w:pStyle w:val="Hlistbullet"/>
      </w:pPr>
      <w:proofErr w:type="gramStart"/>
      <w:r>
        <w:t>les</w:t>
      </w:r>
      <w:proofErr w:type="gramEnd"/>
      <w:r>
        <w:t xml:space="preserve"> programmes de vulgarisation et de formation sur la promotion de l’innovation; </w:t>
      </w:r>
    </w:p>
    <w:p w:rsidR="00ED3746" w:rsidRPr="00161D7E" w:rsidRDefault="00ED3746" w:rsidP="00ED3746">
      <w:pPr>
        <w:pStyle w:val="Hlistbullet"/>
      </w:pPr>
      <w:proofErr w:type="gramStart"/>
      <w:r>
        <w:t>les</w:t>
      </w:r>
      <w:proofErr w:type="gramEnd"/>
      <w:r>
        <w:t xml:space="preserve"> mesures fiscales, les garanties de crédit, les achats innovants; </w:t>
      </w:r>
    </w:p>
    <w:p w:rsidR="00ED3746" w:rsidRPr="00161D7E" w:rsidRDefault="00ED3746" w:rsidP="00ED3746">
      <w:pPr>
        <w:pStyle w:val="Hlistbullet"/>
      </w:pPr>
      <w:proofErr w:type="gramStart"/>
      <w:r>
        <w:t>les</w:t>
      </w:r>
      <w:proofErr w:type="gramEnd"/>
      <w:r>
        <w:t xml:space="preserve"> programmes nationaux/régionaux d’Horizon 2020 et d’autres Fonds ESI, qui interviennent dans la même approche de l’innovation que le PDR;</w:t>
      </w:r>
    </w:p>
    <w:p w:rsidR="00ED3746" w:rsidRPr="00161D7E" w:rsidRDefault="00ED3746" w:rsidP="00ED3746">
      <w:pPr>
        <w:pStyle w:val="Hlistbullet"/>
      </w:pPr>
      <w:proofErr w:type="gramStart"/>
      <w:r>
        <w:t>la</w:t>
      </w:r>
      <w:proofErr w:type="gramEnd"/>
      <w:r>
        <w:t xml:space="preserve"> demande sur le marché.</w:t>
      </w:r>
    </w:p>
    <w:p w:rsidR="00ED3746" w:rsidRPr="00E05D08" w:rsidRDefault="00ED3746" w:rsidP="00ED3746">
      <w:pPr>
        <w:spacing w:after="120" w:line="280" w:lineRule="atLeast"/>
        <w:mirrorIndents/>
        <w:rPr>
          <w:rFonts w:eastAsia="Times New Roman" w:cs="Times New Roman"/>
          <w:szCs w:val="20"/>
        </w:rPr>
      </w:pPr>
      <w:r>
        <w:t xml:space="preserve">De même, les opérations du PDR influenceront la manière dont d’autres processus et interventions en cours sont interprétés et utilisés, et seront aussi influencées par ceux-ci. </w:t>
      </w:r>
    </w:p>
    <w:p w:rsidR="00ED3746" w:rsidRPr="00E05D08" w:rsidRDefault="00ED3746" w:rsidP="00ED3746">
      <w:pPr>
        <w:spacing w:after="120" w:line="280" w:lineRule="atLeast"/>
        <w:mirrorIndents/>
        <w:rPr>
          <w:rFonts w:eastAsia="Times New Roman" w:cs="Times New Roman"/>
          <w:szCs w:val="20"/>
        </w:rPr>
      </w:pPr>
      <w:r>
        <w:t xml:space="preserve">Les PDR ne sont pas mis en œuvre dans le vide, mais interviennent dans un système d’innovation complexe dans le contexte socio-économique donné. La position de base du PDR dépend du contexte d’innovation existant (autrement dit, les acteurs de l’innovation et les interactions entre ceux-ci, l’environnement propice existant, la demande sur le marché, les autres interventions, etc.). </w:t>
      </w:r>
    </w:p>
    <w:p w:rsidR="00ED3746" w:rsidRDefault="00ED3746" w:rsidP="00ED3746">
      <w:pPr>
        <w:spacing w:after="120" w:line="280" w:lineRule="atLeast"/>
        <w:mirrorIndents/>
        <w:rPr>
          <w:rFonts w:eastAsia="Times New Roman" w:cs="Times New Roman"/>
          <w:szCs w:val="20"/>
        </w:rPr>
      </w:pPr>
      <w:r>
        <w:t xml:space="preserve">L’objectif de toute évaluation sera de cerner la position de base et d’attribuer tout changement observé à la mise en œuvre des mesures et sous-mesures du PDR. </w:t>
      </w:r>
      <w:r>
        <w:br w:type="page"/>
      </w:r>
    </w:p>
    <w:p w:rsidR="00ED3746" w:rsidRDefault="00ED3746" w:rsidP="00ED3746">
      <w:pPr>
        <w:spacing w:after="120" w:line="280" w:lineRule="atLeast"/>
        <w:mirrorIndents/>
        <w:sectPr w:rsidR="00ED3746" w:rsidSect="00ED3746">
          <w:endnotePr>
            <w:numFmt w:val="decimal"/>
          </w:endnotePr>
          <w:type w:val="continuous"/>
          <w:pgSz w:w="11906" w:h="16838" w:code="9"/>
          <w:pgMar w:top="1440" w:right="1440" w:bottom="1134" w:left="1440" w:header="567" w:footer="1021" w:gutter="0"/>
          <w:cols w:space="708"/>
          <w:noEndnote/>
          <w:docGrid w:linePitch="360"/>
        </w:sectPr>
      </w:pPr>
    </w:p>
    <w:p w:rsidR="00ED3746" w:rsidRPr="00967CFD" w:rsidRDefault="00ED3746" w:rsidP="00ED3746">
      <w:pPr>
        <w:pStyle w:val="HHeading2"/>
      </w:pPr>
      <w:bookmarkStart w:id="22" w:name="_Toc493151896"/>
      <w:bookmarkStart w:id="23" w:name="_Toc501382122"/>
      <w:bookmarkStart w:id="24" w:name="_Toc503368716"/>
      <w:bookmarkStart w:id="25" w:name="_Toc508889627"/>
      <w:r>
        <w:lastRenderedPageBreak/>
        <w:t>Le cadre politique de l’Union européenne</w:t>
      </w:r>
      <w:bookmarkEnd w:id="22"/>
      <w:bookmarkEnd w:id="23"/>
      <w:bookmarkEnd w:id="24"/>
      <w:bookmarkEnd w:id="25"/>
      <w:r>
        <w:t xml:space="preserve"> </w:t>
      </w:r>
    </w:p>
    <w:p w:rsidR="00ED3746" w:rsidRPr="00967CFD" w:rsidRDefault="00ED3746" w:rsidP="00ED3746">
      <w:pPr>
        <w:pStyle w:val="HHeading3"/>
        <w:spacing w:line="280" w:lineRule="exact"/>
      </w:pPr>
      <w:bookmarkStart w:id="26" w:name="Policy_framework"/>
      <w:bookmarkStart w:id="27" w:name="_Toc501382123"/>
      <w:bookmarkStart w:id="28" w:name="_Toc503368717"/>
      <w:bookmarkStart w:id="29" w:name="_Toc508889628"/>
      <w:bookmarkEnd w:id="26"/>
      <w:r>
        <w:t>Le cadre politique pour l’innovation dans l’Union européenne et la politique de développement rural</w:t>
      </w:r>
      <w:bookmarkEnd w:id="27"/>
      <w:bookmarkEnd w:id="28"/>
      <w:bookmarkEnd w:id="29"/>
    </w:p>
    <w:p w:rsidR="00ED3746" w:rsidRPr="00E05D08" w:rsidRDefault="00ED3746" w:rsidP="00ED3746">
      <w:pPr>
        <w:spacing w:after="120" w:line="280" w:lineRule="atLeast"/>
        <w:mirrorIndents/>
        <w:rPr>
          <w:rFonts w:eastAsia="Times New Roman" w:cs="Times New Roman"/>
          <w:szCs w:val="20"/>
          <w:shd w:val="clear" w:color="000000" w:fill="auto"/>
        </w:rPr>
      </w:pPr>
      <w:r>
        <w:rPr>
          <w:b/>
        </w:rPr>
        <w:t>Il existe deux instruments de financement de l’Union expressément axés sur l’innovation dans l’agriculture et la foresterie</w:t>
      </w:r>
      <w:r>
        <w:t>. L’un est la politique de développement rural, qui est l’un des deux piliers de la politique agricole commune (PAC). L’autre est Horizon 2020</w:t>
      </w:r>
      <w:r>
        <w:rPr>
          <w:vertAlign w:val="superscript"/>
        </w:rPr>
        <w:footnoteReference w:id="16"/>
      </w:r>
      <w:r>
        <w:t>, le programme-cadre de l’Union européenne pour la recherche et l’innovation, qui met en œuvre l’initiative phare</w:t>
      </w:r>
      <w:proofErr w:type="gramStart"/>
      <w:r>
        <w:t xml:space="preserve"> «Union</w:t>
      </w:r>
      <w:proofErr w:type="gramEnd"/>
      <w:r>
        <w:t xml:space="preserve"> de l’innovation»</w:t>
      </w:r>
      <w:r>
        <w:rPr>
          <w:vertAlign w:val="superscript"/>
        </w:rPr>
        <w:footnoteReference w:id="17"/>
      </w:r>
      <w:r>
        <w:t xml:space="preserve">. </w:t>
      </w:r>
    </w:p>
    <w:p w:rsidR="00ED3746" w:rsidRDefault="00ED3746" w:rsidP="00ED3746">
      <w:pPr>
        <w:spacing w:after="120" w:line="280" w:lineRule="atLeast"/>
        <w:mirrorIndents/>
        <w:rPr>
          <w:rFonts w:eastAsia="Times New Roman" w:cs="Times New Roman"/>
          <w:b/>
          <w:sz w:val="18"/>
          <w:szCs w:val="18"/>
        </w:rPr>
      </w:pPr>
      <w:r>
        <w:rPr>
          <w:b/>
        </w:rPr>
        <w:t>La politique de développement rural est conçue pour fonctionner en synergie avec Horizon 2020</w:t>
      </w:r>
      <w:r>
        <w:t xml:space="preserve"> afin d’atteindre les objectifs d’innovation de l’Union, notamment les objectifs de croissance intelligente. Deux des grands objectifs de l’Union en matière de croissance intelligente consistent à accroître l’investissement public et privé combiné dans la R&amp;D pour atteindre 3 % du PIB de l’Union, et à améliorer les conditions pour la R&amp;D et l’innovation</w:t>
      </w:r>
      <w:r>
        <w:rPr>
          <w:vertAlign w:val="superscript"/>
        </w:rPr>
        <w:footnoteReference w:id="18"/>
      </w:r>
      <w:r>
        <w:t xml:space="preserve">. </w:t>
      </w:r>
    </w:p>
    <w:p w:rsidR="00ED3746" w:rsidRPr="00967CFD" w:rsidRDefault="00ED3746" w:rsidP="00ED3746">
      <w:pPr>
        <w:pStyle w:val="HHeadingfigures"/>
      </w:pPr>
      <w:bookmarkStart w:id="30" w:name="_Toc503284755"/>
      <w:bookmarkStart w:id="31" w:name="_Toc508894547"/>
      <w:r>
        <w:t>Le cadre politique pour l’innovation dans l’Union européenne et la politique de développement rural</w:t>
      </w:r>
      <w:bookmarkEnd w:id="30"/>
      <w:bookmarkEnd w:id="31"/>
      <w:r>
        <w:t xml:space="preserve"> </w:t>
      </w:r>
    </w:p>
    <w:p w:rsidR="00ED3746" w:rsidRPr="00E05D08" w:rsidRDefault="00F204F1" w:rsidP="00ED3746">
      <w:pPr>
        <w:spacing w:before="60" w:after="200" w:line="276" w:lineRule="auto"/>
        <w:jc w:val="center"/>
        <w:rPr>
          <w:rFonts w:cs="Arial"/>
          <w:szCs w:val="20"/>
        </w:rPr>
      </w:pPr>
      <w:r w:rsidRPr="00E232E2">
        <w:rPr>
          <w:noProof/>
        </w:rPr>
        <w:drawing>
          <wp:inline distT="0" distB="0" distL="0" distR="0">
            <wp:extent cx="5955665" cy="33870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l="4713" t="5748" r="7352" b="5167"/>
                    <a:stretch>
                      <a:fillRect/>
                    </a:stretch>
                  </pic:blipFill>
                  <pic:spPr bwMode="auto">
                    <a:xfrm>
                      <a:off x="0" y="0"/>
                      <a:ext cx="5955665" cy="3387090"/>
                    </a:xfrm>
                    <a:prstGeom prst="rect">
                      <a:avLst/>
                    </a:prstGeom>
                    <a:noFill/>
                    <a:ln>
                      <a:noFill/>
                    </a:ln>
                  </pic:spPr>
                </pic:pic>
              </a:graphicData>
            </a:graphic>
          </wp:inline>
        </w:drawing>
      </w:r>
    </w:p>
    <w:p w:rsidR="00ED3746" w:rsidRPr="00E05D08" w:rsidRDefault="00ED3746" w:rsidP="00ED3746">
      <w:pPr>
        <w:suppressAutoHyphens/>
        <w:spacing w:before="60" w:after="140" w:line="240" w:lineRule="auto"/>
        <w:ind w:left="1134" w:right="1134"/>
        <w:mirrorIndents/>
        <w:jc w:val="center"/>
        <w:rPr>
          <w:rFonts w:eastAsia="Times New Roman" w:cs="Times New Roman"/>
          <w:i/>
          <w:sz w:val="16"/>
          <w:szCs w:val="16"/>
        </w:rPr>
      </w:pPr>
      <w:proofErr w:type="gramStart"/>
      <w:r>
        <w:rPr>
          <w:i/>
          <w:sz w:val="16"/>
        </w:rPr>
        <w:t>Source:</w:t>
      </w:r>
      <w:proofErr w:type="gramEnd"/>
      <w:r>
        <w:rPr>
          <w:i/>
          <w:sz w:val="16"/>
        </w:rPr>
        <w:t xml:space="preserve"> Helpdesk Évaluation européen pour le développement rural, 2017.</w:t>
      </w:r>
    </w:p>
    <w:p w:rsidR="00ED3746" w:rsidRPr="00E05D08" w:rsidRDefault="00ED3746" w:rsidP="00ED3746">
      <w:pPr>
        <w:spacing w:after="120" w:line="280" w:lineRule="atLeast"/>
        <w:mirrorIndents/>
        <w:rPr>
          <w:rFonts w:eastAsia="Times New Roman" w:cs="Times New Roman"/>
          <w:szCs w:val="20"/>
        </w:rPr>
      </w:pPr>
      <w:r>
        <w:rPr>
          <w:b/>
        </w:rPr>
        <w:t>La politique agricole commune joue un rôle important dans la contribution à la croissance intelligente grâce à l’innovation</w:t>
      </w:r>
      <w:r>
        <w:t xml:space="preserve">. La réalisation des trois objectifs de la PAC nécessite de créer, de </w:t>
      </w:r>
      <w:r>
        <w:lastRenderedPageBreak/>
        <w:t xml:space="preserve">partager et de mettre en œuvre de nouvelles connaissances, de nouvelles technologies, de nouveaux produits et de nouveaux modes d’organisation, d’apprentissage ou de coopération. </w:t>
      </w:r>
    </w:p>
    <w:p w:rsidR="00ED3746" w:rsidRPr="00E05D08" w:rsidRDefault="00ED3746" w:rsidP="00ED3746">
      <w:pPr>
        <w:spacing w:after="120" w:line="280" w:lineRule="atLeast"/>
        <w:mirrorIndents/>
        <w:rPr>
          <w:rFonts w:cs="Times New Roman"/>
          <w:szCs w:val="20"/>
        </w:rPr>
      </w:pPr>
      <w:r>
        <w:rPr>
          <w:b/>
        </w:rPr>
        <w:t>L’architecture de la politique de développement rural en 2014-2020 souligne l’importance de l’innovation</w:t>
      </w:r>
      <w:r>
        <w:t xml:space="preserve"> dans les phases de conception et de mise en œuvre des programmes.</w:t>
      </w:r>
      <w:r>
        <w:rPr>
          <w:vertAlign w:val="superscript"/>
        </w:rPr>
        <w:footnoteReference w:id="19"/>
      </w:r>
      <w:r>
        <w:t xml:space="preserve"> L’innovation dans le développement rural peut être liée à tout un éventail de domaines, dont: le développement  dans l’exploitation agricole, l’organisation de la chaîne alimentaire et la gestion des risques, la préservation et l’amélioration des écosystèmes, la promotion de l’inclusion sociale, la réduction de la pauvreté, le développement économique dans les zones rurales, etc.</w:t>
      </w:r>
    </w:p>
    <w:p w:rsidR="00ED3746" w:rsidRPr="00E05D08" w:rsidRDefault="00ED3746" w:rsidP="00ED3746">
      <w:pPr>
        <w:pStyle w:val="HHeading4"/>
        <w:rPr>
          <w:rFonts w:eastAsia="Calibri"/>
        </w:rPr>
      </w:pPr>
      <w:r>
        <w:t xml:space="preserve">Comment l’innovation est-elle ancrée dans les programmes de développement </w:t>
      </w:r>
      <w:proofErr w:type="gramStart"/>
      <w:r>
        <w:t>rural?</w:t>
      </w:r>
      <w:proofErr w:type="gramEnd"/>
    </w:p>
    <w:p w:rsidR="00ED3746" w:rsidRPr="00E05D08" w:rsidRDefault="00ED3746" w:rsidP="00ED3746">
      <w:pPr>
        <w:spacing w:after="120" w:line="280" w:lineRule="atLeast"/>
        <w:mirrorIndents/>
        <w:rPr>
          <w:rFonts w:eastAsia="Times New Roman" w:cs="Times New Roman"/>
          <w:szCs w:val="20"/>
        </w:rPr>
      </w:pPr>
      <w:r>
        <w:rPr>
          <w:b/>
        </w:rPr>
        <w:t>Une description de</w:t>
      </w:r>
      <w:proofErr w:type="gramStart"/>
      <w:r>
        <w:rPr>
          <w:b/>
        </w:rPr>
        <w:t xml:space="preserve"> «l’approche</w:t>
      </w:r>
      <w:proofErr w:type="gramEnd"/>
      <w:r>
        <w:rPr>
          <w:b/>
        </w:rPr>
        <w:t xml:space="preserve"> à l’égard de l’innovation en vue de réaliser les priorités de l’Union pour le développement rural» prévue par le PDR</w:t>
      </w:r>
      <w:r>
        <w:t xml:space="preserve"> figure dans la stratégie du PDR</w:t>
      </w:r>
      <w:r>
        <w:rPr>
          <w:vertAlign w:val="superscript"/>
        </w:rPr>
        <w:footnoteReference w:id="20"/>
      </w:r>
      <w:r>
        <w:t>. Cette description inclut aussi le PEI pour la productivité et le développement durable de l’agriculture. Chaque stratégie répond, au niveau de chaque priorité de l’Union, aux besoins particuliers en matière d’innovation recensés dans l’analyse SWOT et dans l’évaluation des besoins</w:t>
      </w:r>
      <w:r>
        <w:rPr>
          <w:vertAlign w:val="superscript"/>
        </w:rPr>
        <w:footnoteReference w:id="21"/>
      </w:r>
      <w:r>
        <w:t>. De plus, toutes les priorités de l’Union contribueront à l’objectif transversal d’innovation</w:t>
      </w:r>
      <w:r>
        <w:rPr>
          <w:vertAlign w:val="superscript"/>
        </w:rPr>
        <w:footnoteReference w:id="22"/>
      </w:r>
      <w:r>
        <w:t xml:space="preserve">. </w:t>
      </w:r>
    </w:p>
    <w:p w:rsidR="00ED3746" w:rsidRPr="00E05D08" w:rsidRDefault="00ED3746" w:rsidP="00ED3746">
      <w:pPr>
        <w:spacing w:after="120" w:line="280" w:lineRule="atLeast"/>
        <w:mirrorIndents/>
        <w:rPr>
          <w:rFonts w:eastAsia="Times New Roman" w:cs="Times New Roman"/>
          <w:szCs w:val="20"/>
        </w:rPr>
      </w:pPr>
      <w:r>
        <w:t>En plus d’être un objectif transversal, dans les PDR, l’innovation est aussi considérée comme un élément de deux domaines prioritaires (DP) de la priorité transversale 1 de l’Union</w:t>
      </w:r>
      <w:proofErr w:type="gramStart"/>
      <w:r>
        <w:t xml:space="preserve"> «Favoriser</w:t>
      </w:r>
      <w:proofErr w:type="gramEnd"/>
      <w:r>
        <w:t xml:space="preserve"> le transfert de connaissances et l’innovation dans les secteurs de l’agriculture et de la foresterie, ainsi que dans les zones rurales»: </w:t>
      </w:r>
    </w:p>
    <w:p w:rsidR="00ED3746" w:rsidRPr="00165BF1" w:rsidRDefault="00ED3746" w:rsidP="00ED3746">
      <w:pPr>
        <w:numPr>
          <w:ilvl w:val="0"/>
          <w:numId w:val="70"/>
        </w:numPr>
        <w:mirrorIndents/>
        <w:rPr>
          <w:szCs w:val="20"/>
        </w:rPr>
      </w:pPr>
      <w:r>
        <w:t>DP 1</w:t>
      </w:r>
      <w:proofErr w:type="gramStart"/>
      <w:r>
        <w:t>A:</w:t>
      </w:r>
      <w:proofErr w:type="gramEnd"/>
      <w:r>
        <w:t xml:space="preserve"> favoriser l’innovation, la coopération et le développement de la base de connaissances dans les zones rurales;</w:t>
      </w:r>
    </w:p>
    <w:p w:rsidR="00ED3746" w:rsidRPr="00165BF1" w:rsidRDefault="00ED3746" w:rsidP="00ED3746">
      <w:pPr>
        <w:numPr>
          <w:ilvl w:val="0"/>
          <w:numId w:val="70"/>
        </w:numPr>
        <w:mirrorIndents/>
        <w:rPr>
          <w:szCs w:val="20"/>
        </w:rPr>
      </w:pPr>
      <w:r>
        <w:t>DP 1</w:t>
      </w:r>
      <w:proofErr w:type="gramStart"/>
      <w:r>
        <w:t>B:</w:t>
      </w:r>
      <w:proofErr w:type="gramEnd"/>
      <w:r>
        <w:t xml:space="preserve"> renforcer les liens entre l’agriculture, la production alimentaire et la foresterie, la recherche et l’innovation, y compris aux fins d’améliorer la gestion et les performances environnementales.</w:t>
      </w:r>
    </w:p>
    <w:p w:rsidR="00ED3746" w:rsidRPr="00E05D08" w:rsidRDefault="00ED3746" w:rsidP="00ED3746">
      <w:pPr>
        <w:spacing w:after="120" w:line="280" w:lineRule="atLeast"/>
        <w:mirrorIndents/>
        <w:rPr>
          <w:rFonts w:eastAsia="Times New Roman" w:cs="Times New Roman"/>
          <w:szCs w:val="20"/>
          <w:shd w:val="clear" w:color="000000" w:fill="auto"/>
        </w:rPr>
      </w:pPr>
      <w:r>
        <w:rPr>
          <w:b/>
        </w:rPr>
        <w:t>Les PDR disposent d’une flexibilité considérable pour utiliser et combiner les mesures</w:t>
      </w:r>
      <w:r>
        <w:t xml:space="preserve"> afin de répondre aux besoins territoriaux et d’innovation particuliers et leur capacité à créer des synergies. Les mesures peuvent être programmées au titre de différentes priorités et de différents DP en vue de maximiser leurs contributions aux objectifs visés. Certaines mesures du PDR peuvent même avoir davantage d’effets directs sur l’innovation, à savoir les mesures au titre des DP 1A et 1</w:t>
      </w:r>
      <w:proofErr w:type="gramStart"/>
      <w:r>
        <w:t>B:</w:t>
      </w:r>
      <w:proofErr w:type="gramEnd"/>
    </w:p>
    <w:p w:rsidR="00ED3746" w:rsidRPr="00E05D08" w:rsidRDefault="00ED3746" w:rsidP="00ED3746">
      <w:pPr>
        <w:numPr>
          <w:ilvl w:val="0"/>
          <w:numId w:val="51"/>
        </w:numPr>
        <w:spacing w:before="60" w:after="120" w:line="280" w:lineRule="atLeast"/>
        <w:ind w:left="567" w:hanging="567"/>
        <w:mirrorIndents/>
        <w:rPr>
          <w:rFonts w:eastAsia="Times New Roman" w:cs="Times New Roman"/>
          <w:szCs w:val="20"/>
        </w:rPr>
      </w:pPr>
      <w:r>
        <w:t xml:space="preserve">M1 Transfert de connaissances et actions </w:t>
      </w:r>
      <w:proofErr w:type="gramStart"/>
      <w:r>
        <w:t>d’information;</w:t>
      </w:r>
      <w:proofErr w:type="gramEnd"/>
    </w:p>
    <w:p w:rsidR="00ED3746" w:rsidRPr="00E05D08" w:rsidRDefault="00ED3746" w:rsidP="00ED3746">
      <w:pPr>
        <w:numPr>
          <w:ilvl w:val="0"/>
          <w:numId w:val="51"/>
        </w:numPr>
        <w:spacing w:before="60" w:after="120" w:line="280" w:lineRule="atLeast"/>
        <w:ind w:left="567" w:hanging="567"/>
        <w:mirrorIndents/>
        <w:rPr>
          <w:rFonts w:eastAsia="Times New Roman" w:cs="Times New Roman"/>
          <w:szCs w:val="20"/>
        </w:rPr>
      </w:pPr>
      <w:r>
        <w:t xml:space="preserve">M2 Services de </w:t>
      </w:r>
      <w:proofErr w:type="gramStart"/>
      <w:r>
        <w:t>conseil;</w:t>
      </w:r>
      <w:proofErr w:type="gramEnd"/>
    </w:p>
    <w:p w:rsidR="00ED3746" w:rsidRPr="00E05D08" w:rsidRDefault="00ED3746" w:rsidP="00ED3746">
      <w:pPr>
        <w:numPr>
          <w:ilvl w:val="0"/>
          <w:numId w:val="51"/>
        </w:numPr>
        <w:spacing w:before="60" w:after="120" w:line="280" w:lineRule="atLeast"/>
        <w:ind w:left="567" w:hanging="567"/>
        <w:mirrorIndents/>
        <w:rPr>
          <w:rFonts w:eastAsia="Times New Roman" w:cs="Times New Roman"/>
          <w:szCs w:val="20"/>
        </w:rPr>
      </w:pPr>
      <w:r>
        <w:t>M16 Coopération (soutien à l’établissement et au fonctionnement des groupes opérationnels du PEI-AGRI</w:t>
      </w:r>
      <w:proofErr w:type="gramStart"/>
      <w:r>
        <w:t>);</w:t>
      </w:r>
      <w:proofErr w:type="gramEnd"/>
    </w:p>
    <w:p w:rsidR="00ED3746" w:rsidRPr="00E05D08" w:rsidRDefault="00ED3746" w:rsidP="00ED3746">
      <w:pPr>
        <w:numPr>
          <w:ilvl w:val="0"/>
          <w:numId w:val="51"/>
        </w:numPr>
        <w:spacing w:before="60" w:after="120" w:line="280" w:lineRule="atLeast"/>
        <w:ind w:left="567" w:hanging="567"/>
        <w:mirrorIndents/>
        <w:rPr>
          <w:rFonts w:eastAsia="Times New Roman" w:cs="Times New Roman"/>
          <w:szCs w:val="20"/>
        </w:rPr>
      </w:pPr>
      <w:r>
        <w:t>M19 Approche Leader/DLAL, qui favorise l’innovation comme l’un des principes de Leader et encourage les actions innovantes à petite échelle dans tous les aspects de la vie rurale (économiques, sociaux et environnementaux).</w:t>
      </w:r>
    </w:p>
    <w:p w:rsidR="00ED3746" w:rsidRPr="00E05D08" w:rsidRDefault="00ED3746" w:rsidP="00ED3746">
      <w:pPr>
        <w:spacing w:after="120" w:line="280" w:lineRule="atLeast"/>
        <w:mirrorIndents/>
        <w:rPr>
          <w:rFonts w:eastAsia="Times New Roman" w:cs="Times New Roman"/>
          <w:szCs w:val="20"/>
          <w:shd w:val="clear" w:color="000000" w:fill="auto"/>
        </w:rPr>
      </w:pPr>
      <w:r>
        <w:rPr>
          <w:b/>
        </w:rPr>
        <w:t>Des mesures de promotion de l’innovation peuvent aussi être programmées au titre d’autres DP.</w:t>
      </w:r>
      <w:r>
        <w:t xml:space="preserve"> La M16, par exemple, peut être liée à la plupart des DP et des priorités de développement rural. C’est la principale mesure de développement rural à l’appui du </w:t>
      </w:r>
      <w:r>
        <w:rPr>
          <w:b/>
        </w:rPr>
        <w:t>partenariat européen d’innovation</w:t>
      </w:r>
      <w:proofErr w:type="gramStart"/>
      <w:r>
        <w:rPr>
          <w:b/>
        </w:rPr>
        <w:t xml:space="preserve"> «Productivité</w:t>
      </w:r>
      <w:proofErr w:type="gramEnd"/>
      <w:r>
        <w:rPr>
          <w:b/>
        </w:rPr>
        <w:t xml:space="preserve"> et développement durable de l’agriculture»</w:t>
      </w:r>
      <w:r>
        <w:t xml:space="preserve"> (PEI-AGRI). </w:t>
      </w:r>
    </w:p>
    <w:p w:rsidR="00ED3746" w:rsidRPr="00E05D08" w:rsidRDefault="00ED3746" w:rsidP="00ED3746">
      <w:pPr>
        <w:spacing w:after="120" w:line="280" w:lineRule="atLeast"/>
        <w:mirrorIndents/>
        <w:rPr>
          <w:rFonts w:eastAsia="Times New Roman" w:cs="Times New Roman"/>
          <w:szCs w:val="20"/>
          <w:shd w:val="clear" w:color="000000" w:fill="auto"/>
        </w:rPr>
      </w:pPr>
    </w:p>
    <w:p w:rsidR="00ED3746" w:rsidRDefault="00F204F1" w:rsidP="00ED3746">
      <w:pPr>
        <w:spacing w:after="120" w:line="280" w:lineRule="atLeast"/>
        <w:mirrorIndents/>
        <w:sectPr w:rsidR="00ED3746" w:rsidSect="00ED3746">
          <w:endnotePr>
            <w:numFmt w:val="decimal"/>
          </w:endnotePr>
          <w:type w:val="continuous"/>
          <w:pgSz w:w="11906" w:h="16838" w:code="9"/>
          <w:pgMar w:top="1440" w:right="1440" w:bottom="1134" w:left="1440" w:header="567" w:footer="1021" w:gutter="0"/>
          <w:cols w:space="708"/>
          <w:noEndnote/>
          <w:docGrid w:linePitch="360"/>
        </w:sectPr>
      </w:pPr>
      <w:r>
        <w:rPr>
          <w:noProof/>
        </w:rPr>
        <mc:AlternateContent>
          <mc:Choice Requires="wps">
            <w:drawing>
              <wp:anchor distT="0" distB="0" distL="114300" distR="114300" simplePos="0" relativeHeight="251649536" behindDoc="0" locked="0" layoutInCell="1" allowOverlap="1">
                <wp:simplePos x="0" y="0"/>
                <wp:positionH relativeFrom="page">
                  <wp:posOffset>922020</wp:posOffset>
                </wp:positionH>
                <wp:positionV relativeFrom="paragraph">
                  <wp:posOffset>280670</wp:posOffset>
                </wp:positionV>
                <wp:extent cx="5671820" cy="4500245"/>
                <wp:effectExtent l="0" t="0" r="5080" b="0"/>
                <wp:wrapSquare wrapText="bothSides"/>
                <wp:docPr id="58" name="Rectangle: Diagonal Corners Rounded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1820" cy="4500245"/>
                        </a:xfrm>
                        <a:prstGeom prst="round2DiagRect">
                          <a:avLst>
                            <a:gd name="adj1" fmla="val 6224"/>
                            <a:gd name="adj2" fmla="val 0"/>
                          </a:avLst>
                        </a:prstGeom>
                        <a:noFill/>
                        <a:ln w="25400" cap="flat" cmpd="sng" algn="ctr">
                          <a:solidFill>
                            <a:srgbClr val="BE4A35"/>
                          </a:solidFill>
                          <a:prstDash val="solid"/>
                        </a:ln>
                        <a:effectLst/>
                      </wps:spPr>
                      <wps:txbx>
                        <w:txbxContent>
                          <w:p w:rsidR="00260B0F" w:rsidRPr="002F0ABF" w:rsidRDefault="00260B0F" w:rsidP="00ED3746">
                            <w:pPr>
                              <w:pStyle w:val="HStandard"/>
                              <w:rPr>
                                <w:sz w:val="18"/>
                                <w:szCs w:val="18"/>
                              </w:rPr>
                            </w:pPr>
                            <w:r>
                              <w:rPr>
                                <w:noProof/>
                              </w:rPr>
                              <w:drawing>
                                <wp:inline distT="0" distB="0" distL="0" distR="0">
                                  <wp:extent cx="668020" cy="485140"/>
                                  <wp:effectExtent l="0" t="0" r="0" b="0"/>
                                  <wp:docPr id="36"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rPr>
                                <w:sz w:val="18"/>
                              </w:rPr>
                              <w:t>Le PEI-AGRI fait partie de la stratégie Europe 2020 pour accélérer l’innovation dans l’Union, afin de favoriser un secteur agricole et forestier compétitif et durable qui</w:t>
                            </w:r>
                            <w:proofErr w:type="gramStart"/>
                            <w:r>
                              <w:rPr>
                                <w:sz w:val="18"/>
                              </w:rPr>
                              <w:t xml:space="preserve"> «fait</w:t>
                            </w:r>
                            <w:proofErr w:type="gramEnd"/>
                            <w:r>
                              <w:rPr>
                                <w:sz w:val="18"/>
                              </w:rPr>
                              <w:t xml:space="preserve"> plus avec moins». Le PEI-AGRI contribue à garantir un approvisionnement régulier de denrées alimentaires, de fourrage et de biomatériaux, en travaillant en harmonie avec les ressources naturelles essentielles dont l’agriculture dépend. Le PEI-AGRI rassemble les acteurs de l’innovation (agriculteurs, conseillers, chercheurs, entreprises, ONG, etc.) au niveau de l’Union et au sein des programmes de développement rural sous la forme de GO. Ces innovations peuvent être technologiques, mais aussi non technologiques, organisationnelles ou sociales. L’innovation peut être basée sur des nouvelles pratiques, mais aussi sur des pratiques traditionnelles dans un nouveau contexte géographique ou environnemental. Les GO du PEI sont basés sur un projet et s’attaquent à un problème (pratique) donné ou à une possibilité donnée, ce qui peut engendrer une innovation et contribuer à atteindre les objectifs du programme. Chaque GO se compose des acteurs essentiels (par exemple, les agriculteurs, les conseillers, les chercheurs, les entreprises, les ONG) qui sont les mieux placés pour atteindre les objectifs du projet, pour partager les expériences de mise en œuvre et pour diffuser largement les résultats. L’approche du GO est le meilleur moyen de mettre à profit différents types de connaissances (pratiques, scientifiques, techniques, organisationnelles, etc.) de manière interactive. Une approche pratique en cette faveur est le</w:t>
                            </w:r>
                            <w:proofErr w:type="gramStart"/>
                            <w:r>
                              <w:rPr>
                                <w:sz w:val="18"/>
                              </w:rPr>
                              <w:t xml:space="preserve"> «courtage</w:t>
                            </w:r>
                            <w:proofErr w:type="gramEnd"/>
                            <w:r>
                              <w:rPr>
                                <w:sz w:val="18"/>
                              </w:rPr>
                              <w:t xml:space="preserve"> en innovation». </w:t>
                            </w:r>
                            <w:r>
                              <w:t>Le règlement propose quatre </w:t>
                            </w:r>
                            <w:r>
                              <w:rPr>
                                <w:sz w:val="18"/>
                              </w:rPr>
                              <w:t>possibilités de financer le courtage en innovation</w:t>
                            </w:r>
                            <w:r>
                              <w:rPr>
                                <w:sz w:val="18"/>
                                <w:vertAlign w:val="superscript"/>
                              </w:rPr>
                              <w:t>23</w:t>
                            </w:r>
                            <w:r>
                              <w:rPr>
                                <w:sz w:val="18"/>
                              </w:rPr>
                              <w:t>. Le courtage en innovation peut jouer un rôle important dans la découverte d’idées innovantes et faciliter le lancement de GO, en particulier en faisant office d’intermédiaire, qui met en contact les acteurs de l’innovation (agriculteurs, chercheurs, conseillers, ONG, etc.) dans le cadre de projets d’innovation interactifs. Un</w:t>
                            </w:r>
                            <w:proofErr w:type="gramStart"/>
                            <w:r>
                              <w:rPr>
                                <w:sz w:val="18"/>
                              </w:rPr>
                              <w:t xml:space="preserve"> «courtier</w:t>
                            </w:r>
                            <w:proofErr w:type="gramEnd"/>
                            <w:r>
                              <w:rPr>
                                <w:sz w:val="18"/>
                              </w:rPr>
                              <w:t xml:space="preserve"> en innovation» a pour objectif de découvrir des initiatives ascendantes, d’aider à affiner des idées innovantes, et d’aider à trouver des partenaires et un financement. Le courtier a pour tâche principale d’aider à préparer une proposition de projet innovant solide.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58" o:spid="_x0000_s1035" style="position:absolute;left:0;text-align:left;margin-left:72.6pt;margin-top:22.1pt;width:446.6pt;height:354.3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45002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" adj="-11796480,,5400" path="m280095,l5671820,r,l5671820,4220150v,154692,-125403,280095,-280095,280095l,4500245r,l,280095c,125403,125403,,280095,xe" filled="f" strokecolor="#be4a35" strokeweight="2pt">
                <v:stroke joinstyle="miter"/>
                <v:formulas/>
                <v:path arrowok="t" o:connecttype="custom" o:connectlocs="280095,0;5671820,0;5671820,0;5671820,4220150;5391725,4500245;0,4500245;0,4500245;0,280095;280095,0" o:connectangles="0,0,0,0,0,0,0,0,0" textboxrect="0,0,5671820,4500245"/>
                <v:textbox inset=",,,0">
                  <w:txbxContent>
                    <w:p w:rsidR="00260B0F" w:rsidRPr="002F0ABF" w:rsidRDefault="00260B0F" w:rsidP="00ED3746">
                      <w:pPr>
                        <w:pStyle w:val="HStandard"/>
                        <w:rPr>
                          <w:sz w:val="18"/>
                          <w:szCs w:val="18"/>
                        </w:rPr>
                      </w:pPr>
                      <w:r>
                        <w:rPr>
                          <w:noProof/>
                        </w:rPr>
                        <w:drawing>
                          <wp:inline distT="0" distB="0" distL="0" distR="0">
                            <wp:extent cx="668020" cy="485140"/>
                            <wp:effectExtent l="0" t="0" r="0" b="0"/>
                            <wp:docPr id="36"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rPr>
                          <w:sz w:val="18"/>
                        </w:rPr>
                        <w:t>Le PEI-AGRI fait partie de la stratégie Europe 2020 pour accélérer l’innovation dans l’Union, afin de favoriser un secteur agricole et forestier compétitif et durable qui</w:t>
                      </w:r>
                      <w:proofErr w:type="gramStart"/>
                      <w:r>
                        <w:rPr>
                          <w:sz w:val="18"/>
                        </w:rPr>
                        <w:t xml:space="preserve"> «fait</w:t>
                      </w:r>
                      <w:proofErr w:type="gramEnd"/>
                      <w:r>
                        <w:rPr>
                          <w:sz w:val="18"/>
                        </w:rPr>
                        <w:t xml:space="preserve"> plus avec moins». Le PEI-AGRI contribue à garantir un approvisionnement régulier de denrées alimentaires, de fourrage et de biomatériaux, en travaillant en harmonie avec les ressources naturelles essentielles dont l’agriculture dépend. Le PEI-AGRI rassemble les acteurs de l’innovation (agriculteurs, conseillers, chercheurs, entreprises, ONG, etc.) au niveau de l’Union et au sein des programmes de développement rural sous la forme de GO. Ces innovations peuvent être technologiques, mais aussi non technologiques, organisationnelles ou sociales. L’innovation peut être basée sur des nouvelles pratiques, mais aussi sur des pratiques traditionnelles dans un nouveau contexte géographique ou environnemental. Les GO du PEI sont basés sur un projet et s’attaquent à un problème (pratique) donné ou à une possibilité donnée, ce qui peut engendrer une innovation et contribuer à atteindre les objectifs du programme. Chaque GO se compose des acteurs essentiels (par exemple, les agriculteurs, les conseillers, les chercheurs, les entreprises, les ONG) qui sont les mieux placés pour atteindre les objectifs du projet, pour partager les expériences de mise en œuvre et pour diffuser largement les résultats. L’approche du GO est le meilleur moyen de mettre à profit différents types de connaissances (pratiques, scientifiques, techniques, organisationnelles, etc.) de manière interactive. Une approche pratique en cette faveur est le</w:t>
                      </w:r>
                      <w:proofErr w:type="gramStart"/>
                      <w:r>
                        <w:rPr>
                          <w:sz w:val="18"/>
                        </w:rPr>
                        <w:t xml:space="preserve"> «courtage</w:t>
                      </w:r>
                      <w:proofErr w:type="gramEnd"/>
                      <w:r>
                        <w:rPr>
                          <w:sz w:val="18"/>
                        </w:rPr>
                        <w:t xml:space="preserve"> en innovation». </w:t>
                      </w:r>
                      <w:r>
                        <w:t>Le règlement propose quatre </w:t>
                      </w:r>
                      <w:r>
                        <w:rPr>
                          <w:sz w:val="18"/>
                        </w:rPr>
                        <w:t>possibilités de financer le courtage en innovation</w:t>
                      </w:r>
                      <w:r>
                        <w:rPr>
                          <w:sz w:val="18"/>
                          <w:vertAlign w:val="superscript"/>
                        </w:rPr>
                        <w:t>23</w:t>
                      </w:r>
                      <w:r>
                        <w:rPr>
                          <w:sz w:val="18"/>
                        </w:rPr>
                        <w:t>. Le courtage en innovation peut jouer un rôle important dans la découverte d’idées innovantes et faciliter le lancement de GO, en particulier en faisant office d’intermédiaire, qui met en contact les acteurs de l’innovation (agriculteurs, chercheurs, conseillers, ONG, etc.) dans le cadre de projets d’innovation interactifs. Un</w:t>
                      </w:r>
                      <w:proofErr w:type="gramStart"/>
                      <w:r>
                        <w:rPr>
                          <w:sz w:val="18"/>
                        </w:rPr>
                        <w:t xml:space="preserve"> «courtier</w:t>
                      </w:r>
                      <w:proofErr w:type="gramEnd"/>
                      <w:r>
                        <w:rPr>
                          <w:sz w:val="18"/>
                        </w:rPr>
                        <w:t xml:space="preserve"> en innovation» a pour objectif de découvrir des initiatives ascendantes, d’aider à affiner des idées innovantes, et d’aider à trouver des partenaires et un financement. Le courtier a pour tâche principale d’aider à préparer une proposition de projet innovant solide. </w:t>
                      </w:r>
                    </w:p>
                  </w:txbxContent>
                </v:textbox>
                <w10:wrap type="square" anchorx="page"/>
              </v:shape>
            </w:pict>
          </mc:Fallback>
        </mc:AlternateContent>
      </w:r>
    </w:p>
    <w:p w:rsidR="00ED3746" w:rsidRPr="00E05D08" w:rsidRDefault="00ED3746" w:rsidP="00ED3746">
      <w:pPr>
        <w:spacing w:before="240" w:after="120" w:line="280" w:lineRule="atLeast"/>
        <w:mirrorIndents/>
        <w:rPr>
          <w:rFonts w:eastAsia="Times New Roman" w:cs="Times New Roman"/>
          <w:szCs w:val="20"/>
          <w:shd w:val="clear" w:color="000000" w:fill="auto"/>
        </w:rPr>
      </w:pPr>
      <w:r>
        <w:rPr>
          <w:rStyle w:val="FootnoteReference"/>
          <w:color w:val="FFFFFF"/>
        </w:rPr>
        <w:footnoteReference w:id="23"/>
      </w:r>
      <w:r>
        <w:t>Parmi les autres mesures</w:t>
      </w:r>
      <w:r>
        <w:rPr>
          <w:vertAlign w:val="superscript"/>
        </w:rPr>
        <w:footnoteReference w:id="24"/>
      </w:r>
      <w:r>
        <w:t xml:space="preserve"> qui mentionnent expressément l’innovation figurent par </w:t>
      </w:r>
      <w:proofErr w:type="gramStart"/>
      <w:r>
        <w:t>exemple:</w:t>
      </w:r>
      <w:proofErr w:type="gramEnd"/>
    </w:p>
    <w:p w:rsidR="00ED3746" w:rsidRPr="00E05D08" w:rsidRDefault="00ED3746" w:rsidP="00ED3746">
      <w:pPr>
        <w:numPr>
          <w:ilvl w:val="0"/>
          <w:numId w:val="52"/>
        </w:numPr>
        <w:spacing w:before="60" w:after="120" w:line="280" w:lineRule="atLeast"/>
        <w:ind w:left="567" w:hanging="567"/>
        <w:mirrorIndents/>
        <w:rPr>
          <w:rFonts w:eastAsia="Times New Roman" w:cs="Times New Roman"/>
          <w:szCs w:val="20"/>
          <w:shd w:val="clear" w:color="000000" w:fill="auto"/>
        </w:rPr>
      </w:pPr>
      <w:proofErr w:type="gramStart"/>
      <w:r>
        <w:t>la</w:t>
      </w:r>
      <w:proofErr w:type="gramEnd"/>
      <w:r>
        <w:t xml:space="preserve"> création de groupements et d’organisations de producteurs, dont les activités incluent entre autres l’«organisation et la facilitation des processus d’innovation»</w:t>
      </w:r>
      <w:r>
        <w:rPr>
          <w:vertAlign w:val="superscript"/>
        </w:rPr>
        <w:footnoteReference w:id="25"/>
      </w:r>
      <w:r>
        <w:t xml:space="preserve"> (M9);</w:t>
      </w:r>
    </w:p>
    <w:p w:rsidR="00ED3746" w:rsidRPr="00E05D08" w:rsidRDefault="00ED3746" w:rsidP="00ED3746">
      <w:pPr>
        <w:numPr>
          <w:ilvl w:val="0"/>
          <w:numId w:val="52"/>
        </w:numPr>
        <w:spacing w:before="60" w:after="120" w:line="280" w:lineRule="atLeast"/>
        <w:ind w:left="567" w:hanging="567"/>
        <w:mirrorIndents/>
        <w:rPr>
          <w:rFonts w:eastAsia="Times New Roman" w:cs="Times New Roman"/>
          <w:szCs w:val="20"/>
          <w:shd w:val="clear" w:color="000000" w:fill="auto"/>
        </w:rPr>
      </w:pPr>
      <w:proofErr w:type="gramStart"/>
      <w:r>
        <w:t>l’innovation</w:t>
      </w:r>
      <w:proofErr w:type="gramEnd"/>
      <w:r>
        <w:t xml:space="preserve"> est l’un des sept principes de l’approche Leader/DLAL</w:t>
      </w:r>
      <w:r>
        <w:rPr>
          <w:vertAlign w:val="superscript"/>
        </w:rPr>
        <w:footnoteReference w:id="26"/>
      </w:r>
      <w:r>
        <w:t xml:space="preserve"> (M19).</w:t>
      </w:r>
    </w:p>
    <w:p w:rsidR="00ED3746" w:rsidRPr="00E05D08" w:rsidRDefault="00ED3746" w:rsidP="00ED3746">
      <w:pPr>
        <w:spacing w:after="120" w:line="280" w:lineRule="atLeast"/>
        <w:mirrorIndents/>
        <w:rPr>
          <w:rFonts w:eastAsia="Times New Roman" w:cs="Times New Roman"/>
          <w:szCs w:val="20"/>
          <w:shd w:val="clear" w:color="000000" w:fill="auto"/>
        </w:rPr>
      </w:pPr>
      <w:r>
        <w:rPr>
          <w:b/>
        </w:rPr>
        <w:t xml:space="preserve">Chaque mesure/sous-mesure du PDR a en principe le potentiel de favoriser l’innovation. </w:t>
      </w:r>
      <w:r>
        <w:t>L’approche particulière choisie par le PDR à l’égard de l’innovation est exprimée dans les critères d’admissibilité et de sélection des projets d’innovation et dans la combinaison des mesures au titre des DP en vue de favoriser l’innovation (transfert de connaissances, services de conseil, coopération, investissement, création de réseaux, etc.). Les autorités de gestion peuvent utiliser différentes approches pour organiser et combiner ces mesures</w:t>
      </w:r>
      <w:proofErr w:type="gramStart"/>
      <w:r>
        <w:t xml:space="preserve"> «douces</w:t>
      </w:r>
      <w:proofErr w:type="gramEnd"/>
      <w:r>
        <w:t>» (par exemple, les mesures 1, 2 et 16) et «dures» (soutien aux investissements, développement territorial, marketing, mesures relatives à l’environnement, à la nature, etc.) pour promouvoir l’innovation.</w:t>
      </w:r>
    </w:p>
    <w:p w:rsidR="00ED3746" w:rsidRPr="00E05D08" w:rsidRDefault="00ED3746" w:rsidP="00ED3746">
      <w:pPr>
        <w:spacing w:after="120" w:line="280" w:lineRule="atLeast"/>
        <w:mirrorIndents/>
        <w:rPr>
          <w:rFonts w:eastAsia="Times New Roman" w:cs="Times New Roman"/>
          <w:szCs w:val="20"/>
          <w:shd w:val="clear" w:color="000000" w:fill="auto"/>
        </w:rPr>
      </w:pPr>
      <w:r>
        <w:rPr>
          <w:b/>
        </w:rPr>
        <w:lastRenderedPageBreak/>
        <w:t>Des contributions secondaires des innovations aux autres DP peuvent se produire.</w:t>
      </w:r>
      <w:r>
        <w:t xml:space="preserve"> Par exemple, les opérations de coopération programmées au titre du DP 2A pourraient produire une approche innovante pour accroître la biodiversité et donc apporter des contributions secondaires au DP 4A. Ou bien les actions innovantes d’un GO pourraient déboucher sur la mise au point d’une nouvelle technique qui aide à réduire l’érosion des sols causée par la production agricole primaire (programmée au titre du DP 4C), ce qui renforcerait la compétitivité et l’accès aux marchés (une contribution secondaire au DP 2A).</w:t>
      </w:r>
    </w:p>
    <w:p w:rsidR="00ED3746" w:rsidRPr="00E05D08" w:rsidRDefault="00ED3746" w:rsidP="00ED3746">
      <w:pPr>
        <w:spacing w:after="120" w:line="280" w:lineRule="atLeast"/>
        <w:mirrorIndents/>
        <w:rPr>
          <w:rFonts w:eastAsia="Times New Roman" w:cs="Times New Roman"/>
          <w:b/>
          <w:szCs w:val="20"/>
          <w:shd w:val="clear" w:color="000000" w:fill="auto"/>
        </w:rPr>
      </w:pPr>
      <w:r>
        <w:rPr>
          <w:b/>
        </w:rPr>
        <w:t>La création de réseaux dans le contexte de la politique de développement rural joue un rôle important pour encourager l’innovation.</w:t>
      </w:r>
    </w:p>
    <w:p w:rsidR="00ED3746" w:rsidRPr="0081188E" w:rsidRDefault="00ED3746" w:rsidP="00ED3746">
      <w:pPr>
        <w:pStyle w:val="Hlistbullet"/>
      </w:pPr>
      <w:r>
        <w:rPr>
          <w:b/>
        </w:rPr>
        <w:t>Le réseau PEI</w:t>
      </w:r>
      <w:r>
        <w:t xml:space="preserve"> est un nouveau réseau créé pour la période 2014-2020, expressément mis en place pour apporter un soutien au PEI-AGRI</w:t>
      </w:r>
      <w:r>
        <w:rPr>
          <w:vertAlign w:val="superscript"/>
        </w:rPr>
        <w:footnoteReference w:id="27"/>
      </w:r>
      <w:r>
        <w:t xml:space="preserve"> (le partenariat européen d’innovation</w:t>
      </w:r>
      <w:proofErr w:type="gramStart"/>
      <w:r>
        <w:t xml:space="preserve"> «Productivité</w:t>
      </w:r>
      <w:proofErr w:type="gramEnd"/>
      <w:r>
        <w:t xml:space="preserve"> et développement durable de l’agriculture»). Les principaux objectifs du réseau PEI sont de connecter les GO du PEI, de faciliter l’échange de connaissances, de compétences et de bonnes pratiques, et d’instaurer un dialogue entre les exploitants agricoles et la communauté des chercheurs. Le réseau PEI-AGRI est géré par la Commission européenne (DG Agriculture et développement durable) avec l’aide du point de service (PS). L’équipe du PS facilite les activités du réseau, améliore la communication, le partage et l’échange de connaissances au moyen de conférences, de groupes de discussion, d’ateliers, de séminaires et de publications. L’objectif premier est de stimuler l’interaction entre tous les acteurs du PEI-</w:t>
      </w:r>
      <w:proofErr w:type="gramStart"/>
      <w:r>
        <w:t>AGRI:</w:t>
      </w:r>
      <w:proofErr w:type="gramEnd"/>
      <w:r>
        <w:t xml:space="preserve"> les agriculteurs, les chercheurs, les conseillers, les ONG, les entreprises, les pouvoirs publics, etc. Une plateforme en ligne interactive du PEI sert de base aux fonctions de mise en réseau. Elle permet de mettre en relation toutes les parties intéressées par l’innovation, notamment les GO, les services de conseil, les chercheurs, les agriculteurs, et les autres parties intéressées par le processus d’échange de connaissances.</w:t>
      </w:r>
    </w:p>
    <w:p w:rsidR="00ED3746" w:rsidRDefault="00ED3746" w:rsidP="00ED3746">
      <w:pPr>
        <w:pStyle w:val="Hlistbullet"/>
        <w:rPr>
          <w:shd w:val="clear" w:color="000000" w:fill="auto"/>
        </w:rPr>
      </w:pPr>
      <w:r>
        <w:rPr>
          <w:b/>
        </w:rPr>
        <w:t>Les réseaux ruraux nationaux</w:t>
      </w:r>
      <w:r>
        <w:t xml:space="preserve"> (RRN) favorisent l’innovation dans l’agriculture, la production alimentaire, la foresterie et les zones rurales</w:t>
      </w:r>
      <w:r>
        <w:rPr>
          <w:vertAlign w:val="superscript"/>
        </w:rPr>
        <w:footnoteReference w:id="28"/>
      </w:r>
      <w:r>
        <w:t>. Au niveau de l’Union, ils bénéficient du soutien du réseau européen de développement rural (REDR). Les RRN peuvent faire office de</w:t>
      </w:r>
      <w:proofErr w:type="gramStart"/>
      <w:r>
        <w:t xml:space="preserve"> «courtiers</w:t>
      </w:r>
      <w:proofErr w:type="gramEnd"/>
      <w:r>
        <w:t xml:space="preserve"> en innovation»</w:t>
      </w:r>
      <w:r>
        <w:rPr>
          <w:vertAlign w:val="superscript"/>
        </w:rPr>
        <w:footnoteReference w:id="29"/>
      </w:r>
      <w:r>
        <w:t>, ce qui nécessite un lien profond  avec le monde agricole et une connaissance détaillée de celui-ci, ainsi que des aptitudes de communication très développées. Les RRN interagissent avec le réseau du PEI comme source d’inspiration et pour l’échange d’informations et d’approches en vue d’encourager l’innovation. En plus de collecter des bonnes pratiques et des exemples et de faciliter les échanges thématiques entre les acteurs du développement rural, ils ont aussi pour mission particulière de mettre en réseau les services de soutien à l’innovation et les services de conseil</w:t>
      </w:r>
      <w:r>
        <w:rPr>
          <w:vertAlign w:val="superscript"/>
        </w:rPr>
        <w:footnoteReference w:id="30"/>
      </w:r>
      <w:r>
        <w:t>, permettant ainsi de récolter les idées innovantes des praticiens.</w:t>
      </w:r>
    </w:p>
    <w:p w:rsidR="00ED3746" w:rsidRPr="00EA0974" w:rsidRDefault="00ED3746" w:rsidP="00ED3746">
      <w:pPr>
        <w:pStyle w:val="HHeading3"/>
        <w:spacing w:line="280" w:lineRule="exact"/>
        <w:rPr>
          <w:shd w:val="clear" w:color="000000" w:fill="auto"/>
        </w:rPr>
      </w:pPr>
      <w:bookmarkStart w:id="32" w:name="_Toc503368718"/>
      <w:bookmarkStart w:id="33" w:name="_Toc508889629"/>
      <w:r>
        <w:t>Les éléments d’évaluation communs pour l’innovation</w:t>
      </w:r>
      <w:bookmarkEnd w:id="32"/>
      <w:bookmarkEnd w:id="33"/>
      <w:r>
        <w:t xml:space="preserve"> </w:t>
      </w:r>
    </w:p>
    <w:p w:rsidR="00ED3746" w:rsidRPr="00E05D08" w:rsidRDefault="00ED3746" w:rsidP="00ED3746">
      <w:pPr>
        <w:spacing w:after="120" w:line="280" w:lineRule="atLeast"/>
        <w:mirrorIndents/>
        <w:rPr>
          <w:rFonts w:eastAsia="Times New Roman" w:cs="Times New Roman"/>
          <w:b/>
          <w:szCs w:val="20"/>
          <w:shd w:val="clear" w:color="000000" w:fill="auto"/>
        </w:rPr>
      </w:pPr>
      <w:r>
        <w:rPr>
          <w:b/>
        </w:rPr>
        <w:t>Le plan d’évaluation</w:t>
      </w:r>
      <w:r>
        <w:rPr>
          <w:b/>
          <w:vertAlign w:val="superscript"/>
        </w:rPr>
        <w:footnoteReference w:id="31"/>
      </w:r>
      <w:r>
        <w:rPr>
          <w:b/>
        </w:rPr>
        <w:t xml:space="preserve"> (PE) prévu dans le PDR est le point de départ des évaluations. </w:t>
      </w:r>
      <w:r>
        <w:t>Le PE définit l’évaluation de l’innovation parmi les sujets et activités d’évaluation liés aux questions transversales. Les rapports relatifs à ces activités et les conclusions sont intégrés aux rapports annuels de mise en œuvre</w:t>
      </w:r>
      <w:r>
        <w:rPr>
          <w:vertAlign w:val="superscript"/>
        </w:rPr>
        <w:footnoteReference w:id="32"/>
      </w:r>
      <w:r>
        <w:t xml:space="preserve">. </w:t>
      </w:r>
    </w:p>
    <w:p w:rsidR="00ED3746" w:rsidRPr="00E05D08" w:rsidRDefault="00ED3746" w:rsidP="00ED3746">
      <w:pPr>
        <w:spacing w:after="120" w:line="280" w:lineRule="atLeast"/>
        <w:mirrorIndents/>
        <w:rPr>
          <w:rFonts w:eastAsia="Times New Roman" w:cs="Times New Roman"/>
          <w:szCs w:val="20"/>
          <w:shd w:val="clear" w:color="000000" w:fill="auto"/>
        </w:rPr>
      </w:pPr>
      <w:r>
        <w:rPr>
          <w:b/>
        </w:rPr>
        <w:lastRenderedPageBreak/>
        <w:t>Le système commun de suivi et d’évaluation (CMES)</w:t>
      </w:r>
      <w:r>
        <w:t xml:space="preserve"> inclut les éléments d’évaluation requis pour évaluer l’innovation, à savoir les questions d’évaluation communes (QEC), les critères de jugement et les indicateurs.</w:t>
      </w:r>
    </w:p>
    <w:p w:rsidR="00ED3746" w:rsidRPr="002E1723" w:rsidRDefault="00ED3746" w:rsidP="00ED3746">
      <w:pPr>
        <w:pStyle w:val="HStandard"/>
      </w:pPr>
      <w:r>
        <w:t xml:space="preserve">Au </w:t>
      </w:r>
      <w:r>
        <w:rPr>
          <w:b/>
        </w:rPr>
        <w:t>niveau des domaines prioritaires</w:t>
      </w:r>
      <w:r>
        <w:t xml:space="preserve">, il existe deux QEC relatives à l’innovation qui sont liées aux objectifs du DP 1A et du DP 1B. Ces questions permettent de rendre compte des contributions des interventions sur le plan des réalisations et des résultats </w:t>
      </w:r>
      <w:proofErr w:type="gramStart"/>
      <w:r>
        <w:t>escomptés:</w:t>
      </w:r>
      <w:proofErr w:type="gramEnd"/>
    </w:p>
    <w:p w:rsidR="00ED3746" w:rsidRPr="00EA0974" w:rsidRDefault="00ED3746" w:rsidP="00ED3746">
      <w:pPr>
        <w:pStyle w:val="Hlistbullet"/>
      </w:pPr>
      <w:r>
        <w:t>QEC nº </w:t>
      </w:r>
      <w:proofErr w:type="gramStart"/>
      <w:r>
        <w:t>1:</w:t>
      </w:r>
      <w:proofErr w:type="gramEnd"/>
      <w:r>
        <w:t xml:space="preserve"> «Dans quelle mesure les interventions du PDR ont-elles soutenu l’innovation, la coopération et le développement de la base de connaissances dans les zones rurales?»; </w:t>
      </w:r>
    </w:p>
    <w:p w:rsidR="00ED3746" w:rsidRPr="002E1723" w:rsidRDefault="00ED3746" w:rsidP="00ED3746">
      <w:pPr>
        <w:pStyle w:val="Hlistbullet"/>
      </w:pPr>
      <w:r>
        <w:t>QEC nº </w:t>
      </w:r>
      <w:proofErr w:type="gramStart"/>
      <w:r>
        <w:t>2:</w:t>
      </w:r>
      <w:proofErr w:type="gramEnd"/>
      <w:r>
        <w:t xml:space="preserve"> «Dans quelle mesure les interventions du PDR ont-elles favorisé le renforcement des liens entre l’agriculture, la production alimentaire et la foresterie, la recherche et l’innovation, y compris aux fins d’améliorer la gestion et les performances environnementales?». </w:t>
      </w:r>
    </w:p>
    <w:p w:rsidR="00ED3746" w:rsidRPr="002E1723" w:rsidRDefault="00ED3746" w:rsidP="00ED3746">
      <w:pPr>
        <w:pStyle w:val="HStandard"/>
      </w:pPr>
      <w:r>
        <w:t>La QEC nº </w:t>
      </w:r>
      <w:proofErr w:type="gramStart"/>
      <w:r>
        <w:t>21:</w:t>
      </w:r>
      <w:proofErr w:type="gramEnd"/>
      <w:r>
        <w:t xml:space="preserve"> «Dans quelle mesure le RRN a-t-il contribué à la réalisation des objectifs fixés à l’article 54, paragraphe 2, du règlement (UE) nº 1305/2013?» concerne </w:t>
      </w:r>
      <w:r>
        <w:rPr>
          <w:b/>
        </w:rPr>
        <w:t>d’autres aspects du PDR</w:t>
      </w:r>
      <w:r>
        <w:t>, notamment en vue de rendre compte des réalisations et résultats escomptés obtenus par les RRN. Cette QEC est pertinente pour l’innovation, car elle concerne l’objectif d) de l’article 54, paragraphe 2,</w:t>
      </w:r>
      <w:proofErr w:type="gramStart"/>
      <w:r>
        <w:t xml:space="preserve"> «favoriser</w:t>
      </w:r>
      <w:proofErr w:type="gramEnd"/>
      <w:r>
        <w:t xml:space="preserve"> l’innovation dans le secteur de l’agriculture, de la production alimentaire et de la foresterie ainsi que dans les zones rurales».</w:t>
      </w:r>
    </w:p>
    <w:p w:rsidR="00ED3746" w:rsidRPr="001A2A93" w:rsidRDefault="00ED3746" w:rsidP="00ED3746">
      <w:pPr>
        <w:pStyle w:val="HStandard"/>
      </w:pPr>
      <w:r>
        <w:rPr>
          <w:b/>
        </w:rPr>
        <w:t>Au niveau des objectifs de l’Union</w:t>
      </w:r>
      <w:r>
        <w:t xml:space="preserve">, il existe deux QEC relatives à l’innovation visant à rendre compte de la contribution des programmes sur le plan des incidences </w:t>
      </w:r>
      <w:proofErr w:type="gramStart"/>
      <w:r>
        <w:t>escomptées:</w:t>
      </w:r>
      <w:proofErr w:type="gramEnd"/>
      <w:r>
        <w:t xml:space="preserve"> </w:t>
      </w:r>
    </w:p>
    <w:p w:rsidR="00ED3746" w:rsidRPr="001A2A93" w:rsidRDefault="00ED3746" w:rsidP="00ED3746">
      <w:pPr>
        <w:pStyle w:val="Hlistbullet"/>
      </w:pPr>
      <w:proofErr w:type="gramStart"/>
      <w:r>
        <w:t>la</w:t>
      </w:r>
      <w:proofErr w:type="gramEnd"/>
      <w:r>
        <w:t xml:space="preserve"> QEC nº 23 concerne la réalisation de l' objectif phare de l’Union: «Dans quelle mesure le PDR a-t-il contribué à la réalisation de l’objectif phare de la stratégie Europe 2020 visant à investir 3 % du PIB de l’Union européenne dans la recherche et le développement et l’innovation?»; </w:t>
      </w:r>
    </w:p>
    <w:p w:rsidR="00ED3746" w:rsidRPr="001A2A93" w:rsidRDefault="00ED3746" w:rsidP="00ED3746">
      <w:pPr>
        <w:pStyle w:val="Hlistbullet"/>
      </w:pPr>
      <w:proofErr w:type="gramStart"/>
      <w:r>
        <w:t>la</w:t>
      </w:r>
      <w:proofErr w:type="gramEnd"/>
      <w:r>
        <w:t xml:space="preserve"> QEC nº 30 évalue l’innovation comme objectif transversal: «Dans quelle mesure le PDR a-t-il contribué à l’objectif de la PAC visant la promotion de l’innovation?». </w:t>
      </w:r>
    </w:p>
    <w:p w:rsidR="00706C65" w:rsidRDefault="00ED3746" w:rsidP="00ED3746">
      <w:pPr>
        <w:spacing w:after="120" w:line="280" w:lineRule="atLeast"/>
        <w:mirrorIndents/>
      </w:pPr>
      <w:r>
        <w:t>La figure suivante montre comment les éléments d’évaluation communs (QEC, critères de jugement et indicateurs) sont liés au cadre politique aux différents niveaux. Il existe sept </w:t>
      </w:r>
      <w:r>
        <w:rPr>
          <w:b/>
        </w:rPr>
        <w:t>indicateurs communs</w:t>
      </w:r>
      <w:r>
        <w:t xml:space="preserve"> associés aux questions d’évaluation communes pour </w:t>
      </w:r>
      <w:proofErr w:type="gramStart"/>
      <w:r>
        <w:t>l’innovation:</w:t>
      </w:r>
      <w:proofErr w:type="gramEnd"/>
      <w:r>
        <w:t xml:space="preserve"> cinq indicateurs de réalisation et deux indicateurs cibles</w:t>
      </w:r>
      <w:r>
        <w:rPr>
          <w:vertAlign w:val="superscript"/>
        </w:rPr>
        <w:footnoteReference w:id="33"/>
      </w:r>
      <w:r>
        <w:t>.</w:t>
      </w:r>
    </w:p>
    <w:p w:rsidR="00706C65" w:rsidRDefault="00706C65">
      <w:pPr>
        <w:spacing w:after="0" w:line="240" w:lineRule="auto"/>
        <w:jc w:val="left"/>
      </w:pPr>
      <w:r>
        <w:br w:type="page"/>
      </w:r>
    </w:p>
    <w:p w:rsidR="00ED3746" w:rsidRPr="00E05D08" w:rsidRDefault="00ED3746" w:rsidP="00ED3746">
      <w:pPr>
        <w:spacing w:after="120" w:line="280" w:lineRule="atLeast"/>
        <w:mirrorIndents/>
        <w:rPr>
          <w:rFonts w:eastAsia="Times New Roman" w:cs="Times New Roman"/>
          <w:szCs w:val="20"/>
          <w:shd w:val="clear" w:color="000000" w:fill="auto"/>
        </w:rPr>
      </w:pPr>
    </w:p>
    <w:p w:rsidR="00ED3746" w:rsidRPr="00151D94" w:rsidRDefault="00ED3746" w:rsidP="00ED3746">
      <w:pPr>
        <w:pStyle w:val="HHeadingfigures"/>
      </w:pPr>
      <w:bookmarkStart w:id="34" w:name="_Toc503284756"/>
      <w:bookmarkStart w:id="35" w:name="_Toc508894548"/>
      <w:r>
        <w:t>Les éléments d’évaluation communs pour l’évaluation de l’innovation</w:t>
      </w:r>
      <w:bookmarkEnd w:id="34"/>
      <w:bookmarkEnd w:id="35"/>
      <w:r>
        <w:t xml:space="preserve"> </w:t>
      </w:r>
    </w:p>
    <w:p w:rsidR="00ED3746" w:rsidRPr="00E05D08" w:rsidRDefault="00F204F1" w:rsidP="00ED3746">
      <w:pPr>
        <w:spacing w:before="60" w:after="140" w:line="220" w:lineRule="atLeast"/>
        <w:jc w:val="center"/>
        <w:rPr>
          <w:rFonts w:eastAsia="Times New Roman" w:cs="Arial"/>
          <w:szCs w:val="20"/>
          <w:shd w:val="clear" w:color="000000" w:fill="auto"/>
        </w:rPr>
      </w:pPr>
      <w:r w:rsidRPr="00B93999">
        <w:rPr>
          <w:rFonts w:eastAsia="Times New Roman" w:cs="Arial"/>
          <w:noProof/>
          <w:szCs w:val="20"/>
          <w:highlight w:val="yellow"/>
          <w:shd w:val="clear" w:color="000000" w:fill="auto"/>
        </w:rPr>
        <w:drawing>
          <wp:inline distT="0" distB="0" distL="0" distR="0">
            <wp:extent cx="6096635" cy="3429635"/>
            <wp:effectExtent l="0" t="0" r="0" b="0"/>
            <wp:docPr id="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rsidR="00ED3746" w:rsidRDefault="00ED3746" w:rsidP="00ED3746">
      <w:pPr>
        <w:suppressAutoHyphens/>
        <w:spacing w:before="60" w:after="140" w:line="240" w:lineRule="auto"/>
        <w:ind w:left="1134" w:right="1134"/>
        <w:mirrorIndents/>
        <w:jc w:val="center"/>
        <w:rPr>
          <w:rFonts w:eastAsia="Times New Roman" w:cs="Times New Roman"/>
          <w:i/>
          <w:sz w:val="16"/>
          <w:szCs w:val="16"/>
        </w:rPr>
      </w:pPr>
      <w:proofErr w:type="gramStart"/>
      <w:r>
        <w:rPr>
          <w:i/>
          <w:sz w:val="16"/>
        </w:rPr>
        <w:t>Source:</w:t>
      </w:r>
      <w:proofErr w:type="gramEnd"/>
      <w:r>
        <w:rPr>
          <w:i/>
          <w:sz w:val="16"/>
        </w:rPr>
        <w:t xml:space="preserve"> Helpdesk Évaluation européen pour le développement rural, 2017.</w:t>
      </w:r>
    </w:p>
    <w:p w:rsidR="00ED3746" w:rsidRPr="003737FE" w:rsidRDefault="00ED3746" w:rsidP="00ED3746">
      <w:pPr>
        <w:pStyle w:val="HHeading2"/>
      </w:pPr>
      <w:bookmarkStart w:id="36" w:name="_Toc493151897"/>
      <w:bookmarkStart w:id="37" w:name="_Toc501382124"/>
      <w:bookmarkStart w:id="38" w:name="_Toc503368719"/>
      <w:bookmarkStart w:id="39" w:name="_Toc508889630"/>
      <w:r>
        <w:t>Les difficultés de l’évaluation de l’innovation</w:t>
      </w:r>
      <w:bookmarkEnd w:id="36"/>
      <w:bookmarkEnd w:id="37"/>
      <w:bookmarkEnd w:id="38"/>
      <w:bookmarkEnd w:id="39"/>
    </w:p>
    <w:p w:rsidR="00ED3746" w:rsidRPr="00E05D08" w:rsidRDefault="00ED3746" w:rsidP="00ED3746">
      <w:pPr>
        <w:spacing w:after="120" w:line="280" w:lineRule="atLeast"/>
        <w:mirrorIndents/>
        <w:rPr>
          <w:rFonts w:eastAsia="Times New Roman" w:cs="Times New Roman"/>
          <w:szCs w:val="20"/>
        </w:rPr>
      </w:pPr>
      <w:bookmarkStart w:id="40" w:name="_Toc476064466"/>
      <w:bookmarkStart w:id="41" w:name="_Toc476064526"/>
      <w:bookmarkStart w:id="42" w:name="_Toc476064467"/>
      <w:bookmarkStart w:id="43" w:name="_Toc476064527"/>
      <w:bookmarkStart w:id="44" w:name="_Toc476064468"/>
      <w:bookmarkStart w:id="45" w:name="_Toc476064528"/>
      <w:bookmarkStart w:id="46" w:name="_Toc476064469"/>
      <w:bookmarkStart w:id="47" w:name="_Toc476064529"/>
      <w:bookmarkStart w:id="48" w:name="_Toc476064470"/>
      <w:bookmarkStart w:id="49" w:name="_Toc476064530"/>
      <w:bookmarkStart w:id="50" w:name="_Toc476064471"/>
      <w:bookmarkStart w:id="51" w:name="_Toc476064531"/>
      <w:bookmarkStart w:id="52" w:name="_Toc476064472"/>
      <w:bookmarkStart w:id="53" w:name="_Toc476064532"/>
      <w:bookmarkStart w:id="54" w:name="_Toc476064473"/>
      <w:bookmarkStart w:id="55" w:name="_Toc476064533"/>
      <w:bookmarkStart w:id="56" w:name="_Toc476064474"/>
      <w:bookmarkStart w:id="57" w:name="_Toc476064534"/>
      <w:bookmarkStart w:id="58" w:name="_Toc476064475"/>
      <w:bookmarkStart w:id="59" w:name="_Toc476064535"/>
      <w:bookmarkStart w:id="60" w:name="_Toc476064476"/>
      <w:bookmarkStart w:id="61" w:name="_Toc476064536"/>
      <w:bookmarkStart w:id="62" w:name="_Toc476064477"/>
      <w:bookmarkStart w:id="63" w:name="_Toc476064537"/>
      <w:bookmarkStart w:id="64" w:name="_Toc476064478"/>
      <w:bookmarkStart w:id="65" w:name="_Toc476064538"/>
      <w:bookmarkStart w:id="66" w:name="_Toc476064479"/>
      <w:bookmarkStart w:id="67" w:name="_Toc476064539"/>
      <w:bookmarkStart w:id="68" w:name="_Toc476064481"/>
      <w:bookmarkStart w:id="69" w:name="_Toc476064541"/>
      <w:bookmarkStart w:id="70" w:name="_Toc476064482"/>
      <w:bookmarkStart w:id="71" w:name="_Toc476064542"/>
      <w:bookmarkStart w:id="72" w:name="_Toc476064483"/>
      <w:bookmarkStart w:id="73" w:name="_Toc476064543"/>
      <w:bookmarkStart w:id="74" w:name="_Toc476064484"/>
      <w:bookmarkStart w:id="75" w:name="_Toc476064544"/>
      <w:bookmarkStart w:id="76" w:name="_Toc476064485"/>
      <w:bookmarkStart w:id="77" w:name="_Toc476064545"/>
      <w:bookmarkStart w:id="78" w:name="_Toc476064486"/>
      <w:bookmarkStart w:id="79" w:name="_Toc476064546"/>
      <w:bookmarkStart w:id="80" w:name="_Toc476064487"/>
      <w:bookmarkStart w:id="81" w:name="_Toc476064547"/>
      <w:bookmarkStart w:id="82" w:name="_Toc476064488"/>
      <w:bookmarkStart w:id="83" w:name="_Toc476064548"/>
      <w:bookmarkStart w:id="84" w:name="_Toc476064489"/>
      <w:bookmarkStart w:id="85" w:name="_Toc476064549"/>
      <w:bookmarkStart w:id="86" w:name="_Toc476064490"/>
      <w:bookmarkStart w:id="87" w:name="_Toc476064550"/>
      <w:bookmarkStart w:id="88" w:name="_Toc476064491"/>
      <w:bookmarkStart w:id="89" w:name="_Toc476064551"/>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t>Plusieurs difficultés doivent être prises en considération au moment d’évaluer l’innovation dans les PDR.</w:t>
      </w:r>
    </w:p>
    <w:p w:rsidR="00ED3746" w:rsidRPr="00E05D08" w:rsidRDefault="00ED3746" w:rsidP="00ED3746">
      <w:pPr>
        <w:pStyle w:val="HHeading4"/>
        <w:rPr>
          <w:rFonts w:eastAsia="Calibri"/>
        </w:rPr>
      </w:pPr>
      <w:r>
        <w:t xml:space="preserve">Difficultés conceptuelles </w:t>
      </w:r>
    </w:p>
    <w:p w:rsidR="00ED3746" w:rsidRPr="00920CB9" w:rsidRDefault="00ED3746" w:rsidP="00ED3746">
      <w:pPr>
        <w:pStyle w:val="Hlistbullet"/>
      </w:pPr>
      <w:r>
        <w:rPr>
          <w:b/>
        </w:rPr>
        <w:t xml:space="preserve">Déterminer clairement l’objet de </w:t>
      </w:r>
      <w:proofErr w:type="gramStart"/>
      <w:r>
        <w:rPr>
          <w:b/>
        </w:rPr>
        <w:t>l’évaluation:</w:t>
      </w:r>
      <w:proofErr w:type="gramEnd"/>
      <w:r>
        <w:t xml:space="preserve"> sur quoi l’évaluation de l’innovation se concentre-t-elle? </w:t>
      </w:r>
    </w:p>
    <w:p w:rsidR="00ED3746" w:rsidRPr="00920CB9" w:rsidRDefault="00ED3746" w:rsidP="00ED3746">
      <w:pPr>
        <w:pStyle w:val="Hlistbullet"/>
      </w:pPr>
      <w:r>
        <w:rPr>
          <w:b/>
        </w:rPr>
        <w:t xml:space="preserve">Cartographier le système de connaissance et </w:t>
      </w:r>
      <w:proofErr w:type="gramStart"/>
      <w:r>
        <w:rPr>
          <w:b/>
        </w:rPr>
        <w:t>d’innovation</w:t>
      </w:r>
      <w:r>
        <w:t>:</w:t>
      </w:r>
      <w:proofErr w:type="gramEnd"/>
      <w:r>
        <w:t xml:space="preserve"> quels sont les composants, leurs relations, et les limites d’un système de connaissance et d’innovation donné dans la zone rurale évaluée? Quel est le rôle des PDR au sein de ce </w:t>
      </w:r>
      <w:proofErr w:type="gramStart"/>
      <w:r>
        <w:t>système?</w:t>
      </w:r>
      <w:proofErr w:type="gramEnd"/>
      <w:r>
        <w:rPr>
          <w:vertAlign w:val="superscript"/>
        </w:rPr>
        <w:footnoteReference w:id="34"/>
      </w:r>
    </w:p>
    <w:p w:rsidR="00ED3746" w:rsidRPr="00920CB9" w:rsidRDefault="00ED3746" w:rsidP="00ED3746">
      <w:pPr>
        <w:pStyle w:val="Hlistbullet"/>
      </w:pPr>
      <w:r>
        <w:rPr>
          <w:b/>
        </w:rPr>
        <w:t xml:space="preserve">Analyser l’approche du PDR à l’égard de </w:t>
      </w:r>
      <w:proofErr w:type="gramStart"/>
      <w:r>
        <w:rPr>
          <w:b/>
        </w:rPr>
        <w:t>l’innovation</w:t>
      </w:r>
      <w:r>
        <w:t>:</w:t>
      </w:r>
      <w:proofErr w:type="gramEnd"/>
      <w:r>
        <w:t xml:space="preserve"> quel est le potentiel d’innovation d’un PDR donné? Quels sont les </w:t>
      </w:r>
      <w:proofErr w:type="gramStart"/>
      <w:r>
        <w:t>objectifs?</w:t>
      </w:r>
      <w:proofErr w:type="gramEnd"/>
      <w:r>
        <w:t xml:space="preserve"> Les critères de sélection sont-ils expressément conçus pour tenir compte de </w:t>
      </w:r>
      <w:proofErr w:type="gramStart"/>
      <w:r>
        <w:t>l’innovation?</w:t>
      </w:r>
      <w:proofErr w:type="gramEnd"/>
    </w:p>
    <w:p w:rsidR="00ED3746" w:rsidRPr="00B76BA4" w:rsidRDefault="00ED3746" w:rsidP="00ED3746">
      <w:pPr>
        <w:pStyle w:val="HHeading4"/>
        <w:rPr>
          <w:rFonts w:eastAsia="Calibri"/>
          <w:shd w:val="clear" w:color="000000" w:fill="auto"/>
        </w:rPr>
      </w:pPr>
      <w:r>
        <w:t xml:space="preserve">Difficultés liées au système commun de suivi et d’évaluation </w:t>
      </w:r>
    </w:p>
    <w:p w:rsidR="00ED3746" w:rsidRPr="000324A5" w:rsidRDefault="00ED3746" w:rsidP="00ED3746">
      <w:pPr>
        <w:pStyle w:val="Hlistbullet"/>
      </w:pPr>
      <w:r>
        <w:rPr>
          <w:b/>
        </w:rPr>
        <w:t xml:space="preserve">Élaborer des éléments d’évaluation supplémentaires et des éléments d’évaluation propres au </w:t>
      </w:r>
      <w:proofErr w:type="gramStart"/>
      <w:r>
        <w:rPr>
          <w:b/>
        </w:rPr>
        <w:t>programme:</w:t>
      </w:r>
      <w:proofErr w:type="gramEnd"/>
      <w:r>
        <w:rPr>
          <w:b/>
        </w:rPr>
        <w:t xml:space="preserve"> </w:t>
      </w:r>
      <w:r>
        <w:t xml:space="preserve">comment concevoir des éléments d’évaluation supplémentaires et des éléments d’évaluation propres au programme liés à l’évaluation de l’innovation? </w:t>
      </w:r>
    </w:p>
    <w:p w:rsidR="00ED3746" w:rsidRPr="000324A5" w:rsidRDefault="00ED3746" w:rsidP="00ED3746">
      <w:pPr>
        <w:pStyle w:val="Hlistbullet"/>
        <w:rPr>
          <w:b/>
        </w:rPr>
      </w:pPr>
      <w:r>
        <w:rPr>
          <w:b/>
        </w:rPr>
        <w:lastRenderedPageBreak/>
        <w:t xml:space="preserve">Communiquer les </w:t>
      </w:r>
      <w:proofErr w:type="gramStart"/>
      <w:r>
        <w:rPr>
          <w:b/>
        </w:rPr>
        <w:t>résultats:</w:t>
      </w:r>
      <w:proofErr w:type="gramEnd"/>
      <w:r>
        <w:rPr>
          <w:b/>
        </w:rPr>
        <w:t xml:space="preserve"> </w:t>
      </w:r>
      <w:r>
        <w:t>comment rapprocher les procédures d’évaluation du cadre du rapport annuel de mise en œuvre en 2019, ainsi que de l’évaluation ex post en 2024?</w:t>
      </w:r>
    </w:p>
    <w:p w:rsidR="00ED3746" w:rsidRPr="00E05D08" w:rsidRDefault="00ED3746" w:rsidP="00ED3746">
      <w:pPr>
        <w:pStyle w:val="HHeading4"/>
        <w:rPr>
          <w:rFonts w:eastAsia="Calibri"/>
          <w:shd w:val="clear" w:color="000000" w:fill="auto"/>
        </w:rPr>
      </w:pPr>
      <w:r>
        <w:t xml:space="preserve">Difficultés méthodologiques </w:t>
      </w:r>
    </w:p>
    <w:p w:rsidR="00ED3746" w:rsidRPr="00F8743F" w:rsidRDefault="00ED3746" w:rsidP="00ED3746">
      <w:pPr>
        <w:pStyle w:val="Hlistbullet"/>
        <w:rPr>
          <w:shd w:val="clear" w:color="000000" w:fill="auto"/>
        </w:rPr>
      </w:pPr>
      <w:r>
        <w:rPr>
          <w:b/>
        </w:rPr>
        <w:t xml:space="preserve">Attribuer les processus d’innovation aux interventions du </w:t>
      </w:r>
      <w:proofErr w:type="gramStart"/>
      <w:r>
        <w:rPr>
          <w:b/>
        </w:rPr>
        <w:t>PDR</w:t>
      </w:r>
      <w:r>
        <w:t>:</w:t>
      </w:r>
      <w:proofErr w:type="gramEnd"/>
      <w:r>
        <w:t xml:space="preserve"> comment déterminer la mesure dans laquelle les processus d’innovation générés dans les zones rurales peuvent être directement ou indirectement attribués aux interventions du PDR? </w:t>
      </w:r>
    </w:p>
    <w:p w:rsidR="00ED3746" w:rsidRPr="00F8743F" w:rsidRDefault="00ED3746" w:rsidP="00ED3746">
      <w:pPr>
        <w:pStyle w:val="Hlistbullet"/>
        <w:rPr>
          <w:shd w:val="clear" w:color="000000" w:fill="auto"/>
        </w:rPr>
      </w:pPr>
      <w:r>
        <w:rPr>
          <w:b/>
        </w:rPr>
        <w:t>Attribuer des effets de l’innovation aux résultats et aux incidences du PDR</w:t>
      </w:r>
      <w:r>
        <w:t xml:space="preserve">. </w:t>
      </w:r>
    </w:p>
    <w:p w:rsidR="00ED3746" w:rsidRPr="00F8743F" w:rsidRDefault="00ED3746" w:rsidP="00ED3746">
      <w:pPr>
        <w:pStyle w:val="Hlistbullet"/>
        <w:rPr>
          <w:shd w:val="clear" w:color="000000" w:fill="auto"/>
        </w:rPr>
      </w:pPr>
      <w:r>
        <w:rPr>
          <w:b/>
        </w:rPr>
        <w:t xml:space="preserve">Concevoir des approches d’évaluation </w:t>
      </w:r>
      <w:proofErr w:type="gramStart"/>
      <w:r>
        <w:rPr>
          <w:b/>
        </w:rPr>
        <w:t>adaptées:</w:t>
      </w:r>
      <w:proofErr w:type="gramEnd"/>
      <w:r>
        <w:rPr>
          <w:color w:val="171717"/>
        </w:rPr>
        <w:t xml:space="preserve"> comment trianguler et mélanger les méthodes quantitatives et qualitatives pour interpréter les résultats de l’évaluation et éclairer les conclusions et les recommandations? </w:t>
      </w:r>
    </w:p>
    <w:p w:rsidR="00ED3746" w:rsidRPr="00E05D08" w:rsidRDefault="00ED3746" w:rsidP="00ED3746">
      <w:pPr>
        <w:pStyle w:val="HHeading4"/>
        <w:rPr>
          <w:rFonts w:eastAsia="Calibri"/>
          <w:shd w:val="clear" w:color="000000" w:fill="auto"/>
        </w:rPr>
      </w:pPr>
      <w:r>
        <w:t>Difficultés organisationnelles</w:t>
      </w:r>
    </w:p>
    <w:p w:rsidR="00ED3746" w:rsidRPr="00D55226" w:rsidRDefault="00ED3746" w:rsidP="00ED3746">
      <w:pPr>
        <w:pStyle w:val="Hlistbullet"/>
        <w:rPr>
          <w:rFonts w:eastAsia="Calibri"/>
        </w:rPr>
      </w:pPr>
      <w:r>
        <w:rPr>
          <w:b/>
        </w:rPr>
        <w:t xml:space="preserve">Garantir une gestion effective et efficace des </w:t>
      </w:r>
      <w:proofErr w:type="gramStart"/>
      <w:r>
        <w:rPr>
          <w:b/>
        </w:rPr>
        <w:t>données</w:t>
      </w:r>
      <w:r>
        <w:t>:</w:t>
      </w:r>
      <w:proofErr w:type="gramEnd"/>
      <w:r>
        <w:t xml:space="preserve"> comment gérer, collecter et analyser les données relatives aux indicateurs communs et supplémentaires, en particulier lorsque la gestion des mesures favorables à l’innovation est répartie entre différents organes responsables? </w:t>
      </w:r>
    </w:p>
    <w:p w:rsidR="00ED3746" w:rsidRPr="00D55226" w:rsidRDefault="00ED3746" w:rsidP="00ED3746">
      <w:pPr>
        <w:pStyle w:val="Hlistbullet"/>
        <w:rPr>
          <w:rFonts w:eastAsia="Calibri"/>
        </w:rPr>
      </w:pPr>
      <w:r>
        <w:rPr>
          <w:b/>
        </w:rPr>
        <w:t xml:space="preserve">Coordonner les parties </w:t>
      </w:r>
      <w:proofErr w:type="gramStart"/>
      <w:r>
        <w:rPr>
          <w:b/>
        </w:rPr>
        <w:t>concernées</w:t>
      </w:r>
      <w:r>
        <w:t>:</w:t>
      </w:r>
      <w:proofErr w:type="gramEnd"/>
      <w:r>
        <w:t xml:space="preserve"> comment mettre en place une procédure commune et parvenir à une interprétation commune entre les autorités de gestion et les différentes parties concernées par l’évaluation de l’innovation (par exemple, les GAL, les GO du PEI, les conseillers des agriculteurs/sylviculteurs, les chercheurs)?</w:t>
      </w:r>
    </w:p>
    <w:p w:rsidR="00ED3746" w:rsidRDefault="00ED3746" w:rsidP="00ED3746">
      <w:pPr>
        <w:pStyle w:val="Hlistbullet"/>
        <w:rPr>
          <w:rFonts w:eastAsia="Calibri"/>
        </w:rPr>
      </w:pPr>
      <w:r>
        <w:rPr>
          <w:b/>
        </w:rPr>
        <w:t xml:space="preserve">Utiliser les résultats de l’évaluation pour améliorer la conception et la mise en œuvre des </w:t>
      </w:r>
      <w:proofErr w:type="gramStart"/>
      <w:r>
        <w:rPr>
          <w:b/>
        </w:rPr>
        <w:t>politiques</w:t>
      </w:r>
      <w:r>
        <w:t>:</w:t>
      </w:r>
      <w:proofErr w:type="gramEnd"/>
      <w:r>
        <w:t xml:space="preserve"> comment tirer des conclusions et des recommandations de suivi à partir des résultats de l’évaluation afin d’améliorer le PDR, sa transparence, la responsabilité, et la mise en commun des connaissances entre les parties concernées par le PDR?</w:t>
      </w:r>
    </w:p>
    <w:p w:rsidR="00ED3746" w:rsidRDefault="00ED3746" w:rsidP="00ED3746">
      <w:pPr>
        <w:pStyle w:val="HHeading1"/>
        <w:tabs>
          <w:tab w:val="clear" w:pos="567"/>
        </w:tabs>
      </w:pPr>
      <w:bookmarkStart w:id="90" w:name="_Toc503368720"/>
      <w:bookmarkStart w:id="91" w:name="_Toc508889631"/>
      <w:r>
        <w:lastRenderedPageBreak/>
        <w:t xml:space="preserve">Comment évaluer l’innovation dans les </w:t>
      </w:r>
      <w:proofErr w:type="gramStart"/>
      <w:r>
        <w:t>PDR?</w:t>
      </w:r>
      <w:bookmarkEnd w:id="90"/>
      <w:bookmarkEnd w:id="91"/>
      <w:proofErr w:type="gramEnd"/>
    </w:p>
    <w:p w:rsidR="00ED3746" w:rsidRPr="00C84B5B" w:rsidRDefault="00ED3746" w:rsidP="00ED3746">
      <w:pPr>
        <w:pStyle w:val="HHeading2"/>
        <w:numPr>
          <w:ilvl w:val="1"/>
          <w:numId w:val="119"/>
        </w:numPr>
        <w:ind w:left="567" w:hanging="567"/>
      </w:pPr>
      <w:bookmarkStart w:id="92" w:name="_Toc476063931"/>
      <w:bookmarkStart w:id="93" w:name="_Toc476064198"/>
      <w:bookmarkStart w:id="94" w:name="_Toc476064493"/>
      <w:bookmarkStart w:id="95" w:name="_Toc476064553"/>
      <w:bookmarkStart w:id="96" w:name="_Toc503368721"/>
      <w:bookmarkStart w:id="97" w:name="_Toc508889632"/>
      <w:bookmarkStart w:id="98" w:name="_Toc493151899"/>
      <w:bookmarkStart w:id="99" w:name="_Toc501382126"/>
      <w:bookmarkEnd w:id="92"/>
      <w:bookmarkEnd w:id="93"/>
      <w:bookmarkEnd w:id="94"/>
      <w:bookmarkEnd w:id="95"/>
      <w:r>
        <w:t>Approche proposée pour évaluer l’innovation dans les PDR 2014-2020 (vue d’ensemble)</w:t>
      </w:r>
      <w:bookmarkEnd w:id="96"/>
      <w:bookmarkEnd w:id="97"/>
    </w:p>
    <w:bookmarkEnd w:id="98"/>
    <w:bookmarkEnd w:id="99"/>
    <w:p w:rsidR="00ED3746" w:rsidRDefault="00ED3746" w:rsidP="00ED3746">
      <w:pPr>
        <w:pStyle w:val="HHeading4"/>
      </w:pPr>
      <w:r>
        <w:t>Gérer l’évaluation de l’innovation</w:t>
      </w:r>
    </w:p>
    <w:p w:rsidR="00ED3746" w:rsidRPr="00E05D08" w:rsidRDefault="00ED3746" w:rsidP="00ED3746">
      <w:pPr>
        <w:spacing w:after="120" w:line="280" w:lineRule="atLeast"/>
        <w:mirrorIndents/>
        <w:rPr>
          <w:rFonts w:eastAsia="Times New Roman" w:cs="Times New Roman"/>
          <w:szCs w:val="20"/>
        </w:rPr>
      </w:pPr>
      <w:r>
        <w:rPr>
          <w:b/>
        </w:rPr>
        <w:t>L’évaluation de l’innovation et la réponse aux questions d’évaluation relatives à l’innovation font partie de l’évaluation du PDR.</w:t>
      </w:r>
      <w:r>
        <w:t xml:space="preserve"> Elles sont donc généralement gérées de concert avec les autres activités d’évaluation du PDR</w:t>
      </w:r>
      <w:r>
        <w:rPr>
          <w:vertAlign w:val="superscript"/>
        </w:rPr>
        <w:footnoteReference w:id="35"/>
      </w:r>
      <w:r>
        <w:t xml:space="preserve">. La figure ci-après donne une vue d’ensemble de ce processus. </w:t>
      </w:r>
    </w:p>
    <w:p w:rsidR="00ED3746" w:rsidRPr="00E05D08" w:rsidRDefault="00ED3746" w:rsidP="00ED3746">
      <w:pPr>
        <w:spacing w:after="120" w:line="280" w:lineRule="atLeast"/>
        <w:mirrorIndents/>
        <w:rPr>
          <w:rFonts w:eastAsia="Times New Roman" w:cs="Times New Roman"/>
          <w:szCs w:val="20"/>
        </w:rPr>
      </w:pPr>
      <w:r>
        <w:t xml:space="preserve">La manière de préparer, structurer et conduire l’évaluation de l’innovation est décrite en détail aux chapitres 2.2 à 2.4. </w:t>
      </w:r>
    </w:p>
    <w:p w:rsidR="00ED3746" w:rsidRPr="0018705F" w:rsidRDefault="00ED3746" w:rsidP="00ED3746">
      <w:pPr>
        <w:pStyle w:val="HHeadingfigures"/>
      </w:pPr>
      <w:bookmarkStart w:id="100" w:name="_Toc503284757"/>
      <w:bookmarkStart w:id="101" w:name="_Toc508894549"/>
      <w:r>
        <w:t>Gérer l’évaluation de l’innovation dans les PDR 2014-2020</w:t>
      </w:r>
      <w:bookmarkEnd w:id="100"/>
      <w:bookmarkEnd w:id="101"/>
    </w:p>
    <w:p w:rsidR="00ED3746" w:rsidRPr="00E05D08" w:rsidRDefault="00F204F1" w:rsidP="00ED3746">
      <w:pPr>
        <w:spacing w:after="120" w:line="280" w:lineRule="atLeast"/>
        <w:mirrorIndents/>
        <w:jc w:val="center"/>
        <w:rPr>
          <w:rFonts w:eastAsia="Times New Roman" w:cs="Times New Roman"/>
          <w:szCs w:val="20"/>
        </w:rPr>
      </w:pPr>
      <w:r w:rsidRPr="00F5517F">
        <w:rPr>
          <w:noProof/>
        </w:rPr>
        <w:drawing>
          <wp:inline distT="0" distB="0" distL="0" distR="0">
            <wp:extent cx="6050915" cy="44684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l="11574" r="11929"/>
                    <a:stretch>
                      <a:fillRect/>
                    </a:stretch>
                  </pic:blipFill>
                  <pic:spPr bwMode="auto">
                    <a:xfrm>
                      <a:off x="0" y="0"/>
                      <a:ext cx="6050915" cy="4468495"/>
                    </a:xfrm>
                    <a:prstGeom prst="rect">
                      <a:avLst/>
                    </a:prstGeom>
                    <a:noFill/>
                    <a:ln>
                      <a:noFill/>
                    </a:ln>
                  </pic:spPr>
                </pic:pic>
              </a:graphicData>
            </a:graphic>
          </wp:inline>
        </w:drawing>
      </w:r>
    </w:p>
    <w:p w:rsidR="00ED3746" w:rsidRPr="00E05D08" w:rsidRDefault="00ED3746" w:rsidP="00ED3746">
      <w:pPr>
        <w:spacing w:after="120" w:line="280" w:lineRule="atLeast"/>
        <w:jc w:val="center"/>
        <w:rPr>
          <w:rFonts w:cs="Arial"/>
          <w:bCs/>
          <w:i/>
          <w:sz w:val="16"/>
          <w:szCs w:val="16"/>
        </w:rPr>
      </w:pPr>
      <w:proofErr w:type="gramStart"/>
      <w:r>
        <w:rPr>
          <w:i/>
          <w:sz w:val="16"/>
        </w:rPr>
        <w:t>Source:</w:t>
      </w:r>
      <w:proofErr w:type="gramEnd"/>
      <w:r>
        <w:rPr>
          <w:i/>
          <w:sz w:val="16"/>
        </w:rPr>
        <w:t xml:space="preserve"> Helpdesk Évaluation européen pour le développement rural, 2017.</w:t>
      </w:r>
    </w:p>
    <w:p w:rsidR="00ED3746" w:rsidRPr="00E05D08" w:rsidRDefault="00ED3746" w:rsidP="00ED3746">
      <w:pPr>
        <w:spacing w:after="120" w:line="280" w:lineRule="atLeast"/>
        <w:mirrorIndents/>
        <w:rPr>
          <w:rFonts w:eastAsia="Times New Roman" w:cs="Times New Roman"/>
          <w:szCs w:val="20"/>
        </w:rPr>
      </w:pPr>
      <w:r>
        <w:br w:type="page"/>
      </w:r>
    </w:p>
    <w:p w:rsidR="00ED3746" w:rsidRDefault="00ED3746" w:rsidP="00ED3746">
      <w:pPr>
        <w:pStyle w:val="HHeading4"/>
      </w:pPr>
      <w:r>
        <w:lastRenderedPageBreak/>
        <w:t>Établir des rapports sur l’évaluation de l’innovation</w:t>
      </w:r>
    </w:p>
    <w:p w:rsidR="00ED3746" w:rsidRPr="00E05D08" w:rsidRDefault="00ED3746" w:rsidP="00ED3746">
      <w:pPr>
        <w:spacing w:after="120" w:line="280" w:lineRule="atLeast"/>
        <w:mirrorIndents/>
        <w:rPr>
          <w:rFonts w:eastAsia="Times New Roman" w:cs="Times New Roman"/>
          <w:szCs w:val="20"/>
        </w:rPr>
      </w:pPr>
      <w:r>
        <w:t xml:space="preserve">La </w:t>
      </w:r>
      <w:r>
        <w:rPr>
          <w:b/>
        </w:rPr>
        <w:t>communication des résultats de l’évaluation à la Commission européenne relève de la responsabilité des autorités de gestion</w:t>
      </w:r>
      <w:r>
        <w:rPr>
          <w:b/>
          <w:vertAlign w:val="superscript"/>
        </w:rPr>
        <w:footnoteReference w:id="36"/>
      </w:r>
      <w:r>
        <w:t xml:space="preserve">. La figure 5 montre au titre de quelles QEC les résultats de l’évaluation sur l’innovation peuvent être intégrés aux RAM en 2017, en 2019 et dans l’évaluation ex post. </w:t>
      </w:r>
    </w:p>
    <w:p w:rsidR="00ED3746" w:rsidRPr="00E05D08" w:rsidRDefault="00ED3746" w:rsidP="00ED3746">
      <w:pPr>
        <w:spacing w:after="120" w:line="280" w:lineRule="atLeast"/>
        <w:mirrorIndents/>
        <w:rPr>
          <w:rFonts w:eastAsia="Times New Roman" w:cs="Times New Roman"/>
          <w:szCs w:val="20"/>
        </w:rPr>
      </w:pPr>
      <w:r>
        <w:rPr>
          <w:b/>
        </w:rPr>
        <w:t>Des résultats d’évaluation sur l’innovation significatifs peuvent être escomptés dans le RAM de 2019 et dans l’évaluation ex post</w:t>
      </w:r>
      <w:r>
        <w:t>. Étant donné que la promotion de l’innovation s’entend comme un processus, ses résultats sont difficiles à observer au cours des premières phases de la mise en œuvre du programme.</w:t>
      </w:r>
    </w:p>
    <w:p w:rsidR="00ED3746" w:rsidRPr="006B72BF" w:rsidRDefault="00ED3746" w:rsidP="00ED3746">
      <w:pPr>
        <w:pStyle w:val="HHeadingfigures"/>
      </w:pPr>
      <w:bookmarkStart w:id="102" w:name="_Toc503284758"/>
      <w:bookmarkStart w:id="103" w:name="_Toc508894550"/>
      <w:r>
        <w:t>Exigences en matière de rapports en relation avec l’innovation</w:t>
      </w:r>
      <w:bookmarkEnd w:id="102"/>
      <w:bookmarkEnd w:id="103"/>
    </w:p>
    <w:p w:rsidR="00ED3746" w:rsidRPr="00E05D08" w:rsidRDefault="00F204F1" w:rsidP="00ED3746">
      <w:pPr>
        <w:spacing w:after="120" w:line="280" w:lineRule="atLeast"/>
        <w:mirrorIndents/>
        <w:jc w:val="center"/>
        <w:rPr>
          <w:rFonts w:eastAsia="Times New Roman" w:cs="Times New Roman"/>
          <w:szCs w:val="20"/>
        </w:rPr>
      </w:pPr>
      <w:r w:rsidRPr="00F5517F">
        <w:rPr>
          <w:noProof/>
        </w:rPr>
        <w:drawing>
          <wp:inline distT="0" distB="0" distL="0" distR="0">
            <wp:extent cx="5756910" cy="42856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l="11826" r="11826"/>
                    <a:stretch>
                      <a:fillRect/>
                    </a:stretch>
                  </pic:blipFill>
                  <pic:spPr bwMode="auto">
                    <a:xfrm>
                      <a:off x="0" y="0"/>
                      <a:ext cx="5756910" cy="4285615"/>
                    </a:xfrm>
                    <a:prstGeom prst="rect">
                      <a:avLst/>
                    </a:prstGeom>
                    <a:noFill/>
                    <a:ln>
                      <a:noFill/>
                    </a:ln>
                  </pic:spPr>
                </pic:pic>
              </a:graphicData>
            </a:graphic>
          </wp:inline>
        </w:drawing>
      </w:r>
    </w:p>
    <w:p w:rsidR="00ED3746" w:rsidRDefault="00ED3746" w:rsidP="00ED3746">
      <w:pPr>
        <w:suppressAutoHyphens/>
        <w:spacing w:before="60" w:after="140" w:line="240" w:lineRule="auto"/>
        <w:ind w:right="1134"/>
        <w:mirrorIndents/>
        <w:jc w:val="center"/>
        <w:rPr>
          <w:rFonts w:eastAsia="Times New Roman" w:cs="Times New Roman"/>
          <w:i/>
          <w:sz w:val="16"/>
          <w:szCs w:val="20"/>
        </w:rPr>
      </w:pPr>
      <w:proofErr w:type="gramStart"/>
      <w:r>
        <w:rPr>
          <w:i/>
          <w:sz w:val="16"/>
        </w:rPr>
        <w:t>Source:</w:t>
      </w:r>
      <w:proofErr w:type="gramEnd"/>
      <w:r>
        <w:rPr>
          <w:i/>
          <w:sz w:val="16"/>
        </w:rPr>
        <w:t xml:space="preserve"> Helpdesk Évaluation européen pour le développement rural, 2017.</w:t>
      </w:r>
    </w:p>
    <w:p w:rsidR="00ED3746" w:rsidRPr="00E05D08" w:rsidRDefault="00ED3746" w:rsidP="00ED3746">
      <w:r>
        <w:t>Les présentes lignes directrices sont donc axées sur la manière d’aborder l’évaluation de l’innovation à compter de 2019.</w:t>
      </w:r>
    </w:p>
    <w:p w:rsidR="00ED3746" w:rsidRDefault="00ED3746" w:rsidP="00ED3746">
      <w:pPr>
        <w:spacing w:after="120" w:line="280" w:lineRule="atLeast"/>
        <w:mirrorIndents/>
        <w:rPr>
          <w:rFonts w:eastAsia="Times New Roman" w:cs="Times New Roman"/>
          <w:szCs w:val="20"/>
        </w:rPr>
      </w:pPr>
      <w:r>
        <w:rPr>
          <w:b/>
        </w:rPr>
        <w:t xml:space="preserve">D’autres formats de rapports, </w:t>
      </w:r>
      <w:r>
        <w:t>outre ceux conçus pour le niveau de l’Union, pourraient être utilisés par l’autorité de gestion pour informer les acteurs de l’innovation, les parties concernées par le développement rural et le grand public des résultats de l’évaluation du PDR (voir aussi d’autres orientations</w:t>
      </w:r>
      <w:r>
        <w:rPr>
          <w:vertAlign w:val="superscript"/>
        </w:rPr>
        <w:footnoteReference w:id="37"/>
      </w:r>
      <w:r>
        <w:t xml:space="preserve">). À titre facultatif, certains États membres peuvent aussi décider de mener une évaluation autonome de l’innovation et de préparer des rapports d’évaluation spécifiques.  </w:t>
      </w:r>
    </w:p>
    <w:p w:rsidR="00ED3746" w:rsidRDefault="00706C65" w:rsidP="00ED3746">
      <w:pPr>
        <w:spacing w:after="120" w:line="280" w:lineRule="atLeast"/>
        <w:mirrorIndents/>
        <w:rPr>
          <w:rFonts w:eastAsia="Times New Roman" w:cs="Times New Roman"/>
          <w:b/>
          <w:szCs w:val="20"/>
        </w:rPr>
      </w:pPr>
      <w:r>
        <w:rPr>
          <w:noProof/>
        </w:rPr>
        <w:lastRenderedPageBreak/>
        <mc:AlternateContent>
          <mc:Choice Requires="wps">
            <w:drawing>
              <wp:anchor distT="180340" distB="0" distL="114300" distR="114300" simplePos="0" relativeHeight="251650560" behindDoc="0" locked="0" layoutInCell="1" allowOverlap="1">
                <wp:simplePos x="0" y="0"/>
                <wp:positionH relativeFrom="page">
                  <wp:posOffset>863194</wp:posOffset>
                </wp:positionH>
                <wp:positionV relativeFrom="page">
                  <wp:posOffset>702259</wp:posOffset>
                </wp:positionV>
                <wp:extent cx="5827395" cy="2765146"/>
                <wp:effectExtent l="0" t="0" r="20955" b="16510"/>
                <wp:wrapTopAndBottom/>
                <wp:docPr id="61" name="Rectangle: Diagonal Corners Rounded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7395" cy="2765146"/>
                        </a:xfrm>
                        <a:prstGeom prst="round2DiagRect">
                          <a:avLst>
                            <a:gd name="adj1" fmla="val 8810"/>
                            <a:gd name="adj2" fmla="val 0"/>
                          </a:avLst>
                        </a:prstGeom>
                        <a:noFill/>
                        <a:ln w="25400" cap="flat" cmpd="sng" algn="ctr">
                          <a:solidFill>
                            <a:srgbClr val="F07E31"/>
                          </a:solidFill>
                          <a:prstDash val="solid"/>
                        </a:ln>
                        <a:effectLst/>
                      </wps:spPr>
                      <wps:txbx>
                        <w:txbxContent>
                          <w:p w:rsidR="00260B0F" w:rsidRPr="00E05D08" w:rsidRDefault="00260B0F" w:rsidP="00ED3746">
                            <w:pPr>
                              <w:pStyle w:val="HStandard"/>
                              <w:rPr>
                                <w:b/>
                                <w:color w:val="F07E31"/>
                                <w:sz w:val="18"/>
                                <w:szCs w:val="18"/>
                              </w:rPr>
                            </w:pPr>
                            <w:r>
                              <w:rPr>
                                <w:noProof/>
                              </w:rPr>
                              <w:drawing>
                                <wp:inline distT="0" distB="0" distL="0" distR="0">
                                  <wp:extent cx="349885" cy="357505"/>
                                  <wp:effectExtent l="0" t="0" r="0" b="0"/>
                                  <wp:docPr id="3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w:t>
                            </w:r>
                            <w:proofErr w:type="gramStart"/>
                            <w:r>
                              <w:rPr>
                                <w:b/>
                                <w:color w:val="F07E31"/>
                                <w:sz w:val="18"/>
                              </w:rPr>
                              <w:t>Exemple:</w:t>
                            </w:r>
                            <w:proofErr w:type="gramEnd"/>
                            <w:r>
                              <w:rPr>
                                <w:b/>
                                <w:color w:val="F07E31"/>
                                <w:sz w:val="18"/>
                              </w:rPr>
                              <w:t xml:space="preserve"> l’évaluation continue du PEI-AGRI en Suède</w:t>
                            </w:r>
                          </w:p>
                          <w:p w:rsidR="00260B0F" w:rsidRPr="00275EE5" w:rsidRDefault="00260B0F" w:rsidP="00ED3746">
                            <w:pPr>
                              <w:pStyle w:val="HBox"/>
                            </w:pPr>
                            <w:r>
                              <w:rPr>
                                <w:color w:val="292929"/>
                              </w:rPr>
                              <w:t>En Suède, l’évaluation de l’innovation se déroule dans le cadre de l’évaluation du PDR et consiste en un volet d’évaluation quantitative et en un volet d’évaluation qualitative. Les deux volets sont gérés par le secrétariat d’évaluation</w:t>
                            </w:r>
                            <w:r>
                              <w:rPr>
                                <w:color w:val="292929"/>
                                <w:vertAlign w:val="superscript"/>
                              </w:rPr>
                              <w:t>38</w:t>
                            </w:r>
                            <w:r>
                              <w:rPr>
                                <w:color w:val="292929"/>
                              </w:rPr>
                              <w:t xml:space="preserve">. </w:t>
                            </w:r>
                            <w:r>
                              <w:t>L’évaluation quantitative ne devrait donner des résultats que pour le RAM qui sera présenté en 2019 et pour l’évaluation ex post.</w:t>
                            </w:r>
                            <w:r>
                              <w:rPr>
                                <w:color w:val="292929"/>
                              </w:rPr>
                              <w:t xml:space="preserve"> L’adoption des mesures relatives à l’innovation était encore trop faible pour procéder à une évaluation quantitative en 2017. L’évaluation qualitative se veut une évaluation formative continue et est axée sur la mise en œuvre du PEI-AGRI. Elle est menée par une équipe d’action-recherche de l’université d’Umeå. Cette évaluation continue a pour but de fournir un retour d’information et des recommandations en continu pour la gestion et la mise en œuvre du PEI-AGRI (mesure M16 du PDR). </w:t>
                            </w:r>
                            <w:r>
                              <w:t>Des résultats sont attendus tout au long de la période de programmation, ainsi que pour les RAM qui seront présentés en 2017 et 2019 et pour l’évaluation ex post.</w:t>
                            </w:r>
                            <w:r>
                              <w:rPr>
                                <w:color w:val="292929"/>
                              </w:rPr>
                              <w:t xml:space="preserve"> Les deux volets d’évaluation sont dirigés par des évaluateurs indépendants sélectionnés au moyen d’une procédure d’appel d’offres conformément à la loi sur les marchés publics.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61" o:spid="_x0000_s1036" style="position:absolute;left:0;text-align:left;margin-left:67.95pt;margin-top:55.3pt;width:458.85pt;height:217.75pt;z-index:251650560;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95,27651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" adj="-11796480,,5400" path="m243609,l5827395,r,l5827395,2521537v,134542,-109067,243609,-243609,243609l,2765146r,l,243609c,109067,109067,,243609,xe" filled="f" strokecolor="#f07e31" strokeweight="2pt">
                <v:stroke joinstyle="miter"/>
                <v:formulas/>
                <v:path arrowok="t" o:connecttype="custom" o:connectlocs="243609,0;5827395,0;5827395,0;5827395,2521537;5583786,2765146;0,2765146;0,2765146;0,243609;243609,0" o:connectangles="0,0,0,0,0,0,0,0,0" textboxrect="0,0,5827395,2765146"/>
                <v:textbox>
                  <w:txbxContent>
                    <w:p w:rsidR="00260B0F" w:rsidRPr="00E05D08" w:rsidRDefault="00260B0F" w:rsidP="00ED3746">
                      <w:pPr>
                        <w:pStyle w:val="HStandard"/>
                        <w:rPr>
                          <w:b/>
                          <w:color w:val="F07E31"/>
                          <w:sz w:val="18"/>
                          <w:szCs w:val="18"/>
                        </w:rPr>
                      </w:pPr>
                      <w:r>
                        <w:rPr>
                          <w:noProof/>
                        </w:rPr>
                        <w:drawing>
                          <wp:inline distT="0" distB="0" distL="0" distR="0">
                            <wp:extent cx="349885" cy="357505"/>
                            <wp:effectExtent l="0" t="0" r="0" b="0"/>
                            <wp:docPr id="3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w:t>
                      </w:r>
                      <w:proofErr w:type="gramStart"/>
                      <w:r>
                        <w:rPr>
                          <w:b/>
                          <w:color w:val="F07E31"/>
                          <w:sz w:val="18"/>
                        </w:rPr>
                        <w:t>Exemple:</w:t>
                      </w:r>
                      <w:proofErr w:type="gramEnd"/>
                      <w:r>
                        <w:rPr>
                          <w:b/>
                          <w:color w:val="F07E31"/>
                          <w:sz w:val="18"/>
                        </w:rPr>
                        <w:t xml:space="preserve"> l’évaluation continue du PEI-AGRI en Suède</w:t>
                      </w:r>
                    </w:p>
                    <w:p w:rsidR="00260B0F" w:rsidRPr="00275EE5" w:rsidRDefault="00260B0F" w:rsidP="00ED3746">
                      <w:pPr>
                        <w:pStyle w:val="HBox"/>
                      </w:pPr>
                      <w:r>
                        <w:rPr>
                          <w:color w:val="292929"/>
                        </w:rPr>
                        <w:t>En Suède, l’évaluation de l’innovation se déroule dans le cadre de l’évaluation du PDR et consiste en un volet d’évaluation quantitative et en un volet d’évaluation qualitative. Les deux volets sont gérés par le secrétariat d’évaluation</w:t>
                      </w:r>
                      <w:r>
                        <w:rPr>
                          <w:color w:val="292929"/>
                          <w:vertAlign w:val="superscript"/>
                        </w:rPr>
                        <w:t>38</w:t>
                      </w:r>
                      <w:r>
                        <w:rPr>
                          <w:color w:val="292929"/>
                        </w:rPr>
                        <w:t xml:space="preserve">. </w:t>
                      </w:r>
                      <w:r>
                        <w:t>L’évaluation quantitative ne devrait donner des résultats que pour le RAM qui sera présenté en 2019 et pour l’évaluation ex post.</w:t>
                      </w:r>
                      <w:r>
                        <w:rPr>
                          <w:color w:val="292929"/>
                        </w:rPr>
                        <w:t xml:space="preserve"> L’adoption des mesures relatives à l’innovation était encore trop faible pour procéder à une évaluation quantitative en 2017. L’évaluation qualitative se veut une évaluation formative continue et est axée sur la mise en œuvre du PEI-AGRI. Elle est menée par une équipe d’action-recherche de l’université d’Umeå. Cette évaluation continue a pour but de fournir un retour d’information et des recommandations en continu pour la gestion et la mise en œuvre du PEI-AGRI (mesure M16 du PDR). </w:t>
                      </w:r>
                      <w:r>
                        <w:t>Des résultats sont attendus tout au long de la période de programmation, ainsi que pour les RAM qui seront présentés en 2017 et 2019 et pour l’évaluation ex post.</w:t>
                      </w:r>
                      <w:r>
                        <w:rPr>
                          <w:color w:val="292929"/>
                        </w:rPr>
                        <w:t xml:space="preserve"> Les deux volets d’évaluation sont dirigés par des évaluateurs indépendants sélectionnés au moyen d’une procédure d’appel d’offres conformément à la loi sur les marchés publics.</w:t>
                      </w:r>
                    </w:p>
                  </w:txbxContent>
                </v:textbox>
                <w10:wrap type="topAndBottom" anchorx="page" anchory="page"/>
              </v:shape>
            </w:pict>
          </mc:Fallback>
        </mc:AlternateContent>
      </w:r>
      <w:r w:rsidR="00ED3746">
        <w:rPr>
          <w:rStyle w:val="FootnoteReference"/>
          <w:color w:val="FFFFFF"/>
        </w:rPr>
        <w:footnoteReference w:id="38"/>
      </w:r>
    </w:p>
    <w:p w:rsidR="00ED3746" w:rsidRPr="00E05D08" w:rsidRDefault="00ED3746" w:rsidP="00ED3746">
      <w:pPr>
        <w:spacing w:after="120" w:line="280" w:lineRule="atLeast"/>
        <w:mirrorIndents/>
        <w:rPr>
          <w:rFonts w:eastAsia="Times New Roman" w:cs="Times New Roman"/>
          <w:szCs w:val="20"/>
        </w:rPr>
      </w:pPr>
      <w:r>
        <w:rPr>
          <w:b/>
        </w:rPr>
        <w:t>Le cadre juridique exige une réponse à toutes les questions d’évaluation relatives à l’innovation</w:t>
      </w:r>
      <w:r>
        <w:rPr>
          <w:b/>
          <w:vertAlign w:val="superscript"/>
        </w:rPr>
        <w:footnoteReference w:id="39"/>
      </w:r>
      <w:r>
        <w:t xml:space="preserve"> en évaluant les indicateurs communs pertinents</w:t>
      </w:r>
      <w:r>
        <w:rPr>
          <w:vertAlign w:val="superscript"/>
        </w:rPr>
        <w:footnoteReference w:id="40"/>
      </w:r>
      <w:r>
        <w:t xml:space="preserve"> et en rendant compte des réalisations de la politique rurale de l’Union en matière de promotion de l’innovation. </w:t>
      </w:r>
    </w:p>
    <w:p w:rsidR="00ED3746" w:rsidRDefault="00ED3746" w:rsidP="00ED3746">
      <w:pPr>
        <w:spacing w:after="120" w:line="280" w:lineRule="atLeast"/>
        <w:mirrorIndents/>
        <w:rPr>
          <w:rFonts w:eastAsia="Times New Roman" w:cs="Times New Roman"/>
          <w:szCs w:val="20"/>
        </w:rPr>
      </w:pPr>
      <w:r>
        <w:t>Les étapes de travail non contraignantes exposées ci-après sont proposées.</w:t>
      </w:r>
    </w:p>
    <w:p w:rsidR="00ED3746" w:rsidRPr="00E05D08" w:rsidRDefault="00ED3746" w:rsidP="00ED3746">
      <w:pPr>
        <w:pStyle w:val="HHeading4"/>
        <w:rPr>
          <w:rFonts w:eastAsia="Calibri"/>
          <w:shd w:val="clear" w:color="000000" w:fill="auto"/>
        </w:rPr>
      </w:pPr>
      <w:r>
        <w:t>Analyser le potentiel d’innovation des mesures/sous-mesures du PDR (recommandé)</w:t>
      </w:r>
    </w:p>
    <w:p w:rsidR="00ED3746" w:rsidRPr="00E05D08" w:rsidRDefault="00ED3746" w:rsidP="00ED3746">
      <w:pPr>
        <w:spacing w:after="120" w:line="280" w:lineRule="atLeast"/>
        <w:mirrorIndents/>
        <w:rPr>
          <w:rFonts w:eastAsia="Times New Roman" w:cs="Times New Roman"/>
          <w:szCs w:val="20"/>
        </w:rPr>
      </w:pPr>
      <w:r>
        <w:t xml:space="preserve">Avant d’entamer les activités d’évaluation en vue de répondre aux questions d’évaluation relatives à l’innovation, l’autorité de gestion pourrait vouloir analyser le potentiel d’innovation des mesures/sous-mesures du PDR (zone bleue dans la figure 6). Cette étape aidera l’évaluateur et l’AG à comprendre comment chaque mesure/sous-mesure peut contribuer à la réalisation des objectifs du PDR relatifs à l’innovation (voir le </w:t>
      </w:r>
      <w:hyperlink w:anchor="Screening_Potential" w:history="1">
        <w:r>
          <w:rPr>
            <w:rStyle w:val="Hyperlink"/>
            <w:sz w:val="20"/>
          </w:rPr>
          <w:t>chapitre 2.2</w:t>
        </w:r>
      </w:hyperlink>
      <w:r>
        <w:t>).</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Compléter les éléments d’évaluation communs pour l’innovation (recommandé)</w:t>
      </w:r>
    </w:p>
    <w:p w:rsidR="00ED3746" w:rsidRPr="00E05D08" w:rsidRDefault="00ED3746" w:rsidP="00ED3746">
      <w:pPr>
        <w:spacing w:after="120" w:line="280" w:lineRule="atLeast"/>
        <w:mirrorIndents/>
        <w:rPr>
          <w:rFonts w:eastAsia="Times New Roman" w:cs="Times New Roman"/>
          <w:szCs w:val="20"/>
        </w:rPr>
      </w:pPr>
      <w:r>
        <w:t>Le CMES fournit des éléments d’évaluation de base pour répondre aux questions d’évaluation communes relatives à l’innovation. Si les éléments d’évaluation communs (les critères de jugement</w:t>
      </w:r>
      <w:r>
        <w:rPr>
          <w:vertAlign w:val="superscript"/>
        </w:rPr>
        <w:footnoteReference w:id="41"/>
      </w:r>
      <w:r>
        <w:t xml:space="preserve"> et les indicateurs communs</w:t>
      </w:r>
      <w:r>
        <w:rPr>
          <w:vertAlign w:val="superscript"/>
        </w:rPr>
        <w:footnoteReference w:id="42"/>
      </w:r>
      <w:r>
        <w:t>) ne sont pas suffisants pour cerner tous les effets escomptés, les éléments manquants (par exemple, des sous-questions d’évaluation, des critères de jugement supplémentaires</w:t>
      </w:r>
      <w:r>
        <w:rPr>
          <w:vertAlign w:val="superscript"/>
        </w:rPr>
        <w:footnoteReference w:id="43"/>
      </w:r>
      <w:r>
        <w:t>, et des indicateurs quantitatifs et qualitatifs supplémentaires</w:t>
      </w:r>
      <w:r>
        <w:rPr>
          <w:vertAlign w:val="superscript"/>
        </w:rPr>
        <w:footnoteReference w:id="44"/>
      </w:r>
      <w:r>
        <w:t xml:space="preserve">) peuvent être élaborés par l’autorité de gestion, idéalement en collaboration avec les experts en matière d’évaluation (zones vertes dans la figure 6) (voir le </w:t>
      </w:r>
      <w:hyperlink w:anchor="Complementing" w:history="1">
        <w:r>
          <w:rPr>
            <w:rStyle w:val="Hyperlink"/>
            <w:sz w:val="20"/>
          </w:rPr>
          <w:t>chapitre 2.3</w:t>
        </w:r>
      </w:hyperlink>
      <w:r>
        <w:t>).</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lastRenderedPageBreak/>
        <w:t>Répondre aux questions d’évaluation communes pertinentes (obligatoire)</w:t>
      </w:r>
    </w:p>
    <w:p w:rsidR="00ED3746" w:rsidRPr="00E05D08" w:rsidRDefault="00ED3746" w:rsidP="00ED3746">
      <w:pPr>
        <w:spacing w:after="120" w:line="280" w:lineRule="atLeast"/>
        <w:mirrorIndents/>
        <w:rPr>
          <w:rFonts w:eastAsia="Times New Roman" w:cs="Times New Roman"/>
          <w:szCs w:val="20"/>
        </w:rPr>
      </w:pPr>
      <w:r>
        <w:t xml:space="preserve">Les évaluateurs du PDR évalueront la mesure dans laquelle le PDR a favorisé l’innovation et ses contributions aux objectifs de la politique de développement rural européenne et nationale/régionale. Ils utiliseront les résultats de l’évaluation pour formuler des réponses aux questions d’évaluation communes, supplémentaires et propres au programme (zones orange dans la figure 6). Une approche particulière sera nécessaire pour répondre aux questions d’évaluation relatives à l’innovation (voir le </w:t>
      </w:r>
      <w:hyperlink w:anchor="Answering" w:history="1">
        <w:r>
          <w:rPr>
            <w:rStyle w:val="Hyperlink"/>
            <w:sz w:val="20"/>
          </w:rPr>
          <w:t>chapitre 2.4</w:t>
        </w:r>
      </w:hyperlink>
      <w:r>
        <w:t>).</w:t>
      </w:r>
    </w:p>
    <w:p w:rsidR="00ED3746" w:rsidRPr="00EC5172" w:rsidRDefault="00ED3746" w:rsidP="00ED3746">
      <w:pPr>
        <w:pStyle w:val="HHeadingfigures"/>
      </w:pPr>
      <w:bookmarkStart w:id="104" w:name="_Toc503284759"/>
      <w:bookmarkStart w:id="105" w:name="_Toc508894551"/>
      <w:r>
        <w:t>Approche de l’évaluation de l’innovation dans les PDR</w:t>
      </w:r>
      <w:bookmarkEnd w:id="104"/>
      <w:bookmarkEnd w:id="105"/>
    </w:p>
    <w:p w:rsidR="00ED3746" w:rsidRPr="00E05D08" w:rsidRDefault="00F204F1" w:rsidP="00ED3746">
      <w:pPr>
        <w:spacing w:after="120" w:line="280" w:lineRule="atLeast"/>
        <w:mirrorIndents/>
        <w:jc w:val="center"/>
        <w:rPr>
          <w:rFonts w:eastAsia="Times New Roman" w:cs="Times New Roman"/>
          <w:szCs w:val="20"/>
        </w:rPr>
      </w:pPr>
      <w:r w:rsidRPr="009C0FA5">
        <w:rPr>
          <w:noProof/>
        </w:rPr>
        <w:drawing>
          <wp:inline distT="0" distB="0" distL="0" distR="0">
            <wp:extent cx="5732780" cy="32200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706C65" w:rsidRPr="00706C65" w:rsidRDefault="00ED3746" w:rsidP="00706C65">
      <w:pPr>
        <w:suppressAutoHyphens/>
        <w:spacing w:before="60" w:after="140" w:line="240" w:lineRule="auto"/>
        <w:ind w:left="1134" w:right="1134"/>
        <w:mirrorIndents/>
        <w:jc w:val="center"/>
        <w:rPr>
          <w:i/>
          <w:sz w:val="16"/>
        </w:rPr>
      </w:pPr>
      <w:proofErr w:type="gramStart"/>
      <w:r>
        <w:rPr>
          <w:i/>
          <w:sz w:val="16"/>
        </w:rPr>
        <w:t>Source:</w:t>
      </w:r>
      <w:proofErr w:type="gramEnd"/>
      <w:r>
        <w:rPr>
          <w:i/>
          <w:sz w:val="16"/>
        </w:rPr>
        <w:t xml:space="preserve"> Helpdesk Évaluation européen pour le développement rural, 201</w:t>
      </w:r>
      <w:bookmarkStart w:id="106" w:name="Screening_Potential"/>
      <w:bookmarkStart w:id="107" w:name="_Toc493151902"/>
      <w:bookmarkStart w:id="108" w:name="_Toc501382128"/>
      <w:bookmarkStart w:id="109" w:name="_Toc503368722"/>
      <w:bookmarkStart w:id="110" w:name="_Toc508889633"/>
      <w:bookmarkEnd w:id="106"/>
      <w:r w:rsidR="00706C65">
        <w:rPr>
          <w:i/>
          <w:sz w:val="16"/>
        </w:rPr>
        <w:t>7</w:t>
      </w:r>
    </w:p>
    <w:p w:rsidR="00ED3746" w:rsidRPr="00706C65" w:rsidRDefault="00ED3746" w:rsidP="00260179">
      <w:pPr>
        <w:pStyle w:val="HHeading2"/>
        <w:numPr>
          <w:ilvl w:val="1"/>
          <w:numId w:val="119"/>
        </w:numPr>
      </w:pPr>
      <w:r w:rsidRPr="00260179">
        <w:t>Analyser le pote</w:t>
      </w:r>
      <w:r w:rsidRPr="00706C65">
        <w:t>ntiel d’innovation des mesures/sous-mesures du PDR (recommandé)</w:t>
      </w:r>
      <w:bookmarkEnd w:id="107"/>
      <w:bookmarkEnd w:id="108"/>
      <w:bookmarkEnd w:id="109"/>
      <w:bookmarkEnd w:id="110"/>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 xml:space="preserve">Pourquoi convient-il d’analyser le potentiel d’innovation des mesures du </w:t>
      </w:r>
      <w:proofErr w:type="gramStart"/>
      <w:r>
        <w:rPr>
          <w:b/>
          <w:color w:val="57825E"/>
        </w:rPr>
        <w:t>PDR?</w:t>
      </w:r>
      <w:proofErr w:type="gramEnd"/>
      <w:r>
        <w:rPr>
          <w:b/>
          <w:color w:val="57825E"/>
        </w:rPr>
        <w:t xml:space="preserve"> </w:t>
      </w:r>
    </w:p>
    <w:p w:rsidR="00ED3746" w:rsidRPr="00E05D08" w:rsidRDefault="00ED3746" w:rsidP="00ED3746">
      <w:pPr>
        <w:spacing w:after="120" w:line="280" w:lineRule="atLeast"/>
        <w:mirrorIndents/>
        <w:rPr>
          <w:rFonts w:eastAsia="Times New Roman" w:cs="Times New Roman"/>
          <w:szCs w:val="20"/>
        </w:rPr>
      </w:pPr>
      <w:r>
        <w:t xml:space="preserve">Les autorités de gestion disposent d’une flexibilité considérable pour combiner et concevoir différentes mesures de développement rural au titre des DP qui donnent lieu à des approches à l’égard de l’innovation très différentes. L’analyse de la sélection et de la combinaison des mesures/sous-mesures au sein du PDR aide à mieux comprendre l’approche particulière adoptée à l’égard de l’innovation ainsi que le potentiel d’innovation du PDR. Il s’agit d’une base utile pour répondre aux questions d’évaluation communes relatives à l’innovation, en particulier lors des étapes ultérieures de l’évaluation (par exemple, le RAM 2019 ou l’évaluation ex post), quand il sera possible de cerner les effets des incidences du PDR sur les processus d’innovation. </w:t>
      </w:r>
    </w:p>
    <w:p w:rsidR="00ED3746" w:rsidRPr="00E05D08" w:rsidRDefault="00ED3746" w:rsidP="00ED3746">
      <w:pPr>
        <w:pStyle w:val="HHeading4"/>
        <w:rPr>
          <w:rFonts w:eastAsia="Calibri"/>
          <w:shd w:val="clear" w:color="000000" w:fill="auto"/>
        </w:rPr>
      </w:pPr>
      <w:r>
        <w:t xml:space="preserve">Qu’est-ce que le potentiel d’innovation des mesures/sous-mesures du </w:t>
      </w:r>
      <w:proofErr w:type="gramStart"/>
      <w:r>
        <w:t>PDR?</w:t>
      </w:r>
      <w:proofErr w:type="gramEnd"/>
      <w:r>
        <w:t xml:space="preserve"> </w:t>
      </w:r>
    </w:p>
    <w:p w:rsidR="00ED3746" w:rsidRPr="00E05D08" w:rsidRDefault="00ED3746" w:rsidP="00ED3746">
      <w:pPr>
        <w:spacing w:after="120" w:line="280" w:lineRule="atLeast"/>
        <w:mirrorIndents/>
        <w:rPr>
          <w:rFonts w:eastAsia="Times New Roman" w:cs="Times New Roman"/>
          <w:szCs w:val="20"/>
        </w:rPr>
      </w:pPr>
      <w:r>
        <w:rPr>
          <w:b/>
        </w:rPr>
        <w:t>Le potentiel d’innovation des mesures/sous-mesures du PDR</w:t>
      </w:r>
      <w:r>
        <w:t>, prises individuellement ou en combinaison avec d’autres mesures/sous-mesures au titre des DP, s’entend comme leur capacité à favoriser l’innovation au sein d’un système d’innovation en milieu rural a) en cultivant des idées innovantes, b) en renforçant les capacités d’innover de manière collaborative et c) en créant un environnement propice à l’innovation.</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lastRenderedPageBreak/>
        <w:t xml:space="preserve">Quelles sont les étapes de travail de la détermination du potentiel d’innovation du </w:t>
      </w:r>
      <w:proofErr w:type="gramStart"/>
      <w:r>
        <w:rPr>
          <w:b/>
          <w:color w:val="57825E"/>
        </w:rPr>
        <w:t>PDR?</w:t>
      </w:r>
      <w:proofErr w:type="gramEnd"/>
      <w:r>
        <w:rPr>
          <w:b/>
          <w:color w:val="57825E"/>
        </w:rPr>
        <w:t xml:space="preserve"> </w:t>
      </w:r>
    </w:p>
    <w:p w:rsidR="00ED3746" w:rsidRPr="00E05D08" w:rsidRDefault="00ED3746" w:rsidP="00ED3746">
      <w:pPr>
        <w:spacing w:after="120" w:line="280" w:lineRule="atLeast"/>
        <w:mirrorIndents/>
        <w:rPr>
          <w:rFonts w:eastAsia="Times New Roman" w:cs="Times New Roman"/>
          <w:szCs w:val="20"/>
        </w:rPr>
      </w:pPr>
      <w:r>
        <w:rPr>
          <w:b/>
        </w:rPr>
        <w:t>L’analyse des mesures et sous-mesures du PDR</w:t>
      </w:r>
      <w:r>
        <w:t xml:space="preserve"> s’intéresse à la manière dont les mesures sont conçues pour aider à cultiver de nouvelles idées, à renforcer la capacité d’innover ou à créer un environnement propice à l’innovation. La méthode de travail peut être une évaluation par des experts ou une méthode participative qui fait intervenir davantage d’acteurs du PDR. Cet exercice d’analyse pourrait être réalisé en répondant aux questions essentielles proposées (voir la </w:t>
      </w:r>
      <w:hyperlink w:anchor="Steps_of_the_screenig" w:history="1">
        <w:r>
          <w:rPr>
            <w:rStyle w:val="Hyperlink"/>
            <w:sz w:val="20"/>
          </w:rPr>
          <w:t>figure 7</w:t>
        </w:r>
      </w:hyperlink>
      <w:r>
        <w:t>).</w:t>
      </w:r>
    </w:p>
    <w:p w:rsidR="00ED3746" w:rsidRPr="00F117CA" w:rsidRDefault="00ED3746" w:rsidP="00ED3746">
      <w:pPr>
        <w:pStyle w:val="HHeadingfigures"/>
      </w:pPr>
      <w:bookmarkStart w:id="111" w:name="Steps_of_the_screenig"/>
      <w:bookmarkStart w:id="112" w:name="_Toc503284760"/>
      <w:bookmarkStart w:id="113" w:name="_Toc508894552"/>
      <w:bookmarkEnd w:id="111"/>
      <w:r>
        <w:t>Étapes de l’analyse du potentiel d’innovation des mesures/sous-mesures du PDR</w:t>
      </w:r>
      <w:bookmarkEnd w:id="112"/>
      <w:bookmarkEnd w:id="113"/>
    </w:p>
    <w:p w:rsidR="00ED3746" w:rsidRPr="00E05D08" w:rsidRDefault="00F204F1" w:rsidP="00664270">
      <w:pPr>
        <w:suppressAutoHyphens/>
        <w:spacing w:before="60" w:after="0" w:line="240" w:lineRule="auto"/>
        <w:ind w:right="95"/>
        <w:mirrorIndents/>
        <w:rPr>
          <w:rFonts w:eastAsia="Times New Roman" w:cs="Times New Roman"/>
          <w:i/>
          <w:sz w:val="16"/>
          <w:szCs w:val="20"/>
        </w:rPr>
      </w:pPr>
      <w:r w:rsidRPr="009C0FA5">
        <w:rPr>
          <w:noProof/>
        </w:rPr>
        <w:drawing>
          <wp:inline distT="0" distB="0" distL="0" distR="0">
            <wp:extent cx="5716905" cy="352234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t="17673"/>
                    <a:stretch>
                      <a:fillRect/>
                    </a:stretch>
                  </pic:blipFill>
                  <pic:spPr bwMode="auto">
                    <a:xfrm>
                      <a:off x="0" y="0"/>
                      <a:ext cx="5716905" cy="3522345"/>
                    </a:xfrm>
                    <a:prstGeom prst="rect">
                      <a:avLst/>
                    </a:prstGeom>
                    <a:noFill/>
                    <a:ln>
                      <a:noFill/>
                    </a:ln>
                  </pic:spPr>
                </pic:pic>
              </a:graphicData>
            </a:graphic>
          </wp:inline>
        </w:drawing>
      </w:r>
    </w:p>
    <w:p w:rsidR="00ED3746" w:rsidRDefault="00ED3746" w:rsidP="00ED3746">
      <w:pPr>
        <w:suppressAutoHyphens/>
        <w:spacing w:before="60" w:after="0" w:line="240" w:lineRule="auto"/>
        <w:ind w:left="1134" w:right="1134"/>
        <w:mirrorIndents/>
        <w:jc w:val="center"/>
        <w:rPr>
          <w:i/>
          <w:sz w:val="16"/>
        </w:rPr>
      </w:pPr>
      <w:proofErr w:type="gramStart"/>
      <w:r>
        <w:rPr>
          <w:i/>
          <w:sz w:val="16"/>
        </w:rPr>
        <w:t>Source:</w:t>
      </w:r>
      <w:proofErr w:type="gramEnd"/>
      <w:r>
        <w:rPr>
          <w:i/>
          <w:sz w:val="16"/>
        </w:rPr>
        <w:t xml:space="preserve"> Helpdesk Évaluation européen pour le développement rural, 2017.</w:t>
      </w:r>
    </w:p>
    <w:p w:rsidR="00ED3746" w:rsidRPr="00E05D08" w:rsidRDefault="00ED3746" w:rsidP="00ED3746">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rPr>
        <w:lastRenderedPageBreak/>
        <w:t xml:space="preserve">Qu’est-ce qui doit être analysé dans le </w:t>
      </w:r>
      <w:proofErr w:type="gramStart"/>
      <w:r>
        <w:rPr>
          <w:b/>
          <w:color w:val="57825E"/>
        </w:rPr>
        <w:t>PDR?</w:t>
      </w:r>
      <w:proofErr w:type="gramEnd"/>
    </w:p>
    <w:p w:rsidR="00ED3746" w:rsidRPr="00E05D08" w:rsidRDefault="00F204F1" w:rsidP="00ED3746">
      <w:pPr>
        <w:spacing w:after="120" w:line="280" w:lineRule="atLeast"/>
        <w:mirrorIndents/>
        <w:rPr>
          <w:rFonts w:eastAsia="Times New Roman" w:cs="Times New Roman"/>
          <w:szCs w:val="20"/>
        </w:rPr>
      </w:pPr>
      <w:r>
        <w:rPr>
          <w:noProof/>
        </w:rPr>
        <mc:AlternateContent>
          <mc:Choice Requires="wps">
            <w:drawing>
              <wp:anchor distT="0" distB="0" distL="114300" distR="114300" simplePos="0" relativeHeight="251661824" behindDoc="0" locked="0" layoutInCell="1" allowOverlap="1">
                <wp:simplePos x="0" y="0"/>
                <wp:positionH relativeFrom="column">
                  <wp:posOffset>3117215</wp:posOffset>
                </wp:positionH>
                <wp:positionV relativeFrom="paragraph">
                  <wp:posOffset>618490</wp:posOffset>
                </wp:positionV>
                <wp:extent cx="2640965" cy="3183890"/>
                <wp:effectExtent l="0" t="0" r="6985" b="0"/>
                <wp:wrapSquare wrapText="bothSides"/>
                <wp:docPr id="64" name="Rectangle: Diagonal Corners Rounded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0965" cy="3183890"/>
                        </a:xfrm>
                        <a:prstGeom prst="round2DiagRect">
                          <a:avLst>
                            <a:gd name="adj1" fmla="val 6437"/>
                            <a:gd name="adj2" fmla="val 0"/>
                          </a:avLst>
                        </a:prstGeom>
                        <a:noFill/>
                        <a:ln w="25400" cap="flat" cmpd="sng" algn="ctr">
                          <a:solidFill>
                            <a:srgbClr val="BE4A35"/>
                          </a:solidFill>
                          <a:prstDash val="solid"/>
                        </a:ln>
                        <a:effectLst/>
                      </wps:spPr>
                      <wps:txbx>
                        <w:txbxContent>
                          <w:p w:rsidR="00260B0F" w:rsidRPr="00275EE5" w:rsidRDefault="00260B0F" w:rsidP="00ED3746">
                            <w:pPr>
                              <w:pStyle w:val="Normal12PTcouleurgris"/>
                            </w:pPr>
                            <w:r>
                              <w:rPr>
                                <w:noProof/>
                              </w:rPr>
                              <w:drawing>
                                <wp:inline distT="0" distB="0" distL="0" distR="0">
                                  <wp:extent cx="668020" cy="485140"/>
                                  <wp:effectExtent l="0" t="0" r="0" b="0"/>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rPr>
                                <w:sz w:val="18"/>
                              </w:rPr>
                              <w:t>L’article 15 du règlement (UE) nº 1305/2013 mentionne sept éléments qui doivent être couverts par les</w:t>
                            </w:r>
                            <w:r>
                              <w:rPr>
                                <w:b/>
                                <w:color w:val="BE4A35"/>
                                <w:sz w:val="18"/>
                              </w:rPr>
                              <w:t xml:space="preserve"> conseils et les services de conseil</w:t>
                            </w:r>
                            <w:r>
                              <w:rPr>
                                <w:sz w:val="18"/>
                                <w:vertAlign w:val="superscript"/>
                              </w:rPr>
                              <w:t>45</w:t>
                            </w:r>
                            <w:r>
                              <w:rPr>
                                <w:sz w:val="18"/>
                              </w:rPr>
                              <w:t>. Parmi ceux-ci, un seul [paragraphe 4, point c)] mentionne explicitement l’innovation. Il n’y a pas d’exigence ou de certitude que d’autres types de conseils [par exemple, au paragraphe 4, point g), les conseils spécifiques pour les agriculteurs qui s’installent pour la première fois] favoriseront l’innovation. L’analyse de la conception des mesures au sein d’un PDR donné peut donc montrer si la mesure (ou la sous-mesure, le cas échéant) pourrait être pertinente pour favoriser l’innovation.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Diagonal Corners Rounded 64" o:spid="_x0000_s1037" style="position:absolute;left:0;text-align:left;margin-left:245.45pt;margin-top:48.7pt;width:207.95pt;height:25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2640965,31838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" adj="-11796480,,5400" path="m169999,l2640965,r,l2640965,3013891v,93888,-76111,169999,-169999,169999l,3183890r,l,169999c,76111,76111,,169999,xe" filled="f" strokecolor="#be4a35" strokeweight="2pt">
                <v:stroke joinstyle="miter"/>
                <v:formulas/>
                <v:path arrowok="t" o:connecttype="custom" o:connectlocs="169999,0;2640965,0;2640965,0;2640965,3013891;2470966,3183890;0,3183890;0,3183890;0,169999;169999,0" o:connectangles="0,0,0,0,0,0,0,0,0" textboxrect="0,0,2640965,3183890"/>
                <v:textbox>
                  <w:txbxContent>
                    <w:p w:rsidR="00260B0F" w:rsidRPr="00275EE5" w:rsidRDefault="00260B0F" w:rsidP="00ED3746">
                      <w:pPr>
                        <w:pStyle w:val="Normal12PTcouleurgris"/>
                      </w:pPr>
                      <w:r>
                        <w:rPr>
                          <w:noProof/>
                        </w:rPr>
                        <w:drawing>
                          <wp:inline distT="0" distB="0" distL="0" distR="0">
                            <wp:extent cx="668020" cy="485140"/>
                            <wp:effectExtent l="0" t="0" r="0" b="0"/>
                            <wp:docPr id="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rPr>
                          <w:sz w:val="18"/>
                        </w:rPr>
                        <w:t>L’article 15 du règlement (UE) nº 1305/2013 mentionne sept éléments qui doivent être couverts par les</w:t>
                      </w:r>
                      <w:r>
                        <w:rPr>
                          <w:b/>
                          <w:color w:val="BE4A35"/>
                          <w:sz w:val="18"/>
                        </w:rPr>
                        <w:t xml:space="preserve"> conseils et les services de conseil</w:t>
                      </w:r>
                      <w:r>
                        <w:rPr>
                          <w:sz w:val="18"/>
                          <w:vertAlign w:val="superscript"/>
                        </w:rPr>
                        <w:t>45</w:t>
                      </w:r>
                      <w:r>
                        <w:rPr>
                          <w:sz w:val="18"/>
                        </w:rPr>
                        <w:t>. Parmi ceux-ci, un seul [paragraphe 4, point c)] mentionne explicitement l’innovation. Il n’y a pas d’exigence ou de certitude que d’autres types de conseils [par exemple, au paragraphe 4, point g), les conseils spécifiques pour les agriculteurs qui s’installent pour la première fois] favoriseront l’innovation. L’analyse de la conception des mesures au sein d’un PDR donné peut donc montrer si la mesure (ou la sous-mesure, le cas échéant) pourrait être pertinente pour favoriser l’innovation.</w:t>
                      </w:r>
                    </w:p>
                  </w:txbxContent>
                </v:textbox>
                <w10:wrap type="square"/>
              </v:shape>
            </w:pict>
          </mc:Fallback>
        </mc:AlternateContent>
      </w:r>
      <w:r w:rsidR="00ED3746">
        <w:rPr>
          <w:b/>
        </w:rPr>
        <w:t>L’analyse doit être axée sur la capacité des mesures individuelles et des groupes de mesures au titre des DP</w:t>
      </w:r>
      <w:r w:rsidR="00ED3746">
        <w:t xml:space="preserve"> de favoriser l’innovation (par exemple, leur capacité de contribuer aux trois démarches d’innovation expliquées au </w:t>
      </w:r>
      <w:hyperlink w:anchor="Innovation_RD" w:history="1">
        <w:r w:rsidR="00ED3746">
          <w:rPr>
            <w:rStyle w:val="Hyperlink"/>
            <w:sz w:val="20"/>
          </w:rPr>
          <w:t>chapitre 1.1</w:t>
        </w:r>
      </w:hyperlink>
      <w:r w:rsidR="00ED3746">
        <w:t>).</w:t>
      </w:r>
      <w:r w:rsidR="00ED3746">
        <w:rPr>
          <w:rStyle w:val="FootnoteReference"/>
          <w:color w:val="FFFFFF"/>
        </w:rPr>
        <w:footnoteReference w:id="45"/>
      </w:r>
      <w:r w:rsidR="00ED3746">
        <w:t xml:space="preserve"> De même, le </w:t>
      </w:r>
      <w:r w:rsidR="00ED3746">
        <w:rPr>
          <w:b/>
        </w:rPr>
        <w:t xml:space="preserve">potentiel du RRN à favoriser l’innovation </w:t>
      </w:r>
      <w:r w:rsidR="00ED3746">
        <w:t xml:space="preserve">peut aussi être déterminé en analysant les actions du RRN (voir la </w:t>
      </w:r>
      <w:hyperlink w:anchor="CEQ_NRN" w:history="1">
        <w:r w:rsidR="00ED3746">
          <w:rPr>
            <w:rStyle w:val="Hyperlink"/>
            <w:sz w:val="20"/>
          </w:rPr>
          <w:t>section 2.4.3</w:t>
        </w:r>
      </w:hyperlink>
      <w:r w:rsidR="00ED3746">
        <w:t xml:space="preserve">). </w:t>
      </w:r>
    </w:p>
    <w:p w:rsidR="00ED3746" w:rsidRPr="00E05D08" w:rsidRDefault="00ED3746" w:rsidP="00ED3746">
      <w:pPr>
        <w:spacing w:after="120" w:line="280" w:lineRule="atLeast"/>
        <w:mirrorIndents/>
        <w:rPr>
          <w:rFonts w:eastAsia="Times New Roman" w:cs="Times New Roman"/>
          <w:szCs w:val="20"/>
        </w:rPr>
      </w:pPr>
      <w:r>
        <w:t xml:space="preserve">Globalement, l’analyse du potentiel d’innovation devrait au moins concerner les mesures liées aux QEC </w:t>
      </w:r>
      <w:proofErr w:type="gramStart"/>
      <w:r>
        <w:t>suivantes:</w:t>
      </w:r>
      <w:proofErr w:type="gramEnd"/>
      <w:r>
        <w:t xml:space="preserve"> </w:t>
      </w:r>
    </w:p>
    <w:p w:rsidR="00ED3746" w:rsidRPr="00E05D08" w:rsidRDefault="00ED3746" w:rsidP="00ED3746">
      <w:pPr>
        <w:numPr>
          <w:ilvl w:val="0"/>
          <w:numId w:val="3"/>
        </w:numPr>
        <w:tabs>
          <w:tab w:val="clear" w:pos="644"/>
        </w:tabs>
        <w:spacing w:before="60" w:after="120" w:line="280" w:lineRule="atLeast"/>
        <w:ind w:hanging="567"/>
        <w:mirrorIndents/>
        <w:rPr>
          <w:rFonts w:eastAsia="Times New Roman" w:cs="Times New Roman"/>
          <w:szCs w:val="20"/>
        </w:rPr>
      </w:pPr>
      <w:r>
        <w:t>La QEC nº 1 est liée aux mesures M1, M2 et M16 [articles 14, 15 et 35 du règlement (UE) nº1305/2013, respectivement]. L’analyse sera axée sur le potentiel d’innovation de ces mesures et aidera à répondre à la partie de la QEC consacrée à l’innovation.</w:t>
      </w:r>
    </w:p>
    <w:p w:rsidR="00ED3746" w:rsidRPr="00E05D08" w:rsidRDefault="00ED3746" w:rsidP="00ED3746">
      <w:pPr>
        <w:numPr>
          <w:ilvl w:val="0"/>
          <w:numId w:val="3"/>
        </w:numPr>
        <w:tabs>
          <w:tab w:val="clear" w:pos="644"/>
        </w:tabs>
        <w:spacing w:before="60" w:after="120" w:line="280" w:lineRule="atLeast"/>
        <w:ind w:hanging="567"/>
        <w:mirrorIndents/>
        <w:rPr>
          <w:rFonts w:eastAsia="Times New Roman" w:cs="Times New Roman"/>
          <w:szCs w:val="20"/>
        </w:rPr>
      </w:pPr>
      <w:r>
        <w:t>La QEC nº 2 est liée à la sous-mesure M16 (coopération). La sous-mesure M16 sera essentiellement analysée pour son potentiel à contribuer aux trois démarches. Les résultats aideront à répondre à la partie de la QEC consacrée à l’innovation.</w:t>
      </w:r>
    </w:p>
    <w:p w:rsidR="00ED3746" w:rsidRPr="00E05D08" w:rsidRDefault="00ED3746" w:rsidP="00ED3746">
      <w:pPr>
        <w:numPr>
          <w:ilvl w:val="0"/>
          <w:numId w:val="3"/>
        </w:numPr>
        <w:tabs>
          <w:tab w:val="clear" w:pos="644"/>
        </w:tabs>
        <w:spacing w:before="60" w:after="120" w:line="280" w:lineRule="atLeast"/>
        <w:ind w:hanging="567"/>
        <w:mirrorIndents/>
        <w:rPr>
          <w:rFonts w:eastAsia="Times New Roman" w:cs="Times New Roman"/>
          <w:szCs w:val="20"/>
        </w:rPr>
      </w:pPr>
      <w:r>
        <w:t>La QEC nº 21 couvre les quatre objectifs du RRN. L’analyse du potentiel d’innovation du RRN sera axée sur les actions du RRN, qui contribuent à l’objectif commun du RRN</w:t>
      </w:r>
      <w:proofErr w:type="gramStart"/>
      <w:r>
        <w:t xml:space="preserve"> «favoriser</w:t>
      </w:r>
      <w:proofErr w:type="gramEnd"/>
      <w:r>
        <w:t xml:space="preserve"> l’innovation dans le secteur de l’agriculture, de la production alimentaire et de la foresterie ainsi que dans les zones rurales». Cette analyse aidera à répondre à la partie de la QEC consacrée à l’innovation.</w:t>
      </w:r>
    </w:p>
    <w:p w:rsidR="00ED3746" w:rsidRPr="00E05D08" w:rsidRDefault="00ED3746" w:rsidP="00ED3746">
      <w:pPr>
        <w:numPr>
          <w:ilvl w:val="0"/>
          <w:numId w:val="3"/>
        </w:numPr>
        <w:spacing w:before="60" w:after="120" w:line="280" w:lineRule="atLeast"/>
        <w:ind w:hanging="567"/>
        <w:mirrorIndents/>
        <w:rPr>
          <w:rFonts w:eastAsia="Times New Roman" w:cs="Times New Roman"/>
          <w:szCs w:val="20"/>
        </w:rPr>
      </w:pPr>
      <w:r>
        <w:t>La réponse à la QEC nº 23 sera fournie par l’évaluation des contributions du PDR à la réalisation du grand objectif qui consiste à investir 3 % du PIB de l’Union européenne (secteurs publics et privés combinés) dans la recherche et le développement et l’innovation</w:t>
      </w:r>
      <w:r>
        <w:rPr>
          <w:vertAlign w:val="superscript"/>
        </w:rPr>
        <w:footnoteReference w:id="46"/>
      </w:r>
      <w:r>
        <w:t xml:space="preserve"> en utilisant les indicateurs relatifs à cet objectif. L’analyse du potentiel d’innovation de toutes les mesures du PDR est importante </w:t>
      </w:r>
      <w:proofErr w:type="gramStart"/>
      <w:r>
        <w:t>pour:</w:t>
      </w:r>
      <w:proofErr w:type="gramEnd"/>
      <w:r>
        <w:t xml:space="preserve"> a) mettre en évidence les mesures qui contribuent à favoriser l’innovation, et b) prendre en considération les dépenses liées à ces mesures dans le calcul des indicateurs utilisés pour répondre à la QEC nº 23.</w:t>
      </w:r>
    </w:p>
    <w:p w:rsidR="00ED3746" w:rsidRPr="00E05D08" w:rsidRDefault="00ED3746" w:rsidP="00ED3746">
      <w:pPr>
        <w:numPr>
          <w:ilvl w:val="0"/>
          <w:numId w:val="3"/>
        </w:numPr>
        <w:spacing w:before="60" w:after="120" w:line="280" w:lineRule="atLeast"/>
        <w:ind w:hanging="567"/>
        <w:mirrorIndents/>
        <w:rPr>
          <w:rFonts w:eastAsia="Times New Roman" w:cs="Times New Roman"/>
          <w:szCs w:val="20"/>
        </w:rPr>
      </w:pPr>
      <w:r>
        <w:t xml:space="preserve">La QEC nº 30 est liée à l’objectif transversal d’innovation. Dans ce cas-ci, toutes les mesures/sous-mesures et leur combinaison au titre de chaque DP seront analysées en vue de déterminer celles qui sont susceptibles de favoriser l’innovation via les trois démarches. Cette analyse aidera l’évaluateur à construire une évaluation d’étude de cas sur la base de la théorie du changement qu’il est proposé d’utiliser pour répondre à la QEC nº 30. </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 xml:space="preserve">Quel est le </w:t>
      </w:r>
      <w:proofErr w:type="gramStart"/>
      <w:r>
        <w:rPr>
          <w:b/>
          <w:color w:val="57825E"/>
        </w:rPr>
        <w:t>résultat?</w:t>
      </w:r>
      <w:proofErr w:type="gramEnd"/>
      <w:r>
        <w:rPr>
          <w:b/>
          <w:color w:val="57825E"/>
        </w:rPr>
        <w:t xml:space="preserve"> </w:t>
      </w:r>
    </w:p>
    <w:p w:rsidR="00ED3746" w:rsidRDefault="00ED3746" w:rsidP="00ED3746">
      <w:pPr>
        <w:spacing w:after="120" w:line="280" w:lineRule="atLeast"/>
        <w:mirrorIndents/>
        <w:rPr>
          <w:rFonts w:eastAsia="Times New Roman" w:cs="Times New Roman"/>
          <w:szCs w:val="20"/>
        </w:rPr>
      </w:pPr>
      <w:r>
        <w:rPr>
          <w:b/>
        </w:rPr>
        <w:t>L’analyse aide à expliciter la logique d’intervention du PDR en relation avec l’innovation.</w:t>
      </w:r>
      <w:r>
        <w:t xml:space="preserve"> Elle met en évidence les mesures du PDR qui sont les plus susceptibles de favoriser l’innovation et précise aussi les domaines (démarches) auxquels elles sont liées. Lors de l’évaluation ultérieure des effets, les </w:t>
      </w:r>
      <w:r>
        <w:lastRenderedPageBreak/>
        <w:t xml:space="preserve">résultats de cette analyse seront pris en considération pour comparer le potentiel avec la capacité réelle du PDR de favoriser l’innovation. Cela aide à orienter le travail de l’évaluateur vers les mesures et sous-mesures qui sont jugées particulièrement pertinentes pour favoriser l’innovation. </w:t>
      </w:r>
    </w:p>
    <w:p w:rsidR="00ED3746" w:rsidRPr="00E05D08" w:rsidRDefault="00F204F1" w:rsidP="00ED3746">
      <w:pPr>
        <w:spacing w:after="120" w:line="280" w:lineRule="atLeast"/>
        <w:mirrorIndents/>
        <w:rPr>
          <w:rFonts w:eastAsia="Times New Roman" w:cs="Times New Roman"/>
          <w:szCs w:val="20"/>
        </w:rPr>
      </w:pPr>
      <w:r>
        <w:rPr>
          <w:noProof/>
        </w:rPr>
        <mc:AlternateContent>
          <mc:Choice Requires="wps">
            <w:drawing>
              <wp:anchor distT="0" distB="0" distL="114300" distR="114300" simplePos="0" relativeHeight="251662848" behindDoc="0" locked="0" layoutInCell="1" allowOverlap="1">
                <wp:simplePos x="0" y="0"/>
                <wp:positionH relativeFrom="page">
                  <wp:posOffset>1849120</wp:posOffset>
                </wp:positionH>
                <wp:positionV relativeFrom="page">
                  <wp:posOffset>1662430</wp:posOffset>
                </wp:positionV>
                <wp:extent cx="4153535" cy="2517775"/>
                <wp:effectExtent l="0" t="0" r="0" b="0"/>
                <wp:wrapSquare wrapText="bothSides"/>
                <wp:docPr id="67" name="Rectangle: Diagonal Corners Rounded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3535" cy="2517775"/>
                        </a:xfrm>
                        <a:prstGeom prst="round2DiagRect">
                          <a:avLst>
                            <a:gd name="adj1" fmla="val 9754"/>
                            <a:gd name="adj2" fmla="val 0"/>
                          </a:avLst>
                        </a:prstGeom>
                        <a:noFill/>
                        <a:ln w="25400" cap="flat" cmpd="sng" algn="ctr">
                          <a:solidFill>
                            <a:srgbClr val="8BAB80"/>
                          </a:solidFill>
                          <a:prstDash val="solid"/>
                        </a:ln>
                        <a:effectLst/>
                      </wps:spPr>
                      <wps:txbx>
                        <w:txbxContent>
                          <w:p w:rsidR="00260B0F" w:rsidRPr="00275EE5" w:rsidRDefault="00260B0F" w:rsidP="00ED3746">
                            <w:pPr>
                              <w:pStyle w:val="Normal12PTcouleurgris"/>
                            </w:pPr>
                            <w:r>
                              <w:rPr>
                                <w:noProof/>
                                <w:sz w:val="18"/>
                              </w:rPr>
                              <w:drawing>
                                <wp:inline distT="0" distB="0" distL="0" distR="0">
                                  <wp:extent cx="580390" cy="540385"/>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12991" r="21271"/>
                                          <a:stretch>
                                            <a:fillRect/>
                                          </a:stretch>
                                        </pic:blipFill>
                                        <pic:spPr bwMode="auto">
                                          <a:xfrm>
                                            <a:off x="0" y="0"/>
                                            <a:ext cx="580390" cy="540385"/>
                                          </a:xfrm>
                                          <a:prstGeom prst="rect">
                                            <a:avLst/>
                                          </a:prstGeom>
                                          <a:noFill/>
                                          <a:ln>
                                            <a:noFill/>
                                          </a:ln>
                                        </pic:spPr>
                                      </pic:pic>
                                    </a:graphicData>
                                  </a:graphic>
                                </wp:inline>
                              </w:drawing>
                            </w:r>
                          </w:p>
                          <w:tbl>
                            <w:tblPr>
                              <w:tblW w:w="0" w:type="auto"/>
                              <w:shd w:val="clear" w:color="auto" w:fill="FFFFFF"/>
                              <w:tblLook w:val="04A0" w:firstRow="1" w:lastRow="0" w:firstColumn="1" w:lastColumn="0" w:noHBand="0" w:noVBand="1"/>
                            </w:tblPr>
                            <w:tblGrid>
                              <w:gridCol w:w="3008"/>
                              <w:gridCol w:w="2979"/>
                            </w:tblGrid>
                            <w:tr w:rsidR="00260B0F" w:rsidRPr="00B77106" w:rsidTr="00ED3746">
                              <w:tc>
                                <w:tcPr>
                                  <w:tcW w:w="3402" w:type="dxa"/>
                                  <w:shd w:val="clear" w:color="auto" w:fill="FFFFFF"/>
                                </w:tcPr>
                                <w:p w:rsidR="00260B0F" w:rsidRPr="00B77106" w:rsidRDefault="00260B0F" w:rsidP="00ED3746">
                                  <w:pPr>
                                    <w:spacing w:after="0" w:line="240" w:lineRule="auto"/>
                                    <w:suppressOverlap/>
                                    <w:jc w:val="left"/>
                                    <w:rPr>
                                      <w:rFonts w:eastAsia="Times New Roman" w:cs="Arial"/>
                                      <w:b/>
                                      <w:color w:val="404040"/>
                                      <w:szCs w:val="18"/>
                                    </w:rPr>
                                  </w:pPr>
                                  <w:r>
                                    <w:rPr>
                                      <w:b/>
                                      <w:color w:val="404040"/>
                                    </w:rPr>
                                    <w:t xml:space="preserve">À </w:t>
                                  </w:r>
                                  <w:proofErr w:type="gramStart"/>
                                  <w:r>
                                    <w:rPr>
                                      <w:b/>
                                      <w:color w:val="404040"/>
                                    </w:rPr>
                                    <w:t>faire:</w:t>
                                  </w:r>
                                  <w:proofErr w:type="gramEnd"/>
                                </w:p>
                                <w:p w:rsidR="00260B0F" w:rsidRPr="00B77106" w:rsidRDefault="00260B0F" w:rsidP="00ED3746">
                                  <w:pPr>
                                    <w:pStyle w:val="Hlistbullet"/>
                                    <w:spacing w:line="160" w:lineRule="atLeast"/>
                                    <w:jc w:val="left"/>
                                    <w:rPr>
                                      <w:sz w:val="18"/>
                                      <w:szCs w:val="18"/>
                                    </w:rPr>
                                  </w:pPr>
                                  <w:proofErr w:type="gramStart"/>
                                  <w:r>
                                    <w:rPr>
                                      <w:sz w:val="18"/>
                                    </w:rPr>
                                    <w:t>évaluer</w:t>
                                  </w:r>
                                  <w:proofErr w:type="gramEnd"/>
                                  <w:r>
                                    <w:rPr>
                                      <w:sz w:val="18"/>
                                    </w:rPr>
                                    <w:t xml:space="preserve"> la conception des mesures (relation avec les besoins, les objectifs, les critères de sélection, les bénéficiaires) sous l’angle du potentiel à favoriser l’innovation et de son intensité; </w:t>
                                  </w:r>
                                </w:p>
                                <w:p w:rsidR="00260B0F" w:rsidRPr="00B63DE8" w:rsidRDefault="00260B0F" w:rsidP="00ED3746">
                                  <w:pPr>
                                    <w:pStyle w:val="Hlistbullet"/>
                                    <w:spacing w:line="160" w:lineRule="atLeast"/>
                                    <w:jc w:val="left"/>
                                  </w:pPr>
                                  <w:proofErr w:type="gramStart"/>
                                  <w:r>
                                    <w:rPr>
                                      <w:sz w:val="18"/>
                                    </w:rPr>
                                    <w:t>prendre</w:t>
                                  </w:r>
                                  <w:proofErr w:type="gramEnd"/>
                                  <w:r>
                                    <w:rPr>
                                      <w:sz w:val="18"/>
                                    </w:rPr>
                                    <w:t xml:space="preserve"> note de la logique d’intervention sous-jacente du PDR en relation avec l’innovation.</w:t>
                                  </w:r>
                                  <w:r>
                                    <w:t xml:space="preserve"> </w:t>
                                  </w:r>
                                </w:p>
                              </w:tc>
                              <w:tc>
                                <w:tcPr>
                                  <w:tcW w:w="3402" w:type="dxa"/>
                                  <w:shd w:val="clear" w:color="auto" w:fill="auto"/>
                                </w:tcPr>
                                <w:p w:rsidR="00260B0F" w:rsidRPr="00B77106" w:rsidRDefault="00260B0F" w:rsidP="00ED3746">
                                  <w:pPr>
                                    <w:spacing w:after="0" w:line="240" w:lineRule="auto"/>
                                    <w:suppressOverlap/>
                                    <w:jc w:val="left"/>
                                    <w:rPr>
                                      <w:rFonts w:eastAsia="Times New Roman" w:cs="Arial"/>
                                      <w:b/>
                                      <w:color w:val="404040"/>
                                      <w:szCs w:val="18"/>
                                    </w:rPr>
                                  </w:pPr>
                                  <w:r>
                                    <w:rPr>
                                      <w:b/>
                                      <w:color w:val="404040"/>
                                    </w:rPr>
                                    <w:t xml:space="preserve">À </w:t>
                                  </w:r>
                                  <w:proofErr w:type="gramStart"/>
                                  <w:r>
                                    <w:rPr>
                                      <w:b/>
                                      <w:color w:val="404040"/>
                                    </w:rPr>
                                    <w:t>éviter:</w:t>
                                  </w:r>
                                  <w:proofErr w:type="gramEnd"/>
                                </w:p>
                                <w:p w:rsidR="00260B0F" w:rsidRPr="00B77106" w:rsidRDefault="00260B0F" w:rsidP="00ED3746">
                                  <w:pPr>
                                    <w:pStyle w:val="Hlistbullet"/>
                                    <w:spacing w:line="160" w:lineRule="atLeast"/>
                                    <w:jc w:val="left"/>
                                    <w:rPr>
                                      <w:sz w:val="18"/>
                                      <w:szCs w:val="18"/>
                                    </w:rPr>
                                  </w:pPr>
                                  <w:proofErr w:type="gramStart"/>
                                  <w:r>
                                    <w:rPr>
                                      <w:sz w:val="18"/>
                                    </w:rPr>
                                    <w:t>limiter</w:t>
                                  </w:r>
                                  <w:proofErr w:type="gramEnd"/>
                                  <w:r>
                                    <w:rPr>
                                      <w:sz w:val="18"/>
                                    </w:rPr>
                                    <w:t xml:space="preserve"> l’analyse du potentiel d’innovation du PDR à la mention du mot «innovant» dans les critères de sélection et les mesures. </w:t>
                                  </w:r>
                                </w:p>
                                <w:p w:rsidR="00260B0F" w:rsidRPr="00B77106" w:rsidRDefault="00260B0F" w:rsidP="00ED3746">
                                  <w:pPr>
                                    <w:spacing w:after="0" w:line="240" w:lineRule="auto"/>
                                    <w:suppressOverlap/>
                                    <w:jc w:val="left"/>
                                    <w:rPr>
                                      <w:rFonts w:eastAsia="Times New Roman" w:cs="Arial"/>
                                      <w:color w:val="1A1A1A"/>
                                      <w:szCs w:val="18"/>
                                    </w:rPr>
                                  </w:pPr>
                                </w:p>
                              </w:tc>
                            </w:tr>
                          </w:tbl>
                          <w:p w:rsidR="00260B0F" w:rsidRPr="00275EE5" w:rsidRDefault="00260B0F" w:rsidP="00ED3746">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67" o:spid="_x0000_s1038" style="position:absolute;left:0;text-align:left;margin-left:145.6pt;margin-top:130.9pt;width:327.05pt;height:198.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35,2517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" adj="-11796480,,5400" path="m245584,l4153535,r,l4153535,2272191v,135632,-109952,245584,-245584,245584l,2517775r,l,245584c,109952,109952,,245584,xe" filled="f" strokecolor="#8bab80" strokeweight="2pt">
                <v:stroke joinstyle="miter"/>
                <v:formulas/>
                <v:path arrowok="t" o:connecttype="custom" o:connectlocs="245584,0;4153535,0;4153535,0;4153535,2272191;3907951,2517775;0,2517775;0,2517775;0,245584;245584,0" o:connectangles="0,0,0,0,0,0,0,0,0" textboxrect="0,0,4153535,2517775"/>
                <v:textbox>
                  <w:txbxContent>
                    <w:p w:rsidR="00260B0F" w:rsidRPr="00275EE5" w:rsidRDefault="00260B0F" w:rsidP="00ED3746">
                      <w:pPr>
                        <w:pStyle w:val="Normal12PTcouleurgris"/>
                      </w:pPr>
                      <w:r>
                        <w:rPr>
                          <w:noProof/>
                          <w:sz w:val="18"/>
                        </w:rPr>
                        <w:drawing>
                          <wp:inline distT="0" distB="0" distL="0" distR="0">
                            <wp:extent cx="580390" cy="540385"/>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l="12991" r="21271"/>
                                    <a:stretch>
                                      <a:fillRect/>
                                    </a:stretch>
                                  </pic:blipFill>
                                  <pic:spPr bwMode="auto">
                                    <a:xfrm>
                                      <a:off x="0" y="0"/>
                                      <a:ext cx="580390" cy="540385"/>
                                    </a:xfrm>
                                    <a:prstGeom prst="rect">
                                      <a:avLst/>
                                    </a:prstGeom>
                                    <a:noFill/>
                                    <a:ln>
                                      <a:noFill/>
                                    </a:ln>
                                  </pic:spPr>
                                </pic:pic>
                              </a:graphicData>
                            </a:graphic>
                          </wp:inline>
                        </w:drawing>
                      </w:r>
                    </w:p>
                    <w:tbl>
                      <w:tblPr>
                        <w:tblW w:w="0" w:type="auto"/>
                        <w:shd w:val="clear" w:color="auto" w:fill="FFFFFF"/>
                        <w:tblLook w:val="04A0" w:firstRow="1" w:lastRow="0" w:firstColumn="1" w:lastColumn="0" w:noHBand="0" w:noVBand="1"/>
                      </w:tblPr>
                      <w:tblGrid>
                        <w:gridCol w:w="3008"/>
                        <w:gridCol w:w="2979"/>
                      </w:tblGrid>
                      <w:tr w:rsidR="00260B0F" w:rsidRPr="00B77106" w:rsidTr="00ED3746">
                        <w:tc>
                          <w:tcPr>
                            <w:tcW w:w="3402" w:type="dxa"/>
                            <w:shd w:val="clear" w:color="auto" w:fill="FFFFFF"/>
                          </w:tcPr>
                          <w:p w:rsidR="00260B0F" w:rsidRPr="00B77106" w:rsidRDefault="00260B0F" w:rsidP="00ED3746">
                            <w:pPr>
                              <w:spacing w:after="0" w:line="240" w:lineRule="auto"/>
                              <w:suppressOverlap/>
                              <w:jc w:val="left"/>
                              <w:rPr>
                                <w:rFonts w:eastAsia="Times New Roman" w:cs="Arial"/>
                                <w:b/>
                                <w:color w:val="404040"/>
                                <w:szCs w:val="18"/>
                              </w:rPr>
                            </w:pPr>
                            <w:r>
                              <w:rPr>
                                <w:b/>
                                <w:color w:val="404040"/>
                              </w:rPr>
                              <w:t xml:space="preserve">À </w:t>
                            </w:r>
                            <w:proofErr w:type="gramStart"/>
                            <w:r>
                              <w:rPr>
                                <w:b/>
                                <w:color w:val="404040"/>
                              </w:rPr>
                              <w:t>faire:</w:t>
                            </w:r>
                            <w:proofErr w:type="gramEnd"/>
                          </w:p>
                          <w:p w:rsidR="00260B0F" w:rsidRPr="00B77106" w:rsidRDefault="00260B0F" w:rsidP="00ED3746">
                            <w:pPr>
                              <w:pStyle w:val="Hlistbullet"/>
                              <w:spacing w:line="160" w:lineRule="atLeast"/>
                              <w:jc w:val="left"/>
                              <w:rPr>
                                <w:sz w:val="18"/>
                                <w:szCs w:val="18"/>
                              </w:rPr>
                            </w:pPr>
                            <w:proofErr w:type="gramStart"/>
                            <w:r>
                              <w:rPr>
                                <w:sz w:val="18"/>
                              </w:rPr>
                              <w:t>évaluer</w:t>
                            </w:r>
                            <w:proofErr w:type="gramEnd"/>
                            <w:r>
                              <w:rPr>
                                <w:sz w:val="18"/>
                              </w:rPr>
                              <w:t xml:space="preserve"> la conception des mesures (relation avec les besoins, les objectifs, les critères de sélection, les bénéficiaires) sous l’angle du potentiel à favoriser l’innovation et de son intensité; </w:t>
                            </w:r>
                          </w:p>
                          <w:p w:rsidR="00260B0F" w:rsidRPr="00B63DE8" w:rsidRDefault="00260B0F" w:rsidP="00ED3746">
                            <w:pPr>
                              <w:pStyle w:val="Hlistbullet"/>
                              <w:spacing w:line="160" w:lineRule="atLeast"/>
                              <w:jc w:val="left"/>
                            </w:pPr>
                            <w:proofErr w:type="gramStart"/>
                            <w:r>
                              <w:rPr>
                                <w:sz w:val="18"/>
                              </w:rPr>
                              <w:t>prendre</w:t>
                            </w:r>
                            <w:proofErr w:type="gramEnd"/>
                            <w:r>
                              <w:rPr>
                                <w:sz w:val="18"/>
                              </w:rPr>
                              <w:t xml:space="preserve"> note de la logique d’intervention sous-jacente du PDR en relation avec l’innovation.</w:t>
                            </w:r>
                            <w:r>
                              <w:t xml:space="preserve"> </w:t>
                            </w:r>
                          </w:p>
                        </w:tc>
                        <w:tc>
                          <w:tcPr>
                            <w:tcW w:w="3402" w:type="dxa"/>
                            <w:shd w:val="clear" w:color="auto" w:fill="auto"/>
                          </w:tcPr>
                          <w:p w:rsidR="00260B0F" w:rsidRPr="00B77106" w:rsidRDefault="00260B0F" w:rsidP="00ED3746">
                            <w:pPr>
                              <w:spacing w:after="0" w:line="240" w:lineRule="auto"/>
                              <w:suppressOverlap/>
                              <w:jc w:val="left"/>
                              <w:rPr>
                                <w:rFonts w:eastAsia="Times New Roman" w:cs="Arial"/>
                                <w:b/>
                                <w:color w:val="404040"/>
                                <w:szCs w:val="18"/>
                              </w:rPr>
                            </w:pPr>
                            <w:r>
                              <w:rPr>
                                <w:b/>
                                <w:color w:val="404040"/>
                              </w:rPr>
                              <w:t xml:space="preserve">À </w:t>
                            </w:r>
                            <w:proofErr w:type="gramStart"/>
                            <w:r>
                              <w:rPr>
                                <w:b/>
                                <w:color w:val="404040"/>
                              </w:rPr>
                              <w:t>éviter:</w:t>
                            </w:r>
                            <w:proofErr w:type="gramEnd"/>
                          </w:p>
                          <w:p w:rsidR="00260B0F" w:rsidRPr="00B77106" w:rsidRDefault="00260B0F" w:rsidP="00ED3746">
                            <w:pPr>
                              <w:pStyle w:val="Hlistbullet"/>
                              <w:spacing w:line="160" w:lineRule="atLeast"/>
                              <w:jc w:val="left"/>
                              <w:rPr>
                                <w:sz w:val="18"/>
                                <w:szCs w:val="18"/>
                              </w:rPr>
                            </w:pPr>
                            <w:proofErr w:type="gramStart"/>
                            <w:r>
                              <w:rPr>
                                <w:sz w:val="18"/>
                              </w:rPr>
                              <w:t>limiter</w:t>
                            </w:r>
                            <w:proofErr w:type="gramEnd"/>
                            <w:r>
                              <w:rPr>
                                <w:sz w:val="18"/>
                              </w:rPr>
                              <w:t xml:space="preserve"> l’analyse du potentiel d’innovation du PDR à la mention du mot «innovant» dans les critères de sélection et les mesures. </w:t>
                            </w:r>
                          </w:p>
                          <w:p w:rsidR="00260B0F" w:rsidRPr="00B77106" w:rsidRDefault="00260B0F" w:rsidP="00ED3746">
                            <w:pPr>
                              <w:spacing w:after="0" w:line="240" w:lineRule="auto"/>
                              <w:suppressOverlap/>
                              <w:jc w:val="left"/>
                              <w:rPr>
                                <w:rFonts w:eastAsia="Times New Roman" w:cs="Arial"/>
                                <w:color w:val="1A1A1A"/>
                                <w:szCs w:val="18"/>
                              </w:rPr>
                            </w:pPr>
                          </w:p>
                        </w:tc>
                      </w:tr>
                    </w:tbl>
                    <w:p w:rsidR="00260B0F" w:rsidRPr="00275EE5" w:rsidRDefault="00260B0F" w:rsidP="00ED3746">
                      <w:pPr>
                        <w:pStyle w:val="Normal12PTcouleurgris"/>
                      </w:pPr>
                    </w:p>
                  </w:txbxContent>
                </v:textbox>
                <w10:wrap type="square" anchorx="page" anchory="page"/>
              </v:shape>
            </w:pict>
          </mc:Fallback>
        </mc:AlternateContent>
      </w:r>
    </w:p>
    <w:p w:rsidR="00ED3746" w:rsidRPr="00E05D08" w:rsidRDefault="00ED3746" w:rsidP="00ED3746">
      <w:pPr>
        <w:pStyle w:val="HStandard"/>
      </w:pPr>
    </w:p>
    <w:p w:rsidR="00ED3746" w:rsidRPr="00E05D08" w:rsidRDefault="00ED3746" w:rsidP="00ED3746">
      <w:pPr>
        <w:pStyle w:val="HStandard"/>
      </w:pPr>
    </w:p>
    <w:p w:rsidR="00ED3746" w:rsidRDefault="00ED3746" w:rsidP="00ED3746">
      <w:pPr>
        <w:pStyle w:val="HStandard"/>
      </w:pPr>
    </w:p>
    <w:p w:rsidR="00ED3746" w:rsidRDefault="00ED3746" w:rsidP="00ED3746">
      <w:pPr>
        <w:pStyle w:val="HStandard"/>
      </w:pPr>
    </w:p>
    <w:p w:rsidR="00ED3746" w:rsidRDefault="00ED3746" w:rsidP="00ED3746">
      <w:pPr>
        <w:pStyle w:val="HStandard"/>
      </w:pPr>
    </w:p>
    <w:p w:rsidR="00ED3746" w:rsidRDefault="00ED3746">
      <w:pPr>
        <w:jc w:val="left"/>
        <w:rPr>
          <w:rFonts w:eastAsia="Times New Roman" w:cs="Times New Roman"/>
          <w:b/>
          <w:szCs w:val="20"/>
        </w:rPr>
      </w:pPr>
      <w:bookmarkStart w:id="114" w:name="_Toc493151903"/>
      <w:bookmarkStart w:id="115" w:name="_Toc501382129"/>
    </w:p>
    <w:p w:rsidR="00ED3746" w:rsidRPr="00FC7364" w:rsidRDefault="00ED3746" w:rsidP="00ED3746">
      <w:pPr>
        <w:pStyle w:val="HHeading2"/>
        <w:numPr>
          <w:ilvl w:val="1"/>
          <w:numId w:val="119"/>
        </w:numPr>
        <w:ind w:left="567" w:hanging="567"/>
      </w:pPr>
      <w:bookmarkStart w:id="116" w:name="Complementing"/>
      <w:bookmarkStart w:id="117" w:name="_Toc503368723"/>
      <w:bookmarkStart w:id="118" w:name="_Toc508889634"/>
      <w:bookmarkEnd w:id="116"/>
      <w:r>
        <w:t>Compléter les éléments d’évaluation communs pour l’innovation (recommandé)</w:t>
      </w:r>
      <w:bookmarkEnd w:id="114"/>
      <w:bookmarkEnd w:id="115"/>
      <w:bookmarkEnd w:id="117"/>
      <w:bookmarkEnd w:id="118"/>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 xml:space="preserve">Pourquoi et quand compléter le </w:t>
      </w:r>
      <w:proofErr w:type="gramStart"/>
      <w:r>
        <w:rPr>
          <w:b/>
          <w:color w:val="57825E"/>
        </w:rPr>
        <w:t>CMES?</w:t>
      </w:r>
      <w:proofErr w:type="gramEnd"/>
      <w:r>
        <w:rPr>
          <w:b/>
          <w:color w:val="57825E"/>
        </w:rPr>
        <w:t xml:space="preserve"> </w:t>
      </w:r>
    </w:p>
    <w:p w:rsidR="00ED3746" w:rsidRPr="00E05D08" w:rsidRDefault="00ED3746" w:rsidP="00ED3746">
      <w:pPr>
        <w:spacing w:after="120" w:line="280" w:lineRule="atLeast"/>
        <w:mirrorIndents/>
        <w:rPr>
          <w:rFonts w:eastAsia="Times New Roman" w:cs="Times New Roman"/>
          <w:szCs w:val="20"/>
        </w:rPr>
      </w:pPr>
      <w:r w:rsidRPr="00DC1980">
        <w:rPr>
          <w:b/>
        </w:rPr>
        <w:t>Le CMES fournit un ensemble de base d’éléments d’évaluation</w:t>
      </w:r>
      <w:r w:rsidRPr="00DC1980">
        <w:t xml:space="preserve"> (indicateurs de réalisation communs) pour répondre aux questions d’évaluation communes n</w:t>
      </w:r>
      <w:r w:rsidRPr="00DC1980">
        <w:rPr>
          <w:vertAlign w:val="superscript"/>
        </w:rPr>
        <w:t>os</w:t>
      </w:r>
      <w:r w:rsidRPr="00DC1980">
        <w:t xml:space="preserve"> 1, 2 et 21 (voir la </w:t>
      </w:r>
      <w:hyperlink w:anchor="Policy_framework" w:history="1">
        <w:r w:rsidRPr="00DC1980">
          <w:rPr>
            <w:rStyle w:val="Hyperlink"/>
            <w:sz w:val="20"/>
          </w:rPr>
          <w:t>section 1.2.1</w:t>
        </w:r>
      </w:hyperlink>
      <w:r w:rsidRPr="00DC1980">
        <w:t>). De plus, les critères de jugement</w:t>
      </w:r>
      <w:r>
        <w:t xml:space="preserve"> pour toutes les QEC liées à l’innovation et quelques indicateurs supplémentaires sont proposés dans le document de travail </w:t>
      </w:r>
      <w:hyperlink r:id="rId24" w:history="1">
        <w:r>
          <w:rPr>
            <w:rStyle w:val="Hyperlink"/>
          </w:rPr>
          <w:t>«</w:t>
        </w:r>
        <w:r>
          <w:rPr>
            <w:rStyle w:val="Hyperlink"/>
            <w:sz w:val="20"/>
          </w:rPr>
          <w:t>Questions d’évaluation communes pour les programmes de développement rural 2014-</w:t>
        </w:r>
        <w:proofErr w:type="gramStart"/>
        <w:r>
          <w:rPr>
            <w:rStyle w:val="Hyperlink"/>
            <w:sz w:val="20"/>
          </w:rPr>
          <w:t>2020</w:t>
        </w:r>
        <w:r>
          <w:rPr>
            <w:rStyle w:val="Hyperlink"/>
          </w:rPr>
          <w:t>»</w:t>
        </w:r>
        <w:proofErr w:type="gramEnd"/>
      </w:hyperlink>
      <w:r>
        <w:t>. Par exemple, la QEC nº 23 est liée au grand objectif d’Europe 2020, qui peut servir de base pour répondre à cette question. La QEC nº 30 est la seule question accompagnée d’indicateurs supplémentaires</w:t>
      </w:r>
      <w:r>
        <w:rPr>
          <w:vertAlign w:val="superscript"/>
        </w:rPr>
        <w:footnoteReference w:id="47"/>
      </w:r>
      <w:r>
        <w:t xml:space="preserve">. </w:t>
      </w:r>
    </w:p>
    <w:p w:rsidR="00ED3746" w:rsidRPr="00E05D08" w:rsidRDefault="00ED3746" w:rsidP="00ED3746">
      <w:pPr>
        <w:spacing w:after="120" w:line="280" w:lineRule="atLeast"/>
        <w:mirrorIndents/>
        <w:rPr>
          <w:rFonts w:eastAsia="Times New Roman" w:cs="Times New Roman"/>
          <w:szCs w:val="20"/>
        </w:rPr>
      </w:pPr>
      <w:r>
        <w:rPr>
          <w:b/>
        </w:rPr>
        <w:t>Les éléments d’évaluation communs doivent être passés en revue avant le début de l’évaluation</w:t>
      </w:r>
      <w:r>
        <w:t xml:space="preserve"> et complétés si nécessaire. Cet examen peut tenir compte des résultats de l’analyse du potentiel d’innovation du PDR (voir le </w:t>
      </w:r>
      <w:hyperlink w:anchor="Screening_Potential" w:history="1">
        <w:r>
          <w:rPr>
            <w:rStyle w:val="Hyperlink"/>
            <w:sz w:val="20"/>
          </w:rPr>
          <w:t>chapitre 2.2</w:t>
        </w:r>
      </w:hyperlink>
      <w:r>
        <w:t xml:space="preserve">). </w:t>
      </w:r>
    </w:p>
    <w:p w:rsidR="00ED3746" w:rsidRPr="00E05D08" w:rsidRDefault="00AC3D4C"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noProof/>
        </w:rPr>
        <mc:AlternateContent>
          <mc:Choice Requires="wps">
            <w:drawing>
              <wp:anchor distT="0" distB="0" distL="114300" distR="114300" simplePos="0" relativeHeight="251651584" behindDoc="0" locked="0" layoutInCell="1" allowOverlap="1">
                <wp:simplePos x="0" y="0"/>
                <wp:positionH relativeFrom="column">
                  <wp:posOffset>3123590</wp:posOffset>
                </wp:positionH>
                <wp:positionV relativeFrom="paragraph">
                  <wp:posOffset>-17602</wp:posOffset>
                </wp:positionV>
                <wp:extent cx="2742565" cy="2457907"/>
                <wp:effectExtent l="0" t="0" r="19685" b="19050"/>
                <wp:wrapSquare wrapText="bothSides"/>
                <wp:docPr id="13" name="Rectangle: Diagonal Corners Rounded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2565" cy="2457907"/>
                        </a:xfrm>
                        <a:prstGeom prst="round2DiagRect">
                          <a:avLst>
                            <a:gd name="adj1" fmla="val 7843"/>
                            <a:gd name="adj2" fmla="val 0"/>
                          </a:avLst>
                        </a:prstGeom>
                        <a:noFill/>
                        <a:ln w="25400" cap="flat" cmpd="sng" algn="ctr">
                          <a:solidFill>
                            <a:srgbClr val="BE4A35"/>
                          </a:solidFill>
                          <a:prstDash val="solid"/>
                        </a:ln>
                        <a:effectLst/>
                      </wps:spPr>
                      <wps:txbx>
                        <w:txbxContent>
                          <w:p w:rsidR="00260B0F" w:rsidRPr="00D450FE" w:rsidRDefault="00260B0F" w:rsidP="00ED3746">
                            <w:pPr>
                              <w:pStyle w:val="HStandard"/>
                              <w:rPr>
                                <w:sz w:val="18"/>
                                <w:szCs w:val="18"/>
                              </w:rPr>
                            </w:pPr>
                            <w:r>
                              <w:rPr>
                                <w:noProof/>
                              </w:rPr>
                              <w:drawing>
                                <wp:inline distT="0" distB="0" distL="0" distR="0">
                                  <wp:extent cx="668020" cy="485140"/>
                                  <wp:effectExtent l="0" t="0" r="0" b="0"/>
                                  <wp:docPr id="40"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 xml:space="preserve">Les éléments d’évaluation supplémentaires (questions d’évaluation supplémentaires, critères de jugement supplémentaires et indicateurs supplémentaires) proposés au chapitre 2.4 des présentes lignes directrices </w:t>
                            </w:r>
                            <w:r>
                              <w:rPr>
                                <w:sz w:val="18"/>
                              </w:rPr>
                              <w:t xml:space="preserve">sont </w:t>
                            </w:r>
                            <w:r>
                              <w:rPr>
                                <w:b/>
                                <w:sz w:val="18"/>
                              </w:rPr>
                              <w:t xml:space="preserve">NON </w:t>
                            </w:r>
                            <w:proofErr w:type="gramStart"/>
                            <w:r>
                              <w:rPr>
                                <w:b/>
                                <w:sz w:val="18"/>
                              </w:rPr>
                              <w:t>CONTRAIGNANTS!</w:t>
                            </w:r>
                            <w:proofErr w:type="gramEnd"/>
                            <w:r>
                              <w:rPr>
                                <w:b/>
                                <w:sz w:val="18"/>
                              </w:rPr>
                              <w:t xml:space="preserve"> </w:t>
                            </w:r>
                            <w:r>
                              <w:rPr>
                                <w:sz w:val="18"/>
                              </w:rPr>
                              <w:t xml:space="preserve">Chaque AG peut décider d’élaborer et d’utiliser ses propres éléments d’évaluation supplémentaires et propres au programme.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4" o:spid="_x0000_s1039" style="position:absolute;left:0;text-align:left;margin-left:245.95pt;margin-top:-1.4pt;width:215.95pt;height:193.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42565,24579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" adj="-11796480,,5400" path="m192774,l2742565,r,l2742565,2265133v,106466,-86308,192774,-192774,192774l,2457907r,l,192774c,86308,86308,,192774,xe" filled="f" strokecolor="#be4a35" strokeweight="2pt">
                <v:stroke joinstyle="miter"/>
                <v:formulas/>
                <v:path arrowok="t" o:connecttype="custom" o:connectlocs="192774,0;2742565,0;2742565,0;2742565,2265133;2549791,2457907;0,2457907;0,2457907;0,192774;192774,0" o:connectangles="0,0,0,0,0,0,0,0,0" textboxrect="0,0,2742565,2457907"/>
                <v:textbox>
                  <w:txbxContent>
                    <w:p w:rsidR="00260B0F" w:rsidRPr="00D450FE" w:rsidRDefault="00260B0F" w:rsidP="00ED3746">
                      <w:pPr>
                        <w:pStyle w:val="HStandard"/>
                        <w:rPr>
                          <w:sz w:val="18"/>
                          <w:szCs w:val="18"/>
                        </w:rPr>
                      </w:pPr>
                      <w:r>
                        <w:rPr>
                          <w:noProof/>
                        </w:rPr>
                        <w:drawing>
                          <wp:inline distT="0" distB="0" distL="0" distR="0">
                            <wp:extent cx="668020" cy="485140"/>
                            <wp:effectExtent l="0" t="0" r="0" b="0"/>
                            <wp:docPr id="40"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 xml:space="preserve">Les éléments d’évaluation supplémentaires (questions d’évaluation supplémentaires, critères de jugement supplémentaires et indicateurs supplémentaires) proposés au chapitre 2.4 des présentes lignes directrices </w:t>
                      </w:r>
                      <w:r>
                        <w:rPr>
                          <w:sz w:val="18"/>
                        </w:rPr>
                        <w:t xml:space="preserve">sont </w:t>
                      </w:r>
                      <w:r>
                        <w:rPr>
                          <w:b/>
                          <w:sz w:val="18"/>
                        </w:rPr>
                        <w:t xml:space="preserve">NON </w:t>
                      </w:r>
                      <w:proofErr w:type="gramStart"/>
                      <w:r>
                        <w:rPr>
                          <w:b/>
                          <w:sz w:val="18"/>
                        </w:rPr>
                        <w:t>CONTRAIGNANTS!</w:t>
                      </w:r>
                      <w:proofErr w:type="gramEnd"/>
                      <w:r>
                        <w:rPr>
                          <w:b/>
                          <w:sz w:val="18"/>
                        </w:rPr>
                        <w:t xml:space="preserve"> </w:t>
                      </w:r>
                      <w:r>
                        <w:rPr>
                          <w:sz w:val="18"/>
                        </w:rPr>
                        <w:t xml:space="preserve">Chaque AG peut décider d’élaborer et d’utiliser ses propres éléments d’évaluation supplémentaires et propres au programme. </w:t>
                      </w:r>
                    </w:p>
                  </w:txbxContent>
                </v:textbox>
                <w10:wrap type="square"/>
              </v:shape>
            </w:pict>
          </mc:Fallback>
        </mc:AlternateContent>
      </w:r>
      <w:r w:rsidR="00ED3746">
        <w:rPr>
          <w:b/>
          <w:color w:val="57825E"/>
        </w:rPr>
        <w:t xml:space="preserve">Quelles sont les étapes de l’élaboration des éléments d’évaluation supplémentaires et propres au </w:t>
      </w:r>
      <w:proofErr w:type="gramStart"/>
      <w:r w:rsidR="00ED3746">
        <w:rPr>
          <w:b/>
          <w:color w:val="57825E"/>
        </w:rPr>
        <w:t>programme?</w:t>
      </w:r>
      <w:proofErr w:type="gramEnd"/>
    </w:p>
    <w:p w:rsidR="00ED3746" w:rsidRPr="00E05D08" w:rsidRDefault="00ED3746" w:rsidP="00ED3746">
      <w:pPr>
        <w:spacing w:after="120" w:line="280" w:lineRule="atLeast"/>
        <w:mirrorIndents/>
        <w:rPr>
          <w:rFonts w:cs="Times New Roman"/>
          <w:szCs w:val="20"/>
        </w:rPr>
      </w:pPr>
      <w:r>
        <w:t xml:space="preserve">L’élaboration d’éléments d’évaluation supplémentaires [décrite en détail dans les lignes directrices </w:t>
      </w:r>
      <w:hyperlink r:id="rId25" w:history="1">
        <w:r>
          <w:rPr>
            <w:rStyle w:val="Hyperlink"/>
          </w:rPr>
          <w:t>«</w:t>
        </w:r>
        <w:r>
          <w:rPr>
            <w:rStyle w:val="Hyperlink"/>
            <w:sz w:val="20"/>
          </w:rPr>
          <w:t>Évaluation des résultats du PDR: Comment établir le rapport sur l’évaluation en 2017</w:t>
        </w:r>
        <w:r>
          <w:rPr>
            <w:rStyle w:val="Hyperlink"/>
          </w:rPr>
          <w:t>»</w:t>
        </w:r>
      </w:hyperlink>
      <w:r>
        <w:t xml:space="preserve"> (en anglais)] peut être résumée comme suit: </w:t>
      </w:r>
    </w:p>
    <w:p w:rsidR="00ED3746" w:rsidRPr="00B10B3C" w:rsidRDefault="00ED3746" w:rsidP="00ED3746">
      <w:pPr>
        <w:pStyle w:val="Hlistbullet"/>
        <w:rPr>
          <w:rFonts w:eastAsia="Calibri"/>
        </w:rPr>
      </w:pPr>
      <w:proofErr w:type="gramStart"/>
      <w:r>
        <w:t>revisiter</w:t>
      </w:r>
      <w:proofErr w:type="gramEnd"/>
      <w:r>
        <w:t xml:space="preserve"> la logique d’intervention sous-jacente du PDR en relation avec l’innovation (voir le </w:t>
      </w:r>
      <w:hyperlink w:anchor="Screening_Potential" w:history="1">
        <w:r>
          <w:rPr>
            <w:rStyle w:val="Hyperlink"/>
            <w:sz w:val="20"/>
          </w:rPr>
          <w:t>chapitre 2.2</w:t>
        </w:r>
      </w:hyperlink>
      <w:r>
        <w:t>);</w:t>
      </w:r>
    </w:p>
    <w:p w:rsidR="00ED3746" w:rsidRPr="00B10B3C" w:rsidRDefault="00ED3746" w:rsidP="00ED3746">
      <w:pPr>
        <w:pStyle w:val="Hlistbullet"/>
        <w:rPr>
          <w:rFonts w:eastAsia="Calibri"/>
        </w:rPr>
      </w:pPr>
      <w:proofErr w:type="gramStart"/>
      <w:r>
        <w:lastRenderedPageBreak/>
        <w:t>passer</w:t>
      </w:r>
      <w:proofErr w:type="gramEnd"/>
      <w:r>
        <w:t xml:space="preserve"> en revue les questions d’évaluation, les critères de jugement et les indicateurs liés à l’innovation et vérifier s’ils sont suffisants pour répondre aux QEC relatives à l’innovation; </w:t>
      </w:r>
    </w:p>
    <w:p w:rsidR="00ED3746" w:rsidRPr="00576A73" w:rsidRDefault="00ED3746" w:rsidP="00ED3746">
      <w:pPr>
        <w:pStyle w:val="Hlistbullet"/>
        <w:rPr>
          <w:rFonts w:eastAsia="Calibri"/>
        </w:rPr>
      </w:pPr>
      <w:proofErr w:type="gramStart"/>
      <w:r>
        <w:t>compléter</w:t>
      </w:r>
      <w:proofErr w:type="gramEnd"/>
      <w:r>
        <w:t xml:space="preserve"> le CMES à l’aide d’éléments d’évaluation supplémentaires relatifs à l’innovation, dans le cas où les éléments communs ne sont pas suffisants pour répondre aux QEC relatives à l’innovation;</w:t>
      </w:r>
    </w:p>
    <w:p w:rsidR="00ED3746" w:rsidRPr="00576A73" w:rsidRDefault="00ED3746" w:rsidP="00ED3746">
      <w:pPr>
        <w:pStyle w:val="Hlistbullet"/>
        <w:rPr>
          <w:rFonts w:eastAsia="Calibri"/>
        </w:rPr>
      </w:pPr>
      <w:proofErr w:type="gramStart"/>
      <w:r>
        <w:t>élaborer</w:t>
      </w:r>
      <w:proofErr w:type="gramEnd"/>
      <w:r>
        <w:t xml:space="preserve"> des éléments d’évaluation propres au programme pour l’évaluation de l’innovation, relatifs aux DP propres au programme et aux QE d’intérêt particulier pour l’AG.</w:t>
      </w:r>
      <w:r>
        <w:rPr>
          <w:highlight w:val="yellow"/>
        </w:rPr>
        <w:t xml:space="preserve"> </w:t>
      </w:r>
    </w:p>
    <w:p w:rsidR="00ED3746" w:rsidRDefault="00F204F1" w:rsidP="00ED3746">
      <w:pPr>
        <w:rPr>
          <w:szCs w:val="20"/>
          <w:highlight w:val="yellow"/>
        </w:rPr>
      </w:pPr>
      <w:r>
        <w:rPr>
          <w:noProof/>
        </w:rPr>
        <mc:AlternateContent>
          <mc:Choice Requires="wps">
            <w:drawing>
              <wp:anchor distT="0" distB="0" distL="114300" distR="114300" simplePos="0" relativeHeight="251660800" behindDoc="0" locked="0" layoutInCell="1" allowOverlap="1">
                <wp:simplePos x="0" y="0"/>
                <wp:positionH relativeFrom="column">
                  <wp:posOffset>748030</wp:posOffset>
                </wp:positionH>
                <wp:positionV relativeFrom="paragraph">
                  <wp:posOffset>69215</wp:posOffset>
                </wp:positionV>
                <wp:extent cx="4154170" cy="2649855"/>
                <wp:effectExtent l="0" t="0" r="0" b="0"/>
                <wp:wrapSquare wrapText="bothSides"/>
                <wp:docPr id="70" name="Rectangle: Diagonal Corners Rounded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54170" cy="2649855"/>
                        </a:xfrm>
                        <a:prstGeom prst="round2DiagRect">
                          <a:avLst>
                            <a:gd name="adj1" fmla="val 7630"/>
                            <a:gd name="adj2" fmla="val 0"/>
                          </a:avLst>
                        </a:prstGeom>
                        <a:noFill/>
                        <a:ln w="25400" cap="flat" cmpd="sng" algn="ctr">
                          <a:solidFill>
                            <a:srgbClr val="8BAB80"/>
                          </a:solidFill>
                          <a:prstDash val="solid"/>
                        </a:ln>
                        <a:effectLst/>
                      </wps:spPr>
                      <wps:txbx>
                        <w:txbxContent>
                          <w:p w:rsidR="00260B0F" w:rsidRPr="00275EE5" w:rsidRDefault="00260B0F" w:rsidP="00ED3746">
                            <w:pPr>
                              <w:pStyle w:val="Normal12PTcouleurgris"/>
                            </w:pPr>
                            <w:r>
                              <w:rPr>
                                <w:noProof/>
                              </w:rPr>
                              <w:drawing>
                                <wp:inline distT="0" distB="0" distL="0" distR="0">
                                  <wp:extent cx="882650" cy="540385"/>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650" cy="540385"/>
                                          </a:xfrm>
                                          <a:prstGeom prst="rect">
                                            <a:avLst/>
                                          </a:prstGeom>
                                          <a:noFill/>
                                          <a:ln>
                                            <a:noFill/>
                                          </a:ln>
                                        </pic:spPr>
                                      </pic:pic>
                                    </a:graphicData>
                                  </a:graphic>
                                </wp:inline>
                              </w:drawing>
                            </w:r>
                          </w:p>
                          <w:tbl>
                            <w:tblPr>
                              <w:tblW w:w="0" w:type="auto"/>
                              <w:shd w:val="clear" w:color="auto" w:fill="FFFFFF"/>
                              <w:tblLook w:val="04A0" w:firstRow="1" w:lastRow="0" w:firstColumn="1" w:lastColumn="0" w:noHBand="0" w:noVBand="1"/>
                            </w:tblPr>
                            <w:tblGrid>
                              <w:gridCol w:w="2991"/>
                              <w:gridCol w:w="2960"/>
                            </w:tblGrid>
                            <w:tr w:rsidR="00260B0F" w:rsidRPr="00B77106" w:rsidTr="00ED3746">
                              <w:tc>
                                <w:tcPr>
                                  <w:tcW w:w="2991" w:type="dxa"/>
                                  <w:shd w:val="clear" w:color="auto" w:fill="FFFFFF"/>
                                </w:tcPr>
                                <w:p w:rsidR="00260B0F" w:rsidRPr="00B77106" w:rsidRDefault="00260B0F" w:rsidP="00ED3746">
                                  <w:pPr>
                                    <w:pStyle w:val="Normal12PTcouleurgris"/>
                                    <w:rPr>
                                      <w:b/>
                                      <w:color w:val="404040"/>
                                      <w:sz w:val="18"/>
                                    </w:rPr>
                                  </w:pPr>
                                  <w:r>
                                    <w:rPr>
                                      <w:b/>
                                      <w:color w:val="404040"/>
                                      <w:sz w:val="18"/>
                                    </w:rPr>
                                    <w:t xml:space="preserve">À </w:t>
                                  </w:r>
                                  <w:proofErr w:type="gramStart"/>
                                  <w:r>
                                    <w:rPr>
                                      <w:b/>
                                      <w:color w:val="404040"/>
                                      <w:sz w:val="18"/>
                                    </w:rPr>
                                    <w:t>faire:</w:t>
                                  </w:r>
                                  <w:proofErr w:type="gramEnd"/>
                                </w:p>
                                <w:p w:rsidR="00260B0F" w:rsidRPr="00B77106" w:rsidRDefault="00260B0F" w:rsidP="00ED3746">
                                  <w:pPr>
                                    <w:pStyle w:val="Hlistbullet"/>
                                    <w:spacing w:line="160" w:lineRule="atLeast"/>
                                    <w:jc w:val="left"/>
                                    <w:rPr>
                                      <w:sz w:val="18"/>
                                      <w:szCs w:val="18"/>
                                    </w:rPr>
                                  </w:pPr>
                                  <w:proofErr w:type="gramStart"/>
                                  <w:r>
                                    <w:rPr>
                                      <w:sz w:val="18"/>
                                    </w:rPr>
                                    <w:t>analyser</w:t>
                                  </w:r>
                                  <w:proofErr w:type="gramEnd"/>
                                  <w:r>
                                    <w:rPr>
                                      <w:sz w:val="18"/>
                                    </w:rPr>
                                    <w:t xml:space="preserve"> les critères de jugement et les indicateurs du CMES afin de s’assurer qu’ils sont suffisants pour répondre aux QEC;</w:t>
                                  </w:r>
                                </w:p>
                                <w:p w:rsidR="00260B0F" w:rsidRPr="00B77106" w:rsidRDefault="00260B0F" w:rsidP="00ED3746">
                                  <w:pPr>
                                    <w:pStyle w:val="Hlistbullet"/>
                                    <w:spacing w:line="160" w:lineRule="atLeast"/>
                                    <w:jc w:val="left"/>
                                    <w:rPr>
                                      <w:sz w:val="18"/>
                                      <w:szCs w:val="18"/>
                                    </w:rPr>
                                  </w:pPr>
                                  <w:proofErr w:type="gramStart"/>
                                  <w:r>
                                    <w:rPr>
                                      <w:sz w:val="18"/>
                                    </w:rPr>
                                    <w:t>élaborer</w:t>
                                  </w:r>
                                  <w:proofErr w:type="gramEnd"/>
                                  <w:r>
                                    <w:rPr>
                                      <w:sz w:val="18"/>
                                    </w:rPr>
                                    <w:t xml:space="preserve"> des critères de jugement et des indicateurs supplémentaires si les critères et indicateurs communs ne sont pas suffisants pour recueillir des éléments probants pour répondre aux QEC.</w:t>
                                  </w:r>
                                </w:p>
                              </w:tc>
                              <w:tc>
                                <w:tcPr>
                                  <w:tcW w:w="2960" w:type="dxa"/>
                                  <w:shd w:val="clear" w:color="auto" w:fill="auto"/>
                                </w:tcPr>
                                <w:p w:rsidR="00260B0F" w:rsidRPr="00B77106" w:rsidRDefault="00260B0F" w:rsidP="00ED3746">
                                  <w:pPr>
                                    <w:pStyle w:val="Normal12PTcouleurgris"/>
                                    <w:rPr>
                                      <w:b/>
                                      <w:color w:val="404040"/>
                                      <w:sz w:val="18"/>
                                    </w:rPr>
                                  </w:pPr>
                                  <w:r>
                                    <w:rPr>
                                      <w:b/>
                                      <w:color w:val="404040"/>
                                      <w:sz w:val="18"/>
                                    </w:rPr>
                                    <w:t xml:space="preserve">À </w:t>
                                  </w:r>
                                  <w:proofErr w:type="gramStart"/>
                                  <w:r>
                                    <w:rPr>
                                      <w:b/>
                                      <w:color w:val="404040"/>
                                      <w:sz w:val="18"/>
                                    </w:rPr>
                                    <w:t>éviter:</w:t>
                                  </w:r>
                                  <w:proofErr w:type="gramEnd"/>
                                </w:p>
                                <w:p w:rsidR="00260B0F" w:rsidRPr="00B77106" w:rsidRDefault="00260B0F" w:rsidP="00ED3746">
                                  <w:pPr>
                                    <w:pStyle w:val="Hlistbullet"/>
                                    <w:spacing w:line="160" w:lineRule="atLeast"/>
                                    <w:jc w:val="left"/>
                                    <w:rPr>
                                      <w:sz w:val="18"/>
                                      <w:szCs w:val="18"/>
                                    </w:rPr>
                                  </w:pPr>
                                  <w:proofErr w:type="gramStart"/>
                                  <w:r>
                                    <w:rPr>
                                      <w:sz w:val="18"/>
                                    </w:rPr>
                                    <w:t>utiliser</w:t>
                                  </w:r>
                                  <w:proofErr w:type="gramEnd"/>
                                  <w:r>
                                    <w:rPr>
                                      <w:sz w:val="18"/>
                                    </w:rPr>
                                    <w:t xml:space="preserve"> exclusivement des indicateurs de réalisation pour répondre aux QEC (qui ne sont pas en mesure de montrer pleinement si la politique a atteint son objectif).</w:t>
                                  </w:r>
                                </w:p>
                                <w:p w:rsidR="00260B0F" w:rsidRPr="00B77106" w:rsidRDefault="00260B0F" w:rsidP="00ED3746">
                                  <w:pPr>
                                    <w:pStyle w:val="Normal12PTcouleurgris"/>
                                    <w:rPr>
                                      <w:color w:val="1A1A1A"/>
                                      <w:sz w:val="18"/>
                                    </w:rPr>
                                  </w:pPr>
                                </w:p>
                              </w:tc>
                            </w:tr>
                          </w:tbl>
                          <w:p w:rsidR="00260B0F" w:rsidRPr="00275EE5" w:rsidRDefault="00260B0F" w:rsidP="00ED3746">
                            <w:pPr>
                              <w:pStyle w:val="Normal12PTcouleurgris"/>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70" o:spid="_x0000_s1040" style="position:absolute;left:0;text-align:left;margin-left:58.9pt;margin-top:5.45pt;width:327.1pt;height:208.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64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" adj="-11796480,,5400" path="m202184,l4154170,r,l4154170,2447671v,111663,-90521,202184,-202184,202184l,2649855r,l,202184c,90521,90521,,202184,xe" filled="f" strokecolor="#8bab80" strokeweight="2pt">
                <v:stroke joinstyle="miter"/>
                <v:formulas/>
                <v:path arrowok="t" o:connecttype="custom" o:connectlocs="202184,0;4154170,0;4154170,0;4154170,2447671;3951986,2649855;0,2649855;0,2649855;0,202184;202184,0" o:connectangles="0,0,0,0,0,0,0,0,0" textboxrect="0,0,4154170,2649855"/>
                <v:textbox>
                  <w:txbxContent>
                    <w:p w:rsidR="00260B0F" w:rsidRPr="00275EE5" w:rsidRDefault="00260B0F" w:rsidP="00ED3746">
                      <w:pPr>
                        <w:pStyle w:val="Normal12PTcouleurgris"/>
                      </w:pPr>
                      <w:r>
                        <w:rPr>
                          <w:noProof/>
                        </w:rPr>
                        <w:drawing>
                          <wp:inline distT="0" distB="0" distL="0" distR="0">
                            <wp:extent cx="882650" cy="540385"/>
                            <wp:effectExtent l="0" t="0" r="0" b="0"/>
                            <wp:docPr id="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650" cy="540385"/>
                                    </a:xfrm>
                                    <a:prstGeom prst="rect">
                                      <a:avLst/>
                                    </a:prstGeom>
                                    <a:noFill/>
                                    <a:ln>
                                      <a:noFill/>
                                    </a:ln>
                                  </pic:spPr>
                                </pic:pic>
                              </a:graphicData>
                            </a:graphic>
                          </wp:inline>
                        </w:drawing>
                      </w:r>
                    </w:p>
                    <w:tbl>
                      <w:tblPr>
                        <w:tblW w:w="0" w:type="auto"/>
                        <w:shd w:val="clear" w:color="auto" w:fill="FFFFFF"/>
                        <w:tblLook w:val="04A0" w:firstRow="1" w:lastRow="0" w:firstColumn="1" w:lastColumn="0" w:noHBand="0" w:noVBand="1"/>
                      </w:tblPr>
                      <w:tblGrid>
                        <w:gridCol w:w="2991"/>
                        <w:gridCol w:w="2960"/>
                      </w:tblGrid>
                      <w:tr w:rsidR="00260B0F" w:rsidRPr="00B77106" w:rsidTr="00ED3746">
                        <w:tc>
                          <w:tcPr>
                            <w:tcW w:w="2991" w:type="dxa"/>
                            <w:shd w:val="clear" w:color="auto" w:fill="FFFFFF"/>
                          </w:tcPr>
                          <w:p w:rsidR="00260B0F" w:rsidRPr="00B77106" w:rsidRDefault="00260B0F" w:rsidP="00ED3746">
                            <w:pPr>
                              <w:pStyle w:val="Normal12PTcouleurgris"/>
                              <w:rPr>
                                <w:b/>
                                <w:color w:val="404040"/>
                                <w:sz w:val="18"/>
                              </w:rPr>
                            </w:pPr>
                            <w:r>
                              <w:rPr>
                                <w:b/>
                                <w:color w:val="404040"/>
                                <w:sz w:val="18"/>
                              </w:rPr>
                              <w:t xml:space="preserve">À </w:t>
                            </w:r>
                            <w:proofErr w:type="gramStart"/>
                            <w:r>
                              <w:rPr>
                                <w:b/>
                                <w:color w:val="404040"/>
                                <w:sz w:val="18"/>
                              </w:rPr>
                              <w:t>faire:</w:t>
                            </w:r>
                            <w:proofErr w:type="gramEnd"/>
                          </w:p>
                          <w:p w:rsidR="00260B0F" w:rsidRPr="00B77106" w:rsidRDefault="00260B0F" w:rsidP="00ED3746">
                            <w:pPr>
                              <w:pStyle w:val="Hlistbullet"/>
                              <w:spacing w:line="160" w:lineRule="atLeast"/>
                              <w:jc w:val="left"/>
                              <w:rPr>
                                <w:sz w:val="18"/>
                                <w:szCs w:val="18"/>
                              </w:rPr>
                            </w:pPr>
                            <w:proofErr w:type="gramStart"/>
                            <w:r>
                              <w:rPr>
                                <w:sz w:val="18"/>
                              </w:rPr>
                              <w:t>analyser</w:t>
                            </w:r>
                            <w:proofErr w:type="gramEnd"/>
                            <w:r>
                              <w:rPr>
                                <w:sz w:val="18"/>
                              </w:rPr>
                              <w:t xml:space="preserve"> les critères de jugement et les indicateurs du CMES afin de s’assurer qu’ils sont suffisants pour répondre aux QEC;</w:t>
                            </w:r>
                          </w:p>
                          <w:p w:rsidR="00260B0F" w:rsidRPr="00B77106" w:rsidRDefault="00260B0F" w:rsidP="00ED3746">
                            <w:pPr>
                              <w:pStyle w:val="Hlistbullet"/>
                              <w:spacing w:line="160" w:lineRule="atLeast"/>
                              <w:jc w:val="left"/>
                              <w:rPr>
                                <w:sz w:val="18"/>
                                <w:szCs w:val="18"/>
                              </w:rPr>
                            </w:pPr>
                            <w:proofErr w:type="gramStart"/>
                            <w:r>
                              <w:rPr>
                                <w:sz w:val="18"/>
                              </w:rPr>
                              <w:t>élaborer</w:t>
                            </w:r>
                            <w:proofErr w:type="gramEnd"/>
                            <w:r>
                              <w:rPr>
                                <w:sz w:val="18"/>
                              </w:rPr>
                              <w:t xml:space="preserve"> des critères de jugement et des indicateurs supplémentaires si les critères et indicateurs communs ne sont pas suffisants pour recueillir des éléments probants pour répondre aux QEC.</w:t>
                            </w:r>
                          </w:p>
                        </w:tc>
                        <w:tc>
                          <w:tcPr>
                            <w:tcW w:w="2960" w:type="dxa"/>
                            <w:shd w:val="clear" w:color="auto" w:fill="auto"/>
                          </w:tcPr>
                          <w:p w:rsidR="00260B0F" w:rsidRPr="00B77106" w:rsidRDefault="00260B0F" w:rsidP="00ED3746">
                            <w:pPr>
                              <w:pStyle w:val="Normal12PTcouleurgris"/>
                              <w:rPr>
                                <w:b/>
                                <w:color w:val="404040"/>
                                <w:sz w:val="18"/>
                              </w:rPr>
                            </w:pPr>
                            <w:r>
                              <w:rPr>
                                <w:b/>
                                <w:color w:val="404040"/>
                                <w:sz w:val="18"/>
                              </w:rPr>
                              <w:t xml:space="preserve">À </w:t>
                            </w:r>
                            <w:proofErr w:type="gramStart"/>
                            <w:r>
                              <w:rPr>
                                <w:b/>
                                <w:color w:val="404040"/>
                                <w:sz w:val="18"/>
                              </w:rPr>
                              <w:t>éviter:</w:t>
                            </w:r>
                            <w:proofErr w:type="gramEnd"/>
                          </w:p>
                          <w:p w:rsidR="00260B0F" w:rsidRPr="00B77106" w:rsidRDefault="00260B0F" w:rsidP="00ED3746">
                            <w:pPr>
                              <w:pStyle w:val="Hlistbullet"/>
                              <w:spacing w:line="160" w:lineRule="atLeast"/>
                              <w:jc w:val="left"/>
                              <w:rPr>
                                <w:sz w:val="18"/>
                                <w:szCs w:val="18"/>
                              </w:rPr>
                            </w:pPr>
                            <w:proofErr w:type="gramStart"/>
                            <w:r>
                              <w:rPr>
                                <w:sz w:val="18"/>
                              </w:rPr>
                              <w:t>utiliser</w:t>
                            </w:r>
                            <w:proofErr w:type="gramEnd"/>
                            <w:r>
                              <w:rPr>
                                <w:sz w:val="18"/>
                              </w:rPr>
                              <w:t xml:space="preserve"> exclusivement des indicateurs de réalisation pour répondre aux QEC (qui ne sont pas en mesure de montrer pleinement si la politique a atteint son objectif).</w:t>
                            </w:r>
                          </w:p>
                          <w:p w:rsidR="00260B0F" w:rsidRPr="00B77106" w:rsidRDefault="00260B0F" w:rsidP="00ED3746">
                            <w:pPr>
                              <w:pStyle w:val="Normal12PTcouleurgris"/>
                              <w:rPr>
                                <w:color w:val="1A1A1A"/>
                                <w:sz w:val="18"/>
                              </w:rPr>
                            </w:pPr>
                          </w:p>
                        </w:tc>
                      </w:tr>
                    </w:tbl>
                    <w:p w:rsidR="00260B0F" w:rsidRPr="00275EE5" w:rsidRDefault="00260B0F" w:rsidP="00ED3746">
                      <w:pPr>
                        <w:pStyle w:val="Normal12PTcouleurgris"/>
                      </w:pPr>
                    </w:p>
                  </w:txbxContent>
                </v:textbox>
                <w10:wrap type="square"/>
              </v:shape>
            </w:pict>
          </mc:Fallback>
        </mc:AlternateContent>
      </w:r>
    </w:p>
    <w:p w:rsidR="00ED3746" w:rsidRPr="00A92E91" w:rsidRDefault="00ED3746" w:rsidP="00ED3746">
      <w:pPr>
        <w:pStyle w:val="HHeading2"/>
        <w:numPr>
          <w:ilvl w:val="1"/>
          <w:numId w:val="119"/>
        </w:numPr>
        <w:ind w:left="567" w:hanging="567"/>
        <w:rPr>
          <w:snapToGrid w:val="0"/>
        </w:rPr>
      </w:pPr>
      <w:bookmarkStart w:id="119" w:name="Answering"/>
      <w:bookmarkStart w:id="120" w:name="_Toc493151904"/>
      <w:bookmarkStart w:id="121" w:name="_Toc501382130"/>
      <w:bookmarkStart w:id="122" w:name="_Toc503368724"/>
      <w:bookmarkStart w:id="123" w:name="_Toc508889635"/>
      <w:bookmarkEnd w:id="15"/>
      <w:bookmarkEnd w:id="119"/>
      <w:r>
        <w:t>Répondre aux questions d’évaluation communes pertinentes (obligatoire)</w:t>
      </w:r>
      <w:bookmarkEnd w:id="120"/>
      <w:bookmarkEnd w:id="121"/>
      <w:bookmarkEnd w:id="122"/>
      <w:bookmarkEnd w:id="123"/>
    </w:p>
    <w:p w:rsidR="00ED3746" w:rsidRDefault="00ED3746" w:rsidP="00ED3746">
      <w:pPr>
        <w:spacing w:after="120" w:line="280" w:lineRule="atLeast"/>
        <w:mirrorIndents/>
        <w:rPr>
          <w:rFonts w:eastAsia="Times New Roman" w:cs="Times New Roman"/>
          <w:szCs w:val="20"/>
          <w:shd w:val="clear" w:color="000000" w:fill="auto"/>
        </w:rPr>
      </w:pPr>
      <w:r>
        <w:t>S’il est obligatoire de répondre aux questions, ce chapitre donne des orientations non contraignantes quant à la manière de répondre aux QEC n</w:t>
      </w:r>
      <w:r>
        <w:rPr>
          <w:vertAlign w:val="superscript"/>
        </w:rPr>
        <w:t>os</w:t>
      </w:r>
      <w:r>
        <w:t> 1, 2, 21, 23 et 30 relatives à l’innovation. Ces questions doivent recevoir une réponse dans le rapport annuel de mise en œuvre à présenter en 2019 et dans l’évaluation ex post.</w:t>
      </w:r>
    </w:p>
    <w:p w:rsidR="00ED3746" w:rsidRDefault="00F204F1" w:rsidP="00ED3746">
      <w:pPr>
        <w:spacing w:after="120" w:line="280" w:lineRule="atLeast"/>
        <w:mirrorIndents/>
      </w:pPr>
      <w:r>
        <w:rPr>
          <w:noProof/>
        </w:rPr>
        <mc:AlternateContent>
          <mc:Choice Requires="wps">
            <w:drawing>
              <wp:anchor distT="0" distB="0" distL="114300" distR="114300" simplePos="0" relativeHeight="251652608" behindDoc="0" locked="0" layoutInCell="1" allowOverlap="1">
                <wp:simplePos x="0" y="0"/>
                <wp:positionH relativeFrom="page">
                  <wp:posOffset>877824</wp:posOffset>
                </wp:positionH>
                <wp:positionV relativeFrom="paragraph">
                  <wp:posOffset>243357</wp:posOffset>
                </wp:positionV>
                <wp:extent cx="5795645" cy="3291840"/>
                <wp:effectExtent l="0" t="0" r="14605" b="22860"/>
                <wp:wrapSquare wrapText="bothSides"/>
                <wp:docPr id="12" name="Rectangle: Diagonal Corners Rounde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5645" cy="3291840"/>
                        </a:xfrm>
                        <a:prstGeom prst="round2DiagRect">
                          <a:avLst>
                            <a:gd name="adj1" fmla="val 7843"/>
                            <a:gd name="adj2" fmla="val 0"/>
                          </a:avLst>
                        </a:prstGeom>
                        <a:noFill/>
                        <a:ln w="25400" cap="flat" cmpd="sng" algn="ctr">
                          <a:solidFill>
                            <a:srgbClr val="BE4A35"/>
                          </a:solidFill>
                          <a:prstDash val="solid"/>
                        </a:ln>
                        <a:effectLst/>
                      </wps:spPr>
                      <wps:txbx>
                        <w:txbxContent>
                          <w:p w:rsidR="00260B0F" w:rsidRPr="00AC3522" w:rsidRDefault="00260B0F" w:rsidP="00ED3746">
                            <w:pPr>
                              <w:pStyle w:val="Normal12PTcouleurgris"/>
                              <w:rPr>
                                <w:shd w:val="clear" w:color="000000" w:fill="auto"/>
                              </w:rPr>
                            </w:pPr>
                            <w:r>
                              <w:rPr>
                                <w:noProof/>
                              </w:rPr>
                              <w:drawing>
                                <wp:inline distT="0" distB="0" distL="0" distR="0">
                                  <wp:extent cx="668020" cy="485140"/>
                                  <wp:effectExtent l="0" t="0" r="0" b="0"/>
                                  <wp:docPr id="42"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 xml:space="preserve">La structure suivante est conservée pour chaque </w:t>
                            </w:r>
                            <w:proofErr w:type="gramStart"/>
                            <w:r>
                              <w:t>QEC:</w:t>
                            </w:r>
                            <w:proofErr w:type="gramEnd"/>
                            <w:r>
                              <w:t xml:space="preserve"> </w:t>
                            </w:r>
                          </w:p>
                          <w:p w:rsidR="00260B0F" w:rsidRPr="00A92E91" w:rsidRDefault="00260B0F" w:rsidP="00ED3746">
                            <w:pPr>
                              <w:pStyle w:val="Normal12PTcouleurgris"/>
                              <w:numPr>
                                <w:ilvl w:val="0"/>
                                <w:numId w:val="78"/>
                              </w:numPr>
                              <w:ind w:left="284" w:hanging="284"/>
                              <w:jc w:val="left"/>
                              <w:rPr>
                                <w:b/>
                                <w:shd w:val="clear" w:color="000000" w:fill="auto"/>
                              </w:rPr>
                            </w:pPr>
                            <w:proofErr w:type="gramStart"/>
                            <w:r>
                              <w:rPr>
                                <w:b/>
                              </w:rPr>
                              <w:t>comprendre</w:t>
                            </w:r>
                            <w:proofErr w:type="gramEnd"/>
                            <w:r>
                              <w:rPr>
                                <w:b/>
                              </w:rPr>
                              <w:t xml:space="preserve"> la QEC;</w:t>
                            </w:r>
                          </w:p>
                          <w:p w:rsidR="00260B0F" w:rsidRPr="00A92E91" w:rsidRDefault="00260B0F" w:rsidP="00ED3746">
                            <w:pPr>
                              <w:pStyle w:val="Normal12PTcouleurgris"/>
                              <w:numPr>
                                <w:ilvl w:val="0"/>
                                <w:numId w:val="78"/>
                              </w:numPr>
                              <w:ind w:left="284" w:hanging="284"/>
                              <w:jc w:val="left"/>
                              <w:rPr>
                                <w:b/>
                                <w:shd w:val="clear" w:color="000000" w:fill="auto"/>
                              </w:rPr>
                            </w:pPr>
                            <w:proofErr w:type="gramStart"/>
                            <w:r>
                              <w:rPr>
                                <w:b/>
                              </w:rPr>
                              <w:t>difficultés</w:t>
                            </w:r>
                            <w:proofErr w:type="gramEnd"/>
                            <w:r>
                              <w:rPr>
                                <w:b/>
                              </w:rPr>
                              <w:t xml:space="preserve"> particulières; </w:t>
                            </w:r>
                          </w:p>
                          <w:p w:rsidR="00260B0F" w:rsidRPr="00A92E91" w:rsidRDefault="00260B0F" w:rsidP="00ED3746">
                            <w:pPr>
                              <w:pStyle w:val="Normal12PTcouleurgris"/>
                              <w:numPr>
                                <w:ilvl w:val="0"/>
                                <w:numId w:val="78"/>
                              </w:numPr>
                              <w:ind w:left="284" w:hanging="284"/>
                              <w:jc w:val="left"/>
                              <w:rPr>
                                <w:shd w:val="clear" w:color="000000" w:fill="auto"/>
                              </w:rPr>
                            </w:pPr>
                            <w:proofErr w:type="gramStart"/>
                            <w:r>
                              <w:rPr>
                                <w:b/>
                              </w:rPr>
                              <w:t>approche</w:t>
                            </w:r>
                            <w:proofErr w:type="gramEnd"/>
                            <w:r>
                              <w:rPr>
                                <w:b/>
                              </w:rPr>
                              <w:t xml:space="preserve"> proposée pour répondre à la QEC</w:t>
                            </w:r>
                            <w:r>
                              <w:t xml:space="preserve">: </w:t>
                            </w:r>
                            <w:r>
                              <w:rPr>
                                <w:i/>
                              </w:rPr>
                              <w:t xml:space="preserve">ce chapitre propose des étapes, des méthodes et des astuces sur la manière d’utiliser les indicateurs communs et supplémentaires pour répondre à la QEC. </w:t>
                            </w:r>
                          </w:p>
                          <w:p w:rsidR="00260B0F" w:rsidRPr="00A92E91" w:rsidRDefault="00260B0F" w:rsidP="00ED3746">
                            <w:pPr>
                              <w:pStyle w:val="Hlistabc2"/>
                              <w:numPr>
                                <w:ilvl w:val="0"/>
                                <w:numId w:val="54"/>
                              </w:numPr>
                              <w:spacing w:before="120" w:after="120"/>
                              <w:rPr>
                                <w:sz w:val="18"/>
                                <w:szCs w:val="18"/>
                              </w:rPr>
                            </w:pPr>
                            <w:r>
                              <w:rPr>
                                <w:sz w:val="18"/>
                              </w:rPr>
                              <w:t xml:space="preserve">Logique d’intervention </w:t>
                            </w:r>
                          </w:p>
                          <w:p w:rsidR="00260B0F" w:rsidRPr="00A92E91" w:rsidRDefault="00260B0F" w:rsidP="00ED3746">
                            <w:pPr>
                              <w:pStyle w:val="Hlistabc2"/>
                              <w:numPr>
                                <w:ilvl w:val="0"/>
                                <w:numId w:val="54"/>
                              </w:numPr>
                              <w:spacing w:before="120" w:after="120"/>
                              <w:rPr>
                                <w:sz w:val="18"/>
                                <w:szCs w:val="18"/>
                              </w:rPr>
                            </w:pPr>
                            <w:r>
                              <w:rPr>
                                <w:sz w:val="18"/>
                              </w:rPr>
                              <w:t xml:space="preserve">Éléments d’évaluation </w:t>
                            </w:r>
                          </w:p>
                          <w:p w:rsidR="00260B0F" w:rsidRPr="00A92E91" w:rsidRDefault="00260B0F" w:rsidP="00ED3746">
                            <w:pPr>
                              <w:pStyle w:val="Hlistabc2"/>
                              <w:numPr>
                                <w:ilvl w:val="0"/>
                                <w:numId w:val="54"/>
                              </w:numPr>
                              <w:spacing w:before="120" w:after="120"/>
                              <w:rPr>
                                <w:sz w:val="18"/>
                                <w:szCs w:val="18"/>
                              </w:rPr>
                            </w:pPr>
                            <w:r>
                              <w:rPr>
                                <w:sz w:val="18"/>
                              </w:rPr>
                              <w:t xml:space="preserve">Méthode d’évaluation proposée </w:t>
                            </w:r>
                          </w:p>
                          <w:p w:rsidR="00260B0F" w:rsidRPr="00A92E91" w:rsidRDefault="00260B0F" w:rsidP="00ED3746">
                            <w:pPr>
                              <w:pStyle w:val="Hlistabc2"/>
                              <w:numPr>
                                <w:ilvl w:val="0"/>
                                <w:numId w:val="54"/>
                              </w:numPr>
                              <w:spacing w:before="120" w:after="120"/>
                              <w:rPr>
                                <w:sz w:val="18"/>
                                <w:szCs w:val="18"/>
                              </w:rPr>
                            </w:pPr>
                            <w:r>
                              <w:rPr>
                                <w:sz w:val="18"/>
                              </w:rPr>
                              <w:t xml:space="preserve">Risques et solutions </w:t>
                            </w:r>
                          </w:p>
                          <w:p w:rsidR="00260B0F" w:rsidRPr="00A92E91" w:rsidRDefault="00260B0F" w:rsidP="00ED3746">
                            <w:pPr>
                              <w:pStyle w:val="Hlistabc2"/>
                              <w:numPr>
                                <w:ilvl w:val="0"/>
                                <w:numId w:val="54"/>
                              </w:numPr>
                              <w:spacing w:before="120" w:after="120"/>
                              <w:rPr>
                                <w:sz w:val="18"/>
                                <w:szCs w:val="18"/>
                              </w:rPr>
                            </w:pPr>
                            <w:r>
                              <w:rPr>
                                <w:sz w:val="18"/>
                              </w:rPr>
                              <w:t>Conclusions et recommandations</w:t>
                            </w:r>
                          </w:p>
                          <w:p w:rsidR="00260B0F" w:rsidRPr="00A92E91" w:rsidRDefault="00260B0F" w:rsidP="00ED3746">
                            <w:pPr>
                              <w:pStyle w:val="Normal12PTcouleurgris"/>
                              <w:numPr>
                                <w:ilvl w:val="0"/>
                                <w:numId w:val="78"/>
                              </w:numPr>
                              <w:ind w:left="284" w:hanging="284"/>
                              <w:jc w:val="left"/>
                              <w:rPr>
                                <w:b/>
                                <w:shd w:val="clear" w:color="000000" w:fill="auto"/>
                              </w:rPr>
                            </w:pPr>
                            <w:r>
                              <w:rPr>
                                <w:b/>
                              </w:rPr>
                              <w:t>Lectures complémentaires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9" o:spid="_x0000_s1041" style="position:absolute;left:0;text-align:left;margin-left:69.1pt;margin-top:19.15pt;width:456.35pt;height:259.2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1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" adj="-11796480,,5400" path="m258179,l5795645,r,l5795645,3033661v,142588,-115591,258179,-258179,258179l,3291840r,l,258179c,115591,115591,,258179,xe" filled="f" strokecolor="#be4a35" strokeweight="2pt">
                <v:stroke joinstyle="miter"/>
                <v:formulas/>
                <v:path arrowok="t" o:connecttype="custom" o:connectlocs="258179,0;5795645,0;5795645,0;5795645,3033661;5537466,3291840;0,3291840;0,3291840;0,258179;258179,0" o:connectangles="0,0,0,0,0,0,0,0,0" textboxrect="0,0,5795645,3291840"/>
                <v:textbox>
                  <w:txbxContent>
                    <w:p w:rsidR="00260B0F" w:rsidRPr="00AC3522" w:rsidRDefault="00260B0F" w:rsidP="00ED3746">
                      <w:pPr>
                        <w:pStyle w:val="Normal12PTcouleurgris"/>
                        <w:rPr>
                          <w:shd w:val="clear" w:color="000000" w:fill="auto"/>
                        </w:rPr>
                      </w:pPr>
                      <w:r>
                        <w:rPr>
                          <w:noProof/>
                        </w:rPr>
                        <w:drawing>
                          <wp:inline distT="0" distB="0" distL="0" distR="0">
                            <wp:extent cx="668020" cy="485140"/>
                            <wp:effectExtent l="0" t="0" r="0" b="0"/>
                            <wp:docPr id="42"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 xml:space="preserve">La structure suivante est conservée pour chaque </w:t>
                      </w:r>
                      <w:proofErr w:type="gramStart"/>
                      <w:r>
                        <w:t>QEC:</w:t>
                      </w:r>
                      <w:proofErr w:type="gramEnd"/>
                      <w:r>
                        <w:t xml:space="preserve"> </w:t>
                      </w:r>
                    </w:p>
                    <w:p w:rsidR="00260B0F" w:rsidRPr="00A92E91" w:rsidRDefault="00260B0F" w:rsidP="00ED3746">
                      <w:pPr>
                        <w:pStyle w:val="Normal12PTcouleurgris"/>
                        <w:numPr>
                          <w:ilvl w:val="0"/>
                          <w:numId w:val="78"/>
                        </w:numPr>
                        <w:ind w:left="284" w:hanging="284"/>
                        <w:jc w:val="left"/>
                        <w:rPr>
                          <w:b/>
                          <w:shd w:val="clear" w:color="000000" w:fill="auto"/>
                        </w:rPr>
                      </w:pPr>
                      <w:proofErr w:type="gramStart"/>
                      <w:r>
                        <w:rPr>
                          <w:b/>
                        </w:rPr>
                        <w:t>comprendre</w:t>
                      </w:r>
                      <w:proofErr w:type="gramEnd"/>
                      <w:r>
                        <w:rPr>
                          <w:b/>
                        </w:rPr>
                        <w:t xml:space="preserve"> la QEC;</w:t>
                      </w:r>
                    </w:p>
                    <w:p w:rsidR="00260B0F" w:rsidRPr="00A92E91" w:rsidRDefault="00260B0F" w:rsidP="00ED3746">
                      <w:pPr>
                        <w:pStyle w:val="Normal12PTcouleurgris"/>
                        <w:numPr>
                          <w:ilvl w:val="0"/>
                          <w:numId w:val="78"/>
                        </w:numPr>
                        <w:ind w:left="284" w:hanging="284"/>
                        <w:jc w:val="left"/>
                        <w:rPr>
                          <w:b/>
                          <w:shd w:val="clear" w:color="000000" w:fill="auto"/>
                        </w:rPr>
                      </w:pPr>
                      <w:proofErr w:type="gramStart"/>
                      <w:r>
                        <w:rPr>
                          <w:b/>
                        </w:rPr>
                        <w:t>difficultés</w:t>
                      </w:r>
                      <w:proofErr w:type="gramEnd"/>
                      <w:r>
                        <w:rPr>
                          <w:b/>
                        </w:rPr>
                        <w:t xml:space="preserve"> particulières; </w:t>
                      </w:r>
                    </w:p>
                    <w:p w:rsidR="00260B0F" w:rsidRPr="00A92E91" w:rsidRDefault="00260B0F" w:rsidP="00ED3746">
                      <w:pPr>
                        <w:pStyle w:val="Normal12PTcouleurgris"/>
                        <w:numPr>
                          <w:ilvl w:val="0"/>
                          <w:numId w:val="78"/>
                        </w:numPr>
                        <w:ind w:left="284" w:hanging="284"/>
                        <w:jc w:val="left"/>
                        <w:rPr>
                          <w:shd w:val="clear" w:color="000000" w:fill="auto"/>
                        </w:rPr>
                      </w:pPr>
                      <w:proofErr w:type="gramStart"/>
                      <w:r>
                        <w:rPr>
                          <w:b/>
                        </w:rPr>
                        <w:t>approche</w:t>
                      </w:r>
                      <w:proofErr w:type="gramEnd"/>
                      <w:r>
                        <w:rPr>
                          <w:b/>
                        </w:rPr>
                        <w:t xml:space="preserve"> proposée pour répondre à la QEC</w:t>
                      </w:r>
                      <w:r>
                        <w:t xml:space="preserve">: </w:t>
                      </w:r>
                      <w:r>
                        <w:rPr>
                          <w:i/>
                        </w:rPr>
                        <w:t xml:space="preserve">ce chapitre propose des étapes, des méthodes et des astuces sur la manière d’utiliser les indicateurs communs et supplémentaires pour répondre à la QEC. </w:t>
                      </w:r>
                    </w:p>
                    <w:p w:rsidR="00260B0F" w:rsidRPr="00A92E91" w:rsidRDefault="00260B0F" w:rsidP="00ED3746">
                      <w:pPr>
                        <w:pStyle w:val="Hlistabc2"/>
                        <w:numPr>
                          <w:ilvl w:val="0"/>
                          <w:numId w:val="54"/>
                        </w:numPr>
                        <w:spacing w:before="120" w:after="120"/>
                        <w:rPr>
                          <w:sz w:val="18"/>
                          <w:szCs w:val="18"/>
                        </w:rPr>
                      </w:pPr>
                      <w:r>
                        <w:rPr>
                          <w:sz w:val="18"/>
                        </w:rPr>
                        <w:t xml:space="preserve">Logique d’intervention </w:t>
                      </w:r>
                    </w:p>
                    <w:p w:rsidR="00260B0F" w:rsidRPr="00A92E91" w:rsidRDefault="00260B0F" w:rsidP="00ED3746">
                      <w:pPr>
                        <w:pStyle w:val="Hlistabc2"/>
                        <w:numPr>
                          <w:ilvl w:val="0"/>
                          <w:numId w:val="54"/>
                        </w:numPr>
                        <w:spacing w:before="120" w:after="120"/>
                        <w:rPr>
                          <w:sz w:val="18"/>
                          <w:szCs w:val="18"/>
                        </w:rPr>
                      </w:pPr>
                      <w:r>
                        <w:rPr>
                          <w:sz w:val="18"/>
                        </w:rPr>
                        <w:t xml:space="preserve">Éléments d’évaluation </w:t>
                      </w:r>
                    </w:p>
                    <w:p w:rsidR="00260B0F" w:rsidRPr="00A92E91" w:rsidRDefault="00260B0F" w:rsidP="00ED3746">
                      <w:pPr>
                        <w:pStyle w:val="Hlistabc2"/>
                        <w:numPr>
                          <w:ilvl w:val="0"/>
                          <w:numId w:val="54"/>
                        </w:numPr>
                        <w:spacing w:before="120" w:after="120"/>
                        <w:rPr>
                          <w:sz w:val="18"/>
                          <w:szCs w:val="18"/>
                        </w:rPr>
                      </w:pPr>
                      <w:r>
                        <w:rPr>
                          <w:sz w:val="18"/>
                        </w:rPr>
                        <w:t xml:space="preserve">Méthode d’évaluation proposée </w:t>
                      </w:r>
                    </w:p>
                    <w:p w:rsidR="00260B0F" w:rsidRPr="00A92E91" w:rsidRDefault="00260B0F" w:rsidP="00ED3746">
                      <w:pPr>
                        <w:pStyle w:val="Hlistabc2"/>
                        <w:numPr>
                          <w:ilvl w:val="0"/>
                          <w:numId w:val="54"/>
                        </w:numPr>
                        <w:spacing w:before="120" w:after="120"/>
                        <w:rPr>
                          <w:sz w:val="18"/>
                          <w:szCs w:val="18"/>
                        </w:rPr>
                      </w:pPr>
                      <w:r>
                        <w:rPr>
                          <w:sz w:val="18"/>
                        </w:rPr>
                        <w:t xml:space="preserve">Risques et solutions </w:t>
                      </w:r>
                    </w:p>
                    <w:p w:rsidR="00260B0F" w:rsidRPr="00A92E91" w:rsidRDefault="00260B0F" w:rsidP="00ED3746">
                      <w:pPr>
                        <w:pStyle w:val="Hlistabc2"/>
                        <w:numPr>
                          <w:ilvl w:val="0"/>
                          <w:numId w:val="54"/>
                        </w:numPr>
                        <w:spacing w:before="120" w:after="120"/>
                        <w:rPr>
                          <w:sz w:val="18"/>
                          <w:szCs w:val="18"/>
                        </w:rPr>
                      </w:pPr>
                      <w:r>
                        <w:rPr>
                          <w:sz w:val="18"/>
                        </w:rPr>
                        <w:t>Conclusions et recommandations</w:t>
                      </w:r>
                    </w:p>
                    <w:p w:rsidR="00260B0F" w:rsidRPr="00A92E91" w:rsidRDefault="00260B0F" w:rsidP="00ED3746">
                      <w:pPr>
                        <w:pStyle w:val="Normal12PTcouleurgris"/>
                        <w:numPr>
                          <w:ilvl w:val="0"/>
                          <w:numId w:val="78"/>
                        </w:numPr>
                        <w:ind w:left="284" w:hanging="284"/>
                        <w:jc w:val="left"/>
                        <w:rPr>
                          <w:b/>
                          <w:shd w:val="clear" w:color="000000" w:fill="auto"/>
                        </w:rPr>
                      </w:pPr>
                      <w:r>
                        <w:rPr>
                          <w:b/>
                        </w:rPr>
                        <w:t>Lectures complémentaires</w:t>
                      </w:r>
                    </w:p>
                  </w:txbxContent>
                </v:textbox>
                <w10:wrap type="square" anchorx="page"/>
              </v:shape>
            </w:pict>
          </mc:Fallback>
        </mc:AlternateContent>
      </w:r>
      <w:bookmarkStart w:id="124" w:name="_Toc501382131"/>
      <w:r w:rsidR="00ED3746">
        <w:br w:type="page"/>
      </w:r>
      <w:bookmarkStart w:id="125" w:name="_Toc503368725"/>
      <w:bookmarkStart w:id="126" w:name="_Toc508889636"/>
    </w:p>
    <w:p w:rsidR="00ED3746" w:rsidRPr="00501827" w:rsidRDefault="00ED3746" w:rsidP="00EC67D2">
      <w:pPr>
        <w:pStyle w:val="HHeading3"/>
        <w:numPr>
          <w:ilvl w:val="2"/>
          <w:numId w:val="127"/>
        </w:numPr>
      </w:pPr>
      <w:r>
        <w:lastRenderedPageBreak/>
        <w:t>QEC nº </w:t>
      </w:r>
      <w:proofErr w:type="gramStart"/>
      <w:r>
        <w:t>1:</w:t>
      </w:r>
      <w:proofErr w:type="gramEnd"/>
      <w:r>
        <w:t xml:space="preserve"> «Dans quelle mesure les interventions du PDR ont-elles soutenu l’innovation, la coopération et le développement de la base de connaissances dans les zones rurales?»</w:t>
      </w:r>
      <w:bookmarkEnd w:id="124"/>
      <w:bookmarkEnd w:id="125"/>
      <w:bookmarkEnd w:id="126"/>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Comprendre la QEC</w:t>
      </w:r>
    </w:p>
    <w:p w:rsidR="00ED3746" w:rsidRPr="00E05D08" w:rsidRDefault="00ED3746" w:rsidP="00ED3746">
      <w:pPr>
        <w:spacing w:after="120" w:line="280" w:lineRule="atLeast"/>
        <w:mirrorIndents/>
        <w:rPr>
          <w:rFonts w:eastAsia="Times New Roman" w:cs="Times New Roman"/>
          <w:szCs w:val="20"/>
        </w:rPr>
      </w:pPr>
      <w:r>
        <w:t>Il y a trois mesures qui contribuent de manière très significative à la réalisation de l’objectif lié à la QEC nº 1 (à savoir, soutenir l’innovation</w:t>
      </w:r>
      <w:proofErr w:type="gramStart"/>
      <w:r>
        <w:t>):</w:t>
      </w:r>
      <w:proofErr w:type="gramEnd"/>
      <w:r>
        <w:t xml:space="preserve"> la mesure M1 (article 14, «Transfert de connaissances et actions d’information»), la mesure M2 (article 15 «Services de conseil, services d’aide à la gestion agricole et services de remplacement sur l’exploitation») et la mesure M16 (article 35 «Coopération»)</w:t>
      </w:r>
      <w:r>
        <w:rPr>
          <w:vertAlign w:val="superscript"/>
        </w:rPr>
        <w:footnoteReference w:id="48"/>
      </w:r>
      <w:r>
        <w:t>. De plus, la mesure M19 [article 42 et article 35 du règlement (UE) nº 1303/2013] peut aussi être considérée comme un contributeur important à l’aspect</w:t>
      </w:r>
      <w:proofErr w:type="gramStart"/>
      <w:r>
        <w:t xml:space="preserve"> «innovation</w:t>
      </w:r>
      <w:proofErr w:type="gramEnd"/>
      <w:r>
        <w:t>» de l’objectif ci-dessus.</w:t>
      </w:r>
    </w:p>
    <w:p w:rsidR="00ED3746" w:rsidRPr="00E05D08" w:rsidRDefault="00ED3746" w:rsidP="00ED3746">
      <w:pPr>
        <w:spacing w:after="120" w:line="280" w:lineRule="atLeast"/>
        <w:mirrorIndents/>
        <w:rPr>
          <w:rFonts w:eastAsia="Times New Roman" w:cs="Times New Roman"/>
          <w:szCs w:val="20"/>
        </w:rPr>
      </w:pPr>
      <w:r>
        <w:t xml:space="preserve">Il est essentiel d’examiner quels aspects des mesures soutiennent l’innovation. Par exemple, une logique d’intervention donnée de la priorité 1 pourrait montrer que les mesures M1 et M16 contribuent aussi au DP 1B (M16) ou au DP 1C (M1) et pas seulement au DP 1A. </w:t>
      </w:r>
    </w:p>
    <w:p w:rsidR="00ED3746" w:rsidRPr="00E05D08" w:rsidRDefault="00ED3746" w:rsidP="00ED3746">
      <w:pPr>
        <w:spacing w:after="120" w:line="280" w:lineRule="atLeast"/>
        <w:mirrorIndents/>
        <w:rPr>
          <w:rFonts w:eastAsia="Times New Roman" w:cs="Times New Roman"/>
          <w:szCs w:val="20"/>
        </w:rPr>
      </w:pPr>
      <w:r>
        <w:t xml:space="preserve">Les éléments de ces mesures relatifs à l’innovation peuvent se distinguer comme </w:t>
      </w:r>
      <w:proofErr w:type="gramStart"/>
      <w:r>
        <w:t>suit:</w:t>
      </w:r>
      <w:proofErr w:type="gramEnd"/>
      <w:r>
        <w:t xml:space="preserve"> </w:t>
      </w:r>
    </w:p>
    <w:p w:rsidR="00ED3746" w:rsidRDefault="00ED3746" w:rsidP="00ED3746">
      <w:pPr>
        <w:spacing w:after="120" w:line="280" w:lineRule="atLeast"/>
        <w:mirrorIndents/>
        <w:rPr>
          <w:rFonts w:eastAsia="Times New Roman" w:cs="Times New Roman"/>
          <w:szCs w:val="20"/>
        </w:rPr>
      </w:pPr>
      <w:r>
        <w:t>La mesure </w:t>
      </w:r>
      <w:r>
        <w:rPr>
          <w:b/>
        </w:rPr>
        <w:t>M1</w:t>
      </w:r>
      <w:r>
        <w:t xml:space="preserve"> (article 14) couvre la formation professionnelle et l’acquisition de compétences, les activités de démonstration et les actions d’information. De plus, elle peut aussi couvrir les échanges et les visites axés sur la gestion d’exploitations agricoles ou forestières. Bien que l’innovation ne soit pas explicitement mentionnée à l’article 14, ces actions peuvent jouer un rôle important dans le </w:t>
      </w:r>
      <w:r>
        <w:rPr>
          <w:b/>
        </w:rPr>
        <w:t>renforcement de la capacité d’innover</w:t>
      </w:r>
      <w:r>
        <w:t>.</w:t>
      </w:r>
    </w:p>
    <w:p w:rsidR="00ED3746" w:rsidRPr="00E05D08" w:rsidRDefault="00ED3746" w:rsidP="00ED3746">
      <w:pPr>
        <w:spacing w:after="120" w:line="280" w:lineRule="atLeast"/>
        <w:mirrorIndents/>
        <w:rPr>
          <w:rFonts w:eastAsia="Times New Roman" w:cs="Times New Roman"/>
          <w:szCs w:val="20"/>
        </w:rPr>
      </w:pPr>
      <w:r>
        <w:t xml:space="preserve">La mesure </w:t>
      </w:r>
      <w:r>
        <w:rPr>
          <w:b/>
        </w:rPr>
        <w:t>M2</w:t>
      </w:r>
      <w:r>
        <w:t xml:space="preserve"> (article 15) inclut les conseils aux agriculteurs individuels, aux jeunes agriculteurs et autres gestionnaires de terres, la formation des conseillers ou des prestataires de services de soutien à l’innovation. Cela couvre plusieurs éléments, tels que les conseils sur les mesures du PDR au niveau de l’exploitation agricole, qui visent entre autres à favoriser l’innovation</w:t>
      </w:r>
      <w:r>
        <w:rPr>
          <w:vertAlign w:val="superscript"/>
        </w:rPr>
        <w:footnoteReference w:id="49"/>
      </w:r>
      <w:r>
        <w:t xml:space="preserve">. La fourniture de services de conseil est un moyen de </w:t>
      </w:r>
      <w:r>
        <w:rPr>
          <w:b/>
        </w:rPr>
        <w:t>renforcer la capacité d’innover</w:t>
      </w:r>
      <w:r>
        <w:t xml:space="preserve"> (voir le </w:t>
      </w:r>
      <w:hyperlink w:anchor="Innovation_RD" w:history="1">
        <w:r>
          <w:rPr>
            <w:rStyle w:val="Hyperlink"/>
            <w:sz w:val="20"/>
          </w:rPr>
          <w:t>chapitre 1.1</w:t>
        </w:r>
      </w:hyperlink>
      <w:r>
        <w:t>), en offrant la possibilité de transférer les connaissances. De plus, dans le contexte du PEI, les conseillers/prestataires de services de soutien à l’innovation acquièrent un rôle de</w:t>
      </w:r>
      <w:proofErr w:type="gramStart"/>
      <w:r>
        <w:t xml:space="preserve"> «coach</w:t>
      </w:r>
      <w:proofErr w:type="gramEnd"/>
      <w:r>
        <w:t>» dans les processus d’innovation interactifs dans le cadre des GO.</w:t>
      </w:r>
    </w:p>
    <w:p w:rsidR="00ED3746" w:rsidRDefault="00ED3746" w:rsidP="00ED3746">
      <w:pPr>
        <w:spacing w:after="120" w:line="280" w:lineRule="atLeast"/>
        <w:mirrorIndents/>
        <w:rPr>
          <w:rFonts w:eastAsia="Times New Roman" w:cs="Times New Roman"/>
          <w:szCs w:val="20"/>
        </w:rPr>
      </w:pPr>
      <w:r>
        <w:t>La mesure </w:t>
      </w:r>
      <w:r>
        <w:rPr>
          <w:b/>
        </w:rPr>
        <w:t>M16</w:t>
      </w:r>
      <w:r>
        <w:t xml:space="preserve"> (article 15) </w:t>
      </w:r>
      <w:proofErr w:type="gramStart"/>
      <w:r>
        <w:t>soutient:</w:t>
      </w:r>
      <w:proofErr w:type="gramEnd"/>
      <w:r>
        <w:t xml:space="preserve"> a) la coopération entre toute une série d’acteurs qui contribuent à la réalisation des objectifs de la politique de développement rural (les secteurs de l’agriculture et de la foresterie, la chaîne alimentaire, les groupements de producteurs, les coopératives, les organisations interprofessionnelles et d’autres); b) la création de pôles et de réseaux; et c) la mise en place et le fonctionnement des GO du PEI-AGRI. La mesure M16 comprend dix sous-mesures et soutient l’innovation en relation avec </w:t>
      </w:r>
      <w:r>
        <w:rPr>
          <w:b/>
        </w:rPr>
        <w:t>l’ensemble des trois démarches</w:t>
      </w:r>
      <w:r>
        <w:t xml:space="preserve"> décrites au chapitre 1.1 (voir l’encadré ci-après).</w:t>
      </w:r>
    </w:p>
    <w:p w:rsidR="00ED3746" w:rsidRDefault="00ED3746" w:rsidP="00ED3746">
      <w:pPr>
        <w:spacing w:after="120" w:line="280" w:lineRule="atLeast"/>
        <w:mirrorIndents/>
        <w:rPr>
          <w:rFonts w:eastAsia="Times New Roman" w:cs="Times New Roman"/>
          <w:szCs w:val="20"/>
        </w:rPr>
      </w:pPr>
      <w:r>
        <w:t>La mesure </w:t>
      </w:r>
      <w:r>
        <w:rPr>
          <w:b/>
        </w:rPr>
        <w:t>M19</w:t>
      </w:r>
      <w:r>
        <w:t xml:space="preserve"> (article 42) soutient le développement rural local par l’application des principes de l’approche Leader</w:t>
      </w:r>
      <w:r>
        <w:rPr>
          <w:vertAlign w:val="superscript"/>
        </w:rPr>
        <w:footnoteReference w:id="50"/>
      </w:r>
      <w:r>
        <w:t>. Un de ces principes est axé sur la promotion des innovations par les activités des groupes d’action locale et des bénéficiaires des stratégies de DLAL. La mesure M19 comprend cinq sous-mesures, qui sont susceptibles de soutenir l’innovation via une, deux ou les trois démarches décrites au chapitre 1.1 (voir l’encadré ci-après).</w:t>
      </w:r>
    </w:p>
    <w:p w:rsidR="00ED3746" w:rsidRDefault="00ED3746" w:rsidP="00ED3746">
      <w:pPr>
        <w:spacing w:after="120" w:line="280" w:lineRule="atLeast"/>
        <w:mirrorIndents/>
        <w:rPr>
          <w:rFonts w:cs="Times New Roman"/>
          <w:szCs w:val="20"/>
        </w:rPr>
      </w:pPr>
    </w:p>
    <w:p w:rsidR="00EC67D2" w:rsidRDefault="00EC67D2" w:rsidP="00ED3746">
      <w:pPr>
        <w:spacing w:after="120" w:line="280" w:lineRule="atLeast"/>
        <w:mirrorIndents/>
        <w:rPr>
          <w:rFonts w:cs="Times New Roman"/>
          <w:szCs w:val="20"/>
        </w:rPr>
      </w:pPr>
    </w:p>
    <w:p w:rsidR="00EC67D2" w:rsidRDefault="00EC67D2" w:rsidP="00ED3746">
      <w:pPr>
        <w:spacing w:after="120" w:line="280" w:lineRule="atLeast"/>
        <w:mirrorIndents/>
        <w:rPr>
          <w:rFonts w:cs="Times New Roman"/>
          <w:szCs w:val="20"/>
        </w:rPr>
      </w:pPr>
      <w:r>
        <w:rPr>
          <w:rStyle w:val="FootnoteReference"/>
          <w:rFonts w:cs="Times New Roman"/>
          <w:szCs w:val="20"/>
        </w:rPr>
        <w:lastRenderedPageBreak/>
        <w:footnoteReference w:id="51"/>
      </w:r>
    </w:p>
    <w:p w:rsidR="00ED3746" w:rsidRDefault="00F204F1" w:rsidP="00563A4F">
      <w:pPr>
        <w:spacing w:after="120" w:line="280" w:lineRule="atLeast"/>
        <w:mirrorIndents/>
        <w:rPr>
          <w:rFonts w:cs="Times New Roman"/>
          <w:b/>
          <w:color w:val="57825E"/>
          <w:szCs w:val="20"/>
          <w:shd w:val="clear" w:color="000000" w:fill="auto"/>
        </w:rPr>
      </w:pPr>
      <w:r>
        <w:rPr>
          <w:noProof/>
        </w:rPr>
        <mc:AlternateContent>
          <mc:Choice Requires="wps">
            <w:drawing>
              <wp:anchor distT="0" distB="0" distL="114300" distR="114300" simplePos="0" relativeHeight="251659776" behindDoc="1" locked="0" layoutInCell="1" allowOverlap="1">
                <wp:simplePos x="0" y="0"/>
                <wp:positionH relativeFrom="column">
                  <wp:posOffset>0</wp:posOffset>
                </wp:positionH>
                <wp:positionV relativeFrom="paragraph">
                  <wp:posOffset>0</wp:posOffset>
                </wp:positionV>
                <wp:extent cx="5913755" cy="7907655"/>
                <wp:effectExtent l="0" t="0" r="10795" b="17145"/>
                <wp:wrapTight wrapText="bothSides">
                  <wp:wrapPolygon edited="0">
                    <wp:start x="765" y="0"/>
                    <wp:lineTo x="0" y="260"/>
                    <wp:lineTo x="0" y="21595"/>
                    <wp:lineTo x="20874" y="21595"/>
                    <wp:lineTo x="21570" y="21387"/>
                    <wp:lineTo x="21570" y="0"/>
                    <wp:lineTo x="765" y="0"/>
                  </wp:wrapPolygon>
                </wp:wrapTight>
                <wp:docPr id="11" name="Rectangle: Diagonal Corners Rounded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755" cy="7907655"/>
                        </a:xfrm>
                        <a:prstGeom prst="round2DiagRect">
                          <a:avLst>
                            <a:gd name="adj1" fmla="val 5642"/>
                            <a:gd name="adj2" fmla="val 0"/>
                          </a:avLst>
                        </a:prstGeom>
                        <a:noFill/>
                        <a:ln w="25400" cap="flat" cmpd="sng" algn="ctr">
                          <a:solidFill>
                            <a:srgbClr val="F07E31"/>
                          </a:solidFill>
                          <a:prstDash val="solid"/>
                        </a:ln>
                        <a:effectLst/>
                      </wps:spPr>
                      <wps:txbx>
                        <w:txbxContent>
                          <w:p w:rsidR="00260B0F" w:rsidRPr="00260B0F" w:rsidRDefault="00260B0F" w:rsidP="00ED3746">
                            <w:pPr>
                              <w:pStyle w:val="HStandard"/>
                              <w:ind w:left="284" w:right="23"/>
                              <w:rPr>
                                <w:sz w:val="16"/>
                                <w:szCs w:val="16"/>
                              </w:rPr>
                            </w:pPr>
                            <w:r>
                              <w:rPr>
                                <w:noProof/>
                              </w:rPr>
                              <w:drawing>
                                <wp:inline distT="0" distB="0" distL="0" distR="0">
                                  <wp:extent cx="349885" cy="357505"/>
                                  <wp:effectExtent l="0" t="0" r="0" b="0"/>
                                  <wp:docPr id="4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w:t>
                            </w:r>
                          </w:p>
                          <w:p w:rsidR="00260B0F" w:rsidRPr="00260B0F" w:rsidRDefault="00260B0F" w:rsidP="00ED3746">
                            <w:pPr>
                              <w:pStyle w:val="HStandard"/>
                              <w:ind w:right="23"/>
                              <w:rPr>
                                <w:b/>
                                <w:color w:val="F07E31"/>
                                <w:sz w:val="16"/>
                                <w:szCs w:val="16"/>
                              </w:rPr>
                            </w:pPr>
                            <w:r w:rsidRPr="00260B0F">
                              <w:rPr>
                                <w:b/>
                                <w:color w:val="F07E31"/>
                                <w:sz w:val="16"/>
                                <w:szCs w:val="16"/>
                              </w:rPr>
                              <w:t xml:space="preserve">Exemples de la manière dont la mesure M1 peut renforcer la capacité </w:t>
                            </w:r>
                            <w:proofErr w:type="gramStart"/>
                            <w:r w:rsidRPr="00260B0F">
                              <w:rPr>
                                <w:b/>
                                <w:color w:val="F07E31"/>
                                <w:sz w:val="16"/>
                                <w:szCs w:val="16"/>
                              </w:rPr>
                              <w:t>d’innover:</w:t>
                            </w:r>
                            <w:proofErr w:type="gramEnd"/>
                          </w:p>
                          <w:p w:rsidR="00260B0F" w:rsidRPr="00260B0F" w:rsidRDefault="00260B0F" w:rsidP="00ED3746">
                            <w:pPr>
                              <w:pStyle w:val="Hlistbullet"/>
                              <w:rPr>
                                <w:sz w:val="16"/>
                                <w:szCs w:val="16"/>
                              </w:rPr>
                            </w:pPr>
                            <w:proofErr w:type="gramStart"/>
                            <w:r w:rsidRPr="00260B0F">
                              <w:rPr>
                                <w:sz w:val="16"/>
                                <w:szCs w:val="16"/>
                              </w:rPr>
                              <w:t>nouvelles</w:t>
                            </w:r>
                            <w:proofErr w:type="gramEnd"/>
                            <w:r w:rsidRPr="00260B0F">
                              <w:rPr>
                                <w:sz w:val="16"/>
                                <w:szCs w:val="16"/>
                              </w:rPr>
                              <w:t xml:space="preserve"> compétences permettant aux agriculteurs/PME d’appliquer des procédés/techniques innovant(e)s, ou nouvelles compétences organisationnelles;</w:t>
                            </w:r>
                          </w:p>
                          <w:p w:rsidR="00260B0F" w:rsidRPr="00260B0F" w:rsidRDefault="00260B0F" w:rsidP="00ED3746">
                            <w:pPr>
                              <w:pStyle w:val="Hlistbullet"/>
                              <w:rPr>
                                <w:sz w:val="16"/>
                                <w:szCs w:val="16"/>
                              </w:rPr>
                            </w:pPr>
                            <w:proofErr w:type="gramStart"/>
                            <w:r w:rsidRPr="00260B0F">
                              <w:rPr>
                                <w:sz w:val="16"/>
                                <w:szCs w:val="16"/>
                              </w:rPr>
                              <w:t>échanges</w:t>
                            </w:r>
                            <w:proofErr w:type="gramEnd"/>
                            <w:r w:rsidRPr="00260B0F">
                              <w:rPr>
                                <w:sz w:val="16"/>
                                <w:szCs w:val="16"/>
                              </w:rPr>
                              <w:t xml:space="preserve"> et visites qui contribuent à transférer les connaissances d’une exploitation/région à l’autre.</w:t>
                            </w:r>
                          </w:p>
                          <w:p w:rsidR="00260B0F" w:rsidRPr="00260B0F" w:rsidRDefault="00260B0F" w:rsidP="00ED3746">
                            <w:pPr>
                              <w:pStyle w:val="HStandard"/>
                              <w:ind w:right="54"/>
                              <w:rPr>
                                <w:b/>
                                <w:color w:val="F07E31"/>
                                <w:sz w:val="16"/>
                                <w:szCs w:val="16"/>
                              </w:rPr>
                            </w:pPr>
                            <w:r w:rsidRPr="00260B0F">
                              <w:rPr>
                                <w:b/>
                                <w:color w:val="F07E31"/>
                                <w:sz w:val="16"/>
                                <w:szCs w:val="16"/>
                              </w:rPr>
                              <w:t xml:space="preserve">Exemples de la manière dont la mesure M16 soutient </w:t>
                            </w:r>
                            <w:proofErr w:type="gramStart"/>
                            <w:r w:rsidRPr="00260B0F">
                              <w:rPr>
                                <w:b/>
                                <w:color w:val="F07E31"/>
                                <w:sz w:val="16"/>
                                <w:szCs w:val="16"/>
                              </w:rPr>
                              <w:t>l’innovation:</w:t>
                            </w:r>
                            <w:proofErr w:type="gramEnd"/>
                          </w:p>
                          <w:p w:rsidR="00260B0F" w:rsidRPr="00260B0F" w:rsidRDefault="00260B0F" w:rsidP="00ED3746">
                            <w:pPr>
                              <w:pStyle w:val="Hlistbullet"/>
                              <w:rPr>
                                <w:sz w:val="16"/>
                                <w:szCs w:val="16"/>
                              </w:rPr>
                            </w:pPr>
                            <w:proofErr w:type="gramStart"/>
                            <w:r w:rsidRPr="00260B0F">
                              <w:rPr>
                                <w:sz w:val="16"/>
                                <w:szCs w:val="16"/>
                              </w:rPr>
                              <w:t>la</w:t>
                            </w:r>
                            <w:proofErr w:type="gramEnd"/>
                            <w:r w:rsidRPr="00260B0F">
                              <w:rPr>
                                <w:sz w:val="16"/>
                                <w:szCs w:val="16"/>
                              </w:rPr>
                              <w:t xml:space="preserve"> mise au point de nouveaux produits, pratiques et technologies dans les secteurs de l’agriculture, de l’alimentation et de la foresterie (sous-mesure M16.2</w:t>
                            </w:r>
                            <w:r w:rsidRPr="00260B0F">
                              <w:rPr>
                                <w:sz w:val="16"/>
                                <w:szCs w:val="16"/>
                                <w:vertAlign w:val="superscript"/>
                              </w:rPr>
                              <w:t>51</w:t>
                            </w:r>
                            <w:r w:rsidRPr="00260B0F">
                              <w:rPr>
                                <w:sz w:val="16"/>
                                <w:szCs w:val="16"/>
                              </w:rPr>
                              <w:t xml:space="preserve">) est liée à la découverte et à la promotion de l’innovation de manière collaborative; </w:t>
                            </w:r>
                          </w:p>
                          <w:p w:rsidR="00260B0F" w:rsidRPr="00260B0F" w:rsidRDefault="00260B0F" w:rsidP="00ED3746">
                            <w:pPr>
                              <w:pStyle w:val="Hlistbullet"/>
                              <w:rPr>
                                <w:sz w:val="16"/>
                                <w:szCs w:val="16"/>
                              </w:rPr>
                            </w:pPr>
                            <w:proofErr w:type="gramStart"/>
                            <w:r w:rsidRPr="00260B0F">
                              <w:rPr>
                                <w:sz w:val="16"/>
                                <w:szCs w:val="16"/>
                              </w:rPr>
                              <w:t>toutes</w:t>
                            </w:r>
                            <w:proofErr w:type="gramEnd"/>
                            <w:r w:rsidRPr="00260B0F">
                              <w:rPr>
                                <w:sz w:val="16"/>
                                <w:szCs w:val="16"/>
                              </w:rPr>
                              <w:t xml:space="preserve"> les autres sous-mesures sont susceptibles de </w:t>
                            </w:r>
                            <w:r w:rsidRPr="00260B0F">
                              <w:rPr>
                                <w:b/>
                                <w:sz w:val="16"/>
                                <w:szCs w:val="16"/>
                              </w:rPr>
                              <w:t>renforcer la capacité d’innover</w:t>
                            </w:r>
                            <w:r w:rsidRPr="00260B0F">
                              <w:rPr>
                                <w:sz w:val="16"/>
                                <w:szCs w:val="16"/>
                              </w:rPr>
                              <w:t>, étant donné que le processus de coopération implique de découvrir de nouvelles possibilités, produire de nouvelles idées, expérimenter de nouvelles technologies ou de déterminer de nouvelles manières de faire les choses, et ce de manière collective;</w:t>
                            </w:r>
                          </w:p>
                          <w:p w:rsidR="00260B0F" w:rsidRPr="00260B0F" w:rsidRDefault="00260B0F" w:rsidP="00ED3746">
                            <w:pPr>
                              <w:pStyle w:val="Hlistbullet"/>
                              <w:rPr>
                                <w:sz w:val="16"/>
                                <w:szCs w:val="16"/>
                              </w:rPr>
                            </w:pPr>
                            <w:proofErr w:type="gramStart"/>
                            <w:r w:rsidRPr="00260B0F">
                              <w:rPr>
                                <w:sz w:val="16"/>
                                <w:szCs w:val="16"/>
                              </w:rPr>
                              <w:t>de</w:t>
                            </w:r>
                            <w:proofErr w:type="gramEnd"/>
                            <w:r w:rsidRPr="00260B0F">
                              <w:rPr>
                                <w:sz w:val="16"/>
                                <w:szCs w:val="16"/>
                              </w:rPr>
                              <w:t xml:space="preserve"> plus, le soutien apporté aux projets de coopération par les conseillers/services de soutien à l’innovation, notamment le soutien apporté aux RRN à cet effet, peut contribuer à </w:t>
                            </w:r>
                            <w:r w:rsidRPr="00260B0F">
                              <w:rPr>
                                <w:b/>
                                <w:sz w:val="16"/>
                                <w:szCs w:val="16"/>
                              </w:rPr>
                              <w:t>renforcer la capacité d’innover</w:t>
                            </w:r>
                            <w:r w:rsidRPr="00260B0F">
                              <w:rPr>
                                <w:sz w:val="16"/>
                                <w:szCs w:val="16"/>
                              </w:rPr>
                              <w:t>;</w:t>
                            </w:r>
                          </w:p>
                          <w:p w:rsidR="00260B0F" w:rsidRPr="00260B0F" w:rsidRDefault="00260B0F" w:rsidP="00ED3746">
                            <w:pPr>
                              <w:pStyle w:val="Hlistbullet"/>
                              <w:rPr>
                                <w:sz w:val="16"/>
                                <w:szCs w:val="16"/>
                              </w:rPr>
                            </w:pPr>
                            <w:proofErr w:type="gramStart"/>
                            <w:r w:rsidRPr="00260B0F">
                              <w:rPr>
                                <w:sz w:val="16"/>
                                <w:szCs w:val="16"/>
                              </w:rPr>
                              <w:t>la</w:t>
                            </w:r>
                            <w:proofErr w:type="gramEnd"/>
                            <w:r w:rsidRPr="00260B0F">
                              <w:rPr>
                                <w:sz w:val="16"/>
                                <w:szCs w:val="16"/>
                              </w:rPr>
                              <w:t xml:space="preserve"> participation des acteurs de l’innovation aux projets de coopération (par exemple, les services de soutien à l’innovation, les départements de l’innovation, les centres de R&amp;D ou les centres d’innovation et de technologie) peut contribuer à </w:t>
                            </w:r>
                            <w:r w:rsidRPr="00260B0F">
                              <w:rPr>
                                <w:b/>
                                <w:sz w:val="16"/>
                                <w:szCs w:val="16"/>
                              </w:rPr>
                              <w:t>créer un environnement propice à l’innovation</w:t>
                            </w:r>
                            <w:r w:rsidRPr="00260B0F">
                              <w:rPr>
                                <w:sz w:val="16"/>
                                <w:szCs w:val="16"/>
                              </w:rPr>
                              <w:t>. Par exemple, un projet de recherche collectif peut produire un résultat susceptible d’influencer la législation (par exemple, la législation environnementale</w:t>
                            </w:r>
                            <w:proofErr w:type="gramStart"/>
                            <w:r w:rsidRPr="00260B0F">
                              <w:rPr>
                                <w:sz w:val="16"/>
                                <w:szCs w:val="16"/>
                              </w:rPr>
                              <w:t>);</w:t>
                            </w:r>
                            <w:proofErr w:type="gramEnd"/>
                          </w:p>
                          <w:p w:rsidR="00260B0F" w:rsidRPr="00260B0F" w:rsidRDefault="00260B0F" w:rsidP="00ED3746">
                            <w:pPr>
                              <w:pStyle w:val="Hlistbullet"/>
                              <w:rPr>
                                <w:sz w:val="16"/>
                                <w:szCs w:val="16"/>
                              </w:rPr>
                            </w:pPr>
                            <w:proofErr w:type="gramStart"/>
                            <w:r w:rsidRPr="00260B0F">
                              <w:rPr>
                                <w:sz w:val="16"/>
                                <w:szCs w:val="16"/>
                              </w:rPr>
                              <w:t>l’établissement</w:t>
                            </w:r>
                            <w:proofErr w:type="gramEnd"/>
                            <w:r w:rsidRPr="00260B0F">
                              <w:rPr>
                                <w:sz w:val="16"/>
                                <w:szCs w:val="16"/>
                              </w:rPr>
                              <w:t xml:space="preserve"> et la mise en œuvre de GO peuvent donner lieu à une approche encore plus globale du soutien à l’innovation en combinant </w:t>
                            </w:r>
                            <w:r w:rsidRPr="00260B0F">
                              <w:rPr>
                                <w:b/>
                                <w:sz w:val="16"/>
                                <w:szCs w:val="16"/>
                              </w:rPr>
                              <w:t>l’ensemble des trois démarches</w:t>
                            </w:r>
                            <w:r w:rsidRPr="00260B0F">
                              <w:rPr>
                                <w:sz w:val="16"/>
                                <w:szCs w:val="16"/>
                              </w:rPr>
                              <w:t>: la découverte de nouvelles idées (le point de départ des GO), le renforcement de la capacité d’innover (le soutien des conseillers/services de soutien à l’innovation) et la création d’un environnement propice à l’innovation (les résultats des projets des GO).</w:t>
                            </w:r>
                          </w:p>
                          <w:p w:rsidR="00260B0F" w:rsidRPr="00260B0F" w:rsidRDefault="00260B0F" w:rsidP="00ED3746">
                            <w:pPr>
                              <w:pStyle w:val="Normal12PTcouleurgris"/>
                              <w:ind w:left="284"/>
                              <w:rPr>
                                <w:color w:val="F07E31"/>
                                <w:sz w:val="16"/>
                                <w:szCs w:val="16"/>
                              </w:rPr>
                            </w:pPr>
                            <w:r w:rsidRPr="00260B0F">
                              <w:rPr>
                                <w:b/>
                                <w:color w:val="F07E31"/>
                                <w:sz w:val="16"/>
                                <w:szCs w:val="16"/>
                              </w:rPr>
                              <w:t xml:space="preserve">Exemples de la manière dont la mesure M19 soutient </w:t>
                            </w:r>
                            <w:proofErr w:type="gramStart"/>
                            <w:r w:rsidRPr="00260B0F">
                              <w:rPr>
                                <w:b/>
                                <w:color w:val="F07E31"/>
                                <w:sz w:val="16"/>
                                <w:szCs w:val="16"/>
                              </w:rPr>
                              <w:t>l’innovation:</w:t>
                            </w:r>
                            <w:proofErr w:type="gramEnd"/>
                          </w:p>
                          <w:p w:rsidR="00260B0F" w:rsidRPr="00260B0F" w:rsidRDefault="00260B0F" w:rsidP="00ED3746">
                            <w:pPr>
                              <w:pStyle w:val="Hlistbullet"/>
                              <w:rPr>
                                <w:sz w:val="16"/>
                                <w:szCs w:val="16"/>
                              </w:rPr>
                            </w:pPr>
                            <w:proofErr w:type="gramStart"/>
                            <w:r w:rsidRPr="00260B0F">
                              <w:rPr>
                                <w:sz w:val="16"/>
                                <w:szCs w:val="16"/>
                              </w:rPr>
                              <w:t>application</w:t>
                            </w:r>
                            <w:proofErr w:type="gramEnd"/>
                            <w:r w:rsidRPr="00260B0F">
                              <w:rPr>
                                <w:sz w:val="16"/>
                                <w:szCs w:val="16"/>
                              </w:rPr>
                              <w:t xml:space="preserve"> de nouveaux modes de conception des stratégies, notamment différentes formes uniques de garantir la participation de la population locale aux décisions stratégiques (par exemple, différentes activités d’animation liées à la collecte d’informations, différents ateliers et plateformes de discussion, etc.) et contribuer ainsi à mettre en place </w:t>
                            </w:r>
                            <w:r w:rsidRPr="00260B0F">
                              <w:rPr>
                                <w:b/>
                                <w:sz w:val="16"/>
                                <w:szCs w:val="16"/>
                              </w:rPr>
                              <w:t>l’environnement propice à l’innovation (démarche 3)</w:t>
                            </w:r>
                            <w:r w:rsidRPr="00260B0F">
                              <w:rPr>
                                <w:sz w:val="16"/>
                                <w:szCs w:val="16"/>
                              </w:rPr>
                              <w:t>;</w:t>
                            </w:r>
                          </w:p>
                          <w:p w:rsidR="00260B0F" w:rsidRPr="00260B0F" w:rsidRDefault="00260B0F" w:rsidP="00ED3746">
                            <w:pPr>
                              <w:pStyle w:val="Hlistbullet"/>
                              <w:rPr>
                                <w:sz w:val="16"/>
                                <w:szCs w:val="16"/>
                              </w:rPr>
                            </w:pPr>
                            <w:proofErr w:type="gramStart"/>
                            <w:r w:rsidRPr="00260B0F">
                              <w:rPr>
                                <w:sz w:val="16"/>
                                <w:szCs w:val="16"/>
                              </w:rPr>
                              <w:t>mise</w:t>
                            </w:r>
                            <w:proofErr w:type="gramEnd"/>
                            <w:r w:rsidRPr="00260B0F">
                              <w:rPr>
                                <w:sz w:val="16"/>
                                <w:szCs w:val="16"/>
                              </w:rPr>
                              <w:t xml:space="preserve"> en œuvre d’activités d’animation innovantes, qui vont au-delà de la conception et de l’exécution de stratégies et qui garantissent la participation de la population au sens large à différentes actions innovantes des GAL (telles que des actions axées sur le renforcement de l’identité territoriale en faisant par exemple intervenir le patrimoine naturel et culturel) qui favorisent davantage encore</w:t>
                            </w:r>
                            <w:r w:rsidRPr="00260B0F">
                              <w:rPr>
                                <w:b/>
                                <w:sz w:val="16"/>
                                <w:szCs w:val="16"/>
                              </w:rPr>
                              <w:t xml:space="preserve"> l’environnement propice et les idées innovantes potentielles (démarches 3 et 1)</w:t>
                            </w:r>
                            <w:r w:rsidRPr="00260B0F">
                              <w:rPr>
                                <w:sz w:val="16"/>
                                <w:szCs w:val="16"/>
                              </w:rPr>
                              <w:t>;</w:t>
                            </w:r>
                          </w:p>
                          <w:p w:rsidR="00260B0F" w:rsidRPr="00260B0F" w:rsidRDefault="00260B0F" w:rsidP="00ED3746">
                            <w:pPr>
                              <w:pStyle w:val="Hlistbullet"/>
                              <w:rPr>
                                <w:sz w:val="16"/>
                                <w:szCs w:val="16"/>
                              </w:rPr>
                            </w:pPr>
                            <w:proofErr w:type="gramStart"/>
                            <w:r w:rsidRPr="00260B0F">
                              <w:rPr>
                                <w:sz w:val="16"/>
                                <w:szCs w:val="16"/>
                              </w:rPr>
                              <w:t>lancement</w:t>
                            </w:r>
                            <w:proofErr w:type="gramEnd"/>
                            <w:r w:rsidRPr="00260B0F">
                              <w:rPr>
                                <w:sz w:val="16"/>
                                <w:szCs w:val="16"/>
                              </w:rPr>
                              <w:t xml:space="preserve"> de projets de coopération innovants qui permettent le transfert de nouvelles connaissances, expériences et technologies sur le territoire du GAL et offrent un espace pour </w:t>
                            </w:r>
                            <w:r w:rsidRPr="00260B0F">
                              <w:rPr>
                                <w:b/>
                                <w:sz w:val="16"/>
                                <w:szCs w:val="16"/>
                              </w:rPr>
                              <w:t>cultiver les idées potentiellement innovantes (démarche 1)</w:t>
                            </w:r>
                            <w:r w:rsidRPr="00260B0F">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1" o:spid="_x0000_s1042" style="position:absolute;left:0;text-align:left;margin-left:0;margin-top:0;width:465.65pt;height:62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907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" adj="-11796480,,5400" path="m333654,l5913755,r,l5913755,7574001v,184272,-149382,333654,-333654,333654l,7907655r,l,333654c,149382,149382,,333654,xe" filled="f" strokecolor="#f07e31" strokeweight="2pt">
                <v:stroke joinstyle="miter"/>
                <v:formulas/>
                <v:path arrowok="t" o:connecttype="custom" o:connectlocs="333654,0;5913755,0;5913755,0;5913755,7574001;5580101,7907655;0,7907655;0,7907655;0,333654;333654,0" o:connectangles="0,0,0,0,0,0,0,0,0" textboxrect="0,0,5913755,7907655"/>
                <v:textbox>
                  <w:txbxContent>
                    <w:p w:rsidR="00260B0F" w:rsidRPr="00260B0F" w:rsidRDefault="00260B0F" w:rsidP="00ED3746">
                      <w:pPr>
                        <w:pStyle w:val="HStandard"/>
                        <w:ind w:left="284" w:right="23"/>
                        <w:rPr>
                          <w:sz w:val="16"/>
                          <w:szCs w:val="16"/>
                        </w:rPr>
                      </w:pPr>
                      <w:r>
                        <w:rPr>
                          <w:noProof/>
                        </w:rPr>
                        <w:drawing>
                          <wp:inline distT="0" distB="0" distL="0" distR="0">
                            <wp:extent cx="349885" cy="357505"/>
                            <wp:effectExtent l="0" t="0" r="0" b="0"/>
                            <wp:docPr id="4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w:t>
                      </w:r>
                    </w:p>
                    <w:p w:rsidR="00260B0F" w:rsidRPr="00260B0F" w:rsidRDefault="00260B0F" w:rsidP="00ED3746">
                      <w:pPr>
                        <w:pStyle w:val="HStandard"/>
                        <w:ind w:right="23"/>
                        <w:rPr>
                          <w:b/>
                          <w:color w:val="F07E31"/>
                          <w:sz w:val="16"/>
                          <w:szCs w:val="16"/>
                        </w:rPr>
                      </w:pPr>
                      <w:r w:rsidRPr="00260B0F">
                        <w:rPr>
                          <w:b/>
                          <w:color w:val="F07E31"/>
                          <w:sz w:val="16"/>
                          <w:szCs w:val="16"/>
                        </w:rPr>
                        <w:t xml:space="preserve">Exemples de la manière dont la mesure M1 peut renforcer la capacité </w:t>
                      </w:r>
                      <w:proofErr w:type="gramStart"/>
                      <w:r w:rsidRPr="00260B0F">
                        <w:rPr>
                          <w:b/>
                          <w:color w:val="F07E31"/>
                          <w:sz w:val="16"/>
                          <w:szCs w:val="16"/>
                        </w:rPr>
                        <w:t>d’innover:</w:t>
                      </w:r>
                      <w:proofErr w:type="gramEnd"/>
                    </w:p>
                    <w:p w:rsidR="00260B0F" w:rsidRPr="00260B0F" w:rsidRDefault="00260B0F" w:rsidP="00ED3746">
                      <w:pPr>
                        <w:pStyle w:val="Hlistbullet"/>
                        <w:rPr>
                          <w:sz w:val="16"/>
                          <w:szCs w:val="16"/>
                        </w:rPr>
                      </w:pPr>
                      <w:proofErr w:type="gramStart"/>
                      <w:r w:rsidRPr="00260B0F">
                        <w:rPr>
                          <w:sz w:val="16"/>
                          <w:szCs w:val="16"/>
                        </w:rPr>
                        <w:t>nouvelles</w:t>
                      </w:r>
                      <w:proofErr w:type="gramEnd"/>
                      <w:r w:rsidRPr="00260B0F">
                        <w:rPr>
                          <w:sz w:val="16"/>
                          <w:szCs w:val="16"/>
                        </w:rPr>
                        <w:t xml:space="preserve"> compétences permettant aux agriculteurs/PME d’appliquer des procédés/techniques innovant(e)s, ou nouvelles compétences organisationnelles;</w:t>
                      </w:r>
                    </w:p>
                    <w:p w:rsidR="00260B0F" w:rsidRPr="00260B0F" w:rsidRDefault="00260B0F" w:rsidP="00ED3746">
                      <w:pPr>
                        <w:pStyle w:val="Hlistbullet"/>
                        <w:rPr>
                          <w:sz w:val="16"/>
                          <w:szCs w:val="16"/>
                        </w:rPr>
                      </w:pPr>
                      <w:proofErr w:type="gramStart"/>
                      <w:r w:rsidRPr="00260B0F">
                        <w:rPr>
                          <w:sz w:val="16"/>
                          <w:szCs w:val="16"/>
                        </w:rPr>
                        <w:t>échanges</w:t>
                      </w:r>
                      <w:proofErr w:type="gramEnd"/>
                      <w:r w:rsidRPr="00260B0F">
                        <w:rPr>
                          <w:sz w:val="16"/>
                          <w:szCs w:val="16"/>
                        </w:rPr>
                        <w:t xml:space="preserve"> et visites qui contribuent à transférer les connaissances d’une exploitation/région à l’autre.</w:t>
                      </w:r>
                    </w:p>
                    <w:p w:rsidR="00260B0F" w:rsidRPr="00260B0F" w:rsidRDefault="00260B0F" w:rsidP="00ED3746">
                      <w:pPr>
                        <w:pStyle w:val="HStandard"/>
                        <w:ind w:right="54"/>
                        <w:rPr>
                          <w:b/>
                          <w:color w:val="F07E31"/>
                          <w:sz w:val="16"/>
                          <w:szCs w:val="16"/>
                        </w:rPr>
                      </w:pPr>
                      <w:r w:rsidRPr="00260B0F">
                        <w:rPr>
                          <w:b/>
                          <w:color w:val="F07E31"/>
                          <w:sz w:val="16"/>
                          <w:szCs w:val="16"/>
                        </w:rPr>
                        <w:t xml:space="preserve">Exemples de la manière dont la mesure M16 soutient </w:t>
                      </w:r>
                      <w:proofErr w:type="gramStart"/>
                      <w:r w:rsidRPr="00260B0F">
                        <w:rPr>
                          <w:b/>
                          <w:color w:val="F07E31"/>
                          <w:sz w:val="16"/>
                          <w:szCs w:val="16"/>
                        </w:rPr>
                        <w:t>l’innovation:</w:t>
                      </w:r>
                      <w:proofErr w:type="gramEnd"/>
                    </w:p>
                    <w:p w:rsidR="00260B0F" w:rsidRPr="00260B0F" w:rsidRDefault="00260B0F" w:rsidP="00ED3746">
                      <w:pPr>
                        <w:pStyle w:val="Hlistbullet"/>
                        <w:rPr>
                          <w:sz w:val="16"/>
                          <w:szCs w:val="16"/>
                        </w:rPr>
                      </w:pPr>
                      <w:proofErr w:type="gramStart"/>
                      <w:r w:rsidRPr="00260B0F">
                        <w:rPr>
                          <w:sz w:val="16"/>
                          <w:szCs w:val="16"/>
                        </w:rPr>
                        <w:t>la</w:t>
                      </w:r>
                      <w:proofErr w:type="gramEnd"/>
                      <w:r w:rsidRPr="00260B0F">
                        <w:rPr>
                          <w:sz w:val="16"/>
                          <w:szCs w:val="16"/>
                        </w:rPr>
                        <w:t xml:space="preserve"> mise au point de nouveaux produits, pratiques et technologies dans les secteurs de l’agriculture, de l’alimentation et de la foresterie (sous-mesure M16.2</w:t>
                      </w:r>
                      <w:r w:rsidRPr="00260B0F">
                        <w:rPr>
                          <w:sz w:val="16"/>
                          <w:szCs w:val="16"/>
                          <w:vertAlign w:val="superscript"/>
                        </w:rPr>
                        <w:t>51</w:t>
                      </w:r>
                      <w:r w:rsidRPr="00260B0F">
                        <w:rPr>
                          <w:sz w:val="16"/>
                          <w:szCs w:val="16"/>
                        </w:rPr>
                        <w:t xml:space="preserve">) est liée à la découverte et à la promotion de l’innovation de manière collaborative; </w:t>
                      </w:r>
                    </w:p>
                    <w:p w:rsidR="00260B0F" w:rsidRPr="00260B0F" w:rsidRDefault="00260B0F" w:rsidP="00ED3746">
                      <w:pPr>
                        <w:pStyle w:val="Hlistbullet"/>
                        <w:rPr>
                          <w:sz w:val="16"/>
                          <w:szCs w:val="16"/>
                        </w:rPr>
                      </w:pPr>
                      <w:proofErr w:type="gramStart"/>
                      <w:r w:rsidRPr="00260B0F">
                        <w:rPr>
                          <w:sz w:val="16"/>
                          <w:szCs w:val="16"/>
                        </w:rPr>
                        <w:t>toutes</w:t>
                      </w:r>
                      <w:proofErr w:type="gramEnd"/>
                      <w:r w:rsidRPr="00260B0F">
                        <w:rPr>
                          <w:sz w:val="16"/>
                          <w:szCs w:val="16"/>
                        </w:rPr>
                        <w:t xml:space="preserve"> les autres sous-mesures sont susceptibles de </w:t>
                      </w:r>
                      <w:r w:rsidRPr="00260B0F">
                        <w:rPr>
                          <w:b/>
                          <w:sz w:val="16"/>
                          <w:szCs w:val="16"/>
                        </w:rPr>
                        <w:t>renforcer la capacité d’innover</w:t>
                      </w:r>
                      <w:r w:rsidRPr="00260B0F">
                        <w:rPr>
                          <w:sz w:val="16"/>
                          <w:szCs w:val="16"/>
                        </w:rPr>
                        <w:t>, étant donné que le processus de coopération implique de découvrir de nouvelles possibilités, produire de nouvelles idées, expérimenter de nouvelles technologies ou de déterminer de nouvelles manières de faire les choses, et ce de manière collective;</w:t>
                      </w:r>
                    </w:p>
                    <w:p w:rsidR="00260B0F" w:rsidRPr="00260B0F" w:rsidRDefault="00260B0F" w:rsidP="00ED3746">
                      <w:pPr>
                        <w:pStyle w:val="Hlistbullet"/>
                        <w:rPr>
                          <w:sz w:val="16"/>
                          <w:szCs w:val="16"/>
                        </w:rPr>
                      </w:pPr>
                      <w:proofErr w:type="gramStart"/>
                      <w:r w:rsidRPr="00260B0F">
                        <w:rPr>
                          <w:sz w:val="16"/>
                          <w:szCs w:val="16"/>
                        </w:rPr>
                        <w:t>de</w:t>
                      </w:r>
                      <w:proofErr w:type="gramEnd"/>
                      <w:r w:rsidRPr="00260B0F">
                        <w:rPr>
                          <w:sz w:val="16"/>
                          <w:szCs w:val="16"/>
                        </w:rPr>
                        <w:t xml:space="preserve"> plus, le soutien apporté aux projets de coopération par les conseillers/services de soutien à l’innovation, notamment le soutien apporté aux RRN à cet effet, peut contribuer à </w:t>
                      </w:r>
                      <w:r w:rsidRPr="00260B0F">
                        <w:rPr>
                          <w:b/>
                          <w:sz w:val="16"/>
                          <w:szCs w:val="16"/>
                        </w:rPr>
                        <w:t>renforcer la capacité d’innover</w:t>
                      </w:r>
                      <w:r w:rsidRPr="00260B0F">
                        <w:rPr>
                          <w:sz w:val="16"/>
                          <w:szCs w:val="16"/>
                        </w:rPr>
                        <w:t>;</w:t>
                      </w:r>
                    </w:p>
                    <w:p w:rsidR="00260B0F" w:rsidRPr="00260B0F" w:rsidRDefault="00260B0F" w:rsidP="00ED3746">
                      <w:pPr>
                        <w:pStyle w:val="Hlistbullet"/>
                        <w:rPr>
                          <w:sz w:val="16"/>
                          <w:szCs w:val="16"/>
                        </w:rPr>
                      </w:pPr>
                      <w:proofErr w:type="gramStart"/>
                      <w:r w:rsidRPr="00260B0F">
                        <w:rPr>
                          <w:sz w:val="16"/>
                          <w:szCs w:val="16"/>
                        </w:rPr>
                        <w:t>la</w:t>
                      </w:r>
                      <w:proofErr w:type="gramEnd"/>
                      <w:r w:rsidRPr="00260B0F">
                        <w:rPr>
                          <w:sz w:val="16"/>
                          <w:szCs w:val="16"/>
                        </w:rPr>
                        <w:t xml:space="preserve"> participation des acteurs de l’innovation aux projets de coopération (par exemple, les services de soutien à l’innovation, les départements de l’innovation, les centres de R&amp;D ou les centres d’innovation et de technologie) peut contribuer à </w:t>
                      </w:r>
                      <w:r w:rsidRPr="00260B0F">
                        <w:rPr>
                          <w:b/>
                          <w:sz w:val="16"/>
                          <w:szCs w:val="16"/>
                        </w:rPr>
                        <w:t>créer un environnement propice à l’innovation</w:t>
                      </w:r>
                      <w:r w:rsidRPr="00260B0F">
                        <w:rPr>
                          <w:sz w:val="16"/>
                          <w:szCs w:val="16"/>
                        </w:rPr>
                        <w:t>. Par exemple, un projet de recherche collectif peut produire un résultat susceptible d’influencer la législation (par exemple, la législation environnementale</w:t>
                      </w:r>
                      <w:proofErr w:type="gramStart"/>
                      <w:r w:rsidRPr="00260B0F">
                        <w:rPr>
                          <w:sz w:val="16"/>
                          <w:szCs w:val="16"/>
                        </w:rPr>
                        <w:t>);</w:t>
                      </w:r>
                      <w:proofErr w:type="gramEnd"/>
                    </w:p>
                    <w:p w:rsidR="00260B0F" w:rsidRPr="00260B0F" w:rsidRDefault="00260B0F" w:rsidP="00ED3746">
                      <w:pPr>
                        <w:pStyle w:val="Hlistbullet"/>
                        <w:rPr>
                          <w:sz w:val="16"/>
                          <w:szCs w:val="16"/>
                        </w:rPr>
                      </w:pPr>
                      <w:proofErr w:type="gramStart"/>
                      <w:r w:rsidRPr="00260B0F">
                        <w:rPr>
                          <w:sz w:val="16"/>
                          <w:szCs w:val="16"/>
                        </w:rPr>
                        <w:t>l’établissement</w:t>
                      </w:r>
                      <w:proofErr w:type="gramEnd"/>
                      <w:r w:rsidRPr="00260B0F">
                        <w:rPr>
                          <w:sz w:val="16"/>
                          <w:szCs w:val="16"/>
                        </w:rPr>
                        <w:t xml:space="preserve"> et la mise en œuvre de GO peuvent donner lieu à une approche encore plus globale du soutien à l’innovation en combinant </w:t>
                      </w:r>
                      <w:r w:rsidRPr="00260B0F">
                        <w:rPr>
                          <w:b/>
                          <w:sz w:val="16"/>
                          <w:szCs w:val="16"/>
                        </w:rPr>
                        <w:t>l’ensemble des trois démarches</w:t>
                      </w:r>
                      <w:r w:rsidRPr="00260B0F">
                        <w:rPr>
                          <w:sz w:val="16"/>
                          <w:szCs w:val="16"/>
                        </w:rPr>
                        <w:t>: la découverte de nouvelles idées (le point de départ des GO), le renforcement de la capacité d’innover (le soutien des conseillers/services de soutien à l’innovation) et la création d’un environnement propice à l’innovation (les résultats des projets des GO).</w:t>
                      </w:r>
                    </w:p>
                    <w:p w:rsidR="00260B0F" w:rsidRPr="00260B0F" w:rsidRDefault="00260B0F" w:rsidP="00ED3746">
                      <w:pPr>
                        <w:pStyle w:val="Normal12PTcouleurgris"/>
                        <w:ind w:left="284"/>
                        <w:rPr>
                          <w:color w:val="F07E31"/>
                          <w:sz w:val="16"/>
                          <w:szCs w:val="16"/>
                        </w:rPr>
                      </w:pPr>
                      <w:r w:rsidRPr="00260B0F">
                        <w:rPr>
                          <w:b/>
                          <w:color w:val="F07E31"/>
                          <w:sz w:val="16"/>
                          <w:szCs w:val="16"/>
                        </w:rPr>
                        <w:t xml:space="preserve">Exemples de la manière dont la mesure M19 soutient </w:t>
                      </w:r>
                      <w:proofErr w:type="gramStart"/>
                      <w:r w:rsidRPr="00260B0F">
                        <w:rPr>
                          <w:b/>
                          <w:color w:val="F07E31"/>
                          <w:sz w:val="16"/>
                          <w:szCs w:val="16"/>
                        </w:rPr>
                        <w:t>l’innovation:</w:t>
                      </w:r>
                      <w:proofErr w:type="gramEnd"/>
                    </w:p>
                    <w:p w:rsidR="00260B0F" w:rsidRPr="00260B0F" w:rsidRDefault="00260B0F" w:rsidP="00ED3746">
                      <w:pPr>
                        <w:pStyle w:val="Hlistbullet"/>
                        <w:rPr>
                          <w:sz w:val="16"/>
                          <w:szCs w:val="16"/>
                        </w:rPr>
                      </w:pPr>
                      <w:proofErr w:type="gramStart"/>
                      <w:r w:rsidRPr="00260B0F">
                        <w:rPr>
                          <w:sz w:val="16"/>
                          <w:szCs w:val="16"/>
                        </w:rPr>
                        <w:t>application</w:t>
                      </w:r>
                      <w:proofErr w:type="gramEnd"/>
                      <w:r w:rsidRPr="00260B0F">
                        <w:rPr>
                          <w:sz w:val="16"/>
                          <w:szCs w:val="16"/>
                        </w:rPr>
                        <w:t xml:space="preserve"> de nouveaux modes de conception des stratégies, notamment différentes formes uniques de garantir la participation de la population locale aux décisions stratégiques (par exemple, différentes activités d’animation liées à la collecte d’informations, différents ateliers et plateformes de discussion, etc.) et contribuer ainsi à mettre en place </w:t>
                      </w:r>
                      <w:r w:rsidRPr="00260B0F">
                        <w:rPr>
                          <w:b/>
                          <w:sz w:val="16"/>
                          <w:szCs w:val="16"/>
                        </w:rPr>
                        <w:t>l’environnement propice à l’innovation (démarche 3)</w:t>
                      </w:r>
                      <w:r w:rsidRPr="00260B0F">
                        <w:rPr>
                          <w:sz w:val="16"/>
                          <w:szCs w:val="16"/>
                        </w:rPr>
                        <w:t>;</w:t>
                      </w:r>
                    </w:p>
                    <w:p w:rsidR="00260B0F" w:rsidRPr="00260B0F" w:rsidRDefault="00260B0F" w:rsidP="00ED3746">
                      <w:pPr>
                        <w:pStyle w:val="Hlistbullet"/>
                        <w:rPr>
                          <w:sz w:val="16"/>
                          <w:szCs w:val="16"/>
                        </w:rPr>
                      </w:pPr>
                      <w:proofErr w:type="gramStart"/>
                      <w:r w:rsidRPr="00260B0F">
                        <w:rPr>
                          <w:sz w:val="16"/>
                          <w:szCs w:val="16"/>
                        </w:rPr>
                        <w:t>mise</w:t>
                      </w:r>
                      <w:proofErr w:type="gramEnd"/>
                      <w:r w:rsidRPr="00260B0F">
                        <w:rPr>
                          <w:sz w:val="16"/>
                          <w:szCs w:val="16"/>
                        </w:rPr>
                        <w:t xml:space="preserve"> en œuvre d’activités d’animation innovantes, qui vont au-delà de la conception et de l’exécution de stratégies et qui garantissent la participation de la population au sens large à différentes actions innovantes des GAL (telles que des actions axées sur le renforcement de l’identité territoriale en faisant par exemple intervenir le patrimoine naturel et culturel) qui favorisent davantage encore</w:t>
                      </w:r>
                      <w:r w:rsidRPr="00260B0F">
                        <w:rPr>
                          <w:b/>
                          <w:sz w:val="16"/>
                          <w:szCs w:val="16"/>
                        </w:rPr>
                        <w:t xml:space="preserve"> l’environnement propice et les idées innovantes potentielles (démarches 3 et 1)</w:t>
                      </w:r>
                      <w:r w:rsidRPr="00260B0F">
                        <w:rPr>
                          <w:sz w:val="16"/>
                          <w:szCs w:val="16"/>
                        </w:rPr>
                        <w:t>;</w:t>
                      </w:r>
                    </w:p>
                    <w:p w:rsidR="00260B0F" w:rsidRPr="00260B0F" w:rsidRDefault="00260B0F" w:rsidP="00ED3746">
                      <w:pPr>
                        <w:pStyle w:val="Hlistbullet"/>
                        <w:rPr>
                          <w:sz w:val="16"/>
                          <w:szCs w:val="16"/>
                        </w:rPr>
                      </w:pPr>
                      <w:proofErr w:type="gramStart"/>
                      <w:r w:rsidRPr="00260B0F">
                        <w:rPr>
                          <w:sz w:val="16"/>
                          <w:szCs w:val="16"/>
                        </w:rPr>
                        <w:t>lancement</w:t>
                      </w:r>
                      <w:proofErr w:type="gramEnd"/>
                      <w:r w:rsidRPr="00260B0F">
                        <w:rPr>
                          <w:sz w:val="16"/>
                          <w:szCs w:val="16"/>
                        </w:rPr>
                        <w:t xml:space="preserve"> de projets de coopération innovants qui permettent le transfert de nouvelles connaissances, expériences et technologies sur le territoire du GAL et offrent un espace pour </w:t>
                      </w:r>
                      <w:r w:rsidRPr="00260B0F">
                        <w:rPr>
                          <w:b/>
                          <w:sz w:val="16"/>
                          <w:szCs w:val="16"/>
                        </w:rPr>
                        <w:t>cultiver les idées potentiellement innovantes (démarche 1)</w:t>
                      </w:r>
                      <w:r w:rsidRPr="00260B0F">
                        <w:rPr>
                          <w:sz w:val="16"/>
                          <w:szCs w:val="16"/>
                        </w:rPr>
                        <w:t>.</w:t>
                      </w:r>
                    </w:p>
                  </w:txbxContent>
                </v:textbox>
                <w10:wrap type="tight"/>
              </v:shape>
            </w:pict>
          </mc:Fallback>
        </mc:AlternateContent>
      </w:r>
      <w:r w:rsidR="00ED3746">
        <w:br w:type="page"/>
      </w:r>
    </w:p>
    <w:p w:rsidR="00ED3746" w:rsidRPr="00E05D08" w:rsidRDefault="00ED3746" w:rsidP="00ED3746">
      <w:pPr>
        <w:spacing w:after="120" w:line="280" w:lineRule="atLeast"/>
        <w:mirrorIndents/>
        <w:rPr>
          <w:rFonts w:cs="Times New Roman"/>
          <w:b/>
          <w:color w:val="57825E"/>
          <w:szCs w:val="20"/>
          <w:shd w:val="clear" w:color="000000" w:fill="auto"/>
        </w:rPr>
      </w:pPr>
      <w:r>
        <w:rPr>
          <w:b/>
          <w:color w:val="57825E"/>
        </w:rPr>
        <w:lastRenderedPageBreak/>
        <w:t xml:space="preserve">Difficultés </w:t>
      </w:r>
      <w:proofErr w:type="gramStart"/>
      <w:r>
        <w:rPr>
          <w:b/>
          <w:color w:val="57825E"/>
        </w:rPr>
        <w:t>particulières:</w:t>
      </w:r>
      <w:proofErr w:type="gramEnd"/>
      <w:r>
        <w:rPr>
          <w:b/>
          <w:color w:val="57825E"/>
        </w:rPr>
        <w:t xml:space="preserve"> </w:t>
      </w:r>
    </w:p>
    <w:p w:rsidR="00ED3746" w:rsidRPr="000A718F" w:rsidRDefault="00ED3746" w:rsidP="00ED3746">
      <w:pPr>
        <w:pStyle w:val="Hlistbullet"/>
      </w:pPr>
      <w:proofErr w:type="gramStart"/>
      <w:r>
        <w:rPr>
          <w:b/>
        </w:rPr>
        <w:t>élaborer</w:t>
      </w:r>
      <w:proofErr w:type="gramEnd"/>
      <w:r>
        <w:rPr>
          <w:b/>
        </w:rPr>
        <w:t xml:space="preserve"> des éléments d’évaluation supplémentaires et propres au programme</w:t>
      </w:r>
      <w:r>
        <w:t xml:space="preserve">: La QEC nº 1 est liée à un indicateur cible commun (T1) qui pourrait ne pas être suffisant pour répondre à la QEC et pourrait donc nécessiter d’être accompagné d’indicateurs supplémentaires pour mesurer les dépenses relatives à l’innovation des mesures en question. Dans le même temps, deux indicateurs de réalisation communs peuvent être utilisés pour répondre à la QEC nº 1 (O13 Nombre de bénéficiaires conseillés et O16 Nombre d’opérations du PEI). En fonction de la logique d’intervention particulière, d’autres éléments d’évaluation pourraient être nécessaires pour évaluer tous les aspects liés à </w:t>
      </w:r>
      <w:proofErr w:type="gramStart"/>
      <w:r>
        <w:t>l’innovation;</w:t>
      </w:r>
      <w:proofErr w:type="gramEnd"/>
      <w:r>
        <w:t xml:space="preserve"> </w:t>
      </w:r>
    </w:p>
    <w:p w:rsidR="00ED3746" w:rsidRPr="000A718F" w:rsidRDefault="00ED3746" w:rsidP="00ED3746">
      <w:pPr>
        <w:pStyle w:val="Hlistbullet"/>
        <w:rPr>
          <w:rFonts w:eastAsia="Calibri"/>
          <w:shd w:val="clear" w:color="000000" w:fill="auto"/>
        </w:rPr>
      </w:pPr>
      <w:proofErr w:type="gramStart"/>
      <w:r>
        <w:rPr>
          <w:b/>
        </w:rPr>
        <w:t>attribuer</w:t>
      </w:r>
      <w:proofErr w:type="gramEnd"/>
      <w:r>
        <w:rPr>
          <w:b/>
        </w:rPr>
        <w:t xml:space="preserve"> les changements observés </w:t>
      </w:r>
      <w:r>
        <w:t xml:space="preserve">à l’égard du soutien à l’innovation aux </w:t>
      </w:r>
      <w:r>
        <w:rPr>
          <w:b/>
        </w:rPr>
        <w:t>mesures</w:t>
      </w:r>
      <w:r>
        <w:t> M1, M2, M16 et M19;</w:t>
      </w:r>
    </w:p>
    <w:p w:rsidR="00ED3746" w:rsidRPr="000A718F" w:rsidRDefault="00ED3746" w:rsidP="00ED3746">
      <w:pPr>
        <w:pStyle w:val="Hlistbullet"/>
        <w:rPr>
          <w:rFonts w:eastAsia="Calibri"/>
          <w:shd w:val="clear" w:color="000000" w:fill="auto"/>
        </w:rPr>
      </w:pPr>
      <w:proofErr w:type="gramStart"/>
      <w:r>
        <w:rPr>
          <w:b/>
        </w:rPr>
        <w:t>faire</w:t>
      </w:r>
      <w:proofErr w:type="gramEnd"/>
      <w:r>
        <w:rPr>
          <w:b/>
        </w:rPr>
        <w:t xml:space="preserve"> apparaître les contributions des mesures programmées au titre d’autres DP</w:t>
      </w:r>
      <w:r>
        <w:t xml:space="preserve"> (autres que le DP 1B) pour soutenir l’innovation. </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Approche proposée pour répondre à la QEC nº 1</w:t>
      </w:r>
    </w:p>
    <w:p w:rsidR="00ED3746" w:rsidRPr="00E05D08" w:rsidRDefault="00ED3746" w:rsidP="00ED3746">
      <w:pPr>
        <w:numPr>
          <w:ilvl w:val="0"/>
          <w:numId w:val="55"/>
        </w:numPr>
        <w:spacing w:before="120" w:after="120" w:line="280" w:lineRule="atLeast"/>
        <w:ind w:left="567" w:hanging="567"/>
        <w:mirrorIndents/>
        <w:rPr>
          <w:rFonts w:eastAsia="Times New Roman" w:cs="Times New Roman"/>
          <w:b/>
          <w:szCs w:val="20"/>
        </w:rPr>
      </w:pPr>
      <w:r>
        <w:rPr>
          <w:b/>
        </w:rPr>
        <w:t xml:space="preserve">Logique d’intervention </w:t>
      </w:r>
    </w:p>
    <w:p w:rsidR="00ED3746" w:rsidRDefault="00ED3746" w:rsidP="00ED3746">
      <w:pPr>
        <w:spacing w:after="120" w:line="280" w:lineRule="atLeast"/>
        <w:mirrorIndents/>
        <w:rPr>
          <w:rFonts w:eastAsia="Times New Roman" w:cs="Times New Roman"/>
          <w:szCs w:val="20"/>
        </w:rPr>
      </w:pPr>
      <w:r>
        <w:t xml:space="preserve">La logique d’intervention liée à la QEC nº 1 peut aussi être revisitée du point de vue de l’innovation. Cela peut être fait sur la base des résultats de l’analyse du potentiel d’innovation (voir le </w:t>
      </w:r>
      <w:hyperlink w:anchor="Screening_Potential" w:history="1">
        <w:r>
          <w:rPr>
            <w:rStyle w:val="Hyperlink"/>
            <w:sz w:val="20"/>
          </w:rPr>
          <w:t>chapitre 2.2</w:t>
        </w:r>
      </w:hyperlink>
      <w:r>
        <w:t xml:space="preserve">) des mesures M1, M2, M16 et M19 qui sont généralement programmées au titre d’autres DP que le DP 1A en combinaison avec d’autres mesures. Cela aidera à rendre compte des réalisations du programme à l’égard des objectifs du DP A1 et à déterminer quels bénéficiaires et parties intéressées du PDR peuvent être des fournisseurs de données et d’informations. </w:t>
      </w:r>
    </w:p>
    <w:p w:rsidR="00ED3746" w:rsidRPr="00D66501" w:rsidRDefault="00ED3746" w:rsidP="00ED3746">
      <w:pPr>
        <w:pStyle w:val="HHeadingfigures"/>
      </w:pPr>
      <w:bookmarkStart w:id="127" w:name="_Toc503284761"/>
      <w:bookmarkStart w:id="128" w:name="_Toc508894553"/>
      <w:r>
        <w:t>Exemple de logique d’intervention liée à la QEC nº 1</w:t>
      </w:r>
      <w:bookmarkEnd w:id="127"/>
      <w:bookmarkEnd w:id="128"/>
      <w:r>
        <w:t xml:space="preserve"> </w:t>
      </w:r>
    </w:p>
    <w:p w:rsidR="00ED3746" w:rsidRDefault="00F204F1" w:rsidP="00ED3746">
      <w:pPr>
        <w:spacing w:after="120" w:line="280" w:lineRule="atLeast"/>
        <w:mirrorIndents/>
        <w:jc w:val="center"/>
        <w:rPr>
          <w:rFonts w:eastAsia="Times New Roman" w:cs="Times New Roman"/>
          <w:i/>
          <w:sz w:val="16"/>
          <w:szCs w:val="16"/>
        </w:rPr>
      </w:pPr>
      <w:r w:rsidRPr="00230BFD">
        <w:rPr>
          <w:noProof/>
        </w:rPr>
        <w:drawing>
          <wp:inline distT="0" distB="0" distL="0" distR="0">
            <wp:extent cx="5196333" cy="291876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7050" cy="2941635"/>
                    </a:xfrm>
                    <a:prstGeom prst="rect">
                      <a:avLst/>
                    </a:prstGeom>
                    <a:noFill/>
                    <a:ln>
                      <a:noFill/>
                    </a:ln>
                  </pic:spPr>
                </pic:pic>
              </a:graphicData>
            </a:graphic>
          </wp:inline>
        </w:drawing>
      </w:r>
    </w:p>
    <w:p w:rsidR="00EC67D2" w:rsidRDefault="00EC67D2" w:rsidP="00EC67D2">
      <w:pPr>
        <w:spacing w:after="120" w:line="280" w:lineRule="atLeast"/>
        <w:mirrorIndents/>
        <w:jc w:val="center"/>
        <w:rPr>
          <w:i/>
          <w:sz w:val="16"/>
        </w:rPr>
      </w:pPr>
      <w:proofErr w:type="gramStart"/>
      <w:r>
        <w:rPr>
          <w:i/>
          <w:sz w:val="16"/>
        </w:rPr>
        <w:t>Source:</w:t>
      </w:r>
      <w:proofErr w:type="gramEnd"/>
      <w:r>
        <w:rPr>
          <w:i/>
          <w:sz w:val="16"/>
        </w:rPr>
        <w:t xml:space="preserve"> Helpdesk Évaluation européen pour le développement rural, 2017.</w:t>
      </w:r>
    </w:p>
    <w:p w:rsidR="00EC67D2" w:rsidRDefault="00EC67D2" w:rsidP="00ED3746">
      <w:pPr>
        <w:spacing w:after="120" w:line="280" w:lineRule="atLeast"/>
        <w:mirrorIndents/>
        <w:jc w:val="center"/>
        <w:rPr>
          <w:rFonts w:eastAsia="Times New Roman" w:cs="Times New Roman"/>
          <w:i/>
          <w:sz w:val="16"/>
          <w:szCs w:val="16"/>
        </w:rPr>
      </w:pPr>
    </w:p>
    <w:p w:rsidR="00EC67D2" w:rsidRDefault="00EC67D2" w:rsidP="00260B0F">
      <w:pPr>
        <w:spacing w:after="120" w:line="280" w:lineRule="atLeast"/>
        <w:mirrorIndents/>
        <w:jc w:val="left"/>
        <w:rPr>
          <w:b/>
        </w:rPr>
      </w:pPr>
      <w:r>
        <w:rPr>
          <w:noProof/>
        </w:rPr>
        <w:lastRenderedPageBreak/>
        <mc:AlternateContent>
          <mc:Choice Requires="wps">
            <w:drawing>
              <wp:inline distT="0" distB="0" distL="0" distR="0">
                <wp:extent cx="5732780" cy="1821180"/>
                <wp:effectExtent l="0" t="0" r="20320" b="26670"/>
                <wp:docPr id="10" name="Rectangle: Diagonal Corners Rounded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1821180"/>
                        </a:xfrm>
                        <a:prstGeom prst="round2DiagRect">
                          <a:avLst>
                            <a:gd name="adj1" fmla="val 11556"/>
                            <a:gd name="adj2" fmla="val 0"/>
                          </a:avLst>
                        </a:prstGeom>
                        <a:noFill/>
                        <a:ln w="25400" cap="flat" cmpd="sng" algn="ctr">
                          <a:solidFill>
                            <a:srgbClr val="F07E31"/>
                          </a:solidFill>
                          <a:prstDash val="solid"/>
                        </a:ln>
                        <a:effectLst/>
                      </wps:spPr>
                      <wps:txbx>
                        <w:txbxContent>
                          <w:p w:rsidR="00260B0F" w:rsidRPr="00D33212" w:rsidRDefault="00260B0F" w:rsidP="00ED3746">
                            <w:pPr>
                              <w:pStyle w:val="H-Standard"/>
                            </w:pPr>
                            <w:r>
                              <w:rPr>
                                <w:noProof/>
                              </w:rPr>
                              <w:drawing>
                                <wp:inline distT="0" distB="0" distL="0" distR="0">
                                  <wp:extent cx="349885" cy="357505"/>
                                  <wp:effectExtent l="0" t="0" r="0" b="0"/>
                                  <wp:docPr id="70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Dans cet exemple, la sous-mesure M1</w:t>
                            </w:r>
                            <w:proofErr w:type="gramStart"/>
                            <w:r>
                              <w:t xml:space="preserve"> «formation</w:t>
                            </w:r>
                            <w:proofErr w:type="gramEnd"/>
                            <w:r>
                              <w:t xml:space="preserve"> et acquisition de compétences» et la sous-mesure M2 «formation des conseillers» ont été désignées comme susceptibles de soutenir l’innovation en renforçant les capacités d’innover. La combinaison des sous-mesures M16.7 et M16.8 a le potentiel de soutenir l’innovation en cultivant les idées nouvelles, tandis que la sous-mesure M16.1 a le potentiel de soutenir l’innovation via l’ensemble des trois démarches. La sous-mesure M19.2, qui soutient les stratégies de DLAL, contribue à créer un environnement propice. La sous-mesure de coopération Leader (M19.3) aide à cultiver les idées innovantes de manière collaborative et renforce les capacités d’innover.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23" o:spid="_x0000_s1043" style="width:451.4pt;height:143.4pt;visibility:visible;mso-wrap-style:square;mso-left-percent:-10001;mso-top-percent:-10001;mso-position-horizontal:absolute;mso-position-horizontal-relative:char;mso-position-vertical:absolute;mso-position-vertical-relative:line;mso-left-percent:-10001;mso-top-percent:-10001;v-text-anchor:middle" coordsize="5732780,1821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" adj="-11796480,,5400" path="m210456,l5732780,r,l5732780,1610724v,116232,-94224,210456,-210456,210456l,1821180r,l,210456c,94224,94224,,210456,xe" filled="f" strokecolor="#f07e31" strokeweight="2pt">
                <v:stroke joinstyle="miter"/>
                <v:formulas/>
                <v:path arrowok="t" o:connecttype="custom" o:connectlocs="210456,0;5732780,0;5732780,0;5732780,1610724;5522324,1821180;0,1821180;0,1821180;0,210456;210456,0" o:connectangles="0,0,0,0,0,0,0,0,0" textboxrect="0,0,5732780,1821180"/>
                <v:textbox>
                  <w:txbxContent>
                    <w:p w:rsidR="00260B0F" w:rsidRPr="00D33212" w:rsidRDefault="00260B0F" w:rsidP="00ED3746">
                      <w:pPr>
                        <w:pStyle w:val="H-Standard"/>
                      </w:pPr>
                      <w:r>
                        <w:rPr>
                          <w:noProof/>
                        </w:rPr>
                        <w:drawing>
                          <wp:inline distT="0" distB="0" distL="0" distR="0">
                            <wp:extent cx="349885" cy="357505"/>
                            <wp:effectExtent l="0" t="0" r="0" b="0"/>
                            <wp:docPr id="70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t xml:space="preserve"> Dans cet exemple, la sous-mesure M1</w:t>
                      </w:r>
                      <w:proofErr w:type="gramStart"/>
                      <w:r>
                        <w:t xml:space="preserve"> «formation</w:t>
                      </w:r>
                      <w:proofErr w:type="gramEnd"/>
                      <w:r>
                        <w:t xml:space="preserve"> et acquisition de compétences» et la sous-mesure M2 «formation des conseillers» ont été désignées comme susceptibles de soutenir l’innovation en renforçant les capacités d’innover. La combinaison des sous-mesures M16.7 et M16.8 a le potentiel de soutenir l’innovation en cultivant les idées nouvelles, tandis que la sous-mesure M16.1 a le potentiel de soutenir l’innovation via l’ensemble des trois démarches. La sous-mesure M19.2, qui soutient les stratégies de DLAL, contribue à créer un environnement propice. La sous-mesure de coopération Leader (M19.3) aide à cultiver les idées innovantes de manière collaborative et renforce les capacités d’innover.</w:t>
                      </w:r>
                    </w:p>
                  </w:txbxContent>
                </v:textbox>
                <w10:anchorlock/>
              </v:shape>
            </w:pict>
          </mc:Fallback>
        </mc:AlternateContent>
      </w:r>
    </w:p>
    <w:p w:rsidR="00ED3746" w:rsidRPr="00EC67D2" w:rsidRDefault="00ED3746" w:rsidP="00EC67D2">
      <w:pPr>
        <w:pStyle w:val="Hlistabc2"/>
        <w:numPr>
          <w:ilvl w:val="0"/>
          <w:numId w:val="55"/>
        </w:numPr>
        <w:rPr>
          <w:b/>
        </w:rPr>
      </w:pPr>
      <w:r w:rsidRPr="00EC67D2">
        <w:rPr>
          <w:b/>
        </w:rPr>
        <w:t xml:space="preserve">Éléments d’évaluation </w:t>
      </w:r>
    </w:p>
    <w:p w:rsidR="00ED3746" w:rsidRDefault="00ED3746" w:rsidP="00ED3746">
      <w:pPr>
        <w:spacing w:before="120" w:after="120" w:line="280" w:lineRule="atLeast"/>
        <w:mirrorIndents/>
        <w:rPr>
          <w:rFonts w:eastAsia="Times New Roman" w:cs="Times New Roman"/>
          <w:szCs w:val="20"/>
        </w:rPr>
      </w:pPr>
      <w:r>
        <w:t xml:space="preserve">Les critères de jugement et les indicateurs communs pour la QEC nº 1 restent au niveau des réalisations des opérations au titre des mesures M1, M2, M16 et M19. Des critères de jugement et des indicateurs supplémentaires pourraient devoir être élaborés afin d’évaluer les résultats de ces mesures (voir le </w:t>
      </w:r>
      <w:hyperlink w:anchor="Evaluation_elements" w:history="1">
        <w:r>
          <w:rPr>
            <w:rStyle w:val="Hyperlink"/>
            <w:sz w:val="20"/>
          </w:rPr>
          <w:t>tableau 1</w:t>
        </w:r>
      </w:hyperlink>
      <w:r>
        <w:t>)</w:t>
      </w:r>
    </w:p>
    <w:p w:rsidR="00ED3746" w:rsidRPr="00E05D08" w:rsidRDefault="00ED3746" w:rsidP="00ED3746">
      <w:pPr>
        <w:spacing w:before="120" w:after="120" w:line="280" w:lineRule="atLeast"/>
        <w:mirrorIndents/>
        <w:rPr>
          <w:rFonts w:eastAsia="Times New Roman" w:cs="Times New Roman"/>
          <w:szCs w:val="20"/>
        </w:rPr>
      </w:pPr>
    </w:p>
    <w:p w:rsidR="00ED3746" w:rsidRDefault="00ED3746" w:rsidP="00ED3746">
      <w:pPr>
        <w:numPr>
          <w:ilvl w:val="0"/>
          <w:numId w:val="9"/>
        </w:numPr>
        <w:spacing w:before="60" w:after="0" w:line="280" w:lineRule="atLeast"/>
        <w:ind w:left="0" w:firstLine="0"/>
        <w:sectPr w:rsidR="00ED3746" w:rsidSect="00ED3746">
          <w:endnotePr>
            <w:numFmt w:val="decimal"/>
          </w:endnotePr>
          <w:type w:val="continuous"/>
          <w:pgSz w:w="11906" w:h="16838" w:code="9"/>
          <w:pgMar w:top="1440" w:right="1440" w:bottom="1134" w:left="1440" w:header="567" w:footer="1021" w:gutter="0"/>
          <w:cols w:space="708"/>
          <w:noEndnote/>
          <w:docGrid w:linePitch="360"/>
        </w:sectPr>
      </w:pPr>
    </w:p>
    <w:p w:rsidR="00ED3746" w:rsidRPr="00A43EFD" w:rsidRDefault="00ED3746" w:rsidP="00ED3746">
      <w:pPr>
        <w:pStyle w:val="HHeadingtables"/>
        <w:rPr>
          <w:color w:val="6F6F6F"/>
          <w:sz w:val="18"/>
          <w:szCs w:val="18"/>
        </w:rPr>
      </w:pPr>
      <w:bookmarkStart w:id="129" w:name="Evaluation_elements"/>
      <w:bookmarkStart w:id="130" w:name="_Toc503284463"/>
      <w:bookmarkStart w:id="131" w:name="_Toc508894474"/>
      <w:r>
        <w:rPr>
          <w:color w:val="6F6F6F"/>
          <w:sz w:val="18"/>
        </w:rPr>
        <w:lastRenderedPageBreak/>
        <w:t>Éléments d’évaluation et sources d’information</w:t>
      </w:r>
      <w:bookmarkEnd w:id="129"/>
      <w:r>
        <w:rPr>
          <w:color w:val="6F6F6F"/>
          <w:sz w:val="18"/>
        </w:rPr>
        <w:t xml:space="preserve"> en relation avec la QEC nº 1</w:t>
      </w:r>
      <w:bookmarkEnd w:id="130"/>
      <w:bookmarkEnd w:id="131"/>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6"/>
        <w:gridCol w:w="3118"/>
        <w:gridCol w:w="2835"/>
        <w:gridCol w:w="5755"/>
      </w:tblGrid>
      <w:tr w:rsidR="00ED3746" w:rsidRPr="00B77106" w:rsidTr="00ED3746">
        <w:trPr>
          <w:tblHeader/>
        </w:trPr>
        <w:tc>
          <w:tcPr>
            <w:tcW w:w="2547" w:type="dxa"/>
            <w:shd w:val="clear" w:color="auto" w:fill="F07E31"/>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Critères de jugement</w:t>
            </w:r>
          </w:p>
        </w:tc>
        <w:tc>
          <w:tcPr>
            <w:tcW w:w="3118" w:type="dxa"/>
            <w:shd w:val="clear" w:color="auto" w:fill="F07E31"/>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Indicateurs</w:t>
            </w:r>
          </w:p>
        </w:tc>
        <w:tc>
          <w:tcPr>
            <w:tcW w:w="2835" w:type="dxa"/>
            <w:shd w:val="clear" w:color="auto" w:fill="F07E31"/>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Données requises</w:t>
            </w:r>
          </w:p>
        </w:tc>
        <w:tc>
          <w:tcPr>
            <w:tcW w:w="5756" w:type="dxa"/>
            <w:shd w:val="clear" w:color="auto" w:fill="F07E31"/>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Sources de données</w:t>
            </w:r>
          </w:p>
        </w:tc>
      </w:tr>
      <w:tr w:rsidR="00ED3746" w:rsidRPr="00B77106" w:rsidTr="00ED3746">
        <w:tc>
          <w:tcPr>
            <w:tcW w:w="14256" w:type="dxa"/>
            <w:gridSpan w:val="4"/>
            <w:shd w:val="clear" w:color="auto" w:fill="8BAB80"/>
          </w:tcPr>
          <w:p w:rsidR="00ED3746" w:rsidRPr="00B77106" w:rsidRDefault="00ED3746" w:rsidP="00ED3746">
            <w:pPr>
              <w:spacing w:after="120" w:line="280" w:lineRule="atLeast"/>
              <w:mirrorIndents/>
              <w:rPr>
                <w:rFonts w:eastAsia="Times New Roman" w:cs="Arial"/>
                <w:b/>
                <w:color w:val="FFFFFF"/>
                <w:sz w:val="18"/>
                <w:szCs w:val="18"/>
              </w:rPr>
            </w:pPr>
            <w:r>
              <w:rPr>
                <w:b/>
                <w:color w:val="FFFFFF"/>
                <w:sz w:val="18"/>
              </w:rPr>
              <w:t>Éléments d’évaluation communs (CMES et éléments proposés dans le document de travail</w:t>
            </w:r>
            <w:proofErr w:type="gramStart"/>
            <w:r>
              <w:rPr>
                <w:b/>
                <w:color w:val="FFFFFF"/>
                <w:sz w:val="18"/>
              </w:rPr>
              <w:t xml:space="preserve"> </w:t>
            </w:r>
            <w:r>
              <w:rPr>
                <w:b/>
                <w:i/>
                <w:color w:val="FFFFFF"/>
                <w:sz w:val="18"/>
              </w:rPr>
              <w:t>«Questions</w:t>
            </w:r>
            <w:proofErr w:type="gramEnd"/>
            <w:r>
              <w:rPr>
                <w:b/>
                <w:i/>
                <w:color w:val="FFFFFF"/>
                <w:sz w:val="18"/>
              </w:rPr>
              <w:t xml:space="preserve"> d’évaluation communes pour les programmes de développement rural 2014-2020»)</w:t>
            </w:r>
          </w:p>
        </w:tc>
      </w:tr>
      <w:tr w:rsidR="00ED3746" w:rsidRPr="00B77106" w:rsidTr="00ED3746">
        <w:trPr>
          <w:trHeight w:val="1184"/>
        </w:trPr>
        <w:tc>
          <w:tcPr>
            <w:tcW w:w="2547"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Les projets du PDR ont été innovants et basés sur les connaissances développées.</w:t>
            </w:r>
          </w:p>
        </w:tc>
        <w:tc>
          <w:tcPr>
            <w:tcW w:w="311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T</w:t>
            </w:r>
            <w:proofErr w:type="gramStart"/>
            <w:r>
              <w:rPr>
                <w:color w:val="292929"/>
                <w:sz w:val="18"/>
              </w:rPr>
              <w:t>1:</w:t>
            </w:r>
            <w:proofErr w:type="gramEnd"/>
            <w:r>
              <w:rPr>
                <w:color w:val="292929"/>
                <w:sz w:val="18"/>
              </w:rPr>
              <w:t xml:space="preserve"> pourcentage des dépenses au titre des articles 14, 15 et 35 du règlement (UE) nº 1305/2013 en ce qui concerne le montant total des dépenses pour le PDR</w:t>
            </w:r>
          </w:p>
          <w:p w:rsidR="00ED3746" w:rsidRPr="00B77106" w:rsidRDefault="00ED3746" w:rsidP="00ED3746">
            <w:pPr>
              <w:spacing w:after="120" w:line="280" w:lineRule="atLeast"/>
              <w:jc w:val="left"/>
              <w:rPr>
                <w:rFonts w:cs="Arial"/>
                <w:color w:val="416246"/>
                <w:sz w:val="18"/>
                <w:szCs w:val="18"/>
              </w:rPr>
            </w:pPr>
            <w:r>
              <w:rPr>
                <w:color w:val="416246"/>
                <w:sz w:val="18"/>
                <w:u w:val="single"/>
              </w:rPr>
              <w:t xml:space="preserve">Indicateur </w:t>
            </w:r>
            <w:proofErr w:type="gramStart"/>
            <w:r>
              <w:rPr>
                <w:color w:val="416246"/>
                <w:sz w:val="18"/>
                <w:u w:val="single"/>
              </w:rPr>
              <w:t>supplémentaire</w:t>
            </w:r>
            <w:r>
              <w:t>:</w:t>
            </w:r>
            <w:proofErr w:type="gramEnd"/>
            <w:r>
              <w:rPr>
                <w:color w:val="416246"/>
                <w:sz w:val="18"/>
              </w:rPr>
              <w:t xml:space="preserve"> pourcentage de projets innovants sur tous les projets soutenus par le PDR </w:t>
            </w:r>
          </w:p>
        </w:tc>
        <w:tc>
          <w:tcPr>
            <w:tcW w:w="2835"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Données relatives aux dépenses réalisées pour les mesures 1, 2 et 16</w:t>
            </w:r>
          </w:p>
          <w:p w:rsidR="00ED3746" w:rsidRPr="00B77106" w:rsidRDefault="00ED3746" w:rsidP="00ED3746">
            <w:pPr>
              <w:spacing w:after="120" w:line="280" w:lineRule="atLeast"/>
              <w:jc w:val="left"/>
              <w:rPr>
                <w:rFonts w:cs="Arial"/>
                <w:color w:val="292929"/>
                <w:sz w:val="18"/>
                <w:szCs w:val="18"/>
              </w:rPr>
            </w:pPr>
            <w:r>
              <w:rPr>
                <w:color w:val="292929"/>
                <w:sz w:val="18"/>
              </w:rPr>
              <w:t>Si possible, des données relatives aux dépenses pour les sous-mesures qui ont été désignées comme susceptibles de soutenir l’innovation devraient aussi être collectées.</w:t>
            </w:r>
          </w:p>
        </w:tc>
        <w:tc>
          <w:tcPr>
            <w:tcW w:w="5756"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Système de suivi du PDR </w:t>
            </w:r>
          </w:p>
          <w:p w:rsidR="00ED3746" w:rsidRPr="00B77106" w:rsidRDefault="00ED3746" w:rsidP="00ED3746">
            <w:pPr>
              <w:numPr>
                <w:ilvl w:val="0"/>
                <w:numId w:val="81"/>
              </w:numPr>
              <w:suppressAutoHyphens/>
              <w:spacing w:before="40" w:after="40" w:line="240" w:lineRule="auto"/>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81"/>
              </w:numPr>
              <w:suppressAutoHyphens/>
              <w:spacing w:before="40" w:after="40" w:line="240" w:lineRule="auto"/>
              <w:jc w:val="left"/>
              <w:rPr>
                <w:rFonts w:eastAsia="Times New Roman" w:cs="Arial"/>
                <w:sz w:val="18"/>
                <w:szCs w:val="18"/>
              </w:rPr>
            </w:pPr>
            <w:r>
              <w:rPr>
                <w:sz w:val="18"/>
              </w:rPr>
              <w:t>Demandes de paiement des bénéficiaires (fin du projet)</w:t>
            </w:r>
          </w:p>
        </w:tc>
      </w:tr>
      <w:tr w:rsidR="00ED3746" w:rsidRPr="00B77106" w:rsidTr="00ED3746">
        <w:tc>
          <w:tcPr>
            <w:tcW w:w="2547"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Des groupes opérationnels ont été créés.</w:t>
            </w:r>
          </w:p>
        </w:tc>
        <w:tc>
          <w:tcPr>
            <w:tcW w:w="311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O.16 Nombre d’opérations du PEI</w:t>
            </w:r>
          </w:p>
        </w:tc>
        <w:tc>
          <w:tcPr>
            <w:tcW w:w="2835"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d’opérations du PEI (point O.16)</w:t>
            </w:r>
          </w:p>
        </w:tc>
        <w:tc>
          <w:tcPr>
            <w:tcW w:w="5756"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Système de suivi du PDR </w:t>
            </w:r>
          </w:p>
          <w:p w:rsidR="00ED3746" w:rsidRPr="00B77106" w:rsidRDefault="00ED3746" w:rsidP="00ED3746">
            <w:pPr>
              <w:numPr>
                <w:ilvl w:val="0"/>
                <w:numId w:val="82"/>
              </w:numPr>
              <w:suppressAutoHyphens/>
              <w:spacing w:before="40" w:after="40" w:line="240" w:lineRule="auto"/>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82"/>
              </w:numPr>
              <w:suppressAutoHyphens/>
              <w:spacing w:before="40" w:after="40" w:line="240" w:lineRule="auto"/>
              <w:jc w:val="left"/>
              <w:rPr>
                <w:rFonts w:eastAsia="Times New Roman" w:cs="Arial"/>
                <w:sz w:val="18"/>
                <w:szCs w:val="18"/>
              </w:rPr>
            </w:pPr>
            <w:r>
              <w:rPr>
                <w:sz w:val="18"/>
              </w:rPr>
              <w:t>Demandes de paiement des bénéficiaires (fin du projet)</w:t>
            </w:r>
          </w:p>
        </w:tc>
      </w:tr>
      <w:tr w:rsidR="00ED3746" w:rsidRPr="00B77106" w:rsidTr="00ED3746">
        <w:tc>
          <w:tcPr>
            <w:tcW w:w="2547"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Diversité des partenaires participant aux GO du PEI</w:t>
            </w:r>
          </w:p>
        </w:tc>
        <w:tc>
          <w:tcPr>
            <w:tcW w:w="311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O.16 Nombre et type de partenaires des opérations du PEI</w:t>
            </w:r>
          </w:p>
          <w:p w:rsidR="00ED3746" w:rsidRPr="00B77106" w:rsidRDefault="00ED3746" w:rsidP="00ED3746">
            <w:pPr>
              <w:spacing w:after="120" w:line="280" w:lineRule="atLeast"/>
              <w:jc w:val="left"/>
              <w:rPr>
                <w:rFonts w:cs="Arial"/>
                <w:color w:val="292929"/>
                <w:sz w:val="18"/>
                <w:szCs w:val="18"/>
              </w:rPr>
            </w:pPr>
            <w:r>
              <w:rPr>
                <w:color w:val="416246"/>
                <w:sz w:val="18"/>
                <w:u w:val="single"/>
              </w:rPr>
              <w:t xml:space="preserve">Indicateur </w:t>
            </w:r>
            <w:proofErr w:type="gramStart"/>
            <w:r>
              <w:rPr>
                <w:color w:val="416246"/>
                <w:sz w:val="18"/>
                <w:u w:val="single"/>
              </w:rPr>
              <w:t>supplémentaire</w:t>
            </w:r>
            <w:r>
              <w:t>:</w:t>
            </w:r>
            <w:proofErr w:type="gramEnd"/>
            <w:r>
              <w:rPr>
                <w:color w:val="416246"/>
                <w:sz w:val="18"/>
              </w:rPr>
              <w:t xml:space="preserve"> nombre et types de partenaires participant aux projets de coopération</w:t>
            </w:r>
          </w:p>
        </w:tc>
        <w:tc>
          <w:tcPr>
            <w:tcW w:w="2835"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et type de partenaires</w:t>
            </w:r>
          </w:p>
        </w:tc>
        <w:tc>
          <w:tcPr>
            <w:tcW w:w="5756"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Système de suivi du PDR </w:t>
            </w:r>
          </w:p>
          <w:p w:rsidR="00ED3746" w:rsidRPr="00B77106" w:rsidRDefault="00ED3746" w:rsidP="00ED3746">
            <w:pPr>
              <w:numPr>
                <w:ilvl w:val="0"/>
                <w:numId w:val="83"/>
              </w:numPr>
              <w:suppressAutoHyphens/>
              <w:spacing w:before="40" w:after="40" w:line="240" w:lineRule="auto"/>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83"/>
              </w:numPr>
              <w:suppressAutoHyphens/>
              <w:spacing w:before="40" w:after="40" w:line="240" w:lineRule="auto"/>
              <w:jc w:val="left"/>
              <w:rPr>
                <w:rFonts w:eastAsia="Times New Roman" w:cs="Arial"/>
                <w:sz w:val="18"/>
                <w:szCs w:val="18"/>
              </w:rPr>
            </w:pPr>
            <w:r>
              <w:rPr>
                <w:sz w:val="18"/>
              </w:rPr>
              <w:t>Demandes de paiement des bénéficiaires (fin du projet)</w:t>
            </w:r>
          </w:p>
          <w:p w:rsidR="00ED3746" w:rsidRPr="00B77106" w:rsidRDefault="00ED3746" w:rsidP="00ED3746">
            <w:pPr>
              <w:spacing w:after="120" w:line="280" w:lineRule="atLeast"/>
              <w:jc w:val="left"/>
              <w:rPr>
                <w:rFonts w:cs="Arial"/>
                <w:color w:val="292929"/>
                <w:sz w:val="18"/>
                <w:szCs w:val="18"/>
              </w:rPr>
            </w:pPr>
            <w:r>
              <w:rPr>
                <w:color w:val="292929"/>
                <w:sz w:val="18"/>
              </w:rPr>
              <w:t>Brèves descriptions des pratiques des GO</w:t>
            </w:r>
          </w:p>
          <w:p w:rsidR="00ED3746" w:rsidRPr="00B77106" w:rsidRDefault="00ED3746" w:rsidP="00ED3746">
            <w:pPr>
              <w:spacing w:after="120" w:line="280" w:lineRule="atLeast"/>
              <w:jc w:val="left"/>
              <w:rPr>
                <w:rFonts w:cs="Arial"/>
                <w:color w:val="292929"/>
                <w:sz w:val="18"/>
                <w:szCs w:val="18"/>
              </w:rPr>
            </w:pPr>
          </w:p>
        </w:tc>
      </w:tr>
      <w:tr w:rsidR="00ED3746" w:rsidRPr="00B77106" w:rsidTr="00ED3746">
        <w:tc>
          <w:tcPr>
            <w:tcW w:w="2547"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Des actions innovantes ont été mises en œuvre et diffusées par les GO du PEI</w:t>
            </w:r>
          </w:p>
        </w:tc>
        <w:tc>
          <w:tcPr>
            <w:tcW w:w="311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O.16 Nombre d’opérations du PEI</w:t>
            </w:r>
          </w:p>
          <w:p w:rsidR="00ED3746" w:rsidRPr="00B77106" w:rsidRDefault="00ED3746" w:rsidP="00ED3746">
            <w:pPr>
              <w:spacing w:after="120" w:line="280" w:lineRule="atLeast"/>
              <w:jc w:val="left"/>
              <w:rPr>
                <w:rFonts w:cs="Arial"/>
                <w:color w:val="57825E"/>
                <w:sz w:val="18"/>
                <w:szCs w:val="18"/>
              </w:rPr>
            </w:pPr>
            <w:r>
              <w:rPr>
                <w:color w:val="57825E"/>
                <w:sz w:val="18"/>
                <w:u w:val="single"/>
              </w:rPr>
              <w:t xml:space="preserve">Indicateur </w:t>
            </w:r>
            <w:proofErr w:type="gramStart"/>
            <w:r>
              <w:rPr>
                <w:color w:val="57825E"/>
                <w:sz w:val="18"/>
                <w:u w:val="single"/>
              </w:rPr>
              <w:t>supplémentaire</w:t>
            </w:r>
            <w:r>
              <w:t>:</w:t>
            </w:r>
            <w:proofErr w:type="gramEnd"/>
            <w:r>
              <w:rPr>
                <w:color w:val="57825E"/>
                <w:sz w:val="18"/>
              </w:rPr>
              <w:t xml:space="preserve"> nombre d’actions innovantes bénéficiant d’un soutien mises en œuvre et </w:t>
            </w:r>
            <w:r>
              <w:rPr>
                <w:color w:val="57825E"/>
                <w:sz w:val="18"/>
              </w:rPr>
              <w:lastRenderedPageBreak/>
              <w:t>diffusées par les GO du PEI réparties par type, secteur, etc.</w:t>
            </w:r>
          </w:p>
          <w:p w:rsidR="00ED3746" w:rsidRPr="00B77106" w:rsidRDefault="00ED3746" w:rsidP="00ED3746">
            <w:pPr>
              <w:spacing w:after="120" w:line="280" w:lineRule="atLeast"/>
              <w:jc w:val="left"/>
              <w:rPr>
                <w:rFonts w:cs="Arial"/>
                <w:color w:val="292929"/>
                <w:sz w:val="18"/>
                <w:szCs w:val="18"/>
              </w:rPr>
            </w:pPr>
          </w:p>
          <w:p w:rsidR="00ED3746" w:rsidRPr="00B77106" w:rsidRDefault="00ED3746" w:rsidP="00ED3746">
            <w:pPr>
              <w:spacing w:after="120" w:line="280" w:lineRule="atLeast"/>
              <w:jc w:val="left"/>
              <w:rPr>
                <w:rFonts w:cs="Arial"/>
                <w:color w:val="292929"/>
                <w:sz w:val="18"/>
                <w:szCs w:val="18"/>
              </w:rPr>
            </w:pPr>
            <w:r>
              <w:rPr>
                <w:color w:val="292929"/>
                <w:sz w:val="18"/>
              </w:rPr>
              <w:t xml:space="preserve"> </w:t>
            </w:r>
          </w:p>
        </w:tc>
        <w:tc>
          <w:tcPr>
            <w:tcW w:w="2835"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lastRenderedPageBreak/>
              <w:t>Nombre d’opérations du PEI (point O.16)</w:t>
            </w:r>
          </w:p>
        </w:tc>
        <w:tc>
          <w:tcPr>
            <w:tcW w:w="5756"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Système de suivi du PDR </w:t>
            </w:r>
          </w:p>
          <w:p w:rsidR="00ED3746" w:rsidRPr="00B77106" w:rsidRDefault="00ED3746" w:rsidP="00ED3746">
            <w:pPr>
              <w:numPr>
                <w:ilvl w:val="0"/>
                <w:numId w:val="84"/>
              </w:numPr>
              <w:suppressAutoHyphens/>
              <w:spacing w:before="40" w:after="40" w:line="240" w:lineRule="auto"/>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84"/>
              </w:numPr>
              <w:suppressAutoHyphens/>
              <w:spacing w:before="40" w:after="40" w:line="240" w:lineRule="auto"/>
              <w:jc w:val="left"/>
              <w:rPr>
                <w:rFonts w:eastAsia="Times New Roman" w:cs="Arial"/>
                <w:sz w:val="18"/>
                <w:szCs w:val="18"/>
              </w:rPr>
            </w:pPr>
            <w:r>
              <w:rPr>
                <w:sz w:val="18"/>
              </w:rPr>
              <w:t>Demandes de paiement des bénéficiaires (fin du projet)</w:t>
            </w:r>
          </w:p>
          <w:p w:rsidR="00ED3746" w:rsidRPr="00B77106" w:rsidRDefault="00ED3746" w:rsidP="00ED3746">
            <w:pPr>
              <w:spacing w:after="120" w:line="280" w:lineRule="atLeast"/>
              <w:jc w:val="left"/>
              <w:rPr>
                <w:rFonts w:cs="Arial"/>
                <w:color w:val="292929"/>
                <w:sz w:val="18"/>
                <w:szCs w:val="18"/>
              </w:rPr>
            </w:pPr>
            <w:r>
              <w:rPr>
                <w:color w:val="292929"/>
                <w:sz w:val="18"/>
              </w:rPr>
              <w:t>Brèves descriptions des pratiques des GO</w:t>
            </w:r>
          </w:p>
        </w:tc>
      </w:tr>
      <w:tr w:rsidR="00ED3746" w:rsidRPr="00B77106" w:rsidTr="00ED3746">
        <w:tc>
          <w:tcPr>
            <w:tcW w:w="14256" w:type="dxa"/>
            <w:gridSpan w:val="4"/>
            <w:shd w:val="clear" w:color="auto" w:fill="8BAB80"/>
          </w:tcPr>
          <w:p w:rsidR="00ED3746" w:rsidRPr="00B77106" w:rsidRDefault="00ED3746" w:rsidP="00ED3746">
            <w:pPr>
              <w:spacing w:after="120" w:line="280" w:lineRule="atLeast"/>
              <w:rPr>
                <w:rFonts w:cs="Arial"/>
                <w:b/>
                <w:color w:val="8F8F8F"/>
                <w:sz w:val="18"/>
                <w:szCs w:val="18"/>
              </w:rPr>
            </w:pPr>
            <w:r>
              <w:rPr>
                <w:b/>
                <w:color w:val="FFFFFF"/>
                <w:sz w:val="18"/>
              </w:rPr>
              <w:t>Éléments d’évaluation supplémentaires (facultatif)</w:t>
            </w:r>
          </w:p>
        </w:tc>
      </w:tr>
      <w:tr w:rsidR="00ED3746" w:rsidRPr="00B77106" w:rsidTr="00ED3746">
        <w:tc>
          <w:tcPr>
            <w:tcW w:w="2547"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La composition des groupes opérationnels du PEI inclut des acteurs de l’innovation.</w:t>
            </w:r>
          </w:p>
        </w:tc>
        <w:tc>
          <w:tcPr>
            <w:tcW w:w="311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Composition des groupes opérationnels du PEI (nombre et type de partenaires), parmi lesquels se trouvent des acteurs de l’innovation</w:t>
            </w:r>
          </w:p>
        </w:tc>
        <w:tc>
          <w:tcPr>
            <w:tcW w:w="2835" w:type="dxa"/>
            <w:shd w:val="clear" w:color="auto" w:fill="auto"/>
          </w:tcPr>
          <w:p w:rsidR="00ED3746" w:rsidRPr="00B77106" w:rsidRDefault="00ED3746" w:rsidP="00ED3746">
            <w:pPr>
              <w:suppressAutoHyphens/>
              <w:spacing w:before="40" w:after="40" w:line="240" w:lineRule="auto"/>
              <w:jc w:val="left"/>
              <w:rPr>
                <w:rFonts w:eastAsia="Times New Roman" w:cs="Arial"/>
                <w:sz w:val="18"/>
                <w:szCs w:val="18"/>
              </w:rPr>
            </w:pPr>
            <w:r>
              <w:rPr>
                <w:sz w:val="18"/>
              </w:rPr>
              <w:t>Nombre de partenaires des GO</w:t>
            </w:r>
          </w:p>
          <w:p w:rsidR="00ED3746" w:rsidRPr="00B77106" w:rsidRDefault="00ED3746" w:rsidP="00ED3746">
            <w:pPr>
              <w:suppressAutoHyphens/>
              <w:spacing w:before="40" w:after="40" w:line="240" w:lineRule="auto"/>
              <w:jc w:val="left"/>
              <w:rPr>
                <w:rFonts w:eastAsia="Times New Roman" w:cs="Arial"/>
                <w:sz w:val="18"/>
                <w:szCs w:val="18"/>
              </w:rPr>
            </w:pPr>
            <w:r>
              <w:rPr>
                <w:sz w:val="18"/>
              </w:rPr>
              <w:t>Type de partenaires des GO</w:t>
            </w:r>
          </w:p>
        </w:tc>
        <w:tc>
          <w:tcPr>
            <w:tcW w:w="5756" w:type="dxa"/>
            <w:shd w:val="clear" w:color="auto" w:fill="auto"/>
          </w:tcPr>
          <w:p w:rsidR="00ED3746" w:rsidRPr="00B77106" w:rsidRDefault="00ED3746" w:rsidP="00ED3746">
            <w:pPr>
              <w:suppressAutoHyphens/>
              <w:spacing w:before="40" w:after="40" w:line="240" w:lineRule="auto"/>
              <w:jc w:val="left"/>
              <w:rPr>
                <w:rFonts w:eastAsia="Times New Roman" w:cs="Arial"/>
                <w:sz w:val="18"/>
                <w:szCs w:val="18"/>
              </w:rPr>
            </w:pPr>
            <w:r>
              <w:rPr>
                <w:sz w:val="18"/>
              </w:rPr>
              <w:t xml:space="preserve">Système de suivi du PDR </w:t>
            </w:r>
          </w:p>
          <w:p w:rsidR="00ED3746" w:rsidRPr="00B77106" w:rsidRDefault="00ED3746" w:rsidP="00ED3746">
            <w:pPr>
              <w:numPr>
                <w:ilvl w:val="0"/>
                <w:numId w:val="85"/>
              </w:numPr>
              <w:suppressAutoHyphens/>
              <w:spacing w:before="40" w:after="40" w:line="240" w:lineRule="auto"/>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85"/>
              </w:numPr>
              <w:suppressAutoHyphens/>
              <w:spacing w:before="40" w:after="40" w:line="240" w:lineRule="auto"/>
              <w:jc w:val="left"/>
              <w:rPr>
                <w:rFonts w:eastAsia="Times New Roman" w:cs="Arial"/>
                <w:sz w:val="18"/>
                <w:szCs w:val="18"/>
              </w:rPr>
            </w:pPr>
            <w:r>
              <w:rPr>
                <w:sz w:val="18"/>
              </w:rPr>
              <w:t>Demandes de paiement des bénéficiaires (fin du projet)</w:t>
            </w:r>
          </w:p>
          <w:p w:rsidR="00ED3746" w:rsidRPr="00B77106" w:rsidRDefault="00ED3746" w:rsidP="00ED3746">
            <w:pPr>
              <w:suppressAutoHyphens/>
              <w:spacing w:before="40" w:after="40" w:line="240" w:lineRule="auto"/>
              <w:jc w:val="left"/>
              <w:rPr>
                <w:rFonts w:eastAsia="Times New Roman" w:cs="Arial"/>
                <w:sz w:val="18"/>
                <w:szCs w:val="18"/>
              </w:rPr>
            </w:pPr>
            <w:r>
              <w:rPr>
                <w:sz w:val="18"/>
              </w:rPr>
              <w:t>Enquêtes auprès des groupes opérationnels du PEI et des GAL</w:t>
            </w:r>
          </w:p>
          <w:p w:rsidR="00ED3746" w:rsidRPr="00B77106" w:rsidRDefault="00ED3746" w:rsidP="00ED3746">
            <w:pPr>
              <w:suppressAutoHyphens/>
              <w:spacing w:before="40" w:after="40" w:line="240" w:lineRule="auto"/>
              <w:jc w:val="left"/>
              <w:rPr>
                <w:rFonts w:eastAsia="Times New Roman" w:cs="Arial"/>
                <w:sz w:val="18"/>
                <w:szCs w:val="18"/>
              </w:rPr>
            </w:pPr>
            <w:r>
              <w:rPr>
                <w:sz w:val="18"/>
              </w:rPr>
              <w:t>Plateformes en ligne des GO</w:t>
            </w:r>
          </w:p>
          <w:p w:rsidR="00ED3746" w:rsidRPr="00B77106" w:rsidRDefault="00ED3746" w:rsidP="00ED3746">
            <w:pPr>
              <w:suppressAutoHyphens/>
              <w:spacing w:before="40" w:after="40" w:line="240" w:lineRule="auto"/>
              <w:jc w:val="left"/>
              <w:rPr>
                <w:rFonts w:eastAsia="Times New Roman" w:cs="Arial"/>
                <w:sz w:val="18"/>
                <w:szCs w:val="18"/>
              </w:rPr>
            </w:pPr>
            <w:r>
              <w:rPr>
                <w:sz w:val="18"/>
              </w:rPr>
              <w:t>Brèves descriptions des pratiques des GO</w:t>
            </w:r>
          </w:p>
        </w:tc>
      </w:tr>
      <w:tr w:rsidR="00ED3746" w:rsidRPr="00B77106" w:rsidTr="00ED3746">
        <w:tc>
          <w:tcPr>
            <w:tcW w:w="2547"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Les GAL ont soutenu des projets d’innovation.</w:t>
            </w:r>
          </w:p>
        </w:tc>
        <w:tc>
          <w:tcPr>
            <w:tcW w:w="311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de projets mis en œuvre par les GAL et leurs bénéficiaires désignés comme innovants (conformes aux critères d’admissibilité et de sélection)</w:t>
            </w:r>
          </w:p>
        </w:tc>
        <w:tc>
          <w:tcPr>
            <w:tcW w:w="2835"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Données de suivi sur les projets des GAL </w:t>
            </w:r>
          </w:p>
        </w:tc>
        <w:tc>
          <w:tcPr>
            <w:tcW w:w="5756"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Base de données des opérations des GAL</w:t>
            </w:r>
          </w:p>
        </w:tc>
      </w:tr>
      <w:tr w:rsidR="00ED3746" w:rsidRPr="00B77106" w:rsidTr="00ED3746">
        <w:tc>
          <w:tcPr>
            <w:tcW w:w="2547"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Les acteurs de l’innovation ont été formés.</w:t>
            </w:r>
          </w:p>
        </w:tc>
        <w:tc>
          <w:tcPr>
            <w:tcW w:w="311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et type d’acteurs de l’innovation formés</w:t>
            </w:r>
          </w:p>
        </w:tc>
        <w:tc>
          <w:tcPr>
            <w:tcW w:w="2835"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et types d’acteurs formés</w:t>
            </w:r>
          </w:p>
        </w:tc>
        <w:tc>
          <w:tcPr>
            <w:tcW w:w="5756"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Système de suivi du PDR </w:t>
            </w:r>
          </w:p>
          <w:p w:rsidR="00ED3746" w:rsidRPr="00B77106" w:rsidRDefault="00ED3746" w:rsidP="00ED3746">
            <w:pPr>
              <w:numPr>
                <w:ilvl w:val="0"/>
                <w:numId w:val="86"/>
              </w:numPr>
              <w:suppressAutoHyphens/>
              <w:spacing w:before="40" w:after="40" w:line="240" w:lineRule="auto"/>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86"/>
              </w:numPr>
              <w:suppressAutoHyphens/>
              <w:spacing w:before="40" w:after="40" w:line="240" w:lineRule="auto"/>
              <w:jc w:val="left"/>
              <w:rPr>
                <w:rFonts w:eastAsia="Times New Roman" w:cs="Arial"/>
                <w:sz w:val="18"/>
                <w:szCs w:val="18"/>
              </w:rPr>
            </w:pPr>
            <w:r>
              <w:rPr>
                <w:sz w:val="18"/>
              </w:rPr>
              <w:t>Demandes de paiement des bénéficiaires (fin du projet)</w:t>
            </w:r>
          </w:p>
          <w:p w:rsidR="00ED3746" w:rsidRPr="00B77106" w:rsidRDefault="00ED3746" w:rsidP="00ED3746">
            <w:pPr>
              <w:spacing w:after="120" w:line="280" w:lineRule="atLeast"/>
              <w:jc w:val="left"/>
              <w:rPr>
                <w:rFonts w:cs="Arial"/>
                <w:color w:val="292929"/>
                <w:sz w:val="18"/>
                <w:szCs w:val="18"/>
              </w:rPr>
            </w:pPr>
            <w:r>
              <w:rPr>
                <w:color w:val="292929"/>
                <w:sz w:val="18"/>
              </w:rPr>
              <w:t>Entretiens, enquêtes avec l’AG et avec les prestataires de services de formation</w:t>
            </w:r>
          </w:p>
        </w:tc>
      </w:tr>
      <w:tr w:rsidR="00ED3746" w:rsidRPr="00B77106" w:rsidTr="00ED3746">
        <w:tc>
          <w:tcPr>
            <w:tcW w:w="2547"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Principaux facteurs de réussite pour le soutien à l’innovation par les mesures M1, M2, M16 et M19</w:t>
            </w:r>
          </w:p>
        </w:tc>
        <w:tc>
          <w:tcPr>
            <w:tcW w:w="311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Description des principaux facteurs qui ont contribué à soutenir l’innovation dans les zones rurales</w:t>
            </w:r>
          </w:p>
        </w:tc>
        <w:tc>
          <w:tcPr>
            <w:tcW w:w="2835"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Informations qualitatives</w:t>
            </w:r>
          </w:p>
        </w:tc>
        <w:tc>
          <w:tcPr>
            <w:tcW w:w="5756"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Entretiens, enquêtes et groupes de discussion avec les bénéficiaires des sous-mesures relatives à l’innovation des mesures M1 et M2 et avec les GO </w:t>
            </w:r>
          </w:p>
          <w:p w:rsidR="00ED3746" w:rsidRPr="00B77106" w:rsidRDefault="00ED3746" w:rsidP="00ED3746">
            <w:pPr>
              <w:spacing w:after="120" w:line="280" w:lineRule="atLeast"/>
              <w:jc w:val="left"/>
              <w:rPr>
                <w:rFonts w:cs="Arial"/>
                <w:color w:val="292929"/>
                <w:sz w:val="18"/>
                <w:szCs w:val="18"/>
              </w:rPr>
            </w:pPr>
            <w:r>
              <w:rPr>
                <w:color w:val="292929"/>
                <w:sz w:val="18"/>
              </w:rPr>
              <w:t>PEI-AGRI et GAL.</w:t>
            </w:r>
          </w:p>
          <w:p w:rsidR="00ED3746" w:rsidRPr="00B77106" w:rsidRDefault="00ED3746" w:rsidP="00ED3746">
            <w:pPr>
              <w:spacing w:after="120" w:line="280" w:lineRule="atLeast"/>
              <w:jc w:val="left"/>
              <w:rPr>
                <w:rFonts w:cs="Arial"/>
                <w:color w:val="292929"/>
                <w:sz w:val="18"/>
                <w:szCs w:val="18"/>
              </w:rPr>
            </w:pPr>
            <w:r>
              <w:rPr>
                <w:color w:val="292929"/>
                <w:sz w:val="18"/>
              </w:rPr>
              <w:t xml:space="preserve">Brèves descriptions des pratiques des GO </w:t>
            </w:r>
          </w:p>
          <w:p w:rsidR="00ED3746" w:rsidRPr="00B77106" w:rsidRDefault="00ED3746" w:rsidP="00ED3746">
            <w:pPr>
              <w:spacing w:after="120" w:line="280" w:lineRule="atLeast"/>
              <w:jc w:val="left"/>
              <w:rPr>
                <w:rFonts w:cs="Arial"/>
                <w:color w:val="292929"/>
                <w:sz w:val="18"/>
                <w:szCs w:val="18"/>
              </w:rPr>
            </w:pPr>
            <w:r>
              <w:rPr>
                <w:color w:val="292929"/>
                <w:sz w:val="18"/>
              </w:rPr>
              <w:lastRenderedPageBreak/>
              <w:t>Base de données des opérations des GAL</w:t>
            </w:r>
          </w:p>
        </w:tc>
      </w:tr>
    </w:tbl>
    <w:p w:rsidR="00ED3746" w:rsidRPr="00E05D08" w:rsidRDefault="00ED3746" w:rsidP="00ED3746">
      <w:pPr>
        <w:spacing w:after="120" w:line="280" w:lineRule="atLeast"/>
        <w:mirrorIndents/>
        <w:rPr>
          <w:rFonts w:eastAsia="Times New Roman" w:cs="Times New Roman"/>
          <w:color w:val="FF0000"/>
          <w:szCs w:val="20"/>
        </w:rPr>
      </w:pPr>
    </w:p>
    <w:p w:rsidR="00ED3746" w:rsidRPr="00B77106" w:rsidRDefault="00ED3746" w:rsidP="00ED3746">
      <w:pPr>
        <w:spacing w:before="60" w:after="0" w:line="280" w:lineRule="atLeast"/>
        <w:rPr>
          <w:rFonts w:eastAsia="Times New Roman" w:cs="Arial"/>
          <w:color w:val="292929"/>
          <w:szCs w:val="18"/>
        </w:rPr>
      </w:pPr>
    </w:p>
    <w:p w:rsidR="00ED3746" w:rsidRDefault="00ED3746" w:rsidP="00ED3746">
      <w:pPr>
        <w:spacing w:after="120" w:line="280" w:lineRule="atLeast"/>
        <w:mirrorIndents/>
        <w:sectPr w:rsidR="00ED3746" w:rsidSect="00ED3746">
          <w:headerReference w:type="even" r:id="rId27"/>
          <w:footerReference w:type="even" r:id="rId28"/>
          <w:footerReference w:type="default" r:id="rId29"/>
          <w:footerReference w:type="first" r:id="rId30"/>
          <w:endnotePr>
            <w:numFmt w:val="decimal"/>
          </w:endnotePr>
          <w:pgSz w:w="16838" w:h="11906" w:orient="landscape" w:code="9"/>
          <w:pgMar w:top="1440" w:right="1440" w:bottom="1440" w:left="1134" w:header="567" w:footer="1021" w:gutter="0"/>
          <w:cols w:space="708"/>
          <w:noEndnote/>
          <w:docGrid w:linePitch="360"/>
        </w:sectPr>
      </w:pPr>
    </w:p>
    <w:p w:rsidR="00ED3746" w:rsidRPr="00E05D08" w:rsidRDefault="00ED3746" w:rsidP="00EC67D2">
      <w:pPr>
        <w:numPr>
          <w:ilvl w:val="0"/>
          <w:numId w:val="55"/>
        </w:numPr>
        <w:spacing w:before="120" w:after="120" w:line="280" w:lineRule="atLeast"/>
        <w:ind w:left="567" w:hanging="567"/>
        <w:mirrorIndents/>
        <w:rPr>
          <w:rFonts w:eastAsia="Times New Roman" w:cs="Times New Roman"/>
          <w:b/>
          <w:szCs w:val="20"/>
        </w:rPr>
      </w:pPr>
      <w:r>
        <w:rPr>
          <w:b/>
        </w:rPr>
        <w:lastRenderedPageBreak/>
        <w:t xml:space="preserve">Méthode proposée pour répondre à la QEC nº 1 </w:t>
      </w:r>
    </w:p>
    <w:p w:rsidR="00ED3746" w:rsidRPr="00E05D08" w:rsidRDefault="00ED3746" w:rsidP="00ED3746">
      <w:pPr>
        <w:spacing w:after="120" w:line="280" w:lineRule="atLeast"/>
        <w:mirrorIndents/>
        <w:rPr>
          <w:rFonts w:eastAsia="Times New Roman" w:cs="Times New Roman"/>
          <w:szCs w:val="20"/>
        </w:rPr>
      </w:pPr>
      <w:r>
        <w:t>Le calcul des indicateurs communs liés à la QEC nº 1 est décrit à l’annexe 11 des lignes directrices «</w:t>
      </w:r>
      <w:hyperlink r:id="rId31" w:history="1">
        <w:r>
          <w:rPr>
            <w:color w:val="F07E31"/>
            <w:u w:val="single"/>
          </w:rPr>
          <w:t>Évaluation des résultats du PDR: Comment établir le rapport sur l’évaluation en 2017</w:t>
        </w:r>
      </w:hyperlink>
      <w:r>
        <w:t xml:space="preserve">». </w:t>
      </w:r>
    </w:p>
    <w:p w:rsidR="00ED3746" w:rsidRPr="00E05D08" w:rsidRDefault="00ED3746" w:rsidP="00ED3746">
      <w:pPr>
        <w:spacing w:after="120" w:line="280" w:lineRule="atLeast"/>
        <w:mirrorIndents/>
        <w:rPr>
          <w:rFonts w:eastAsia="Times New Roman" w:cs="Times New Roman"/>
          <w:szCs w:val="20"/>
        </w:rPr>
      </w:pPr>
      <w:r>
        <w:t xml:space="preserve">Pour l’évaluation de la partie de la QEC nº 1 consacrée à l’innovation, il est proposé </w:t>
      </w:r>
      <w:proofErr w:type="gramStart"/>
      <w:r>
        <w:t>de:</w:t>
      </w:r>
      <w:proofErr w:type="gramEnd"/>
    </w:p>
    <w:p w:rsidR="00ED3746" w:rsidRPr="00331223" w:rsidRDefault="00ED3746" w:rsidP="00ED3746">
      <w:pPr>
        <w:pStyle w:val="Hlistbullet"/>
      </w:pPr>
      <w:r>
        <w:rPr>
          <w:b/>
        </w:rPr>
        <w:t>ÉTAPE </w:t>
      </w:r>
      <w:proofErr w:type="gramStart"/>
      <w:r>
        <w:rPr>
          <w:b/>
        </w:rPr>
        <w:t>1:</w:t>
      </w:r>
      <w:proofErr w:type="gramEnd"/>
      <w:r>
        <w:rPr>
          <w:b/>
        </w:rPr>
        <w:t xml:space="preserve"> déterminer le potentiel d’innovation des bénéficiaires</w:t>
      </w:r>
      <w:r>
        <w:t xml:space="preserve"> des mesures/sous-mesures M1, M2, M16 et M19 (bénéficiaires qui ont mis en œuvre des opérations jugées innovantes); </w:t>
      </w:r>
    </w:p>
    <w:p w:rsidR="00ED3746" w:rsidRPr="00331223" w:rsidRDefault="00ED3746" w:rsidP="00ED3746">
      <w:pPr>
        <w:pStyle w:val="Hlistbullet"/>
      </w:pPr>
      <w:r>
        <w:rPr>
          <w:b/>
        </w:rPr>
        <w:t>ÉTAPE </w:t>
      </w:r>
      <w:proofErr w:type="gramStart"/>
      <w:r>
        <w:rPr>
          <w:b/>
        </w:rPr>
        <w:t>2:</w:t>
      </w:r>
      <w:proofErr w:type="gramEnd"/>
      <w:r>
        <w:rPr>
          <w:b/>
        </w:rPr>
        <w:t xml:space="preserve"> quantifier les indicateurs de réalisation et les indicateurs cibles</w:t>
      </w:r>
      <w:r>
        <w:t xml:space="preserve"> à l’aide des données de suivi de la base de données des opérations du PDR/des GAL sur les bénéficiaires (qui ont mis en œuvre des opérations jugées innovantes). Pour utiliser la base de données des opérations en vue d’évaluer l’innovation, l’autorité de gestion peut choisir d’ajouter et de collecter des données liées à </w:t>
      </w:r>
      <w:proofErr w:type="gramStart"/>
      <w:r>
        <w:t>l’innovation;</w:t>
      </w:r>
      <w:proofErr w:type="gramEnd"/>
      <w:r>
        <w:t xml:space="preserve"> </w:t>
      </w:r>
    </w:p>
    <w:p w:rsidR="00ED3746" w:rsidRPr="00331223" w:rsidRDefault="00ED3746" w:rsidP="00ED3746">
      <w:pPr>
        <w:pStyle w:val="Hlistbullet"/>
      </w:pPr>
      <w:r>
        <w:rPr>
          <w:b/>
        </w:rPr>
        <w:t>ÉTAPE </w:t>
      </w:r>
      <w:proofErr w:type="gramStart"/>
      <w:r>
        <w:rPr>
          <w:b/>
        </w:rPr>
        <w:t>3:</w:t>
      </w:r>
      <w:proofErr w:type="gramEnd"/>
      <w:r>
        <w:rPr>
          <w:b/>
        </w:rPr>
        <w:t xml:space="preserve"> collecter des éléments probants pour répondre à la QEC à l’aide des méthodes spécifiées.</w:t>
      </w:r>
      <w:r>
        <w:t xml:space="preserve"> Des enquêtes, des groupes de discussion et la méthode Delphi peuvent par exemple aider à collecter des données pour les critères de jugement et indicateurs de résultats supplémentaires proposés. La question de la qualité et de la validité des données lorsqu’elles sont communiquées par les bénéficiaires doit être examinée lorsque ces méthodes sont appliquées (voir le </w:t>
      </w:r>
      <w:hyperlink w:anchor="Recommended_Methods" w:history="1">
        <w:r>
          <w:rPr>
            <w:rStyle w:val="Hyperlink"/>
            <w:sz w:val="20"/>
          </w:rPr>
          <w:t>tableau 2</w:t>
        </w:r>
      </w:hyperlink>
      <w:proofErr w:type="gramStart"/>
      <w:r>
        <w:t>);</w:t>
      </w:r>
      <w:proofErr w:type="gramEnd"/>
      <w:r>
        <w:t xml:space="preserve"> </w:t>
      </w:r>
    </w:p>
    <w:p w:rsidR="00ED3746" w:rsidRPr="00C202EC" w:rsidRDefault="00ED3746" w:rsidP="00ED3746">
      <w:pPr>
        <w:pStyle w:val="Hlistbullet"/>
        <w:rPr>
          <w:b/>
          <w:sz w:val="16"/>
        </w:rPr>
      </w:pPr>
      <w:r>
        <w:rPr>
          <w:b/>
        </w:rPr>
        <w:t>ÉTAPE </w:t>
      </w:r>
      <w:proofErr w:type="gramStart"/>
      <w:r>
        <w:rPr>
          <w:b/>
        </w:rPr>
        <w:t>4:</w:t>
      </w:r>
      <w:proofErr w:type="gramEnd"/>
      <w:r>
        <w:rPr>
          <w:b/>
        </w:rPr>
        <w:t xml:space="preserve"> analyser et interpréter les éléments probants recueillis</w:t>
      </w:r>
      <w:r>
        <w:t xml:space="preserve"> et les utiliser pour répondre à la QEC nº 1 concernant le soutien à l’innovation. </w:t>
      </w:r>
    </w:p>
    <w:p w:rsidR="00ED3746" w:rsidRPr="00FA6691" w:rsidRDefault="00ED3746" w:rsidP="00ED3746">
      <w:pPr>
        <w:pStyle w:val="HHeadingtables"/>
        <w:rPr>
          <w:color w:val="6F6F6F"/>
          <w:sz w:val="18"/>
          <w:szCs w:val="18"/>
        </w:rPr>
      </w:pPr>
      <w:bookmarkStart w:id="132" w:name="Recommended_Methods"/>
      <w:bookmarkStart w:id="133" w:name="_Toc503284464"/>
      <w:bookmarkStart w:id="134" w:name="_Toc508894475"/>
      <w:bookmarkEnd w:id="132"/>
      <w:r>
        <w:rPr>
          <w:color w:val="6F6F6F"/>
          <w:sz w:val="18"/>
        </w:rPr>
        <w:t>Méthodes recommandées pour la QEC nº 1</w:t>
      </w:r>
      <w:bookmarkEnd w:id="133"/>
      <w:bookmarkEnd w:id="134"/>
      <w:r>
        <w:rPr>
          <w:color w:val="6F6F6F"/>
          <w:sz w:val="18"/>
        </w:rPr>
        <w:t xml:space="preserve"> </w:t>
      </w:r>
    </w:p>
    <w:tbl>
      <w:tblPr>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ED3746" w:rsidRPr="00B77106" w:rsidTr="00ED3746">
        <w:trPr>
          <w:tblHeader/>
        </w:trPr>
        <w:tc>
          <w:tcPr>
            <w:tcW w:w="1843" w:type="dxa"/>
            <w:shd w:val="clear" w:color="auto" w:fill="F07E31"/>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Méthodes</w:t>
            </w:r>
          </w:p>
        </w:tc>
        <w:tc>
          <w:tcPr>
            <w:tcW w:w="6770" w:type="dxa"/>
            <w:shd w:val="clear" w:color="auto" w:fill="F07E31"/>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Astuces concernant la manière d’utiliser les méthodes</w:t>
            </w:r>
          </w:p>
        </w:tc>
      </w:tr>
      <w:tr w:rsidR="00ED3746" w:rsidRPr="00B77106" w:rsidTr="00ED3746">
        <w:tc>
          <w:tcPr>
            <w:tcW w:w="1843" w:type="dxa"/>
            <w:shd w:val="clear" w:color="auto" w:fill="auto"/>
          </w:tcPr>
          <w:p w:rsidR="00ED3746" w:rsidRPr="00B77106" w:rsidRDefault="00ED3746" w:rsidP="00ED3746">
            <w:pPr>
              <w:spacing w:after="120" w:line="280" w:lineRule="atLeast"/>
              <w:ind w:right="116"/>
              <w:mirrorIndents/>
              <w:jc w:val="left"/>
              <w:rPr>
                <w:rFonts w:eastAsia="Times New Roman" w:cs="Times New Roman"/>
                <w:sz w:val="18"/>
                <w:szCs w:val="18"/>
              </w:rPr>
            </w:pPr>
            <w:r>
              <w:rPr>
                <w:sz w:val="18"/>
              </w:rPr>
              <w:t xml:space="preserve">Enquêtes auprès des responsables des mesures M1 et M2 </w:t>
            </w:r>
          </w:p>
          <w:p w:rsidR="00ED3746" w:rsidRPr="00B77106" w:rsidRDefault="00ED3746" w:rsidP="00ED3746">
            <w:pPr>
              <w:spacing w:after="120" w:line="280" w:lineRule="atLeast"/>
              <w:ind w:right="116"/>
              <w:mirrorIndents/>
              <w:jc w:val="left"/>
              <w:rPr>
                <w:rFonts w:eastAsia="Times New Roman" w:cs="Times New Roman"/>
                <w:sz w:val="18"/>
                <w:szCs w:val="18"/>
              </w:rPr>
            </w:pPr>
            <w:r>
              <w:rPr>
                <w:sz w:val="18"/>
              </w:rPr>
              <w:t>Enquêtes auprès des bénéficiaires des mesures M1 et M2</w:t>
            </w:r>
          </w:p>
          <w:p w:rsidR="00ED3746" w:rsidRPr="00B77106" w:rsidRDefault="00ED3746" w:rsidP="00ED3746">
            <w:pPr>
              <w:spacing w:after="120" w:line="280" w:lineRule="atLeast"/>
              <w:ind w:right="116"/>
              <w:mirrorIndents/>
              <w:jc w:val="left"/>
              <w:rPr>
                <w:rFonts w:eastAsia="Times New Roman" w:cs="Times New Roman"/>
                <w:sz w:val="18"/>
                <w:szCs w:val="18"/>
              </w:rPr>
            </w:pPr>
            <w:r>
              <w:rPr>
                <w:sz w:val="18"/>
              </w:rPr>
              <w:t>Enquêtes sur les projets de coopération des GO</w:t>
            </w:r>
          </w:p>
          <w:p w:rsidR="00ED3746" w:rsidRPr="00B77106" w:rsidRDefault="00ED3746" w:rsidP="00ED3746">
            <w:pPr>
              <w:spacing w:after="120" w:line="280" w:lineRule="atLeast"/>
              <w:ind w:right="116"/>
              <w:mirrorIndents/>
              <w:jc w:val="left"/>
              <w:rPr>
                <w:rFonts w:eastAsia="Times New Roman" w:cs="Times New Roman"/>
                <w:sz w:val="18"/>
                <w:szCs w:val="18"/>
              </w:rPr>
            </w:pPr>
            <w:r>
              <w:rPr>
                <w:sz w:val="18"/>
              </w:rPr>
              <w:t xml:space="preserve">Enquêtes auprès des GAL et de leurs bénéficiaires </w:t>
            </w:r>
          </w:p>
        </w:tc>
        <w:tc>
          <w:tcPr>
            <w:tcW w:w="6770" w:type="dxa"/>
            <w:shd w:val="clear" w:color="auto" w:fill="auto"/>
          </w:tcPr>
          <w:p w:rsidR="00ED3746" w:rsidRPr="00B77106" w:rsidRDefault="00ED3746" w:rsidP="00ED3746">
            <w:pPr>
              <w:pStyle w:val="Hlistbullet"/>
              <w:rPr>
                <w:sz w:val="18"/>
                <w:szCs w:val="18"/>
              </w:rPr>
            </w:pPr>
            <w:r>
              <w:rPr>
                <w:sz w:val="18"/>
              </w:rPr>
              <w:t xml:space="preserve">Sélectionner les responsables/bénéficiaires des sous-mesures relatives à l’innovation des mesures M1 et M2 pour réaliser l’enquête. </w:t>
            </w:r>
          </w:p>
          <w:p w:rsidR="00ED3746" w:rsidRPr="00B77106" w:rsidRDefault="00ED3746" w:rsidP="00ED3746">
            <w:pPr>
              <w:pStyle w:val="Hlistbullet"/>
              <w:rPr>
                <w:sz w:val="18"/>
                <w:szCs w:val="18"/>
              </w:rPr>
            </w:pPr>
            <w:r>
              <w:rPr>
                <w:sz w:val="18"/>
              </w:rPr>
              <w:t>Sélectionner un échantillon de projets de coopération (par exemple, par secteur, taille du GO, zone géographique, etc.) pour collecter des données et des informations auprès des bénéficiaires pour les indicateurs au moyen de l’enquête.</w:t>
            </w:r>
          </w:p>
          <w:p w:rsidR="00ED3746" w:rsidRPr="00B77106" w:rsidRDefault="00ED3746" w:rsidP="00ED3746">
            <w:pPr>
              <w:pStyle w:val="Hlistbullet"/>
              <w:rPr>
                <w:sz w:val="18"/>
                <w:szCs w:val="18"/>
              </w:rPr>
            </w:pPr>
            <w:r>
              <w:rPr>
                <w:sz w:val="18"/>
              </w:rPr>
              <w:t xml:space="preserve">Élaborer les enquêtes en y incluant des questions ouvertes sur la manière dont les activités au titre des mesures M1 et M2, les GO et les GAL ont contribué </w:t>
            </w:r>
            <w:proofErr w:type="gramStart"/>
            <w:r>
              <w:rPr>
                <w:sz w:val="18"/>
              </w:rPr>
              <w:t>à:</w:t>
            </w:r>
            <w:proofErr w:type="gramEnd"/>
            <w:r>
              <w:rPr>
                <w:sz w:val="18"/>
              </w:rPr>
              <w:t xml:space="preserve"> a) partager les idées innovantes, b) renforcer la capacité d’innover, et c) créer un environnement propice à l’innovation.</w:t>
            </w:r>
          </w:p>
          <w:p w:rsidR="00ED3746" w:rsidRPr="00B77106" w:rsidRDefault="00ED3746" w:rsidP="00ED3746">
            <w:pPr>
              <w:pStyle w:val="Hlistbullet"/>
              <w:rPr>
                <w:sz w:val="18"/>
                <w:szCs w:val="18"/>
              </w:rPr>
            </w:pPr>
            <w:r>
              <w:rPr>
                <w:sz w:val="18"/>
              </w:rPr>
              <w:t xml:space="preserve">Utiliser les résultats de l’enquête </w:t>
            </w:r>
            <w:proofErr w:type="gramStart"/>
            <w:r>
              <w:rPr>
                <w:sz w:val="18"/>
              </w:rPr>
              <w:t>pour:</w:t>
            </w:r>
            <w:proofErr w:type="gramEnd"/>
          </w:p>
          <w:p w:rsidR="00ED3746" w:rsidRPr="00B77106" w:rsidRDefault="00ED3746" w:rsidP="00ED3746">
            <w:pPr>
              <w:pStyle w:val="Hlistbullet2"/>
              <w:rPr>
                <w:sz w:val="18"/>
                <w:szCs w:val="18"/>
              </w:rPr>
            </w:pPr>
            <w:proofErr w:type="gramStart"/>
            <w:r>
              <w:rPr>
                <w:sz w:val="18"/>
              </w:rPr>
              <w:t>évaluer</w:t>
            </w:r>
            <w:proofErr w:type="gramEnd"/>
            <w:r>
              <w:rPr>
                <w:sz w:val="18"/>
              </w:rPr>
              <w:t xml:space="preserve"> comment différentes formes d’actions de formation et d’information au titre de la mesure M1 contribuent à soutenir l’innovation;</w:t>
            </w:r>
          </w:p>
          <w:p w:rsidR="00ED3746" w:rsidRPr="00B77106" w:rsidRDefault="00ED3746" w:rsidP="00ED3746">
            <w:pPr>
              <w:pStyle w:val="Hlistbullet2"/>
              <w:rPr>
                <w:sz w:val="18"/>
                <w:szCs w:val="18"/>
              </w:rPr>
            </w:pPr>
            <w:proofErr w:type="gramStart"/>
            <w:r>
              <w:rPr>
                <w:sz w:val="18"/>
              </w:rPr>
              <w:t>évaluer</w:t>
            </w:r>
            <w:proofErr w:type="gramEnd"/>
            <w:r>
              <w:rPr>
                <w:sz w:val="18"/>
              </w:rPr>
              <w:t xml:space="preserve"> comment les services de conseil contribuent à soutenir l’innovation;</w:t>
            </w:r>
          </w:p>
          <w:p w:rsidR="00ED3746" w:rsidRPr="00B77106" w:rsidRDefault="00ED3746" w:rsidP="00ED3746">
            <w:pPr>
              <w:pStyle w:val="Hlistbullet2"/>
              <w:rPr>
                <w:sz w:val="18"/>
                <w:szCs w:val="18"/>
              </w:rPr>
            </w:pPr>
            <w:proofErr w:type="gramStart"/>
            <w:r>
              <w:rPr>
                <w:sz w:val="18"/>
              </w:rPr>
              <w:t>évaluer</w:t>
            </w:r>
            <w:proofErr w:type="gramEnd"/>
            <w:r>
              <w:rPr>
                <w:sz w:val="18"/>
              </w:rPr>
              <w:t xml:space="preserve"> comment les GO contribuent à la production de résultats susceptibles d’être utilisés; </w:t>
            </w:r>
          </w:p>
          <w:p w:rsidR="00ED3746" w:rsidRPr="00385368" w:rsidRDefault="00ED3746" w:rsidP="00ED3746">
            <w:pPr>
              <w:pStyle w:val="Hlistbullet2"/>
            </w:pPr>
            <w:proofErr w:type="gramStart"/>
            <w:r>
              <w:rPr>
                <w:sz w:val="18"/>
              </w:rPr>
              <w:t>évaluer</w:t>
            </w:r>
            <w:proofErr w:type="gramEnd"/>
            <w:r>
              <w:rPr>
                <w:sz w:val="18"/>
              </w:rPr>
              <w:t xml:space="preserve"> comment les GAL encouragent l’innovation au moyen de projets soutenus par des stratégies de DLAL ou d’activités menées par les GAL.</w:t>
            </w:r>
          </w:p>
        </w:tc>
      </w:tr>
      <w:tr w:rsidR="00ED3746" w:rsidRPr="00B77106" w:rsidTr="00ED3746">
        <w:tc>
          <w:tcPr>
            <w:tcW w:w="1843" w:type="dxa"/>
            <w:shd w:val="clear" w:color="auto" w:fill="auto"/>
          </w:tcPr>
          <w:p w:rsidR="00ED3746" w:rsidRPr="00B77106" w:rsidRDefault="00ED3746" w:rsidP="00ED3746">
            <w:pPr>
              <w:spacing w:after="120" w:line="280" w:lineRule="atLeast"/>
              <w:mirrorIndents/>
              <w:jc w:val="left"/>
              <w:rPr>
                <w:rFonts w:eastAsia="Times New Roman" w:cs="Times New Roman"/>
                <w:sz w:val="18"/>
                <w:szCs w:val="18"/>
              </w:rPr>
            </w:pPr>
            <w:r>
              <w:rPr>
                <w:sz w:val="18"/>
              </w:rPr>
              <w:lastRenderedPageBreak/>
              <w:t>Groupes de discussion</w:t>
            </w:r>
          </w:p>
        </w:tc>
        <w:tc>
          <w:tcPr>
            <w:tcW w:w="6770" w:type="dxa"/>
            <w:shd w:val="clear" w:color="auto" w:fill="auto"/>
          </w:tcPr>
          <w:p w:rsidR="00ED3746" w:rsidRPr="00B77106" w:rsidRDefault="00ED3746" w:rsidP="00ED3746">
            <w:pPr>
              <w:pStyle w:val="Hlistbullet"/>
              <w:rPr>
                <w:sz w:val="18"/>
                <w:szCs w:val="18"/>
              </w:rPr>
            </w:pPr>
            <w:r>
              <w:rPr>
                <w:sz w:val="18"/>
              </w:rPr>
              <w:t>Faire participer les acteurs de l’innovation aux groupes de discussion (par exemple, les services de soutien à l’innovation, les conseillers qui font office de courtiers en innovation, les centres de recherche et d’innovation, etc.).</w:t>
            </w:r>
          </w:p>
          <w:p w:rsidR="00ED3746" w:rsidRPr="00B77106" w:rsidRDefault="00ED3746" w:rsidP="00ED3746">
            <w:pPr>
              <w:pStyle w:val="Hlistbullet"/>
              <w:rPr>
                <w:sz w:val="18"/>
                <w:szCs w:val="18"/>
              </w:rPr>
            </w:pPr>
            <w:r>
              <w:rPr>
                <w:sz w:val="18"/>
              </w:rPr>
              <w:t>Analyser comment les sous-mesures pertinentes des mesures M1 et M2 et les GO et les GAL influencent la capacité d’innover et la création d’un environnement propice à l’innovation.</w:t>
            </w:r>
          </w:p>
          <w:p w:rsidR="00ED3746" w:rsidRPr="00B77106" w:rsidRDefault="00ED3746" w:rsidP="00ED3746">
            <w:pPr>
              <w:pStyle w:val="Hlistbullet"/>
              <w:rPr>
                <w:sz w:val="18"/>
                <w:szCs w:val="18"/>
              </w:rPr>
            </w:pPr>
            <w:r>
              <w:rPr>
                <w:sz w:val="18"/>
              </w:rPr>
              <w:t>Envisager la possibilité de groupes de discussion thématiques (par exemple, un groupe de discussion sur le courtage en innovation).</w:t>
            </w:r>
          </w:p>
        </w:tc>
      </w:tr>
      <w:tr w:rsidR="00ED3746" w:rsidRPr="00B77106" w:rsidTr="00ED3746">
        <w:tc>
          <w:tcPr>
            <w:tcW w:w="1843" w:type="dxa"/>
            <w:shd w:val="clear" w:color="auto" w:fill="auto"/>
          </w:tcPr>
          <w:p w:rsidR="00ED3746" w:rsidRPr="00B77106" w:rsidRDefault="00ED3746" w:rsidP="00ED3746">
            <w:pPr>
              <w:spacing w:after="120" w:line="280" w:lineRule="atLeast"/>
              <w:ind w:right="399"/>
              <w:mirrorIndents/>
              <w:rPr>
                <w:rFonts w:eastAsia="Times New Roman" w:cs="Times New Roman"/>
                <w:sz w:val="18"/>
                <w:szCs w:val="18"/>
              </w:rPr>
            </w:pPr>
            <w:r>
              <w:rPr>
                <w:sz w:val="18"/>
              </w:rPr>
              <w:t>Méthode Delphi</w:t>
            </w:r>
          </w:p>
        </w:tc>
        <w:tc>
          <w:tcPr>
            <w:tcW w:w="6770" w:type="dxa"/>
            <w:shd w:val="clear" w:color="auto" w:fill="auto"/>
          </w:tcPr>
          <w:p w:rsidR="00ED3746" w:rsidRPr="00B77106" w:rsidRDefault="00ED3746" w:rsidP="00ED3746">
            <w:pPr>
              <w:pStyle w:val="Hlistbullet"/>
              <w:rPr>
                <w:sz w:val="18"/>
                <w:szCs w:val="18"/>
              </w:rPr>
            </w:pPr>
            <w:r>
              <w:rPr>
                <w:sz w:val="18"/>
              </w:rPr>
              <w:t>Faire participer les experts de l’innovation (par exemple, ceux qui participent aux mesures et aux projets de coopération, mais aussi d’autres experts de l’innovation, tels que les universitaires).</w:t>
            </w:r>
          </w:p>
        </w:tc>
      </w:tr>
    </w:tbl>
    <w:p w:rsidR="00ED3746" w:rsidRPr="00DC1980" w:rsidRDefault="00ED3746" w:rsidP="00ED3746">
      <w:pPr>
        <w:spacing w:before="240" w:after="120" w:line="280" w:lineRule="atLeast"/>
        <w:mirrorIndents/>
        <w:rPr>
          <w:rFonts w:eastAsia="Times New Roman" w:cs="Times New Roman"/>
          <w:b/>
          <w:i/>
          <w:sz w:val="18"/>
          <w:szCs w:val="18"/>
        </w:rPr>
      </w:pPr>
      <w:r w:rsidRPr="00DC1980">
        <w:rPr>
          <w:b/>
          <w:i/>
          <w:sz w:val="18"/>
        </w:rPr>
        <w:t>Pratiques d’évaluation mentionnées dans les RAM en 2017</w:t>
      </w:r>
    </w:p>
    <w:p w:rsidR="00ED3746" w:rsidRPr="00DC1980" w:rsidRDefault="00ED3746" w:rsidP="00ED3746">
      <w:pPr>
        <w:spacing w:after="120" w:line="280" w:lineRule="atLeast"/>
        <w:mirrorIndents/>
        <w:sectPr w:rsidR="00ED3746" w:rsidRPr="00DC1980" w:rsidSect="00ED3746">
          <w:endnotePr>
            <w:numFmt w:val="decimal"/>
          </w:endnotePr>
          <w:type w:val="continuous"/>
          <w:pgSz w:w="11906" w:h="16838" w:code="9"/>
          <w:pgMar w:top="1134" w:right="1440" w:bottom="1440" w:left="1440" w:header="567" w:footer="1021" w:gutter="0"/>
          <w:cols w:space="708"/>
          <w:noEndnote/>
          <w:titlePg/>
          <w:docGrid w:linePitch="360"/>
        </w:sectPr>
      </w:pPr>
    </w:p>
    <w:p w:rsidR="00ED3746" w:rsidRDefault="00F204F1" w:rsidP="00ED3746">
      <w:pPr>
        <w:spacing w:after="120" w:line="280" w:lineRule="atLeast"/>
        <w:mirrorIndents/>
        <w:rPr>
          <w:rFonts w:eastAsia="Times New Roman" w:cs="Times New Roman"/>
          <w:b/>
          <w:i/>
          <w:sz w:val="18"/>
          <w:szCs w:val="18"/>
        </w:rPr>
      </w:pPr>
      <w:r w:rsidRPr="00DC1980">
        <w:rPr>
          <w:noProof/>
        </w:rPr>
        <mc:AlternateContent>
          <mc:Choice Requires="wps">
            <w:drawing>
              <wp:inline distT="0" distB="0" distL="0" distR="0">
                <wp:extent cx="5878195" cy="5610758"/>
                <wp:effectExtent l="0" t="0" r="27305" b="28575"/>
                <wp:docPr id="60" name="Rectangle: Diagonal Corners Rounded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8195" cy="5610758"/>
                        </a:xfrm>
                        <a:prstGeom prst="round2DiagRect">
                          <a:avLst>
                            <a:gd name="adj1" fmla="val 5521"/>
                            <a:gd name="adj2" fmla="val 0"/>
                          </a:avLst>
                        </a:prstGeom>
                        <a:noFill/>
                        <a:ln w="25400" cap="flat" cmpd="sng" algn="ctr">
                          <a:solidFill>
                            <a:srgbClr val="F07E31"/>
                          </a:solidFill>
                          <a:prstDash val="solid"/>
                        </a:ln>
                        <a:effectLst/>
                      </wps:spPr>
                      <wps:txbx>
                        <w:txbxContent>
                          <w:p w:rsidR="00260B0F" w:rsidRPr="00C202EC" w:rsidRDefault="00260B0F" w:rsidP="00ED3746">
                            <w:pPr>
                              <w:pStyle w:val="Normal12PTcouleurgris"/>
                              <w:ind w:left="567" w:hanging="567"/>
                              <w:rPr>
                                <w:b/>
                                <w:color w:val="F07E31"/>
                                <w:sz w:val="18"/>
                              </w:rPr>
                            </w:pPr>
                            <w:r>
                              <w:rPr>
                                <w:noProof/>
                                <w:color w:val="F07E31"/>
                              </w:rPr>
                              <w:drawing>
                                <wp:inline distT="0" distB="0" distL="0" distR="0">
                                  <wp:extent cx="349885" cy="357505"/>
                                  <wp:effectExtent l="0" t="0" r="0" b="0"/>
                                  <wp:docPr id="4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p>
                          <w:p w:rsidR="00260B0F" w:rsidRPr="0024029C" w:rsidRDefault="00260B0F" w:rsidP="00ED3746">
                            <w:pPr>
                              <w:pStyle w:val="Normal12PTcouleurgris"/>
                              <w:spacing w:after="120"/>
                              <w:ind w:left="567" w:hanging="567"/>
                              <w:rPr>
                                <w:b/>
                                <w:color w:val="F07E31"/>
                                <w:sz w:val="16"/>
                                <w:szCs w:val="16"/>
                              </w:rPr>
                            </w:pPr>
                            <w:r w:rsidRPr="0024029C">
                              <w:rPr>
                                <w:b/>
                                <w:color w:val="F07E31"/>
                                <w:sz w:val="16"/>
                                <w:szCs w:val="16"/>
                              </w:rPr>
                              <w:t xml:space="preserve">Exemples en vue de déterminer le potentiel </w:t>
                            </w:r>
                            <w:proofErr w:type="gramStart"/>
                            <w:r w:rsidRPr="0024029C">
                              <w:rPr>
                                <w:b/>
                                <w:color w:val="F07E31"/>
                                <w:sz w:val="16"/>
                                <w:szCs w:val="16"/>
                              </w:rPr>
                              <w:t>d’innovation:</w:t>
                            </w:r>
                            <w:proofErr w:type="gramEnd"/>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Castille-et-León (ES)</w:t>
                            </w:r>
                            <w:r w:rsidRPr="0024029C">
                              <w:rPr>
                                <w:sz w:val="16"/>
                                <w:szCs w:val="16"/>
                              </w:rPr>
                              <w:t xml:space="preserve"> souligne le potentiel d’innovation des GAL et recommande l’analyse des stratégies de développement local afin de déterminer les types d’opérations mises en œuvre au titre des stratégies qui encouragent la contribution des GAL aux objectifs du DP 1A relatifs à l’innovation;</w:t>
                            </w:r>
                            <w:r w:rsidRPr="0024029C">
                              <w:rPr>
                                <w:b/>
                                <w:sz w:val="16"/>
                                <w:szCs w:val="16"/>
                              </w:rPr>
                              <w:t xml:space="preserve"> </w:t>
                            </w:r>
                          </w:p>
                          <w:p w:rsidR="00260B0F" w:rsidRPr="0024029C" w:rsidRDefault="00260B0F" w:rsidP="00ED3746">
                            <w:pPr>
                              <w:pStyle w:val="Hlistbullet"/>
                              <w:rPr>
                                <w:sz w:val="16"/>
                                <w:szCs w:val="16"/>
                              </w:rPr>
                            </w:pPr>
                            <w:proofErr w:type="gramStart"/>
                            <w:r w:rsidRPr="0024029C">
                              <w:rPr>
                                <w:sz w:val="16"/>
                                <w:szCs w:val="16"/>
                              </w:rPr>
                              <w:t>les</w:t>
                            </w:r>
                            <w:proofErr w:type="gramEnd"/>
                            <w:r w:rsidRPr="0024029C">
                              <w:rPr>
                                <w:sz w:val="16"/>
                                <w:szCs w:val="16"/>
                              </w:rPr>
                              <w:t xml:space="preserve"> </w:t>
                            </w:r>
                            <w:r w:rsidRPr="0024029C">
                              <w:rPr>
                                <w:b/>
                                <w:sz w:val="16"/>
                                <w:szCs w:val="16"/>
                              </w:rPr>
                              <w:t>Canaries (ES)</w:t>
                            </w:r>
                            <w:r w:rsidRPr="0024029C">
                              <w:rPr>
                                <w:sz w:val="16"/>
                                <w:szCs w:val="16"/>
                              </w:rPr>
                              <w:t xml:space="preserve"> soulignent aussi le potentiel d’innovation des GAL et recommandent d’inclure une variable dans le système de suivi et d’évaluation qui indique si les opérations mises en œuvre par les GAL dans le contexte des stratégies de développement local au titre de la mesure M19 sont innovantes.</w:t>
                            </w:r>
                          </w:p>
                          <w:p w:rsidR="00260B0F" w:rsidRPr="0024029C" w:rsidRDefault="00260B0F" w:rsidP="00ED3746">
                            <w:pPr>
                              <w:pStyle w:val="HStandard"/>
                              <w:ind w:left="567" w:hanging="567"/>
                              <w:rPr>
                                <w:b/>
                                <w:color w:val="F07E31"/>
                                <w:sz w:val="16"/>
                                <w:szCs w:val="16"/>
                              </w:rPr>
                            </w:pPr>
                            <w:r w:rsidRPr="0024029C">
                              <w:rPr>
                                <w:b/>
                                <w:color w:val="F07E31"/>
                                <w:sz w:val="16"/>
                                <w:szCs w:val="16"/>
                              </w:rPr>
                              <w:t xml:space="preserve">Exemples d’éléments d’évaluation </w:t>
                            </w:r>
                            <w:proofErr w:type="gramStart"/>
                            <w:r w:rsidRPr="0024029C">
                              <w:rPr>
                                <w:b/>
                                <w:color w:val="F07E31"/>
                                <w:sz w:val="16"/>
                                <w:szCs w:val="16"/>
                              </w:rPr>
                              <w:t>supplémentaires:</w:t>
                            </w:r>
                            <w:proofErr w:type="gramEnd"/>
                            <w:r w:rsidRPr="0024029C">
                              <w:rPr>
                                <w:b/>
                                <w:color w:val="F07E31"/>
                                <w:sz w:val="16"/>
                                <w:szCs w:val="16"/>
                              </w:rPr>
                              <w:t xml:space="preserve"> </w:t>
                            </w:r>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Bavière (DE)</w:t>
                            </w:r>
                            <w:r w:rsidRPr="0024029C">
                              <w:rPr>
                                <w:sz w:val="16"/>
                                <w:szCs w:val="16"/>
                              </w:rPr>
                              <w:t xml:space="preserve"> mentionne l’utilisation de critères de jugement supplémentaires relatifs à l’innovation au niveau des GAL (par exemple, les nouveaux projets multisectoriels employés par les GAL, les nouveaux procédés/nouvelles techniques qui ont été testés). Un indicateur de résultat supplémentaire a été employé (nouvelles idées/solutions, innovations – M19). L’indicateur a été quantifié et les informations ont été collectées via a) une enquête en ligne auprès des responsables des </w:t>
                            </w:r>
                            <w:proofErr w:type="gramStart"/>
                            <w:r w:rsidRPr="0024029C">
                              <w:rPr>
                                <w:sz w:val="16"/>
                                <w:szCs w:val="16"/>
                              </w:rPr>
                              <w:t>GAL;</w:t>
                            </w:r>
                            <w:proofErr w:type="gramEnd"/>
                            <w:r w:rsidRPr="0024029C">
                              <w:rPr>
                                <w:sz w:val="16"/>
                                <w:szCs w:val="16"/>
                              </w:rPr>
                              <w:t xml:space="preserve"> b) des entretiens semi-structurés avec certains responsables des GAL; </w:t>
                            </w:r>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République tchèque</w:t>
                            </w:r>
                            <w:r w:rsidRPr="0024029C">
                              <w:rPr>
                                <w:sz w:val="16"/>
                                <w:szCs w:val="16"/>
                              </w:rPr>
                              <w:t xml:space="preserve"> décrit la collecte des données pour l’indicateur de résultat supplémentaire «nombre de participants achevant des activités axées sur l’innovation» grâce à la base de données des opérations. Elle mentionne aussi une enquête auprès des bénéficiaires des projets soutenus afin de collecter des informations sur l’innovation.</w:t>
                            </w:r>
                          </w:p>
                          <w:p w:rsidR="00260B0F" w:rsidRPr="0024029C" w:rsidRDefault="00260B0F" w:rsidP="00ED3746">
                            <w:pPr>
                              <w:pStyle w:val="HStandard"/>
                              <w:rPr>
                                <w:b/>
                                <w:sz w:val="16"/>
                                <w:szCs w:val="16"/>
                              </w:rPr>
                            </w:pPr>
                            <w:r w:rsidRPr="0024029C">
                              <w:rPr>
                                <w:b/>
                                <w:color w:val="F07E31"/>
                                <w:sz w:val="16"/>
                                <w:szCs w:val="16"/>
                              </w:rPr>
                              <w:t xml:space="preserve">Exemples de </w:t>
                            </w:r>
                            <w:proofErr w:type="gramStart"/>
                            <w:r w:rsidRPr="0024029C">
                              <w:rPr>
                                <w:b/>
                                <w:color w:val="F07E31"/>
                                <w:sz w:val="16"/>
                                <w:szCs w:val="16"/>
                              </w:rPr>
                              <w:t>méthodes:</w:t>
                            </w:r>
                            <w:proofErr w:type="gramEnd"/>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 xml:space="preserve">Castille-et-León (ES) </w:t>
                            </w:r>
                            <w:r w:rsidRPr="0024029C">
                              <w:rPr>
                                <w:sz w:val="16"/>
                                <w:szCs w:val="16"/>
                              </w:rPr>
                              <w:t>recommande de s’entretenir avec chaque responsable de mesure et d’intégrer des éléments de données supplémentaires dans le système de suivi qui permettent d’évaluer comment les différentes opérations incorporent les éléments innovants et contribuent aux objectifs d’innovation;</w:t>
                            </w:r>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Castille-La Manche (ES)</w:t>
                            </w:r>
                            <w:r w:rsidRPr="0024029C">
                              <w:rPr>
                                <w:sz w:val="16"/>
                                <w:szCs w:val="16"/>
                              </w:rPr>
                              <w:t xml:space="preserve"> a recouru à une enquête envoyée à tous les participants à la formation afin d’évaluer, entre autres, les contributions des actions de transfert des connaissances et d’information à l’innovation. L’enquête a permis d’évaluer les sessions de formation innovantes.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60" o:spid="_x0000_s1044" style="width:462.85pt;height:441.8pt;visibility:visible;mso-wrap-style:square;mso-left-percent:-10001;mso-top-percent:-10001;mso-position-horizontal:absolute;mso-position-horizontal-relative:char;mso-position-vertical:absolute;mso-position-vertical-relative:line;mso-left-percent:-10001;mso-top-percent:-10001;v-text-anchor:middle" coordsize="5878195,561075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" adj="-11796480,,5400" path="m309770,l5878195,r,l5878195,5300988v,171081,-138689,309770,-309770,309770l,5610758r,l,309770c,138689,138689,,309770,xe" filled="f" strokecolor="#f07e31" strokeweight="2pt">
                <v:stroke joinstyle="miter"/>
                <v:formulas/>
                <v:path arrowok="t" o:connecttype="custom" o:connectlocs="309770,0;5878195,0;5878195,0;5878195,5300988;5568425,5610758;0,5610758;0,5610758;0,309770;309770,0" o:connectangles="0,0,0,0,0,0,0,0,0" textboxrect="0,0,5878195,5610758"/>
                <v:textbox>
                  <w:txbxContent>
                    <w:p w:rsidR="00260B0F" w:rsidRPr="00C202EC" w:rsidRDefault="00260B0F" w:rsidP="00ED3746">
                      <w:pPr>
                        <w:pStyle w:val="Normal12PTcouleurgris"/>
                        <w:ind w:left="567" w:hanging="567"/>
                        <w:rPr>
                          <w:b/>
                          <w:color w:val="F07E31"/>
                          <w:sz w:val="18"/>
                        </w:rPr>
                      </w:pPr>
                      <w:r>
                        <w:rPr>
                          <w:noProof/>
                          <w:color w:val="F07E31"/>
                        </w:rPr>
                        <w:drawing>
                          <wp:inline distT="0" distB="0" distL="0" distR="0">
                            <wp:extent cx="349885" cy="357505"/>
                            <wp:effectExtent l="0" t="0" r="0" b="0"/>
                            <wp:docPr id="4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p>
                    <w:p w:rsidR="00260B0F" w:rsidRPr="0024029C" w:rsidRDefault="00260B0F" w:rsidP="00ED3746">
                      <w:pPr>
                        <w:pStyle w:val="Normal12PTcouleurgris"/>
                        <w:spacing w:after="120"/>
                        <w:ind w:left="567" w:hanging="567"/>
                        <w:rPr>
                          <w:b/>
                          <w:color w:val="F07E31"/>
                          <w:sz w:val="16"/>
                          <w:szCs w:val="16"/>
                        </w:rPr>
                      </w:pPr>
                      <w:r w:rsidRPr="0024029C">
                        <w:rPr>
                          <w:b/>
                          <w:color w:val="F07E31"/>
                          <w:sz w:val="16"/>
                          <w:szCs w:val="16"/>
                        </w:rPr>
                        <w:t xml:space="preserve">Exemples en vue de déterminer le potentiel </w:t>
                      </w:r>
                      <w:proofErr w:type="gramStart"/>
                      <w:r w:rsidRPr="0024029C">
                        <w:rPr>
                          <w:b/>
                          <w:color w:val="F07E31"/>
                          <w:sz w:val="16"/>
                          <w:szCs w:val="16"/>
                        </w:rPr>
                        <w:t>d’innovation:</w:t>
                      </w:r>
                      <w:proofErr w:type="gramEnd"/>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Castille-et-León (ES)</w:t>
                      </w:r>
                      <w:r w:rsidRPr="0024029C">
                        <w:rPr>
                          <w:sz w:val="16"/>
                          <w:szCs w:val="16"/>
                        </w:rPr>
                        <w:t xml:space="preserve"> souligne le potentiel d’innovation des GAL et recommande l’analyse des stratégies de développement local afin de déterminer les types d’opérations mises en œuvre au titre des stratégies qui encouragent la contribution des GAL aux objectifs du DP 1A relatifs à l’innovation;</w:t>
                      </w:r>
                      <w:r w:rsidRPr="0024029C">
                        <w:rPr>
                          <w:b/>
                          <w:sz w:val="16"/>
                          <w:szCs w:val="16"/>
                        </w:rPr>
                        <w:t xml:space="preserve"> </w:t>
                      </w:r>
                    </w:p>
                    <w:p w:rsidR="00260B0F" w:rsidRPr="0024029C" w:rsidRDefault="00260B0F" w:rsidP="00ED3746">
                      <w:pPr>
                        <w:pStyle w:val="Hlistbullet"/>
                        <w:rPr>
                          <w:sz w:val="16"/>
                          <w:szCs w:val="16"/>
                        </w:rPr>
                      </w:pPr>
                      <w:proofErr w:type="gramStart"/>
                      <w:r w:rsidRPr="0024029C">
                        <w:rPr>
                          <w:sz w:val="16"/>
                          <w:szCs w:val="16"/>
                        </w:rPr>
                        <w:t>les</w:t>
                      </w:r>
                      <w:proofErr w:type="gramEnd"/>
                      <w:r w:rsidRPr="0024029C">
                        <w:rPr>
                          <w:sz w:val="16"/>
                          <w:szCs w:val="16"/>
                        </w:rPr>
                        <w:t xml:space="preserve"> </w:t>
                      </w:r>
                      <w:r w:rsidRPr="0024029C">
                        <w:rPr>
                          <w:b/>
                          <w:sz w:val="16"/>
                          <w:szCs w:val="16"/>
                        </w:rPr>
                        <w:t>Canaries (ES)</w:t>
                      </w:r>
                      <w:r w:rsidRPr="0024029C">
                        <w:rPr>
                          <w:sz w:val="16"/>
                          <w:szCs w:val="16"/>
                        </w:rPr>
                        <w:t xml:space="preserve"> soulignent aussi le potentiel d’innovation des GAL et recommandent d’inclure une variable dans le système de suivi et d’évaluation qui indique si les opérations mises en œuvre par les GAL dans le contexte des stratégies de développement local au titre de la mesure M19 sont innovantes.</w:t>
                      </w:r>
                    </w:p>
                    <w:p w:rsidR="00260B0F" w:rsidRPr="0024029C" w:rsidRDefault="00260B0F" w:rsidP="00ED3746">
                      <w:pPr>
                        <w:pStyle w:val="HStandard"/>
                        <w:ind w:left="567" w:hanging="567"/>
                        <w:rPr>
                          <w:b/>
                          <w:color w:val="F07E31"/>
                          <w:sz w:val="16"/>
                          <w:szCs w:val="16"/>
                        </w:rPr>
                      </w:pPr>
                      <w:r w:rsidRPr="0024029C">
                        <w:rPr>
                          <w:b/>
                          <w:color w:val="F07E31"/>
                          <w:sz w:val="16"/>
                          <w:szCs w:val="16"/>
                        </w:rPr>
                        <w:t xml:space="preserve">Exemples d’éléments d’évaluation </w:t>
                      </w:r>
                      <w:proofErr w:type="gramStart"/>
                      <w:r w:rsidRPr="0024029C">
                        <w:rPr>
                          <w:b/>
                          <w:color w:val="F07E31"/>
                          <w:sz w:val="16"/>
                          <w:szCs w:val="16"/>
                        </w:rPr>
                        <w:t>supplémentaires:</w:t>
                      </w:r>
                      <w:proofErr w:type="gramEnd"/>
                      <w:r w:rsidRPr="0024029C">
                        <w:rPr>
                          <w:b/>
                          <w:color w:val="F07E31"/>
                          <w:sz w:val="16"/>
                          <w:szCs w:val="16"/>
                        </w:rPr>
                        <w:t xml:space="preserve"> </w:t>
                      </w:r>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Bavière (DE)</w:t>
                      </w:r>
                      <w:r w:rsidRPr="0024029C">
                        <w:rPr>
                          <w:sz w:val="16"/>
                          <w:szCs w:val="16"/>
                        </w:rPr>
                        <w:t xml:space="preserve"> mentionne l’utilisation de critères de jugement supplémentaires relatifs à l’innovation au niveau des GAL (par exemple, les nouveaux projets multisectoriels employés par les GAL, les nouveaux procédés/nouvelles techniques qui ont été testés). Un indicateur de résultat supplémentaire a été employé (nouvelles idées/solutions, innovations – M19). L’indicateur a été quantifié et les informations ont été collectées via a) une enquête en ligne auprès des responsables des </w:t>
                      </w:r>
                      <w:proofErr w:type="gramStart"/>
                      <w:r w:rsidRPr="0024029C">
                        <w:rPr>
                          <w:sz w:val="16"/>
                          <w:szCs w:val="16"/>
                        </w:rPr>
                        <w:t>GAL;</w:t>
                      </w:r>
                      <w:proofErr w:type="gramEnd"/>
                      <w:r w:rsidRPr="0024029C">
                        <w:rPr>
                          <w:sz w:val="16"/>
                          <w:szCs w:val="16"/>
                        </w:rPr>
                        <w:t xml:space="preserve"> b) des entretiens semi-structurés avec certains responsables des GAL; </w:t>
                      </w:r>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République tchèque</w:t>
                      </w:r>
                      <w:r w:rsidRPr="0024029C">
                        <w:rPr>
                          <w:sz w:val="16"/>
                          <w:szCs w:val="16"/>
                        </w:rPr>
                        <w:t xml:space="preserve"> décrit la collecte des données pour l’indicateur de résultat supplémentaire «nombre de participants achevant des activités axées sur l’innovation» grâce à la base de données des opérations. Elle mentionne aussi une enquête auprès des bénéficiaires des projets soutenus afin de collecter des informations sur l’innovation.</w:t>
                      </w:r>
                    </w:p>
                    <w:p w:rsidR="00260B0F" w:rsidRPr="0024029C" w:rsidRDefault="00260B0F" w:rsidP="00ED3746">
                      <w:pPr>
                        <w:pStyle w:val="HStandard"/>
                        <w:rPr>
                          <w:b/>
                          <w:sz w:val="16"/>
                          <w:szCs w:val="16"/>
                        </w:rPr>
                      </w:pPr>
                      <w:r w:rsidRPr="0024029C">
                        <w:rPr>
                          <w:b/>
                          <w:color w:val="F07E31"/>
                          <w:sz w:val="16"/>
                          <w:szCs w:val="16"/>
                        </w:rPr>
                        <w:t xml:space="preserve">Exemples de </w:t>
                      </w:r>
                      <w:proofErr w:type="gramStart"/>
                      <w:r w:rsidRPr="0024029C">
                        <w:rPr>
                          <w:b/>
                          <w:color w:val="F07E31"/>
                          <w:sz w:val="16"/>
                          <w:szCs w:val="16"/>
                        </w:rPr>
                        <w:t>méthodes:</w:t>
                      </w:r>
                      <w:proofErr w:type="gramEnd"/>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 xml:space="preserve">Castille-et-León (ES) </w:t>
                      </w:r>
                      <w:r w:rsidRPr="0024029C">
                        <w:rPr>
                          <w:sz w:val="16"/>
                          <w:szCs w:val="16"/>
                        </w:rPr>
                        <w:t>recommande de s’entretenir avec chaque responsable de mesure et d’intégrer des éléments de données supplémentaires dans le système de suivi qui permettent d’évaluer comment les différentes opérations incorporent les éléments innovants et contribuent aux objectifs d’innovation;</w:t>
                      </w:r>
                    </w:p>
                    <w:p w:rsidR="00260B0F" w:rsidRPr="0024029C" w:rsidRDefault="00260B0F" w:rsidP="00ED3746">
                      <w:pPr>
                        <w:pStyle w:val="Hlistbullet"/>
                        <w:rPr>
                          <w:sz w:val="16"/>
                          <w:szCs w:val="16"/>
                        </w:rPr>
                      </w:pPr>
                      <w:proofErr w:type="gramStart"/>
                      <w:r w:rsidRPr="0024029C">
                        <w:rPr>
                          <w:sz w:val="16"/>
                          <w:szCs w:val="16"/>
                        </w:rPr>
                        <w:t>la</w:t>
                      </w:r>
                      <w:proofErr w:type="gramEnd"/>
                      <w:r w:rsidRPr="0024029C">
                        <w:rPr>
                          <w:sz w:val="16"/>
                          <w:szCs w:val="16"/>
                        </w:rPr>
                        <w:t xml:space="preserve"> </w:t>
                      </w:r>
                      <w:r w:rsidRPr="0024029C">
                        <w:rPr>
                          <w:b/>
                          <w:sz w:val="16"/>
                          <w:szCs w:val="16"/>
                        </w:rPr>
                        <w:t>Castille-La Manche (ES)</w:t>
                      </w:r>
                      <w:r w:rsidRPr="0024029C">
                        <w:rPr>
                          <w:sz w:val="16"/>
                          <w:szCs w:val="16"/>
                        </w:rPr>
                        <w:t xml:space="preserve"> a recouru à une enquête envoyée à tous les participants à la formation afin d’évaluer, entre autres, les contributions des actions de transfert des connaissances et d’information à l’innovation. L’enquête a permis d’évaluer les sessions de formation innovantes.</w:t>
                      </w:r>
                    </w:p>
                  </w:txbxContent>
                </v:textbox>
                <w10:anchorlock/>
              </v:shape>
            </w:pict>
          </mc:Fallback>
        </mc:AlternateContent>
      </w:r>
    </w:p>
    <w:p w:rsidR="00ED3746" w:rsidRDefault="00ED3746">
      <w:pPr>
        <w:jc w:val="left"/>
        <w:rPr>
          <w:rFonts w:eastAsia="Times New Roman" w:cs="Times New Roman"/>
          <w:b/>
          <w:i/>
          <w:sz w:val="18"/>
          <w:szCs w:val="18"/>
        </w:rPr>
      </w:pPr>
      <w:r>
        <w:br w:type="page"/>
      </w:r>
    </w:p>
    <w:p w:rsidR="00ED3746" w:rsidRPr="00AB16BB" w:rsidRDefault="00ED3746" w:rsidP="00EC67D2">
      <w:pPr>
        <w:pStyle w:val="ListParagraph"/>
        <w:numPr>
          <w:ilvl w:val="0"/>
          <w:numId w:val="55"/>
        </w:numPr>
        <w:spacing w:after="120" w:line="280" w:lineRule="atLeast"/>
        <w:ind w:left="567" w:hanging="567"/>
        <w:rPr>
          <w:rFonts w:eastAsia="Times New Roman" w:cs="Times New Roman"/>
          <w:b/>
          <w:szCs w:val="20"/>
        </w:rPr>
      </w:pPr>
      <w:r>
        <w:rPr>
          <w:b/>
        </w:rPr>
        <w:lastRenderedPageBreak/>
        <w:t xml:space="preserve">Risques et solutions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ED3746" w:rsidRPr="00B77106" w:rsidTr="00ED3746">
        <w:tc>
          <w:tcPr>
            <w:tcW w:w="3833" w:type="dxa"/>
            <w:shd w:val="clear" w:color="auto" w:fill="F07E31"/>
            <w:hideMark/>
          </w:tcPr>
          <w:p w:rsidR="00ED3746" w:rsidRPr="00B77106" w:rsidRDefault="00ED3746" w:rsidP="00ED3746">
            <w:pPr>
              <w:tabs>
                <w:tab w:val="left" w:pos="2070"/>
              </w:tabs>
              <w:spacing w:after="120" w:line="280" w:lineRule="atLeast"/>
              <w:mirrorIndents/>
              <w:jc w:val="center"/>
              <w:rPr>
                <w:rFonts w:eastAsia="Times New Roman" w:cs="Times New Roman"/>
                <w:b/>
                <w:color w:val="FFFFFF"/>
                <w:sz w:val="18"/>
                <w:szCs w:val="18"/>
              </w:rPr>
            </w:pPr>
            <w:r>
              <w:rPr>
                <w:b/>
                <w:color w:val="FFFFFF"/>
                <w:sz w:val="18"/>
              </w:rPr>
              <w:t>Risques</w:t>
            </w:r>
          </w:p>
        </w:tc>
        <w:tc>
          <w:tcPr>
            <w:tcW w:w="5097" w:type="dxa"/>
            <w:shd w:val="clear" w:color="auto" w:fill="F07E31"/>
            <w:hideMark/>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Solutions</w:t>
            </w:r>
          </w:p>
        </w:tc>
      </w:tr>
      <w:tr w:rsidR="00ED3746" w:rsidRPr="00B77106" w:rsidTr="00ED3746">
        <w:tc>
          <w:tcPr>
            <w:tcW w:w="3833" w:type="dxa"/>
            <w:shd w:val="clear" w:color="auto" w:fill="auto"/>
          </w:tcPr>
          <w:p w:rsidR="00ED3746" w:rsidRPr="00B77106" w:rsidRDefault="00ED3746" w:rsidP="00ED3746">
            <w:pPr>
              <w:spacing w:after="120" w:line="280" w:lineRule="atLeast"/>
              <w:ind w:left="164" w:right="49"/>
              <w:mirrorIndents/>
              <w:rPr>
                <w:rFonts w:eastAsia="Times New Roman" w:cs="Times New Roman"/>
                <w:sz w:val="18"/>
                <w:szCs w:val="18"/>
              </w:rPr>
            </w:pPr>
            <w:r>
              <w:rPr>
                <w:sz w:val="18"/>
              </w:rPr>
              <w:t>Certaines données (par exemple, le nombre final de projets de coopération) pourraient ne pas être disponibles avant la fin de la période de programmation.</w:t>
            </w:r>
          </w:p>
        </w:tc>
        <w:tc>
          <w:tcPr>
            <w:tcW w:w="5097" w:type="dxa"/>
            <w:shd w:val="clear" w:color="auto" w:fill="auto"/>
          </w:tcPr>
          <w:p w:rsidR="00ED3746" w:rsidRPr="00B77106" w:rsidRDefault="00ED3746" w:rsidP="00ED3746">
            <w:pPr>
              <w:spacing w:after="120" w:line="280" w:lineRule="atLeast"/>
              <w:ind w:left="164" w:right="49"/>
              <w:mirrorIndents/>
              <w:rPr>
                <w:rFonts w:eastAsia="Times New Roman" w:cs="Times New Roman"/>
                <w:sz w:val="18"/>
                <w:szCs w:val="18"/>
              </w:rPr>
            </w:pPr>
            <w:r>
              <w:rPr>
                <w:sz w:val="18"/>
              </w:rPr>
              <w:t>Les types de structures de coopération/GO créés (structure juridique, composition, déclaration d’engagement des partenaires, etc.) peuvent être analysés au moyen d’une évaluation qualitative comme substitut au nombre final de structures de coopération.</w:t>
            </w:r>
          </w:p>
        </w:tc>
      </w:tr>
      <w:tr w:rsidR="00ED3746" w:rsidRPr="00B77106" w:rsidTr="00ED3746">
        <w:tc>
          <w:tcPr>
            <w:tcW w:w="3833" w:type="dxa"/>
            <w:shd w:val="clear" w:color="auto" w:fill="auto"/>
          </w:tcPr>
          <w:p w:rsidR="00ED3746" w:rsidRPr="00B77106" w:rsidRDefault="00ED3746" w:rsidP="00ED3746">
            <w:pPr>
              <w:spacing w:after="120" w:line="280" w:lineRule="atLeast"/>
              <w:ind w:left="164" w:right="49"/>
              <w:mirrorIndents/>
              <w:rPr>
                <w:rFonts w:eastAsia="Times New Roman" w:cs="Times New Roman"/>
                <w:sz w:val="18"/>
                <w:szCs w:val="18"/>
              </w:rPr>
            </w:pPr>
            <w:r>
              <w:rPr>
                <w:sz w:val="18"/>
              </w:rPr>
              <w:t>Les informations sur la composition et le type des partenaires des projets de coopération ou des acteurs de l’innovation dans les mesures M1 et M2 peuvent ne pas être consignées dans les données de suivi.</w:t>
            </w:r>
          </w:p>
        </w:tc>
        <w:tc>
          <w:tcPr>
            <w:tcW w:w="5097" w:type="dxa"/>
            <w:shd w:val="clear" w:color="auto" w:fill="auto"/>
          </w:tcPr>
          <w:p w:rsidR="00ED3746" w:rsidRPr="00B77106" w:rsidRDefault="00ED3746" w:rsidP="00ED3746">
            <w:pPr>
              <w:spacing w:after="120" w:line="280" w:lineRule="atLeast"/>
              <w:ind w:left="164" w:right="49"/>
              <w:mirrorIndents/>
              <w:rPr>
                <w:rFonts w:eastAsia="Times New Roman" w:cs="Times New Roman"/>
                <w:sz w:val="18"/>
                <w:szCs w:val="18"/>
              </w:rPr>
            </w:pPr>
            <w:r>
              <w:rPr>
                <w:sz w:val="18"/>
              </w:rPr>
              <w:t>La composition et les types des partenaires peuvent être évalués au moyen d’enquêtes et d’entretiens sur les opérations bénéficiant d’un soutien. Une autre solution réside dans les formulaires de demande des opérations bénéficiant d’un soutien, qui peuvent contenir des données utiles.</w:t>
            </w:r>
          </w:p>
        </w:tc>
      </w:tr>
      <w:tr w:rsidR="00ED3746" w:rsidRPr="00B77106" w:rsidTr="00ED3746">
        <w:tc>
          <w:tcPr>
            <w:tcW w:w="3833" w:type="dxa"/>
            <w:shd w:val="clear" w:color="auto" w:fill="auto"/>
          </w:tcPr>
          <w:p w:rsidR="00ED3746" w:rsidRPr="00B77106" w:rsidRDefault="00ED3746" w:rsidP="00ED3746">
            <w:pPr>
              <w:spacing w:after="120" w:line="280" w:lineRule="atLeast"/>
              <w:ind w:left="164" w:right="49"/>
              <w:mirrorIndents/>
              <w:rPr>
                <w:rFonts w:eastAsia="Times New Roman" w:cs="Times New Roman"/>
                <w:sz w:val="18"/>
                <w:szCs w:val="18"/>
              </w:rPr>
            </w:pPr>
            <w:r>
              <w:rPr>
                <w:sz w:val="18"/>
              </w:rPr>
              <w:t>Le type d’innovation créée et son usage peuvent ne pas être consignés dans les tableaux de suivi.</w:t>
            </w:r>
          </w:p>
        </w:tc>
        <w:tc>
          <w:tcPr>
            <w:tcW w:w="5097" w:type="dxa"/>
            <w:shd w:val="clear" w:color="auto" w:fill="auto"/>
          </w:tcPr>
          <w:p w:rsidR="00ED3746" w:rsidRPr="00B77106" w:rsidRDefault="00ED3746" w:rsidP="00ED3746">
            <w:pPr>
              <w:spacing w:after="120" w:line="280" w:lineRule="atLeast"/>
              <w:ind w:left="164" w:right="49"/>
              <w:mirrorIndents/>
              <w:rPr>
                <w:rFonts w:eastAsia="Times New Roman" w:cs="Times New Roman"/>
                <w:sz w:val="18"/>
                <w:szCs w:val="18"/>
              </w:rPr>
            </w:pPr>
            <w:r>
              <w:rPr>
                <w:sz w:val="18"/>
              </w:rPr>
              <w:t xml:space="preserve">Des enquêtes, des groupes de discussion et des entretiens avec les groupes opérationnels peuvent aider à estimer les types d’innovations créées. </w:t>
            </w:r>
          </w:p>
        </w:tc>
      </w:tr>
    </w:tbl>
    <w:p w:rsidR="00ED3746" w:rsidRPr="00E05D08" w:rsidRDefault="00ED3746" w:rsidP="00EC67D2">
      <w:pPr>
        <w:numPr>
          <w:ilvl w:val="0"/>
          <w:numId w:val="55"/>
        </w:numPr>
        <w:spacing w:before="120" w:after="120" w:line="280" w:lineRule="atLeast"/>
        <w:ind w:left="567" w:hanging="567"/>
        <w:mirrorIndents/>
        <w:rPr>
          <w:rFonts w:eastAsia="Times New Roman" w:cs="Times New Roman"/>
          <w:b/>
          <w:szCs w:val="20"/>
        </w:rPr>
      </w:pPr>
      <w:r>
        <w:rPr>
          <w:b/>
        </w:rPr>
        <w:t>Conclusions et recommandations</w:t>
      </w:r>
    </w:p>
    <w:p w:rsidR="00ED3746" w:rsidRPr="00E05D08" w:rsidRDefault="00ED3746" w:rsidP="00ED3746">
      <w:pPr>
        <w:spacing w:after="120" w:line="280" w:lineRule="atLeast"/>
        <w:mirrorIndents/>
        <w:rPr>
          <w:rFonts w:cs="Times New Roman"/>
          <w:szCs w:val="20"/>
          <w:shd w:val="clear" w:color="000000" w:fill="auto"/>
        </w:rPr>
      </w:pPr>
      <w:r>
        <w:t xml:space="preserve">Les conclusions et les recommandations doivent porter sur les points suivants au </w:t>
      </w:r>
      <w:proofErr w:type="gramStart"/>
      <w:r>
        <w:t>moins:</w:t>
      </w:r>
      <w:proofErr w:type="gramEnd"/>
    </w:p>
    <w:p w:rsidR="00ED3746" w:rsidRPr="00B41573" w:rsidRDefault="00ED3746" w:rsidP="00ED3746">
      <w:pPr>
        <w:pStyle w:val="Hlistbullet"/>
        <w:rPr>
          <w:rFonts w:eastAsia="Calibri"/>
          <w:shd w:val="clear" w:color="000000" w:fill="auto"/>
        </w:rPr>
      </w:pPr>
      <w:proofErr w:type="gramStart"/>
      <w:r>
        <w:rPr>
          <w:b/>
        </w:rPr>
        <w:t>la</w:t>
      </w:r>
      <w:proofErr w:type="gramEnd"/>
      <w:r>
        <w:rPr>
          <w:b/>
        </w:rPr>
        <w:t xml:space="preserve"> réalisation du potentiel d’innovation</w:t>
      </w:r>
      <w:r>
        <w:t xml:space="preserve"> (via les trois démarches) des mesures M1, M2, M16 et M19 et de leurs sous-mesures déterminées;</w:t>
      </w:r>
    </w:p>
    <w:p w:rsidR="00ED3746" w:rsidRPr="00B41573" w:rsidRDefault="00ED3746" w:rsidP="00ED3746">
      <w:pPr>
        <w:pStyle w:val="Hlistbullet"/>
        <w:rPr>
          <w:rFonts w:eastAsia="Calibri"/>
          <w:shd w:val="clear" w:color="000000" w:fill="auto"/>
        </w:rPr>
      </w:pPr>
      <w:proofErr w:type="gramStart"/>
      <w:r>
        <w:rPr>
          <w:b/>
        </w:rPr>
        <w:t>l’effet</w:t>
      </w:r>
      <w:proofErr w:type="gramEnd"/>
      <w:r>
        <w:rPr>
          <w:b/>
        </w:rPr>
        <w:t xml:space="preserve"> des actions de formation et d’information</w:t>
      </w:r>
      <w:r>
        <w:t xml:space="preserve"> au titre de la mesure M1 et des services de conseil au titre de la mesure M2 sur le renforcement de la capacité d’innover;</w:t>
      </w:r>
    </w:p>
    <w:p w:rsidR="00ED3746" w:rsidRPr="00B41573" w:rsidRDefault="00ED3746" w:rsidP="00ED3746">
      <w:pPr>
        <w:pStyle w:val="Hlistbullet"/>
        <w:rPr>
          <w:rFonts w:eastAsia="Calibri"/>
          <w:shd w:val="clear" w:color="000000" w:fill="auto"/>
        </w:rPr>
      </w:pPr>
      <w:proofErr w:type="gramStart"/>
      <w:r>
        <w:rPr>
          <w:b/>
        </w:rPr>
        <w:t>l’effet</w:t>
      </w:r>
      <w:proofErr w:type="gramEnd"/>
      <w:r>
        <w:rPr>
          <w:b/>
        </w:rPr>
        <w:t xml:space="preserve"> des projets de coopération</w:t>
      </w:r>
      <w:r>
        <w:t>, en particulier des GO, sur le soutien à l’innovation, plus particulièrement:</w:t>
      </w:r>
    </w:p>
    <w:p w:rsidR="00ED3746" w:rsidRPr="00E05D08" w:rsidRDefault="00ED3746" w:rsidP="00ED3746">
      <w:pPr>
        <w:pStyle w:val="Hlistbullet2"/>
        <w:rPr>
          <w:rFonts w:eastAsia="Calibri"/>
          <w:shd w:val="clear" w:color="000000" w:fill="auto"/>
        </w:rPr>
      </w:pPr>
      <w:proofErr w:type="gramStart"/>
      <w:r>
        <w:t>le</w:t>
      </w:r>
      <w:proofErr w:type="gramEnd"/>
      <w:r>
        <w:t xml:space="preserve"> nombre, le champ, le contenu et la durée des projets des GO peuvent fournir des conclusions utiles sur la découverte d’idées innovantes qui devraient être mises en pratique;</w:t>
      </w:r>
    </w:p>
    <w:p w:rsidR="00ED3746" w:rsidRPr="00E05D08" w:rsidRDefault="00ED3746" w:rsidP="00ED3746">
      <w:pPr>
        <w:pStyle w:val="Hlistbullet2"/>
        <w:rPr>
          <w:rFonts w:eastAsia="Calibri"/>
          <w:shd w:val="clear" w:color="000000" w:fill="auto"/>
        </w:rPr>
      </w:pPr>
      <w:proofErr w:type="gramStart"/>
      <w:r>
        <w:t>le</w:t>
      </w:r>
      <w:proofErr w:type="gramEnd"/>
      <w:r>
        <w:t xml:space="preserve"> nombre et le type de projets des GO ainsi que la participation des acteurs de l’innovation peuvent fournir des conclusions pertinentes sur les réalisations de la mesure de coopération en relation avec la capacité d’innovation dans les zones rurales;</w:t>
      </w:r>
    </w:p>
    <w:p w:rsidR="00ED3746" w:rsidRPr="00E05D08" w:rsidRDefault="00ED3746" w:rsidP="00ED3746">
      <w:pPr>
        <w:pStyle w:val="Hlistbullet2"/>
        <w:rPr>
          <w:rFonts w:eastAsia="Calibri"/>
          <w:shd w:val="clear" w:color="000000" w:fill="auto"/>
        </w:rPr>
      </w:pPr>
      <w:proofErr w:type="gramStart"/>
      <w:r>
        <w:t>les</w:t>
      </w:r>
      <w:proofErr w:type="gramEnd"/>
      <w:r>
        <w:t xml:space="preserve"> conclusions sur la mesure dans laquelle les projets des GO produisent des structures et des procédures qui facilitent la production d’innovation; </w:t>
      </w:r>
    </w:p>
    <w:p w:rsidR="00ED3746" w:rsidRPr="000A1399" w:rsidRDefault="00ED3746" w:rsidP="00ED3746">
      <w:pPr>
        <w:numPr>
          <w:ilvl w:val="0"/>
          <w:numId w:val="88"/>
        </w:numPr>
        <w:tabs>
          <w:tab w:val="left" w:pos="426"/>
        </w:tabs>
        <w:ind w:left="426" w:hanging="284"/>
        <w:mirrorIndents/>
        <w:rPr>
          <w:szCs w:val="20"/>
          <w:shd w:val="clear" w:color="000000" w:fill="auto"/>
        </w:rPr>
      </w:pPr>
      <w:proofErr w:type="gramStart"/>
      <w:r>
        <w:rPr>
          <w:b/>
        </w:rPr>
        <w:t>les</w:t>
      </w:r>
      <w:proofErr w:type="gramEnd"/>
      <w:r>
        <w:rPr>
          <w:b/>
        </w:rPr>
        <w:t xml:space="preserve"> effets des activités des GAL</w:t>
      </w:r>
      <w:r>
        <w:t xml:space="preserve"> (y compris la coopération entre les GAL) et des projets mis en œuvre via les stratégies de DLAL. </w:t>
      </w:r>
    </w:p>
    <w:p w:rsidR="00ED3746" w:rsidRPr="00DC1980"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sidRPr="00DC1980">
        <w:rPr>
          <w:b/>
          <w:color w:val="57825E"/>
        </w:rPr>
        <w:lastRenderedPageBreak/>
        <w:t>Lectures complémentaires</w:t>
      </w:r>
    </w:p>
    <w:p w:rsidR="00ED3746" w:rsidRPr="00E05D08" w:rsidRDefault="00F204F1" w:rsidP="00ED3746">
      <w:pPr>
        <w:spacing w:after="120" w:line="280" w:lineRule="atLeast"/>
        <w:mirrorIndents/>
        <w:rPr>
          <w:rFonts w:cs="Times New Roman"/>
          <w:szCs w:val="20"/>
        </w:rPr>
      </w:pPr>
      <w:r w:rsidRPr="00DC1980">
        <w:rPr>
          <w:noProof/>
        </w:rPr>
        <mc:AlternateContent>
          <mc:Choice Requires="wps">
            <w:drawing>
              <wp:inline distT="0" distB="0" distL="0" distR="0">
                <wp:extent cx="5633720" cy="1802130"/>
                <wp:effectExtent l="0" t="0" r="5080" b="7620"/>
                <wp:docPr id="9" name="Rectangle: Diagonal Corners Rounded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3720" cy="1802130"/>
                        </a:xfrm>
                        <a:prstGeom prst="round2DiagRect">
                          <a:avLst>
                            <a:gd name="adj1" fmla="val 11556"/>
                            <a:gd name="adj2" fmla="val 0"/>
                          </a:avLst>
                        </a:prstGeom>
                        <a:noFill/>
                        <a:ln w="25400" cap="flat" cmpd="sng" algn="ctr">
                          <a:solidFill>
                            <a:srgbClr val="59638E"/>
                          </a:solidFill>
                          <a:prstDash val="solid"/>
                        </a:ln>
                        <a:effectLst/>
                      </wps:spPr>
                      <wps:txbx>
                        <w:txbxContent>
                          <w:p w:rsidR="00260B0F" w:rsidRDefault="00260B0F" w:rsidP="00ED3746">
                            <w:pPr>
                              <w:pStyle w:val="HStandard"/>
                              <w:rPr>
                                <w:color w:val="000000"/>
                                <w:sz w:val="18"/>
                              </w:rPr>
                            </w:pPr>
                            <w:r>
                              <w:rPr>
                                <w:noProof/>
                              </w:rPr>
                              <w:drawing>
                                <wp:inline distT="0" distB="0" distL="0" distR="0">
                                  <wp:extent cx="357505" cy="357505"/>
                                  <wp:effectExtent l="0" t="0" r="0" b="0"/>
                                  <wp:docPr id="4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EB3015" w:rsidRDefault="00260B0F" w:rsidP="00ED3746">
                            <w:pPr>
                              <w:pStyle w:val="HStandard"/>
                              <w:rPr>
                                <w:color w:val="000000"/>
                                <w:sz w:val="18"/>
                              </w:rPr>
                            </w:pPr>
                            <w:r>
                              <w:rPr>
                                <w:sz w:val="18"/>
                              </w:rPr>
                              <w:t>Lignes directrices</w:t>
                            </w:r>
                            <w:r>
                              <w:rPr>
                                <w:color w:val="000000"/>
                                <w:sz w:val="18"/>
                              </w:rPr>
                              <w:t xml:space="preserve"> </w:t>
                            </w:r>
                            <w:hyperlink r:id="rId33" w:history="1">
                              <w:r>
                                <w:rPr>
                                  <w:rStyle w:val="Hyperlink"/>
                                </w:rPr>
                                <w:t>«</w:t>
                              </w:r>
                              <w:r>
                                <w:rPr>
                                  <w:rStyle w:val="Hyperlink"/>
                                  <w:sz w:val="18"/>
                                </w:rPr>
                                <w:t>Évaluation des résultats du PDR: Comment établir le rapport sur l’évaluation en 2017»</w:t>
                              </w:r>
                            </w:hyperlink>
                            <w:r>
                              <w:t xml:space="preserve"> (en anglais)</w:t>
                            </w:r>
                            <w:r>
                              <w:rPr>
                                <w:sz w:val="18"/>
                              </w:rPr>
                              <w:t>, annexe 11;</w:t>
                            </w:r>
                            <w:r>
                              <w:rPr>
                                <w:color w:val="000000"/>
                                <w:sz w:val="18"/>
                              </w:rPr>
                              <w:t xml:space="preserve"> </w:t>
                            </w:r>
                          </w:p>
                          <w:p w:rsidR="00260B0F" w:rsidRPr="00730192" w:rsidRDefault="00260B0F" w:rsidP="00ED3746">
                            <w:pPr>
                              <w:pStyle w:val="HStandard"/>
                              <w:rPr>
                                <w:sz w:val="18"/>
                              </w:rPr>
                            </w:pPr>
                            <w:r>
                              <w:rPr>
                                <w:sz w:val="18"/>
                              </w:rPr>
                              <w:t>Document d’orientation «</w:t>
                            </w:r>
                            <w:proofErr w:type="spellStart"/>
                            <w:r>
                              <w:fldChar w:fldCharType="begin"/>
                            </w:r>
                            <w:r>
                              <w:instrText xml:space="preserve"> HYPERLINK "https://ec.europa.eu/eip/agriculture/sites/agri-eip/files/16_measure_fiche_art_35_co-operation.pdf" </w:instrText>
                            </w:r>
                            <w:r>
                              <w:fldChar w:fldCharType="separate"/>
                            </w:r>
                            <w:r>
                              <w:rPr>
                                <w:rStyle w:val="Hyperlink"/>
                                <w:sz w:val="18"/>
                              </w:rPr>
                              <w:t>Cooperation</w:t>
                            </w:r>
                            <w:proofErr w:type="spellEnd"/>
                            <w:r>
                              <w:rPr>
                                <w:rStyle w:val="Hyperlink"/>
                                <w:sz w:val="18"/>
                              </w:rPr>
                              <w:t xml:space="preserve"> </w:t>
                            </w:r>
                            <w:proofErr w:type="spellStart"/>
                            <w:r>
                              <w:rPr>
                                <w:rStyle w:val="Hyperlink"/>
                                <w:sz w:val="18"/>
                              </w:rPr>
                              <w:t>measure</w:t>
                            </w:r>
                            <w:proofErr w:type="spellEnd"/>
                            <w:r>
                              <w:rPr>
                                <w:rStyle w:val="Hyperlink"/>
                                <w:sz w:val="18"/>
                              </w:rPr>
                              <w:fldChar w:fldCharType="end"/>
                            </w:r>
                            <w:r>
                              <w:rPr>
                                <w:sz w:val="18"/>
                              </w:rPr>
                              <w:t>», article 35 du règlement (UE) nº 1305/2013, novembre 2014</w:t>
                            </w:r>
                          </w:p>
                          <w:p w:rsidR="00260B0F" w:rsidRPr="009D62F4" w:rsidRDefault="00260B0F" w:rsidP="00ED3746">
                            <w:pPr>
                              <w:pStyle w:val="HStandard"/>
                              <w:rPr>
                                <w:sz w:val="18"/>
                                <w:szCs w:val="18"/>
                              </w:rPr>
                            </w:pPr>
                            <w:r>
                              <w:rPr>
                                <w:sz w:val="18"/>
                              </w:rPr>
                              <w:t>Documents de l’atelier du REDR sur la mesure M16</w:t>
                            </w:r>
                            <w:proofErr w:type="gramStart"/>
                            <w:r>
                              <w:rPr>
                                <w:sz w:val="18"/>
                              </w:rPr>
                              <w:t xml:space="preserve"> «Coopération</w:t>
                            </w:r>
                            <w:proofErr w:type="gramEnd"/>
                            <w:r>
                              <w:rPr>
                                <w:sz w:val="18"/>
                              </w:rPr>
                              <w:t xml:space="preserve">», juin 2016, Bruxelles: </w:t>
                            </w:r>
                            <w:hyperlink r:id="rId34" w:history="1">
                              <w:r>
                                <w:rPr>
                                  <w:rStyle w:val="Hyperlink"/>
                                  <w:sz w:val="18"/>
                                </w:rPr>
                                <w:t>http://enrd.ec.europa.eu/news-events/events/enrd-workshop-measure-16-cooperation_fr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5" o:spid="_x0000_s1045" style="width:443.6pt;height:141.9pt;visibility:visible;mso-wrap-style:square;mso-left-percent:-10001;mso-top-percent:-10001;mso-position-horizontal:absolute;mso-position-horizontal-relative:char;mso-position-vertical:absolute;mso-position-vertical-relative:line;mso-left-percent:-10001;mso-top-percent:-10001;v-text-anchor:middle" coordsize="5633720,1802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" adj="-11796480,,5400" path="m208254,l5633720,r,l5633720,1593876v,115016,-93238,208254,-208254,208254l,1802130r,l,208254c,93238,93238,,208254,xe" filled="f" strokecolor="#59638e" strokeweight="2pt">
                <v:stroke joinstyle="miter"/>
                <v:formulas/>
                <v:path arrowok="t" o:connecttype="custom" o:connectlocs="208254,0;5633720,0;5633720,0;5633720,1593876;5425466,1802130;0,1802130;0,1802130;0,208254;208254,0" o:connectangles="0,0,0,0,0,0,0,0,0" textboxrect="0,0,5633720,1802130"/>
                <v:textbox>
                  <w:txbxContent>
                    <w:p w:rsidR="00260B0F" w:rsidRDefault="00260B0F" w:rsidP="00ED3746">
                      <w:pPr>
                        <w:pStyle w:val="HStandard"/>
                        <w:rPr>
                          <w:color w:val="000000"/>
                          <w:sz w:val="18"/>
                        </w:rPr>
                      </w:pPr>
                      <w:r>
                        <w:rPr>
                          <w:noProof/>
                        </w:rPr>
                        <w:drawing>
                          <wp:inline distT="0" distB="0" distL="0" distR="0">
                            <wp:extent cx="357505" cy="357505"/>
                            <wp:effectExtent l="0" t="0" r="0" b="0"/>
                            <wp:docPr id="4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EB3015" w:rsidRDefault="00260B0F" w:rsidP="00ED3746">
                      <w:pPr>
                        <w:pStyle w:val="HStandard"/>
                        <w:rPr>
                          <w:color w:val="000000"/>
                          <w:sz w:val="18"/>
                        </w:rPr>
                      </w:pPr>
                      <w:r>
                        <w:rPr>
                          <w:sz w:val="18"/>
                        </w:rPr>
                        <w:t>Lignes directrices</w:t>
                      </w:r>
                      <w:r>
                        <w:rPr>
                          <w:color w:val="000000"/>
                          <w:sz w:val="18"/>
                        </w:rPr>
                        <w:t xml:space="preserve"> </w:t>
                      </w:r>
                      <w:hyperlink r:id="rId35" w:history="1">
                        <w:r>
                          <w:rPr>
                            <w:rStyle w:val="Hyperlink"/>
                          </w:rPr>
                          <w:t>«</w:t>
                        </w:r>
                        <w:r>
                          <w:rPr>
                            <w:rStyle w:val="Hyperlink"/>
                            <w:sz w:val="18"/>
                          </w:rPr>
                          <w:t>Évaluation des résultats du PDR: Comment établir le rapport sur l’évaluation en 2017»</w:t>
                        </w:r>
                      </w:hyperlink>
                      <w:r>
                        <w:t xml:space="preserve"> (en anglais)</w:t>
                      </w:r>
                      <w:r>
                        <w:rPr>
                          <w:sz w:val="18"/>
                        </w:rPr>
                        <w:t>, annexe 11;</w:t>
                      </w:r>
                      <w:r>
                        <w:rPr>
                          <w:color w:val="000000"/>
                          <w:sz w:val="18"/>
                        </w:rPr>
                        <w:t xml:space="preserve"> </w:t>
                      </w:r>
                    </w:p>
                    <w:p w:rsidR="00260B0F" w:rsidRPr="00730192" w:rsidRDefault="00260B0F" w:rsidP="00ED3746">
                      <w:pPr>
                        <w:pStyle w:val="HStandard"/>
                        <w:rPr>
                          <w:sz w:val="18"/>
                        </w:rPr>
                      </w:pPr>
                      <w:r>
                        <w:rPr>
                          <w:sz w:val="18"/>
                        </w:rPr>
                        <w:t>Document d’orientation «</w:t>
                      </w:r>
                      <w:proofErr w:type="spellStart"/>
                      <w:r>
                        <w:fldChar w:fldCharType="begin"/>
                      </w:r>
                      <w:r>
                        <w:instrText xml:space="preserve"> HYPERLINK "https://ec.europa.eu/eip/agriculture/sites/agri-eip/files/16_measure_fiche_art_35_co-operation.pdf" </w:instrText>
                      </w:r>
                      <w:r>
                        <w:fldChar w:fldCharType="separate"/>
                      </w:r>
                      <w:r>
                        <w:rPr>
                          <w:rStyle w:val="Hyperlink"/>
                          <w:sz w:val="18"/>
                        </w:rPr>
                        <w:t>Cooperation</w:t>
                      </w:r>
                      <w:proofErr w:type="spellEnd"/>
                      <w:r>
                        <w:rPr>
                          <w:rStyle w:val="Hyperlink"/>
                          <w:sz w:val="18"/>
                        </w:rPr>
                        <w:t xml:space="preserve"> </w:t>
                      </w:r>
                      <w:proofErr w:type="spellStart"/>
                      <w:r>
                        <w:rPr>
                          <w:rStyle w:val="Hyperlink"/>
                          <w:sz w:val="18"/>
                        </w:rPr>
                        <w:t>measure</w:t>
                      </w:r>
                      <w:proofErr w:type="spellEnd"/>
                      <w:r>
                        <w:rPr>
                          <w:rStyle w:val="Hyperlink"/>
                          <w:sz w:val="18"/>
                        </w:rPr>
                        <w:fldChar w:fldCharType="end"/>
                      </w:r>
                      <w:r>
                        <w:rPr>
                          <w:sz w:val="18"/>
                        </w:rPr>
                        <w:t>», article 35 du règlement (UE) nº 1305/2013, novembre 2014</w:t>
                      </w:r>
                    </w:p>
                    <w:p w:rsidR="00260B0F" w:rsidRPr="009D62F4" w:rsidRDefault="00260B0F" w:rsidP="00ED3746">
                      <w:pPr>
                        <w:pStyle w:val="HStandard"/>
                        <w:rPr>
                          <w:sz w:val="18"/>
                          <w:szCs w:val="18"/>
                        </w:rPr>
                      </w:pPr>
                      <w:r>
                        <w:rPr>
                          <w:sz w:val="18"/>
                        </w:rPr>
                        <w:t>Documents de l’atelier du REDR sur la mesure M16</w:t>
                      </w:r>
                      <w:proofErr w:type="gramStart"/>
                      <w:r>
                        <w:rPr>
                          <w:sz w:val="18"/>
                        </w:rPr>
                        <w:t xml:space="preserve"> «Coopération</w:t>
                      </w:r>
                      <w:proofErr w:type="gramEnd"/>
                      <w:r>
                        <w:rPr>
                          <w:sz w:val="18"/>
                        </w:rPr>
                        <w:t xml:space="preserve">», juin 2016, Bruxelles: </w:t>
                      </w:r>
                      <w:hyperlink r:id="rId36" w:history="1">
                        <w:r>
                          <w:rPr>
                            <w:rStyle w:val="Hyperlink"/>
                            <w:sz w:val="18"/>
                          </w:rPr>
                          <w:t>http://enrd.ec.europa.eu/news-events/events/enrd-workshop-measure-16-cooperation_fr</w:t>
                        </w:r>
                      </w:hyperlink>
                    </w:p>
                  </w:txbxContent>
                </v:textbox>
                <w10:anchorlock/>
              </v:shape>
            </w:pict>
          </mc:Fallback>
        </mc:AlternateContent>
      </w:r>
    </w:p>
    <w:p w:rsidR="00ED3746" w:rsidRPr="00BB551B" w:rsidRDefault="00ED3746" w:rsidP="0024029C">
      <w:pPr>
        <w:pStyle w:val="HHeading3"/>
        <w:numPr>
          <w:ilvl w:val="2"/>
          <w:numId w:val="130"/>
        </w:numPr>
        <w:tabs>
          <w:tab w:val="clear" w:pos="567"/>
        </w:tabs>
        <w:spacing w:line="280" w:lineRule="exact"/>
      </w:pPr>
      <w:bookmarkStart w:id="135" w:name="_Toc501382132"/>
      <w:bookmarkStart w:id="136" w:name="_Toc503368726"/>
      <w:bookmarkStart w:id="137" w:name="_Toc508889637"/>
      <w:r>
        <w:t>QEC nº </w:t>
      </w:r>
      <w:proofErr w:type="gramStart"/>
      <w:r>
        <w:t>2:</w:t>
      </w:r>
      <w:proofErr w:type="gramEnd"/>
      <w:r>
        <w:t xml:space="preserve"> «Dans quelle mesure les interventions du PDR ont-elles favorisé le renforcement des liens entre l’agriculture, la production alimentaire et la foresterie, la recherche et l’innovation, y compris aux fins d’améliorer la gestion et les performances environnementales?»</w:t>
      </w:r>
      <w:bookmarkEnd w:id="135"/>
      <w:bookmarkEnd w:id="136"/>
      <w:bookmarkEnd w:id="137"/>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Comprendre la QEC</w:t>
      </w:r>
    </w:p>
    <w:p w:rsidR="00ED3746" w:rsidRPr="00E05D08" w:rsidRDefault="00ED3746" w:rsidP="00ED3746">
      <w:pPr>
        <w:spacing w:after="120" w:line="280" w:lineRule="atLeast"/>
        <w:mirrorIndents/>
        <w:rPr>
          <w:rFonts w:eastAsia="Times New Roman" w:cs="Times New Roman"/>
          <w:szCs w:val="20"/>
        </w:rPr>
      </w:pPr>
      <w:r>
        <w:t>La QEC nº 2 est principalement liée à la mesure M16 et à ses dix sous-mesures de l’article 35</w:t>
      </w:r>
      <w:proofErr w:type="gramStart"/>
      <w:r>
        <w:t xml:space="preserve"> «Coopération</w:t>
      </w:r>
      <w:proofErr w:type="gramEnd"/>
      <w:r>
        <w:t>»</w:t>
      </w:r>
      <w:r>
        <w:rPr>
          <w:vertAlign w:val="superscript"/>
        </w:rPr>
        <w:footnoteReference w:id="52"/>
      </w:r>
      <w:r>
        <w:t xml:space="preserve">. </w:t>
      </w:r>
      <w:r>
        <w:rPr>
          <w:b/>
        </w:rPr>
        <w:t>Les liens entre l’agriculture, la production alimentaire, la foresterie et la recherche et l’innovation</w:t>
      </w:r>
      <w:r>
        <w:t xml:space="preserve"> peuvent être encouragés de trois manières</w:t>
      </w:r>
      <w:r>
        <w:rPr>
          <w:vertAlign w:val="superscript"/>
        </w:rPr>
        <w:footnoteReference w:id="53"/>
      </w:r>
      <w:r>
        <w:t>:</w:t>
      </w:r>
    </w:p>
    <w:p w:rsidR="00ED3746" w:rsidRPr="00E05D08" w:rsidRDefault="00ED3746" w:rsidP="00ED3746">
      <w:pPr>
        <w:numPr>
          <w:ilvl w:val="0"/>
          <w:numId w:val="25"/>
        </w:numPr>
        <w:spacing w:before="60" w:after="120" w:line="280" w:lineRule="atLeast"/>
        <w:ind w:left="567" w:hanging="567"/>
        <w:rPr>
          <w:rFonts w:eastAsia="Times New Roman" w:cs="Times New Roman"/>
          <w:szCs w:val="20"/>
        </w:rPr>
      </w:pPr>
      <w:proofErr w:type="gramStart"/>
      <w:r>
        <w:t>la</w:t>
      </w:r>
      <w:proofErr w:type="gramEnd"/>
      <w:r>
        <w:t xml:space="preserve"> coopération entre toute une série d’acteurs du secteur de l’agriculture et de la foresterie, de la chaîne alimentaire et autres qui contribuent à atteindre les objectifs de la politique de développement rural, ainsi que les groupements de producteurs, les coopératives et les organisations interprofessionnelles;</w:t>
      </w:r>
    </w:p>
    <w:p w:rsidR="00ED3746" w:rsidRPr="00E05D08" w:rsidRDefault="00ED3746" w:rsidP="00ED3746">
      <w:pPr>
        <w:numPr>
          <w:ilvl w:val="0"/>
          <w:numId w:val="25"/>
        </w:numPr>
        <w:spacing w:before="60" w:after="120" w:line="280" w:lineRule="atLeast"/>
        <w:ind w:left="567" w:hanging="567"/>
        <w:rPr>
          <w:rFonts w:eastAsia="Times New Roman" w:cs="Times New Roman"/>
          <w:szCs w:val="20"/>
        </w:rPr>
      </w:pPr>
      <w:proofErr w:type="gramStart"/>
      <w:r>
        <w:t>la</w:t>
      </w:r>
      <w:proofErr w:type="gramEnd"/>
      <w:r>
        <w:t xml:space="preserve"> création de pôles et de réseaux, qui sont des formes de coopération plus spécifiques mais importantes;</w:t>
      </w:r>
    </w:p>
    <w:p w:rsidR="00ED3746" w:rsidRPr="00E05D08" w:rsidRDefault="00ED3746" w:rsidP="00ED3746">
      <w:pPr>
        <w:numPr>
          <w:ilvl w:val="0"/>
          <w:numId w:val="25"/>
        </w:numPr>
        <w:spacing w:before="60" w:after="120" w:line="280" w:lineRule="atLeast"/>
        <w:ind w:left="567" w:hanging="567"/>
        <w:rPr>
          <w:rFonts w:eastAsia="Times New Roman" w:cs="Times New Roman"/>
          <w:szCs w:val="20"/>
        </w:rPr>
      </w:pPr>
      <w:proofErr w:type="gramStart"/>
      <w:r>
        <w:t>la</w:t>
      </w:r>
      <w:proofErr w:type="gramEnd"/>
      <w:r>
        <w:t xml:space="preserve"> création de GO du PEI-AGRI, un nouveau composant de la politique de développement rural, qui vise à rapprocher la recherche et la pratique.</w:t>
      </w:r>
    </w:p>
    <w:p w:rsidR="00ED3746" w:rsidRPr="00E05D08" w:rsidRDefault="00ED3746" w:rsidP="00ED3746">
      <w:pPr>
        <w:spacing w:after="120" w:line="280" w:lineRule="atLeast"/>
        <w:mirrorIndents/>
        <w:rPr>
          <w:rFonts w:eastAsia="Times New Roman" w:cs="Times New Roman"/>
          <w:szCs w:val="20"/>
        </w:rPr>
      </w:pPr>
      <w:r>
        <w:t xml:space="preserve">Le soutien de la politique de développement rural à ces formes de coopération a évolué avec le temps. Au cours de la période de programmation passée, des formes très spécifiques de coopération (programmes de qualité alimentaire et groupements de producteurs) ou de coopération à l’échelle locale (au titre de Leader) avaient reçu un soutien. La politique actuelle favorise les liens entre toute une série d’acteurs et donne davantage de flexibilité dans le champ et la composition des activités de coopération. En liant l’agriculture, la foresterie et la chaîne alimentaire aux acteurs de la recherche/de l’innovation, la politique de développement rural met fortement l’accent sur l’innovation comme moyen d’attendre les objectifs du PDR. Par </w:t>
      </w:r>
      <w:proofErr w:type="gramStart"/>
      <w:r>
        <w:t>exemple:</w:t>
      </w:r>
      <w:proofErr w:type="gramEnd"/>
    </w:p>
    <w:p w:rsidR="00ED3746" w:rsidRPr="00D35751" w:rsidRDefault="00ED3746" w:rsidP="00ED3746">
      <w:pPr>
        <w:pStyle w:val="Hlistbullet"/>
      </w:pPr>
      <w:proofErr w:type="gramStart"/>
      <w:r>
        <w:t>lier</w:t>
      </w:r>
      <w:proofErr w:type="gramEnd"/>
      <w:r>
        <w:t xml:space="preserve"> la recherche à la pratique peut aider à découvrir des innovations qui peuvent améliorer la mise en œuvre du programme et contribuer aux objectifs du PDR;</w:t>
      </w:r>
    </w:p>
    <w:p w:rsidR="00ED3746" w:rsidRPr="00EF1B0F" w:rsidRDefault="00ED3746" w:rsidP="00ED3746">
      <w:pPr>
        <w:pStyle w:val="Hlistbullet"/>
      </w:pPr>
      <w:proofErr w:type="gramStart"/>
      <w:r w:rsidRPr="00DC1980">
        <w:t>l’accent</w:t>
      </w:r>
      <w:proofErr w:type="gramEnd"/>
      <w:r w:rsidRPr="00DC1980">
        <w:t xml:space="preserve"> mis sur le soutien apporté aux projets de coopération par les conseillers et les services de soutien à l’innovation (notamment le soutien apporté par les RRN) peut contribuer à renforcer la capacité</w:t>
      </w:r>
      <w:r>
        <w:t xml:space="preserve"> d’innover et à améliorer la compétitivité ou l’environnement; </w:t>
      </w:r>
    </w:p>
    <w:p w:rsidR="00ED3746" w:rsidRDefault="00F204F1" w:rsidP="00ED3746">
      <w:pPr>
        <w:pStyle w:val="Hlistbullet"/>
      </w:pPr>
      <w:r>
        <w:rPr>
          <w:noProof/>
        </w:rPr>
        <w:lastRenderedPageBreak/>
        <mc:AlternateContent>
          <mc:Choice Requires="wps">
            <w:drawing>
              <wp:anchor distT="0" distB="0" distL="114300" distR="114300" simplePos="0" relativeHeight="251653632" behindDoc="0" locked="0" layoutInCell="1" allowOverlap="1">
                <wp:simplePos x="0" y="0"/>
                <wp:positionH relativeFrom="column">
                  <wp:posOffset>94615</wp:posOffset>
                </wp:positionH>
                <wp:positionV relativeFrom="page">
                  <wp:posOffset>760730</wp:posOffset>
                </wp:positionV>
                <wp:extent cx="5763895" cy="6766560"/>
                <wp:effectExtent l="0" t="0" r="27305" b="15240"/>
                <wp:wrapSquare wrapText="bothSides"/>
                <wp:docPr id="8" name="Rectangle: Diagonal Corners Rounded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895" cy="6766560"/>
                        </a:xfrm>
                        <a:prstGeom prst="round2DiagRect">
                          <a:avLst>
                            <a:gd name="adj1" fmla="val 5422"/>
                            <a:gd name="adj2" fmla="val 0"/>
                          </a:avLst>
                        </a:prstGeom>
                        <a:noFill/>
                        <a:ln w="25400" cap="flat" cmpd="sng" algn="ctr">
                          <a:solidFill>
                            <a:srgbClr val="F07E31"/>
                          </a:solidFill>
                          <a:prstDash val="solid"/>
                        </a:ln>
                        <a:effectLst/>
                      </wps:spPr>
                      <wps:txbx>
                        <w:txbxContent>
                          <w:p w:rsidR="00260B0F" w:rsidRPr="007B4A6D" w:rsidRDefault="00260B0F" w:rsidP="00ED3746">
                            <w:pPr>
                              <w:pStyle w:val="HStandard"/>
                              <w:ind w:left="567" w:hanging="567"/>
                              <w:rPr>
                                <w:b/>
                                <w:color w:val="648659"/>
                                <w:sz w:val="18"/>
                                <w:szCs w:val="18"/>
                              </w:rPr>
                            </w:pPr>
                            <w:r>
                              <w:rPr>
                                <w:noProof/>
                                <w:sz w:val="18"/>
                              </w:rPr>
                              <w:drawing>
                                <wp:inline distT="0" distB="0" distL="0" distR="0">
                                  <wp:extent cx="349885" cy="357505"/>
                                  <wp:effectExtent l="0" t="0" r="0" b="0"/>
                                  <wp:docPr id="4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proofErr w:type="gramStart"/>
                            <w:r>
                              <w:rPr>
                                <w:b/>
                                <w:color w:val="F07E31"/>
                                <w:sz w:val="18"/>
                              </w:rPr>
                              <w:t>Exemple:</w:t>
                            </w:r>
                            <w:proofErr w:type="gramEnd"/>
                            <w:r>
                              <w:rPr>
                                <w:b/>
                                <w:color w:val="F07E31"/>
                                <w:sz w:val="18"/>
                              </w:rPr>
                              <w:t xml:space="preserve"> mesures de coopération visant à améliorer la gestion environnementale</w:t>
                            </w:r>
                          </w:p>
                          <w:p w:rsidR="00260B0F" w:rsidRPr="007B4A6D" w:rsidRDefault="00260B0F" w:rsidP="00ED3746">
                            <w:pPr>
                              <w:pStyle w:val="HStandard"/>
                              <w:rPr>
                                <w:sz w:val="18"/>
                                <w:szCs w:val="18"/>
                              </w:rPr>
                            </w:pPr>
                            <w:r>
                              <w:rPr>
                                <w:b/>
                                <w:sz w:val="18"/>
                              </w:rPr>
                              <w:t>Finlande –</w:t>
                            </w:r>
                            <w:r>
                              <w:rPr>
                                <w:sz w:val="18"/>
                              </w:rPr>
                              <w:t xml:space="preserve"> la mesure M16 complète d’autres mesures du PDR pour atteindre les objectifs des priorités P4 et P</w:t>
                            </w:r>
                            <w:proofErr w:type="gramStart"/>
                            <w:r>
                              <w:rPr>
                                <w:sz w:val="18"/>
                              </w:rPr>
                              <w:t>5:</w:t>
                            </w:r>
                            <w:proofErr w:type="gramEnd"/>
                          </w:p>
                          <w:p w:rsidR="00260B0F" w:rsidRPr="00055039" w:rsidRDefault="00260B0F" w:rsidP="00ED3746">
                            <w:pPr>
                              <w:pStyle w:val="HStandard"/>
                              <w:numPr>
                                <w:ilvl w:val="0"/>
                                <w:numId w:val="24"/>
                              </w:numPr>
                              <w:ind w:left="567" w:hanging="567"/>
                              <w:rPr>
                                <w:sz w:val="18"/>
                                <w:szCs w:val="18"/>
                              </w:rPr>
                            </w:pPr>
                            <w:r>
                              <w:rPr>
                                <w:sz w:val="18"/>
                              </w:rPr>
                              <w:t xml:space="preserve">58 % de la mesure M16 ainsi qu’une partie des mesures M1 et M2 sont utilisés pour encourager l’efficacité </w:t>
                            </w:r>
                            <w:proofErr w:type="gramStart"/>
                            <w:r>
                              <w:rPr>
                                <w:sz w:val="18"/>
                              </w:rPr>
                              <w:t>énergétique;</w:t>
                            </w:r>
                            <w:proofErr w:type="gramEnd"/>
                          </w:p>
                          <w:p w:rsidR="00260B0F" w:rsidRPr="00D66182" w:rsidRDefault="00260B0F" w:rsidP="00ED3746">
                            <w:pPr>
                              <w:pStyle w:val="HStandard"/>
                              <w:numPr>
                                <w:ilvl w:val="0"/>
                                <w:numId w:val="24"/>
                              </w:numPr>
                              <w:ind w:left="567" w:hanging="567"/>
                              <w:rPr>
                                <w:sz w:val="18"/>
                                <w:szCs w:val="18"/>
                              </w:rPr>
                            </w:pPr>
                            <w:r>
                              <w:rPr>
                                <w:sz w:val="18"/>
                              </w:rPr>
                              <w:t xml:space="preserve">49 % de la mesure M16 ainsi qu’une partie des mesures M1 et M2 sont utilisés pour la séquestration et la conservation du </w:t>
                            </w:r>
                            <w:proofErr w:type="gramStart"/>
                            <w:r>
                              <w:rPr>
                                <w:sz w:val="18"/>
                              </w:rPr>
                              <w:t>carbone;</w:t>
                            </w:r>
                            <w:proofErr w:type="gramEnd"/>
                          </w:p>
                          <w:p w:rsidR="00260B0F" w:rsidRPr="000E1D4B" w:rsidRDefault="00260B0F" w:rsidP="00ED3746">
                            <w:pPr>
                              <w:pStyle w:val="HStandard"/>
                              <w:numPr>
                                <w:ilvl w:val="0"/>
                                <w:numId w:val="24"/>
                              </w:numPr>
                              <w:ind w:left="567" w:hanging="567"/>
                              <w:rPr>
                                <w:sz w:val="18"/>
                                <w:szCs w:val="18"/>
                              </w:rPr>
                            </w:pPr>
                            <w:r>
                              <w:rPr>
                                <w:sz w:val="18"/>
                              </w:rPr>
                              <w:t xml:space="preserve">10 % de la mesure M16, 84 % de la mesure M4 ainsi qu’une partie des mesures M1 et M2 sont utilisés pour les sources d’énergie renouvelable et la gestion des </w:t>
                            </w:r>
                            <w:proofErr w:type="gramStart"/>
                            <w:r>
                              <w:rPr>
                                <w:sz w:val="18"/>
                              </w:rPr>
                              <w:t>déchets;</w:t>
                            </w:r>
                            <w:proofErr w:type="gramEnd"/>
                          </w:p>
                          <w:p w:rsidR="00260B0F" w:rsidRPr="000E1D4B" w:rsidRDefault="00260B0F" w:rsidP="00ED3746">
                            <w:pPr>
                              <w:pStyle w:val="HStandard"/>
                              <w:numPr>
                                <w:ilvl w:val="0"/>
                                <w:numId w:val="24"/>
                              </w:numPr>
                              <w:ind w:left="567" w:hanging="567"/>
                              <w:rPr>
                                <w:sz w:val="18"/>
                                <w:szCs w:val="18"/>
                              </w:rPr>
                            </w:pPr>
                            <w:r>
                              <w:rPr>
                                <w:sz w:val="18"/>
                              </w:rPr>
                              <w:t>5,5 % de la mesure M16, 89 % de la mesure M4 ainsi qu’une partie des mesures M1 et M2 sont utilisés pour réduire les GES et les émissions d’ammoniac.</w:t>
                            </w:r>
                          </w:p>
                          <w:p w:rsidR="00260B0F" w:rsidRPr="000E1D4B" w:rsidRDefault="00260B0F" w:rsidP="00ED3746">
                            <w:pPr>
                              <w:pStyle w:val="HStandard"/>
                              <w:rPr>
                                <w:sz w:val="18"/>
                                <w:szCs w:val="18"/>
                              </w:rPr>
                            </w:pPr>
                            <w:r>
                              <w:rPr>
                                <w:sz w:val="18"/>
                              </w:rPr>
                              <w:t>Les sous-mesures de coopération (par exemple, le soutien aux projets pilotes M16.2, le soutien aux actions conjointes pour l’atténuation des changements climatiques et l’adaptation à ceux-ci et pour les approches conjointes des projets et pratiques environnementaux M16.5) ont principalement des incidences sur les DP 4A-C et DP 5A-E.</w:t>
                            </w:r>
                          </w:p>
                          <w:p w:rsidR="00260B0F" w:rsidRPr="00AB16BB" w:rsidRDefault="00260B0F" w:rsidP="00ED3746">
                            <w:pPr>
                              <w:pStyle w:val="HSource"/>
                              <w:ind w:right="8"/>
                              <w:jc w:val="right"/>
                              <w:rPr>
                                <w:rFonts w:eastAsia="Calibri"/>
                                <w:sz w:val="14"/>
                                <w:szCs w:val="14"/>
                              </w:rPr>
                            </w:pPr>
                            <w:proofErr w:type="gramStart"/>
                            <w:r>
                              <w:rPr>
                                <w:sz w:val="14"/>
                              </w:rPr>
                              <w:t>Source:</w:t>
                            </w:r>
                            <w:proofErr w:type="gramEnd"/>
                            <w:r>
                              <w:rPr>
                                <w:sz w:val="14"/>
                              </w:rPr>
                              <w:t xml:space="preserve"> REDR (2016). Atelier sur la mesure M 16 Coopération</w:t>
                            </w:r>
                            <w:r>
                              <w:rPr>
                                <w:sz w:val="14"/>
                                <w:vertAlign w:val="superscript"/>
                              </w:rPr>
                              <w:t>54</w:t>
                            </w:r>
                            <w:r>
                              <w:rPr>
                                <w:sz w:val="14"/>
                              </w:rPr>
                              <w:t>.</w:t>
                            </w:r>
                          </w:p>
                          <w:p w:rsidR="00260B0F" w:rsidRPr="007B4A6D" w:rsidRDefault="00260B0F" w:rsidP="00ED3746">
                            <w:pPr>
                              <w:pStyle w:val="HStandard"/>
                              <w:spacing w:after="0"/>
                              <w:ind w:left="567" w:hanging="567"/>
                              <w:rPr>
                                <w:b/>
                                <w:sz w:val="18"/>
                                <w:szCs w:val="18"/>
                              </w:rPr>
                            </w:pPr>
                            <w:proofErr w:type="gramStart"/>
                            <w:r>
                              <w:rPr>
                                <w:b/>
                                <w:color w:val="F07E31"/>
                                <w:sz w:val="18"/>
                              </w:rPr>
                              <w:t>Exemple:</w:t>
                            </w:r>
                            <w:proofErr w:type="gramEnd"/>
                            <w:r>
                              <w:rPr>
                                <w:color w:val="F07E31"/>
                                <w:sz w:val="18"/>
                              </w:rPr>
                              <w:t xml:space="preserve"> </w:t>
                            </w:r>
                            <w:r>
                              <w:rPr>
                                <w:b/>
                                <w:color w:val="F07E31"/>
                                <w:sz w:val="18"/>
                              </w:rPr>
                              <w:t>mise en relation des chercheurs et des agriculteurs</w:t>
                            </w:r>
                            <w:r>
                              <w:rPr>
                                <w:color w:val="F07E31"/>
                                <w:sz w:val="18"/>
                              </w:rPr>
                              <w:t xml:space="preserve"> </w:t>
                            </w:r>
                          </w:p>
                          <w:p w:rsidR="00260B0F" w:rsidRPr="00D66182" w:rsidRDefault="00260B0F" w:rsidP="00ED3746">
                            <w:pPr>
                              <w:pStyle w:val="HStandard"/>
                              <w:rPr>
                                <w:sz w:val="18"/>
                                <w:szCs w:val="18"/>
                              </w:rPr>
                            </w:pPr>
                            <w:r>
                              <w:rPr>
                                <w:b/>
                                <w:sz w:val="18"/>
                              </w:rPr>
                              <w:t>Belgique</w:t>
                            </w:r>
                            <w:r>
                              <w:t> </w:t>
                            </w:r>
                            <w:r>
                              <w:rPr>
                                <w:b/>
                                <w:sz w:val="18"/>
                              </w:rPr>
                              <w:t>–</w:t>
                            </w:r>
                            <w:r>
                              <w:rPr>
                                <w:sz w:val="18"/>
                              </w:rPr>
                              <w:t xml:space="preserve"> un élevage porcin innovant aide à réduire les émissions d’ammoniac. La mise en relation des chercheurs et des agriculteurs par les services de soutien à l’innovation a été essentielle pour mettre au point et tester ces techniques de réduction de l’ammoniac en ajoutant certaines bactéries au lisier. Cela contribue aussi à atteindre les objectifs environnementaux du PDR. </w:t>
                            </w:r>
                          </w:p>
                          <w:p w:rsidR="00260B0F" w:rsidRPr="00AB16BB" w:rsidRDefault="00260B0F" w:rsidP="00ED3746">
                            <w:pPr>
                              <w:pStyle w:val="HStandard"/>
                              <w:jc w:val="right"/>
                              <w:rPr>
                                <w:sz w:val="14"/>
                                <w:szCs w:val="14"/>
                                <w:vertAlign w:val="superscript"/>
                              </w:rPr>
                            </w:pPr>
                            <w:proofErr w:type="gramStart"/>
                            <w:r>
                              <w:rPr>
                                <w:i/>
                                <w:sz w:val="14"/>
                              </w:rPr>
                              <w:t>Source:</w:t>
                            </w:r>
                            <w:proofErr w:type="gramEnd"/>
                            <w:r>
                              <w:rPr>
                                <w:i/>
                                <w:sz w:val="14"/>
                              </w:rPr>
                              <w:t xml:space="preserve"> </w:t>
                            </w:r>
                            <w:r>
                              <w:t>PEI</w:t>
                            </w:r>
                            <w:r>
                              <w:rPr>
                                <w:i/>
                                <w:sz w:val="14"/>
                              </w:rPr>
                              <w:t> – point de service</w:t>
                            </w:r>
                            <w:r>
                              <w:rPr>
                                <w:i/>
                                <w:sz w:val="14"/>
                                <w:vertAlign w:val="superscript"/>
                              </w:rPr>
                              <w:t>55</w:t>
                            </w:r>
                            <w:r>
                              <w:t>.</w:t>
                            </w:r>
                          </w:p>
                          <w:p w:rsidR="00260B0F" w:rsidRPr="007B4A6D" w:rsidRDefault="00260B0F" w:rsidP="00ED3746">
                            <w:pPr>
                              <w:pStyle w:val="HStandard"/>
                              <w:rPr>
                                <w:b/>
                                <w:color w:val="F07E31"/>
                                <w:sz w:val="18"/>
                                <w:szCs w:val="18"/>
                              </w:rPr>
                            </w:pPr>
                            <w:proofErr w:type="gramStart"/>
                            <w:r>
                              <w:rPr>
                                <w:b/>
                                <w:color w:val="F07E31"/>
                                <w:sz w:val="18"/>
                              </w:rPr>
                              <w:t>Exemple:</w:t>
                            </w:r>
                            <w:proofErr w:type="gramEnd"/>
                            <w:r>
                              <w:rPr>
                                <w:b/>
                                <w:color w:val="F07E31"/>
                                <w:sz w:val="18"/>
                              </w:rPr>
                              <w:t xml:space="preserve"> services de soutien à l’innovation </w:t>
                            </w:r>
                          </w:p>
                          <w:p w:rsidR="00260B0F" w:rsidRPr="007B4A6D" w:rsidRDefault="00260B0F" w:rsidP="00ED3746">
                            <w:pPr>
                              <w:pStyle w:val="HStandard"/>
                              <w:spacing w:after="0"/>
                              <w:rPr>
                                <w:b/>
                                <w:sz w:val="18"/>
                                <w:szCs w:val="18"/>
                              </w:rPr>
                            </w:pPr>
                            <w:proofErr w:type="spellStart"/>
                            <w:r>
                              <w:rPr>
                                <w:b/>
                                <w:sz w:val="18"/>
                              </w:rPr>
                              <w:t>Hessen</w:t>
                            </w:r>
                            <w:proofErr w:type="spellEnd"/>
                            <w:r>
                              <w:rPr>
                                <w:b/>
                                <w:sz w:val="18"/>
                              </w:rPr>
                              <w:t xml:space="preserve"> (DE) –</w:t>
                            </w:r>
                            <w:r>
                              <w:rPr>
                                <w:sz w:val="18"/>
                              </w:rPr>
                              <w:t xml:space="preserve"> les services de soutien à l’innovation ont aidé à renforcer la capacité d’innovation grâce </w:t>
                            </w:r>
                            <w:proofErr w:type="gramStart"/>
                            <w:r>
                              <w:rPr>
                                <w:sz w:val="18"/>
                              </w:rPr>
                              <w:t>à</w:t>
                            </w:r>
                            <w:r>
                              <w:rPr>
                                <w:b/>
                                <w:sz w:val="18"/>
                              </w:rPr>
                              <w:t>:</w:t>
                            </w:r>
                            <w:proofErr w:type="gramEnd"/>
                          </w:p>
                          <w:p w:rsidR="00260B0F" w:rsidRPr="00055039" w:rsidRDefault="00260B0F" w:rsidP="00ED3746">
                            <w:pPr>
                              <w:pStyle w:val="HStandard"/>
                              <w:numPr>
                                <w:ilvl w:val="0"/>
                                <w:numId w:val="24"/>
                              </w:numPr>
                              <w:ind w:left="567" w:hanging="567"/>
                              <w:rPr>
                                <w:sz w:val="18"/>
                                <w:szCs w:val="18"/>
                              </w:rPr>
                            </w:pPr>
                            <w:proofErr w:type="gramStart"/>
                            <w:r>
                              <w:rPr>
                                <w:sz w:val="18"/>
                              </w:rPr>
                              <w:t>un</w:t>
                            </w:r>
                            <w:proofErr w:type="gramEnd"/>
                            <w:r>
                              <w:rPr>
                                <w:sz w:val="18"/>
                              </w:rPr>
                              <w:t xml:space="preserve"> soutien à la mise en œuvre de la mesure M16;</w:t>
                            </w:r>
                          </w:p>
                          <w:p w:rsidR="00260B0F" w:rsidRPr="00D66182" w:rsidRDefault="00260B0F" w:rsidP="00ED3746">
                            <w:pPr>
                              <w:pStyle w:val="HStandard"/>
                              <w:numPr>
                                <w:ilvl w:val="0"/>
                                <w:numId w:val="24"/>
                              </w:numPr>
                              <w:ind w:left="567" w:hanging="567"/>
                              <w:rPr>
                                <w:sz w:val="18"/>
                                <w:szCs w:val="18"/>
                              </w:rPr>
                            </w:pPr>
                            <w:proofErr w:type="gramStart"/>
                            <w:r>
                              <w:rPr>
                                <w:sz w:val="18"/>
                              </w:rPr>
                              <w:t>des</w:t>
                            </w:r>
                            <w:proofErr w:type="gramEnd"/>
                            <w:r>
                              <w:rPr>
                                <w:sz w:val="18"/>
                              </w:rPr>
                              <w:t xml:space="preserve"> actions d’information et de publicité dans la région;</w:t>
                            </w:r>
                          </w:p>
                          <w:p w:rsidR="00260B0F" w:rsidRPr="000E1D4B" w:rsidRDefault="00260B0F" w:rsidP="00ED3746">
                            <w:pPr>
                              <w:pStyle w:val="HStandard"/>
                              <w:numPr>
                                <w:ilvl w:val="0"/>
                                <w:numId w:val="24"/>
                              </w:numPr>
                              <w:ind w:left="567" w:hanging="567"/>
                              <w:rPr>
                                <w:sz w:val="18"/>
                                <w:szCs w:val="18"/>
                              </w:rPr>
                            </w:pPr>
                            <w:proofErr w:type="gramStart"/>
                            <w:r>
                              <w:rPr>
                                <w:sz w:val="18"/>
                              </w:rPr>
                              <w:t>la</w:t>
                            </w:r>
                            <w:proofErr w:type="gramEnd"/>
                            <w:r>
                              <w:rPr>
                                <w:sz w:val="18"/>
                              </w:rPr>
                              <w:t xml:space="preserve"> mise en réseau des activités de coopération à </w:t>
                            </w:r>
                            <w:proofErr w:type="spellStart"/>
                            <w:r>
                              <w:rPr>
                                <w:sz w:val="18"/>
                              </w:rPr>
                              <w:t>Hessen</w:t>
                            </w:r>
                            <w:proofErr w:type="spellEnd"/>
                            <w:r>
                              <w:rPr>
                                <w:sz w:val="18"/>
                              </w:rPr>
                              <w:t xml:space="preserve"> en Allemagne;</w:t>
                            </w:r>
                          </w:p>
                          <w:p w:rsidR="00260B0F" w:rsidRPr="000E1D4B" w:rsidRDefault="00260B0F" w:rsidP="00ED3746">
                            <w:pPr>
                              <w:pStyle w:val="HStandard"/>
                              <w:numPr>
                                <w:ilvl w:val="0"/>
                                <w:numId w:val="24"/>
                              </w:numPr>
                              <w:ind w:left="567" w:hanging="567"/>
                              <w:rPr>
                                <w:sz w:val="18"/>
                                <w:szCs w:val="18"/>
                              </w:rPr>
                            </w:pPr>
                            <w:proofErr w:type="gramStart"/>
                            <w:r>
                              <w:rPr>
                                <w:sz w:val="18"/>
                              </w:rPr>
                              <w:t>un</w:t>
                            </w:r>
                            <w:proofErr w:type="gramEnd"/>
                            <w:r>
                              <w:rPr>
                                <w:sz w:val="18"/>
                              </w:rPr>
                              <w:t xml:space="preserve"> soutien aux activités de coopération au cours de la phase de préparation et de mise en œuvre.</w:t>
                            </w:r>
                          </w:p>
                          <w:p w:rsidR="00260B0F" w:rsidRPr="00AB16BB" w:rsidRDefault="00260B0F" w:rsidP="00ED3746">
                            <w:pPr>
                              <w:pStyle w:val="HSource"/>
                              <w:spacing w:before="0" w:after="0"/>
                              <w:ind w:right="11"/>
                              <w:jc w:val="right"/>
                              <w:rPr>
                                <w:rFonts w:eastAsia="Calibri"/>
                                <w:sz w:val="14"/>
                                <w:szCs w:val="14"/>
                              </w:rPr>
                            </w:pPr>
                            <w:proofErr w:type="gramStart"/>
                            <w:r>
                              <w:rPr>
                                <w:sz w:val="14"/>
                              </w:rPr>
                              <w:t>Source:</w:t>
                            </w:r>
                            <w:proofErr w:type="gramEnd"/>
                            <w:r>
                              <w:rPr>
                                <w:sz w:val="14"/>
                              </w:rPr>
                              <w:t xml:space="preserve"> REDR (2016) </w:t>
                            </w:r>
                          </w:p>
                          <w:p w:rsidR="00260B0F" w:rsidRPr="00AB16BB" w:rsidRDefault="00260B0F" w:rsidP="00ED3746">
                            <w:pPr>
                              <w:pStyle w:val="HSource"/>
                              <w:spacing w:before="0" w:after="0"/>
                              <w:ind w:right="11"/>
                              <w:jc w:val="right"/>
                              <w:rPr>
                                <w:sz w:val="14"/>
                                <w:szCs w:val="14"/>
                              </w:rPr>
                            </w:pPr>
                            <w:r>
                              <w:rPr>
                                <w:sz w:val="14"/>
                              </w:rPr>
                              <w:t>Atelier sur la mesure M 16 Coopération</w:t>
                            </w:r>
                            <w:r>
                              <w:rPr>
                                <w:sz w:val="14"/>
                                <w:vertAlign w:val="superscript"/>
                              </w:rPr>
                              <w:t>56</w:t>
                            </w:r>
                            <w:r>
                              <w:rPr>
                                <w:sz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24" o:spid="_x0000_s1046" style="position:absolute;left:0;text-align:left;margin-left:7.45pt;margin-top:59.9pt;width:453.85pt;height:532.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895,6766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" adj="-11796480,,5400" path="m312518,l5763895,r,l5763895,6454042v,172599,-139919,312518,-312518,312518l,6766560r,l,312518c,139919,139919,,312518,xe" filled="f" strokecolor="#f07e31" strokeweight="2pt">
                <v:stroke joinstyle="miter"/>
                <v:formulas/>
                <v:path arrowok="t" o:connecttype="custom" o:connectlocs="312518,0;5763895,0;5763895,0;5763895,6454042;5451377,6766560;0,6766560;0,6766560;0,312518;312518,0" o:connectangles="0,0,0,0,0,0,0,0,0" textboxrect="0,0,5763895,6766560"/>
                <v:textbox>
                  <w:txbxContent>
                    <w:p w:rsidR="00260B0F" w:rsidRPr="007B4A6D" w:rsidRDefault="00260B0F" w:rsidP="00ED3746">
                      <w:pPr>
                        <w:pStyle w:val="HStandard"/>
                        <w:ind w:left="567" w:hanging="567"/>
                        <w:rPr>
                          <w:b/>
                          <w:color w:val="648659"/>
                          <w:sz w:val="18"/>
                          <w:szCs w:val="18"/>
                        </w:rPr>
                      </w:pPr>
                      <w:r>
                        <w:rPr>
                          <w:noProof/>
                          <w:sz w:val="18"/>
                        </w:rPr>
                        <w:drawing>
                          <wp:inline distT="0" distB="0" distL="0" distR="0">
                            <wp:extent cx="349885" cy="357505"/>
                            <wp:effectExtent l="0" t="0" r="0" b="0"/>
                            <wp:docPr id="4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proofErr w:type="gramStart"/>
                      <w:r>
                        <w:rPr>
                          <w:b/>
                          <w:color w:val="F07E31"/>
                          <w:sz w:val="18"/>
                        </w:rPr>
                        <w:t>Exemple:</w:t>
                      </w:r>
                      <w:proofErr w:type="gramEnd"/>
                      <w:r>
                        <w:rPr>
                          <w:b/>
                          <w:color w:val="F07E31"/>
                          <w:sz w:val="18"/>
                        </w:rPr>
                        <w:t xml:space="preserve"> mesures de coopération visant à améliorer la gestion environnementale</w:t>
                      </w:r>
                    </w:p>
                    <w:p w:rsidR="00260B0F" w:rsidRPr="007B4A6D" w:rsidRDefault="00260B0F" w:rsidP="00ED3746">
                      <w:pPr>
                        <w:pStyle w:val="HStandard"/>
                        <w:rPr>
                          <w:sz w:val="18"/>
                          <w:szCs w:val="18"/>
                        </w:rPr>
                      </w:pPr>
                      <w:r>
                        <w:rPr>
                          <w:b/>
                          <w:sz w:val="18"/>
                        </w:rPr>
                        <w:t>Finlande –</w:t>
                      </w:r>
                      <w:r>
                        <w:rPr>
                          <w:sz w:val="18"/>
                        </w:rPr>
                        <w:t xml:space="preserve"> la mesure M16 complète d’autres mesures du PDR pour atteindre les objectifs des priorités P4 et P</w:t>
                      </w:r>
                      <w:proofErr w:type="gramStart"/>
                      <w:r>
                        <w:rPr>
                          <w:sz w:val="18"/>
                        </w:rPr>
                        <w:t>5:</w:t>
                      </w:r>
                      <w:proofErr w:type="gramEnd"/>
                    </w:p>
                    <w:p w:rsidR="00260B0F" w:rsidRPr="00055039" w:rsidRDefault="00260B0F" w:rsidP="00ED3746">
                      <w:pPr>
                        <w:pStyle w:val="HStandard"/>
                        <w:numPr>
                          <w:ilvl w:val="0"/>
                          <w:numId w:val="24"/>
                        </w:numPr>
                        <w:ind w:left="567" w:hanging="567"/>
                        <w:rPr>
                          <w:sz w:val="18"/>
                          <w:szCs w:val="18"/>
                        </w:rPr>
                      </w:pPr>
                      <w:r>
                        <w:rPr>
                          <w:sz w:val="18"/>
                        </w:rPr>
                        <w:t xml:space="preserve">58 % de la mesure M16 ainsi qu’une partie des mesures M1 et M2 sont utilisés pour encourager l’efficacité </w:t>
                      </w:r>
                      <w:proofErr w:type="gramStart"/>
                      <w:r>
                        <w:rPr>
                          <w:sz w:val="18"/>
                        </w:rPr>
                        <w:t>énergétique;</w:t>
                      </w:r>
                      <w:proofErr w:type="gramEnd"/>
                    </w:p>
                    <w:p w:rsidR="00260B0F" w:rsidRPr="00D66182" w:rsidRDefault="00260B0F" w:rsidP="00ED3746">
                      <w:pPr>
                        <w:pStyle w:val="HStandard"/>
                        <w:numPr>
                          <w:ilvl w:val="0"/>
                          <w:numId w:val="24"/>
                        </w:numPr>
                        <w:ind w:left="567" w:hanging="567"/>
                        <w:rPr>
                          <w:sz w:val="18"/>
                          <w:szCs w:val="18"/>
                        </w:rPr>
                      </w:pPr>
                      <w:r>
                        <w:rPr>
                          <w:sz w:val="18"/>
                        </w:rPr>
                        <w:t xml:space="preserve">49 % de la mesure M16 ainsi qu’une partie des mesures M1 et M2 sont utilisés pour la séquestration et la conservation du </w:t>
                      </w:r>
                      <w:proofErr w:type="gramStart"/>
                      <w:r>
                        <w:rPr>
                          <w:sz w:val="18"/>
                        </w:rPr>
                        <w:t>carbone;</w:t>
                      </w:r>
                      <w:proofErr w:type="gramEnd"/>
                    </w:p>
                    <w:p w:rsidR="00260B0F" w:rsidRPr="000E1D4B" w:rsidRDefault="00260B0F" w:rsidP="00ED3746">
                      <w:pPr>
                        <w:pStyle w:val="HStandard"/>
                        <w:numPr>
                          <w:ilvl w:val="0"/>
                          <w:numId w:val="24"/>
                        </w:numPr>
                        <w:ind w:left="567" w:hanging="567"/>
                        <w:rPr>
                          <w:sz w:val="18"/>
                          <w:szCs w:val="18"/>
                        </w:rPr>
                      </w:pPr>
                      <w:r>
                        <w:rPr>
                          <w:sz w:val="18"/>
                        </w:rPr>
                        <w:t xml:space="preserve">10 % de la mesure M16, 84 % de la mesure M4 ainsi qu’une partie des mesures M1 et M2 sont utilisés pour les sources d’énergie renouvelable et la gestion des </w:t>
                      </w:r>
                      <w:proofErr w:type="gramStart"/>
                      <w:r>
                        <w:rPr>
                          <w:sz w:val="18"/>
                        </w:rPr>
                        <w:t>déchets;</w:t>
                      </w:r>
                      <w:proofErr w:type="gramEnd"/>
                    </w:p>
                    <w:p w:rsidR="00260B0F" w:rsidRPr="000E1D4B" w:rsidRDefault="00260B0F" w:rsidP="00ED3746">
                      <w:pPr>
                        <w:pStyle w:val="HStandard"/>
                        <w:numPr>
                          <w:ilvl w:val="0"/>
                          <w:numId w:val="24"/>
                        </w:numPr>
                        <w:ind w:left="567" w:hanging="567"/>
                        <w:rPr>
                          <w:sz w:val="18"/>
                          <w:szCs w:val="18"/>
                        </w:rPr>
                      </w:pPr>
                      <w:r>
                        <w:rPr>
                          <w:sz w:val="18"/>
                        </w:rPr>
                        <w:t>5,5 % de la mesure M16, 89 % de la mesure M4 ainsi qu’une partie des mesures M1 et M2 sont utilisés pour réduire les GES et les émissions d’ammoniac.</w:t>
                      </w:r>
                    </w:p>
                    <w:p w:rsidR="00260B0F" w:rsidRPr="000E1D4B" w:rsidRDefault="00260B0F" w:rsidP="00ED3746">
                      <w:pPr>
                        <w:pStyle w:val="HStandard"/>
                        <w:rPr>
                          <w:sz w:val="18"/>
                          <w:szCs w:val="18"/>
                        </w:rPr>
                      </w:pPr>
                      <w:r>
                        <w:rPr>
                          <w:sz w:val="18"/>
                        </w:rPr>
                        <w:t>Les sous-mesures de coopération (par exemple, le soutien aux projets pilotes M16.2, le soutien aux actions conjointes pour l’atténuation des changements climatiques et l’adaptation à ceux-ci et pour les approches conjointes des projets et pratiques environnementaux M16.5) ont principalement des incidences sur les DP 4A-C et DP 5A-E.</w:t>
                      </w:r>
                    </w:p>
                    <w:p w:rsidR="00260B0F" w:rsidRPr="00AB16BB" w:rsidRDefault="00260B0F" w:rsidP="00ED3746">
                      <w:pPr>
                        <w:pStyle w:val="HSource"/>
                        <w:ind w:right="8"/>
                        <w:jc w:val="right"/>
                        <w:rPr>
                          <w:rFonts w:eastAsia="Calibri"/>
                          <w:sz w:val="14"/>
                          <w:szCs w:val="14"/>
                        </w:rPr>
                      </w:pPr>
                      <w:proofErr w:type="gramStart"/>
                      <w:r>
                        <w:rPr>
                          <w:sz w:val="14"/>
                        </w:rPr>
                        <w:t>Source:</w:t>
                      </w:r>
                      <w:proofErr w:type="gramEnd"/>
                      <w:r>
                        <w:rPr>
                          <w:sz w:val="14"/>
                        </w:rPr>
                        <w:t xml:space="preserve"> REDR (2016). Atelier sur la mesure M 16 Coopération</w:t>
                      </w:r>
                      <w:r>
                        <w:rPr>
                          <w:sz w:val="14"/>
                          <w:vertAlign w:val="superscript"/>
                        </w:rPr>
                        <w:t>54</w:t>
                      </w:r>
                      <w:r>
                        <w:rPr>
                          <w:sz w:val="14"/>
                        </w:rPr>
                        <w:t>.</w:t>
                      </w:r>
                    </w:p>
                    <w:p w:rsidR="00260B0F" w:rsidRPr="007B4A6D" w:rsidRDefault="00260B0F" w:rsidP="00ED3746">
                      <w:pPr>
                        <w:pStyle w:val="HStandard"/>
                        <w:spacing w:after="0"/>
                        <w:ind w:left="567" w:hanging="567"/>
                        <w:rPr>
                          <w:b/>
                          <w:sz w:val="18"/>
                          <w:szCs w:val="18"/>
                        </w:rPr>
                      </w:pPr>
                      <w:proofErr w:type="gramStart"/>
                      <w:r>
                        <w:rPr>
                          <w:b/>
                          <w:color w:val="F07E31"/>
                          <w:sz w:val="18"/>
                        </w:rPr>
                        <w:t>Exemple:</w:t>
                      </w:r>
                      <w:proofErr w:type="gramEnd"/>
                      <w:r>
                        <w:rPr>
                          <w:color w:val="F07E31"/>
                          <w:sz w:val="18"/>
                        </w:rPr>
                        <w:t xml:space="preserve"> </w:t>
                      </w:r>
                      <w:r>
                        <w:rPr>
                          <w:b/>
                          <w:color w:val="F07E31"/>
                          <w:sz w:val="18"/>
                        </w:rPr>
                        <w:t>mise en relation des chercheurs et des agriculteurs</w:t>
                      </w:r>
                      <w:r>
                        <w:rPr>
                          <w:color w:val="F07E31"/>
                          <w:sz w:val="18"/>
                        </w:rPr>
                        <w:t xml:space="preserve"> </w:t>
                      </w:r>
                    </w:p>
                    <w:p w:rsidR="00260B0F" w:rsidRPr="00D66182" w:rsidRDefault="00260B0F" w:rsidP="00ED3746">
                      <w:pPr>
                        <w:pStyle w:val="HStandard"/>
                        <w:rPr>
                          <w:sz w:val="18"/>
                          <w:szCs w:val="18"/>
                        </w:rPr>
                      </w:pPr>
                      <w:r>
                        <w:rPr>
                          <w:b/>
                          <w:sz w:val="18"/>
                        </w:rPr>
                        <w:t>Belgique</w:t>
                      </w:r>
                      <w:r>
                        <w:t> </w:t>
                      </w:r>
                      <w:r>
                        <w:rPr>
                          <w:b/>
                          <w:sz w:val="18"/>
                        </w:rPr>
                        <w:t>–</w:t>
                      </w:r>
                      <w:r>
                        <w:rPr>
                          <w:sz w:val="18"/>
                        </w:rPr>
                        <w:t xml:space="preserve"> un élevage porcin innovant aide à réduire les émissions d’ammoniac. La mise en relation des chercheurs et des agriculteurs par les services de soutien à l’innovation a été essentielle pour mettre au point et tester ces techniques de réduction de l’ammoniac en ajoutant certaines bactéries au lisier. Cela contribue aussi à atteindre les objectifs environnementaux du PDR. </w:t>
                      </w:r>
                    </w:p>
                    <w:p w:rsidR="00260B0F" w:rsidRPr="00AB16BB" w:rsidRDefault="00260B0F" w:rsidP="00ED3746">
                      <w:pPr>
                        <w:pStyle w:val="HStandard"/>
                        <w:jc w:val="right"/>
                        <w:rPr>
                          <w:sz w:val="14"/>
                          <w:szCs w:val="14"/>
                          <w:vertAlign w:val="superscript"/>
                        </w:rPr>
                      </w:pPr>
                      <w:proofErr w:type="gramStart"/>
                      <w:r>
                        <w:rPr>
                          <w:i/>
                          <w:sz w:val="14"/>
                        </w:rPr>
                        <w:t>Source:</w:t>
                      </w:r>
                      <w:proofErr w:type="gramEnd"/>
                      <w:r>
                        <w:rPr>
                          <w:i/>
                          <w:sz w:val="14"/>
                        </w:rPr>
                        <w:t xml:space="preserve"> </w:t>
                      </w:r>
                      <w:r>
                        <w:t>PEI</w:t>
                      </w:r>
                      <w:r>
                        <w:rPr>
                          <w:i/>
                          <w:sz w:val="14"/>
                        </w:rPr>
                        <w:t> – point de service</w:t>
                      </w:r>
                      <w:r>
                        <w:rPr>
                          <w:i/>
                          <w:sz w:val="14"/>
                          <w:vertAlign w:val="superscript"/>
                        </w:rPr>
                        <w:t>55</w:t>
                      </w:r>
                      <w:r>
                        <w:t>.</w:t>
                      </w:r>
                    </w:p>
                    <w:p w:rsidR="00260B0F" w:rsidRPr="007B4A6D" w:rsidRDefault="00260B0F" w:rsidP="00ED3746">
                      <w:pPr>
                        <w:pStyle w:val="HStandard"/>
                        <w:rPr>
                          <w:b/>
                          <w:color w:val="F07E31"/>
                          <w:sz w:val="18"/>
                          <w:szCs w:val="18"/>
                        </w:rPr>
                      </w:pPr>
                      <w:proofErr w:type="gramStart"/>
                      <w:r>
                        <w:rPr>
                          <w:b/>
                          <w:color w:val="F07E31"/>
                          <w:sz w:val="18"/>
                        </w:rPr>
                        <w:t>Exemple:</w:t>
                      </w:r>
                      <w:proofErr w:type="gramEnd"/>
                      <w:r>
                        <w:rPr>
                          <w:b/>
                          <w:color w:val="F07E31"/>
                          <w:sz w:val="18"/>
                        </w:rPr>
                        <w:t xml:space="preserve"> services de soutien à l’innovation </w:t>
                      </w:r>
                    </w:p>
                    <w:p w:rsidR="00260B0F" w:rsidRPr="007B4A6D" w:rsidRDefault="00260B0F" w:rsidP="00ED3746">
                      <w:pPr>
                        <w:pStyle w:val="HStandard"/>
                        <w:spacing w:after="0"/>
                        <w:rPr>
                          <w:b/>
                          <w:sz w:val="18"/>
                          <w:szCs w:val="18"/>
                        </w:rPr>
                      </w:pPr>
                      <w:proofErr w:type="spellStart"/>
                      <w:r>
                        <w:rPr>
                          <w:b/>
                          <w:sz w:val="18"/>
                        </w:rPr>
                        <w:t>Hessen</w:t>
                      </w:r>
                      <w:proofErr w:type="spellEnd"/>
                      <w:r>
                        <w:rPr>
                          <w:b/>
                          <w:sz w:val="18"/>
                        </w:rPr>
                        <w:t xml:space="preserve"> (DE) –</w:t>
                      </w:r>
                      <w:r>
                        <w:rPr>
                          <w:sz w:val="18"/>
                        </w:rPr>
                        <w:t xml:space="preserve"> les services de soutien à l’innovation ont aidé à renforcer la capacité d’innovation grâce </w:t>
                      </w:r>
                      <w:proofErr w:type="gramStart"/>
                      <w:r>
                        <w:rPr>
                          <w:sz w:val="18"/>
                        </w:rPr>
                        <w:t>à</w:t>
                      </w:r>
                      <w:r>
                        <w:rPr>
                          <w:b/>
                          <w:sz w:val="18"/>
                        </w:rPr>
                        <w:t>:</w:t>
                      </w:r>
                      <w:proofErr w:type="gramEnd"/>
                    </w:p>
                    <w:p w:rsidR="00260B0F" w:rsidRPr="00055039" w:rsidRDefault="00260B0F" w:rsidP="00ED3746">
                      <w:pPr>
                        <w:pStyle w:val="HStandard"/>
                        <w:numPr>
                          <w:ilvl w:val="0"/>
                          <w:numId w:val="24"/>
                        </w:numPr>
                        <w:ind w:left="567" w:hanging="567"/>
                        <w:rPr>
                          <w:sz w:val="18"/>
                          <w:szCs w:val="18"/>
                        </w:rPr>
                      </w:pPr>
                      <w:proofErr w:type="gramStart"/>
                      <w:r>
                        <w:rPr>
                          <w:sz w:val="18"/>
                        </w:rPr>
                        <w:t>un</w:t>
                      </w:r>
                      <w:proofErr w:type="gramEnd"/>
                      <w:r>
                        <w:rPr>
                          <w:sz w:val="18"/>
                        </w:rPr>
                        <w:t xml:space="preserve"> soutien à la mise en œuvre de la mesure M16;</w:t>
                      </w:r>
                    </w:p>
                    <w:p w:rsidR="00260B0F" w:rsidRPr="00D66182" w:rsidRDefault="00260B0F" w:rsidP="00ED3746">
                      <w:pPr>
                        <w:pStyle w:val="HStandard"/>
                        <w:numPr>
                          <w:ilvl w:val="0"/>
                          <w:numId w:val="24"/>
                        </w:numPr>
                        <w:ind w:left="567" w:hanging="567"/>
                        <w:rPr>
                          <w:sz w:val="18"/>
                          <w:szCs w:val="18"/>
                        </w:rPr>
                      </w:pPr>
                      <w:proofErr w:type="gramStart"/>
                      <w:r>
                        <w:rPr>
                          <w:sz w:val="18"/>
                        </w:rPr>
                        <w:t>des</w:t>
                      </w:r>
                      <w:proofErr w:type="gramEnd"/>
                      <w:r>
                        <w:rPr>
                          <w:sz w:val="18"/>
                        </w:rPr>
                        <w:t xml:space="preserve"> actions d’information et de publicité dans la région;</w:t>
                      </w:r>
                    </w:p>
                    <w:p w:rsidR="00260B0F" w:rsidRPr="000E1D4B" w:rsidRDefault="00260B0F" w:rsidP="00ED3746">
                      <w:pPr>
                        <w:pStyle w:val="HStandard"/>
                        <w:numPr>
                          <w:ilvl w:val="0"/>
                          <w:numId w:val="24"/>
                        </w:numPr>
                        <w:ind w:left="567" w:hanging="567"/>
                        <w:rPr>
                          <w:sz w:val="18"/>
                          <w:szCs w:val="18"/>
                        </w:rPr>
                      </w:pPr>
                      <w:proofErr w:type="gramStart"/>
                      <w:r>
                        <w:rPr>
                          <w:sz w:val="18"/>
                        </w:rPr>
                        <w:t>la</w:t>
                      </w:r>
                      <w:proofErr w:type="gramEnd"/>
                      <w:r>
                        <w:rPr>
                          <w:sz w:val="18"/>
                        </w:rPr>
                        <w:t xml:space="preserve"> mise en réseau des activités de coopération à </w:t>
                      </w:r>
                      <w:proofErr w:type="spellStart"/>
                      <w:r>
                        <w:rPr>
                          <w:sz w:val="18"/>
                        </w:rPr>
                        <w:t>Hessen</w:t>
                      </w:r>
                      <w:proofErr w:type="spellEnd"/>
                      <w:r>
                        <w:rPr>
                          <w:sz w:val="18"/>
                        </w:rPr>
                        <w:t xml:space="preserve"> en Allemagne;</w:t>
                      </w:r>
                    </w:p>
                    <w:p w:rsidR="00260B0F" w:rsidRPr="000E1D4B" w:rsidRDefault="00260B0F" w:rsidP="00ED3746">
                      <w:pPr>
                        <w:pStyle w:val="HStandard"/>
                        <w:numPr>
                          <w:ilvl w:val="0"/>
                          <w:numId w:val="24"/>
                        </w:numPr>
                        <w:ind w:left="567" w:hanging="567"/>
                        <w:rPr>
                          <w:sz w:val="18"/>
                          <w:szCs w:val="18"/>
                        </w:rPr>
                      </w:pPr>
                      <w:proofErr w:type="gramStart"/>
                      <w:r>
                        <w:rPr>
                          <w:sz w:val="18"/>
                        </w:rPr>
                        <w:t>un</w:t>
                      </w:r>
                      <w:proofErr w:type="gramEnd"/>
                      <w:r>
                        <w:rPr>
                          <w:sz w:val="18"/>
                        </w:rPr>
                        <w:t xml:space="preserve"> soutien aux activités de coopération au cours de la phase de préparation et de mise en œuvre.</w:t>
                      </w:r>
                    </w:p>
                    <w:p w:rsidR="00260B0F" w:rsidRPr="00AB16BB" w:rsidRDefault="00260B0F" w:rsidP="00ED3746">
                      <w:pPr>
                        <w:pStyle w:val="HSource"/>
                        <w:spacing w:before="0" w:after="0"/>
                        <w:ind w:right="11"/>
                        <w:jc w:val="right"/>
                        <w:rPr>
                          <w:rFonts w:eastAsia="Calibri"/>
                          <w:sz w:val="14"/>
                          <w:szCs w:val="14"/>
                        </w:rPr>
                      </w:pPr>
                      <w:proofErr w:type="gramStart"/>
                      <w:r>
                        <w:rPr>
                          <w:sz w:val="14"/>
                        </w:rPr>
                        <w:t>Source:</w:t>
                      </w:r>
                      <w:proofErr w:type="gramEnd"/>
                      <w:r>
                        <w:rPr>
                          <w:sz w:val="14"/>
                        </w:rPr>
                        <w:t xml:space="preserve"> REDR (2016) </w:t>
                      </w:r>
                    </w:p>
                    <w:p w:rsidR="00260B0F" w:rsidRPr="00AB16BB" w:rsidRDefault="00260B0F" w:rsidP="00ED3746">
                      <w:pPr>
                        <w:pStyle w:val="HSource"/>
                        <w:spacing w:before="0" w:after="0"/>
                        <w:ind w:right="11"/>
                        <w:jc w:val="right"/>
                        <w:rPr>
                          <w:sz w:val="14"/>
                          <w:szCs w:val="14"/>
                        </w:rPr>
                      </w:pPr>
                      <w:r>
                        <w:rPr>
                          <w:sz w:val="14"/>
                        </w:rPr>
                        <w:t>Atelier sur la mesure M 16 Coopération</w:t>
                      </w:r>
                      <w:r>
                        <w:rPr>
                          <w:sz w:val="14"/>
                          <w:vertAlign w:val="superscript"/>
                        </w:rPr>
                        <w:t>56</w:t>
                      </w:r>
                      <w:r>
                        <w:rPr>
                          <w:sz w:val="14"/>
                        </w:rPr>
                        <w:t xml:space="preserve">. </w:t>
                      </w:r>
                    </w:p>
                  </w:txbxContent>
                </v:textbox>
                <w10:wrap type="square" anchory="page"/>
              </v:shape>
            </w:pict>
          </mc:Fallback>
        </mc:AlternateContent>
      </w:r>
      <w:proofErr w:type="gramStart"/>
      <w:r w:rsidR="00ED3746">
        <w:rPr>
          <w:b/>
        </w:rPr>
        <w:t>la</w:t>
      </w:r>
      <w:proofErr w:type="gramEnd"/>
      <w:r w:rsidR="00ED3746">
        <w:rPr>
          <w:b/>
        </w:rPr>
        <w:t xml:space="preserve"> coopération aux fins d’améliorer la gestion et les performances environnementales</w:t>
      </w:r>
      <w:r w:rsidR="00ED3746">
        <w:t xml:space="preserve"> est un autre thème central de la QEC nº 2. Le champ couvert par les projets de coopération inclut la protection et l’amélioration des ressources (eau, sol, air), de la biodiversité et de l’environnement naturel, ainsi que l’atténuation des changements climatiques et l’adaptation à ceux-ci. La gestion environnementale pour lutter contre les changements climatiques peut couvrir des actions liées à l’efficacité énergétique et hydrique et aux économies d’énergie et d’eau.</w:t>
      </w:r>
    </w:p>
    <w:p w:rsidR="00ED3746" w:rsidRPr="00B77106" w:rsidRDefault="00ED3746" w:rsidP="00ED3746">
      <w:pPr>
        <w:pStyle w:val="Hlistbullet"/>
        <w:numPr>
          <w:ilvl w:val="0"/>
          <w:numId w:val="0"/>
        </w:numPr>
        <w:rPr>
          <w:color w:val="FFFFFF"/>
        </w:rPr>
      </w:pPr>
      <w:r>
        <w:rPr>
          <w:rStyle w:val="FootnoteReference"/>
          <w:color w:val="FFFFFF"/>
        </w:rPr>
        <w:footnoteReference w:id="54"/>
      </w:r>
      <w:r>
        <w:rPr>
          <w:color w:val="FFFFFF"/>
        </w:rPr>
        <w:t xml:space="preserve"> </w:t>
      </w:r>
      <w:r>
        <w:rPr>
          <w:rStyle w:val="FootnoteReference"/>
          <w:color w:val="FFFFFF"/>
        </w:rPr>
        <w:footnoteReference w:id="55"/>
      </w:r>
      <w:r>
        <w:rPr>
          <w:rStyle w:val="FootnoteReference"/>
          <w:color w:val="FFFFFF"/>
        </w:rPr>
        <w:footnoteReference w:id="56"/>
      </w:r>
    </w:p>
    <w:p w:rsidR="00ED3746" w:rsidRPr="00E05D08" w:rsidRDefault="00ED3746" w:rsidP="00ED3746">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rPr>
        <w:lastRenderedPageBreak/>
        <w:t xml:space="preserve">Difficultés </w:t>
      </w:r>
      <w:proofErr w:type="gramStart"/>
      <w:r>
        <w:rPr>
          <w:b/>
          <w:color w:val="57825E"/>
        </w:rPr>
        <w:t>particulières:</w:t>
      </w:r>
      <w:proofErr w:type="gramEnd"/>
      <w:r>
        <w:rPr>
          <w:b/>
          <w:color w:val="57825E"/>
        </w:rPr>
        <w:t xml:space="preserve"> </w:t>
      </w:r>
    </w:p>
    <w:p w:rsidR="00ED3746" w:rsidRPr="00183E9B" w:rsidRDefault="00ED3746" w:rsidP="00ED3746">
      <w:pPr>
        <w:pStyle w:val="Hlistbullet"/>
      </w:pPr>
      <w:proofErr w:type="gramStart"/>
      <w:r>
        <w:rPr>
          <w:b/>
        </w:rPr>
        <w:t>élaborer</w:t>
      </w:r>
      <w:proofErr w:type="gramEnd"/>
      <w:r>
        <w:rPr>
          <w:b/>
        </w:rPr>
        <w:t xml:space="preserve"> des éléments d’évaluation supplémentaires et propres au programme</w:t>
      </w:r>
      <w:r>
        <w:t xml:space="preserve">: </w:t>
      </w:r>
      <w:r>
        <w:rPr>
          <w:color w:val="545454"/>
        </w:rPr>
        <w:t xml:space="preserve">La QEC nº 2 n’est liée qu’à un seul indicateur cible commun (T2: </w:t>
      </w:r>
      <w:r>
        <w:t xml:space="preserve">nombre total des actions de coopération bénéficiant d’une aide au titre de la mesure de coopération), </w:t>
      </w:r>
      <w:r>
        <w:rPr>
          <w:color w:val="545454"/>
        </w:rPr>
        <w:t>ce qui pourrait ne pas être suffisant pour répondre à la QEC</w:t>
      </w:r>
      <w:r>
        <w:t>;</w:t>
      </w:r>
    </w:p>
    <w:p w:rsidR="00ED3746" w:rsidRPr="00183E9B" w:rsidRDefault="00ED3746" w:rsidP="00ED3746">
      <w:pPr>
        <w:pStyle w:val="Hlistbullet"/>
        <w:rPr>
          <w:rFonts w:eastAsia="Calibri"/>
          <w:shd w:val="clear" w:color="000000" w:fill="auto"/>
        </w:rPr>
      </w:pPr>
      <w:proofErr w:type="gramStart"/>
      <w:r>
        <w:rPr>
          <w:b/>
        </w:rPr>
        <w:t>attribuer</w:t>
      </w:r>
      <w:proofErr w:type="gramEnd"/>
      <w:r>
        <w:rPr>
          <w:b/>
        </w:rPr>
        <w:t xml:space="preserve"> les changements observés</w:t>
      </w:r>
      <w:r>
        <w:t xml:space="preserve"> aux relations entre l’agriculture, la foresterie et la recherche et l’innovation. Il s’agit de ceux liés à la gestion et aux performances environnementales, à la mesure de coopération M16 et à sa contribution à la réalisation des objectifs du </w:t>
      </w:r>
      <w:proofErr w:type="gramStart"/>
      <w:r>
        <w:t>PDR;</w:t>
      </w:r>
      <w:proofErr w:type="gramEnd"/>
      <w:r>
        <w:t xml:space="preserve"> </w:t>
      </w:r>
    </w:p>
    <w:p w:rsidR="00ED3746" w:rsidRPr="00183E9B" w:rsidRDefault="00ED3746" w:rsidP="00ED3746">
      <w:pPr>
        <w:pStyle w:val="Hlistbullet"/>
        <w:rPr>
          <w:rFonts w:eastAsia="Calibri"/>
          <w:shd w:val="clear" w:color="000000" w:fill="auto"/>
        </w:rPr>
      </w:pPr>
      <w:proofErr w:type="gramStart"/>
      <w:r>
        <w:rPr>
          <w:b/>
        </w:rPr>
        <w:t>cerner</w:t>
      </w:r>
      <w:proofErr w:type="gramEnd"/>
      <w:r>
        <w:rPr>
          <w:b/>
        </w:rPr>
        <w:t xml:space="preserve"> les contributions des mesures programmées au titre de DP autres que le DP 1B</w:t>
      </w:r>
      <w:r>
        <w:t xml:space="preserve"> (y compris les sous-mesures de la mesure M16) destinées à renforcer les liens entre l’agriculture, la foresterie, la recherche et l’innovation, notamment celles liées à la gestion et aux performances environnementales. </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Approche proposée pour répondre à la QEC nº 2</w:t>
      </w:r>
    </w:p>
    <w:p w:rsidR="00ED3746" w:rsidRPr="00E05D08" w:rsidRDefault="00ED3746" w:rsidP="00ED3746">
      <w:pPr>
        <w:numPr>
          <w:ilvl w:val="0"/>
          <w:numId w:val="56"/>
        </w:numPr>
        <w:spacing w:before="120" w:after="120" w:line="280" w:lineRule="atLeast"/>
        <w:ind w:left="567" w:hanging="567"/>
        <w:mirrorIndents/>
        <w:rPr>
          <w:rFonts w:eastAsia="Times New Roman" w:cs="Times New Roman"/>
          <w:b/>
          <w:szCs w:val="20"/>
        </w:rPr>
      </w:pPr>
      <w:r>
        <w:rPr>
          <w:b/>
        </w:rPr>
        <w:t xml:space="preserve">Logique d’intervention </w:t>
      </w:r>
    </w:p>
    <w:p w:rsidR="00ED3746" w:rsidRPr="00E05D08" w:rsidRDefault="00ED3746" w:rsidP="00ED3746">
      <w:pPr>
        <w:spacing w:after="120" w:line="280" w:lineRule="atLeast"/>
        <w:mirrorIndents/>
        <w:rPr>
          <w:rFonts w:eastAsia="Times New Roman" w:cs="Times New Roman"/>
          <w:szCs w:val="20"/>
        </w:rPr>
      </w:pPr>
      <w:r>
        <w:t xml:space="preserve">Dans l’exemple ci-après, la logique d’intervention liée à la QEC nº 2 se compose des sous-mesures de la mesure M16 telles que programmées au titre du DP 1B ou au titre d’autres DP qui contribuent aux objectifs du DP 1B. </w:t>
      </w:r>
    </w:p>
    <w:p w:rsidR="00ED3746" w:rsidRPr="00E05D08" w:rsidRDefault="00ED3746" w:rsidP="00ED3746">
      <w:pPr>
        <w:spacing w:after="120" w:line="280" w:lineRule="atLeast"/>
        <w:mirrorIndents/>
        <w:rPr>
          <w:rFonts w:eastAsia="Times New Roman" w:cs="Times New Roman"/>
          <w:szCs w:val="20"/>
        </w:rPr>
      </w:pPr>
      <w:r>
        <w:t xml:space="preserve">Un point de départ possible pour l’examen de la logique d’intervention est l’analyse du potentiel d’innovation des sous-mesures M16 pour favoriser l’innovation par l’intermédiaire des trois démarches. </w:t>
      </w:r>
    </w:p>
    <w:p w:rsidR="00ED3746" w:rsidRPr="00BC5B1D" w:rsidRDefault="00ED3746" w:rsidP="00ED3746">
      <w:pPr>
        <w:pStyle w:val="HHeadingfigures"/>
      </w:pPr>
      <w:bookmarkStart w:id="138" w:name="_Toc503284762"/>
      <w:bookmarkStart w:id="139" w:name="_Toc508894554"/>
      <w:r>
        <w:t>Exemple du potentiel d’innovation de chaque sous-mesure M16</w:t>
      </w:r>
      <w:bookmarkEnd w:id="138"/>
      <w:bookmarkEnd w:id="139"/>
    </w:p>
    <w:p w:rsidR="00ED3746" w:rsidRPr="00E05D08" w:rsidRDefault="00F204F1" w:rsidP="00ED3746">
      <w:pPr>
        <w:spacing w:after="120" w:line="280" w:lineRule="atLeast"/>
        <w:mirrorIndents/>
        <w:jc w:val="center"/>
        <w:rPr>
          <w:rFonts w:eastAsia="Times New Roman" w:cs="Times New Roman"/>
          <w:szCs w:val="20"/>
        </w:rPr>
      </w:pPr>
      <w:r w:rsidRPr="00230BFD">
        <w:rPr>
          <w:noProof/>
        </w:rPr>
        <w:drawing>
          <wp:inline distT="0" distB="0" distL="0" distR="0">
            <wp:extent cx="5908040" cy="3554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r="6319"/>
                    <a:stretch>
                      <a:fillRect/>
                    </a:stretch>
                  </pic:blipFill>
                  <pic:spPr bwMode="auto">
                    <a:xfrm>
                      <a:off x="0" y="0"/>
                      <a:ext cx="5908040" cy="3554095"/>
                    </a:xfrm>
                    <a:prstGeom prst="rect">
                      <a:avLst/>
                    </a:prstGeom>
                    <a:noFill/>
                    <a:ln>
                      <a:noFill/>
                    </a:ln>
                  </pic:spPr>
                </pic:pic>
              </a:graphicData>
            </a:graphic>
          </wp:inline>
        </w:drawing>
      </w:r>
    </w:p>
    <w:p w:rsidR="00ED3746" w:rsidRPr="00E05D08" w:rsidRDefault="00ED3746" w:rsidP="00ED3746">
      <w:pPr>
        <w:suppressAutoHyphens/>
        <w:spacing w:before="60" w:after="140" w:line="240" w:lineRule="auto"/>
        <w:mirrorIndents/>
        <w:jc w:val="center"/>
        <w:rPr>
          <w:rFonts w:eastAsia="Times New Roman" w:cs="Times New Roman"/>
          <w:i/>
          <w:sz w:val="16"/>
          <w:szCs w:val="20"/>
        </w:rPr>
      </w:pPr>
      <w:proofErr w:type="gramStart"/>
      <w:r>
        <w:rPr>
          <w:i/>
          <w:sz w:val="16"/>
        </w:rPr>
        <w:t>Source:</w:t>
      </w:r>
      <w:proofErr w:type="gramEnd"/>
      <w:r>
        <w:rPr>
          <w:i/>
          <w:sz w:val="16"/>
        </w:rPr>
        <w:t xml:space="preserve"> Helpdesk Évaluation européen pour le développement rural, 2017.</w:t>
      </w:r>
    </w:p>
    <w:p w:rsidR="00ED3746" w:rsidRPr="00E05D08" w:rsidRDefault="00F204F1" w:rsidP="00ED3746">
      <w:pPr>
        <w:spacing w:after="120" w:line="280" w:lineRule="atLeast"/>
        <w:mirrorIndents/>
        <w:rPr>
          <w:rFonts w:eastAsia="Times New Roman" w:cs="Times New Roman"/>
          <w:szCs w:val="20"/>
        </w:rPr>
      </w:pPr>
      <w:r>
        <w:rPr>
          <w:noProof/>
        </w:rPr>
        <w:lastRenderedPageBreak/>
        <mc:AlternateContent>
          <mc:Choice Requires="wps">
            <w:drawing>
              <wp:anchor distT="0" distB="0" distL="114300" distR="114300" simplePos="0" relativeHeight="251654656" behindDoc="0" locked="0" layoutInCell="1" allowOverlap="1">
                <wp:simplePos x="0" y="0"/>
                <wp:positionH relativeFrom="column">
                  <wp:posOffset>-46355</wp:posOffset>
                </wp:positionH>
                <wp:positionV relativeFrom="paragraph">
                  <wp:posOffset>989965</wp:posOffset>
                </wp:positionV>
                <wp:extent cx="5733415" cy="1921510"/>
                <wp:effectExtent l="0" t="0" r="635" b="2540"/>
                <wp:wrapSquare wrapText="bothSides"/>
                <wp:docPr id="83" name="Rectangle: Diagonal Corners Rounded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3415" cy="1921510"/>
                        </a:xfrm>
                        <a:prstGeom prst="round2DiagRect">
                          <a:avLst>
                            <a:gd name="adj1" fmla="val 11556"/>
                            <a:gd name="adj2" fmla="val 0"/>
                          </a:avLst>
                        </a:prstGeom>
                        <a:noFill/>
                        <a:ln w="25400" cap="flat" cmpd="sng" algn="ctr">
                          <a:solidFill>
                            <a:srgbClr val="F07E31"/>
                          </a:solidFill>
                          <a:prstDash val="solid"/>
                        </a:ln>
                        <a:effectLst/>
                      </wps:spPr>
                      <wps:txbx>
                        <w:txbxContent>
                          <w:p w:rsidR="00260B0F" w:rsidRPr="00A10ACC" w:rsidRDefault="00260B0F" w:rsidP="00ED3746">
                            <w:pPr>
                              <w:pStyle w:val="HStandard"/>
                              <w:rPr>
                                <w:sz w:val="18"/>
                              </w:rPr>
                            </w:pPr>
                            <w:r>
                              <w:rPr>
                                <w:noProof/>
                              </w:rPr>
                              <w:drawing>
                                <wp:inline distT="0" distB="0" distL="0" distR="0">
                                  <wp:extent cx="349885" cy="357505"/>
                                  <wp:effectExtent l="0" t="0" r="0" b="0"/>
                                  <wp:docPr id="4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sz w:val="18"/>
                              </w:rPr>
                              <w:t>L’exemple montre le potentiel d’innovation des sous-mesures M16 (qui pourraient être programmées au titre de n’importe quel DP du développement rural) qui contribuent à l’objectif politique du DP 1B. Si les dix sous-mesures M16 contribuent toutes à renforcer les liens entre l’agriculture, la production alimentaire, la foresterie, la recherche et l’innovation, seules les sous-mesures 5, 6, 8 et 9 ont le potentiel de contribuer à renforcer ces liens pour la gestion et les performances environnementales. Concernant les trois démarches de l’innovation, les sous-mesures 1, 5, 6, 7, 8 favorisent la culture d’idées innovantes (démarche 1). La sous-mesure 1 favorise aussi le renforcement des capacités et la création d’un environnement propice à l’innovation (démarches 2 et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83" o:spid="_x0000_s1047" style="position:absolute;left:0;text-align:left;margin-left:-3.65pt;margin-top:77.95pt;width:451.45pt;height:151.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21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" adj="-11796480,,5400" path="m222050,l5733415,r,l5733415,1699460v,122635,-99415,222050,-222050,222050l,1921510r,l,222050c,99415,99415,,222050,xe" filled="f" strokecolor="#f07e31" strokeweight="2pt">
                <v:stroke joinstyle="miter"/>
                <v:formulas/>
                <v:path arrowok="t" o:connecttype="custom" o:connectlocs="222050,0;5733415,0;5733415,0;5733415,1699460;5511365,1921510;0,1921510;0,1921510;0,222050;222050,0" o:connectangles="0,0,0,0,0,0,0,0,0" textboxrect="0,0,5733415,1921510"/>
                <v:textbox>
                  <w:txbxContent>
                    <w:p w:rsidR="00260B0F" w:rsidRPr="00A10ACC" w:rsidRDefault="00260B0F" w:rsidP="00ED3746">
                      <w:pPr>
                        <w:pStyle w:val="HStandard"/>
                        <w:rPr>
                          <w:sz w:val="18"/>
                        </w:rPr>
                      </w:pPr>
                      <w:r>
                        <w:rPr>
                          <w:noProof/>
                        </w:rPr>
                        <w:drawing>
                          <wp:inline distT="0" distB="0" distL="0" distR="0">
                            <wp:extent cx="349885" cy="357505"/>
                            <wp:effectExtent l="0" t="0" r="0" b="0"/>
                            <wp:docPr id="4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sz w:val="18"/>
                        </w:rPr>
                        <w:t>L’exemple montre le potentiel d’innovation des sous-mesures M16 (qui pourraient être programmées au titre de n’importe quel DP du développement rural) qui contribuent à l’objectif politique du DP 1B. Si les dix sous-mesures M16 contribuent toutes à renforcer les liens entre l’agriculture, la production alimentaire, la foresterie, la recherche et l’innovation, seules les sous-mesures 5, 6, 8 et 9 ont le potentiel de contribuer à renforcer ces liens pour la gestion et les performances environnementales. Concernant les trois démarches de l’innovation, les sous-mesures 1, 5, 6, 7, 8 favorisent la culture d’idées innovantes (démarche 1). La sous-mesure 1 favorise aussi le renforcement des capacités et la création d’un environnement propice à l’innovation (démarches 2 et 3).</w:t>
                      </w:r>
                    </w:p>
                  </w:txbxContent>
                </v:textbox>
                <w10:wrap type="square"/>
              </v:shape>
            </w:pict>
          </mc:Fallback>
        </mc:AlternateContent>
      </w:r>
      <w:r w:rsidR="00ED3746">
        <w:t>De plus, toutes les sous-mesures M16 programmées au titre d’autres DP que le DP 1B devraient être intégrées dans l’évaluation de la réalisation des aspects de la QEC nº 2 relatifs à l’innovation. Par exemple, si la sous-mesure M16.1 est programmée au titre du DP 2A, les contributions aux relations entre les agriculteurs, les chercheurs et les conseillers en matière d’innovation peuvent être examinées dans le cadre de l’évaluation de la QEC nº 2.</w:t>
      </w:r>
    </w:p>
    <w:p w:rsidR="00ED3746" w:rsidRPr="00E05D08" w:rsidRDefault="00ED3746" w:rsidP="00ED3746">
      <w:pPr>
        <w:numPr>
          <w:ilvl w:val="0"/>
          <w:numId w:val="56"/>
        </w:numPr>
        <w:spacing w:before="120" w:after="120" w:line="280" w:lineRule="atLeast"/>
        <w:ind w:left="567" w:hanging="567"/>
        <w:mirrorIndents/>
        <w:rPr>
          <w:rFonts w:eastAsia="Times New Roman" w:cs="Times New Roman"/>
          <w:b/>
          <w:szCs w:val="20"/>
        </w:rPr>
      </w:pPr>
      <w:r>
        <w:rPr>
          <w:b/>
        </w:rPr>
        <w:t xml:space="preserve">Éléments d’évaluation </w:t>
      </w:r>
    </w:p>
    <w:p w:rsidR="00ED3746" w:rsidRDefault="00ED3746" w:rsidP="00ED3746">
      <w:pPr>
        <w:spacing w:after="120" w:line="280" w:lineRule="atLeast"/>
        <w:mirrorIndents/>
        <w:sectPr w:rsidR="00ED3746" w:rsidSect="00ED3746">
          <w:endnotePr>
            <w:numFmt w:val="decimal"/>
          </w:endnotePr>
          <w:type w:val="continuous"/>
          <w:pgSz w:w="11906" w:h="16838" w:code="9"/>
          <w:pgMar w:top="1134" w:right="1440" w:bottom="1440" w:left="1440" w:header="567" w:footer="1021" w:gutter="0"/>
          <w:cols w:space="708"/>
          <w:noEndnote/>
          <w:docGrid w:linePitch="360"/>
        </w:sectPr>
      </w:pPr>
      <w:r>
        <w:t>Les critères de jugement et les indicateurs communs pour la QEC nº 2 restent au niveau des réalisations des opérations au titre de la mesure de coopération. Des critères de jugement et des indicateurs supplémentaires pourraient devoir être élaborés afin d’évaluer les résultats de ces mesures. Le tableau ci-après reprend les critères de jugement, les indicateurs et les données requises pour répondre à la QEC nº 2.</w:t>
      </w:r>
    </w:p>
    <w:p w:rsidR="00ED3746" w:rsidRPr="009A2DAD" w:rsidRDefault="00ED3746" w:rsidP="00ED3746">
      <w:pPr>
        <w:pStyle w:val="HHeadingtables"/>
        <w:rPr>
          <w:color w:val="6F6F6F"/>
          <w:sz w:val="18"/>
          <w:szCs w:val="18"/>
        </w:rPr>
      </w:pPr>
      <w:bookmarkStart w:id="140" w:name="_Toc503284465"/>
      <w:bookmarkStart w:id="141" w:name="_Toc508894476"/>
      <w:r>
        <w:rPr>
          <w:color w:val="6F6F6F"/>
          <w:sz w:val="18"/>
        </w:rPr>
        <w:lastRenderedPageBreak/>
        <w:t>Critères de jugement, indicateurs, données requises et sources de données</w:t>
      </w:r>
      <w:bookmarkEnd w:id="140"/>
      <w:bookmarkEnd w:id="141"/>
    </w:p>
    <w:tbl>
      <w:tblPr>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ED3746" w:rsidRPr="00B77106" w:rsidTr="0024029C">
        <w:trPr>
          <w:tblHeader/>
        </w:trPr>
        <w:tc>
          <w:tcPr>
            <w:tcW w:w="3578" w:type="dxa"/>
            <w:shd w:val="clear" w:color="auto" w:fill="ED7D31" w:themeFill="accent2"/>
          </w:tcPr>
          <w:p w:rsidR="00ED3746" w:rsidRPr="00B77106" w:rsidRDefault="00ED3746" w:rsidP="00ED3746">
            <w:pPr>
              <w:spacing w:after="120" w:line="280" w:lineRule="atLeast"/>
              <w:ind w:left="29" w:right="110"/>
              <w:mirrorIndents/>
              <w:jc w:val="center"/>
              <w:rPr>
                <w:rFonts w:eastAsia="Times New Roman" w:cs="Arial"/>
                <w:b/>
                <w:color w:val="FFFFFF"/>
                <w:sz w:val="18"/>
                <w:szCs w:val="18"/>
              </w:rPr>
            </w:pPr>
            <w:r>
              <w:rPr>
                <w:b/>
                <w:color w:val="FFFFFF"/>
                <w:sz w:val="18"/>
              </w:rPr>
              <w:t>Critères de jugement</w:t>
            </w:r>
          </w:p>
        </w:tc>
        <w:tc>
          <w:tcPr>
            <w:tcW w:w="3578" w:type="dxa"/>
            <w:shd w:val="clear" w:color="auto" w:fill="ED7D31" w:themeFill="accent2"/>
          </w:tcPr>
          <w:p w:rsidR="00ED3746" w:rsidRPr="00B77106" w:rsidRDefault="00ED3746" w:rsidP="00ED3746">
            <w:pPr>
              <w:spacing w:after="120" w:line="280" w:lineRule="atLeast"/>
              <w:ind w:left="75" w:right="61"/>
              <w:mirrorIndents/>
              <w:jc w:val="center"/>
              <w:rPr>
                <w:rFonts w:eastAsia="Times New Roman" w:cs="Arial"/>
                <w:b/>
                <w:color w:val="FFFFFF"/>
                <w:sz w:val="18"/>
                <w:szCs w:val="18"/>
              </w:rPr>
            </w:pPr>
            <w:r>
              <w:rPr>
                <w:b/>
                <w:color w:val="FFFFFF"/>
                <w:sz w:val="18"/>
              </w:rPr>
              <w:t>Indicateurs</w:t>
            </w:r>
          </w:p>
        </w:tc>
        <w:tc>
          <w:tcPr>
            <w:tcW w:w="3578" w:type="dxa"/>
            <w:shd w:val="clear" w:color="auto" w:fill="ED7D31" w:themeFill="accent2"/>
          </w:tcPr>
          <w:p w:rsidR="00ED3746" w:rsidRPr="00B77106" w:rsidRDefault="00ED3746" w:rsidP="00ED3746">
            <w:pPr>
              <w:spacing w:after="120" w:line="280" w:lineRule="atLeast"/>
              <w:ind w:left="11" w:right="12"/>
              <w:mirrorIndents/>
              <w:jc w:val="center"/>
              <w:rPr>
                <w:rFonts w:eastAsia="Times New Roman" w:cs="Arial"/>
                <w:b/>
                <w:color w:val="FFFFFF"/>
                <w:sz w:val="18"/>
                <w:szCs w:val="18"/>
              </w:rPr>
            </w:pPr>
            <w:r>
              <w:rPr>
                <w:b/>
                <w:color w:val="FFFFFF"/>
                <w:sz w:val="18"/>
              </w:rPr>
              <w:t>Données requises</w:t>
            </w:r>
          </w:p>
        </w:tc>
        <w:tc>
          <w:tcPr>
            <w:tcW w:w="3578" w:type="dxa"/>
            <w:shd w:val="clear" w:color="auto" w:fill="ED7D31" w:themeFill="accent2"/>
          </w:tcPr>
          <w:p w:rsidR="00ED3746" w:rsidRPr="00B77106" w:rsidRDefault="00ED3746" w:rsidP="00ED3746">
            <w:pPr>
              <w:spacing w:after="120" w:line="280" w:lineRule="atLeast"/>
              <w:ind w:left="355" w:right="31"/>
              <w:mirrorIndents/>
              <w:jc w:val="center"/>
              <w:rPr>
                <w:rFonts w:eastAsia="Times New Roman" w:cs="Arial"/>
                <w:b/>
                <w:color w:val="FFFFFF"/>
                <w:sz w:val="18"/>
                <w:szCs w:val="18"/>
              </w:rPr>
            </w:pPr>
            <w:r>
              <w:rPr>
                <w:b/>
                <w:color w:val="FFFFFF"/>
                <w:sz w:val="18"/>
              </w:rPr>
              <w:t>Sources de données</w:t>
            </w:r>
          </w:p>
        </w:tc>
      </w:tr>
      <w:tr w:rsidR="00ED3746" w:rsidRPr="00B77106" w:rsidTr="00762026">
        <w:tc>
          <w:tcPr>
            <w:tcW w:w="14312" w:type="dxa"/>
            <w:gridSpan w:val="4"/>
            <w:tcBorders>
              <w:bottom w:val="single" w:sz="4" w:space="0" w:color="808080"/>
            </w:tcBorders>
            <w:shd w:val="clear" w:color="auto" w:fill="57825E"/>
          </w:tcPr>
          <w:p w:rsidR="00ED3746" w:rsidRPr="00B77106" w:rsidRDefault="00ED3746" w:rsidP="00ED3746">
            <w:pPr>
              <w:spacing w:after="120" w:line="280" w:lineRule="atLeast"/>
              <w:ind w:left="355" w:right="31"/>
              <w:mirrorIndents/>
              <w:rPr>
                <w:rFonts w:eastAsia="Times New Roman" w:cs="Arial"/>
                <w:b/>
                <w:color w:val="FFFFFF"/>
                <w:sz w:val="18"/>
                <w:szCs w:val="18"/>
              </w:rPr>
            </w:pPr>
            <w:r>
              <w:rPr>
                <w:b/>
                <w:color w:val="FFFFFF"/>
                <w:sz w:val="18"/>
              </w:rPr>
              <w:t>Éléments d’évaluation communs (CMES et éléments proposés dans le document de travail</w:t>
            </w:r>
            <w:proofErr w:type="gramStart"/>
            <w:r>
              <w:rPr>
                <w:b/>
                <w:color w:val="FFFFFF"/>
                <w:sz w:val="18"/>
              </w:rPr>
              <w:t xml:space="preserve"> «Questions</w:t>
            </w:r>
            <w:proofErr w:type="gramEnd"/>
            <w:r>
              <w:rPr>
                <w:b/>
                <w:color w:val="FFFFFF"/>
                <w:sz w:val="18"/>
              </w:rPr>
              <w:t xml:space="preserve"> d’évaluation communes pour les programmes de développement rural 2014-2020»)</w:t>
            </w:r>
          </w:p>
        </w:tc>
      </w:tr>
      <w:tr w:rsidR="00ED3746" w:rsidRPr="00B77106" w:rsidTr="00ED3746">
        <w:tc>
          <w:tcPr>
            <w:tcW w:w="3578" w:type="dxa"/>
            <w:tcBorders>
              <w:bottom w:val="nil"/>
            </w:tcBorders>
            <w:shd w:val="clear" w:color="auto" w:fill="auto"/>
          </w:tcPr>
          <w:p w:rsidR="00ED3746" w:rsidRPr="00B77106" w:rsidRDefault="00ED3746" w:rsidP="00ED3746">
            <w:pPr>
              <w:spacing w:after="120" w:line="280" w:lineRule="atLeast"/>
              <w:ind w:left="29" w:right="110"/>
              <w:mirrorIndents/>
              <w:jc w:val="left"/>
              <w:rPr>
                <w:rFonts w:eastAsia="Times New Roman" w:cs="Arial"/>
                <w:sz w:val="18"/>
                <w:szCs w:val="18"/>
              </w:rPr>
            </w:pPr>
            <w:r>
              <w:rPr>
                <w:sz w:val="18"/>
              </w:rPr>
              <w:t>Une collaboration à long terme a été établie entre les entités de l’agriculture, de la production alimentaire et de la foresterie et les institutions de recherche et d’innovation.</w:t>
            </w:r>
          </w:p>
        </w:tc>
        <w:tc>
          <w:tcPr>
            <w:tcW w:w="3578" w:type="dxa"/>
            <w:tcBorders>
              <w:bottom w:val="nil"/>
            </w:tcBorders>
            <w:shd w:val="clear" w:color="auto" w:fill="auto"/>
          </w:tcPr>
          <w:p w:rsidR="00ED3746" w:rsidRPr="00B77106" w:rsidRDefault="00ED3746" w:rsidP="00ED3746">
            <w:pPr>
              <w:spacing w:after="120" w:line="280" w:lineRule="atLeast"/>
              <w:ind w:left="75" w:right="61"/>
              <w:mirrorIndents/>
              <w:jc w:val="left"/>
              <w:rPr>
                <w:rFonts w:eastAsia="Times New Roman" w:cs="Arial"/>
                <w:sz w:val="18"/>
                <w:szCs w:val="18"/>
              </w:rPr>
            </w:pPr>
            <w:r>
              <w:rPr>
                <w:sz w:val="18"/>
              </w:rPr>
              <w:t>T</w:t>
            </w:r>
            <w:proofErr w:type="gramStart"/>
            <w:r>
              <w:rPr>
                <w:sz w:val="18"/>
              </w:rPr>
              <w:t>2:</w:t>
            </w:r>
            <w:proofErr w:type="gramEnd"/>
            <w:r>
              <w:rPr>
                <w:sz w:val="18"/>
              </w:rPr>
              <w:t xml:space="preserve"> nombre total des actions de coopération bénéficiant d’une aide au titre de la mesure de coopération [article 35 du règlement (UE) nº 1305/2013] (groupements, réseaux et pôles, projets pilotes)</w:t>
            </w:r>
          </w:p>
          <w:p w:rsidR="00ED3746" w:rsidRPr="00B77106" w:rsidRDefault="00ED3746" w:rsidP="00ED3746">
            <w:pPr>
              <w:spacing w:after="120" w:line="280" w:lineRule="atLeast"/>
              <w:ind w:left="75" w:right="61"/>
              <w:mirrorIndents/>
              <w:jc w:val="left"/>
              <w:rPr>
                <w:rFonts w:eastAsia="Times New Roman" w:cs="Arial"/>
                <w:sz w:val="18"/>
                <w:szCs w:val="18"/>
              </w:rPr>
            </w:pPr>
            <w:r>
              <w:rPr>
                <w:color w:val="57825E"/>
                <w:sz w:val="18"/>
                <w:u w:val="single"/>
              </w:rPr>
              <w:t xml:space="preserve">Indicateur </w:t>
            </w:r>
            <w:proofErr w:type="gramStart"/>
            <w:r>
              <w:rPr>
                <w:color w:val="57825E"/>
                <w:sz w:val="18"/>
                <w:u w:val="single"/>
              </w:rPr>
              <w:t>supplémentaire:</w:t>
            </w:r>
            <w:proofErr w:type="gramEnd"/>
            <w:r>
              <w:rPr>
                <w:color w:val="57825E"/>
                <w:sz w:val="18"/>
              </w:rPr>
              <w:t xml:space="preserve"> nombre et types de partenaires participant aux projets de coopération, y compris leurs rôles et leurs responsabilités</w:t>
            </w:r>
          </w:p>
        </w:tc>
        <w:tc>
          <w:tcPr>
            <w:tcW w:w="3578" w:type="dxa"/>
            <w:tcBorders>
              <w:bottom w:val="nil"/>
            </w:tcBorders>
            <w:shd w:val="clear" w:color="auto" w:fill="auto"/>
          </w:tcPr>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Nombre d’opérations du PEI (point O.16)</w:t>
            </w:r>
          </w:p>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Nombre d’autres opérations de coopération (groupements, réseaux/pôles, projets pilotes) à soutenir au titre de la mesure M16 Coopération (point O.17)</w:t>
            </w:r>
          </w:p>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 xml:space="preserve">Types de </w:t>
            </w:r>
            <w:proofErr w:type="gramStart"/>
            <w:r>
              <w:rPr>
                <w:sz w:val="18"/>
              </w:rPr>
              <w:t>partenaires participant</w:t>
            </w:r>
            <w:proofErr w:type="gramEnd"/>
            <w:r>
              <w:rPr>
                <w:sz w:val="18"/>
              </w:rPr>
              <w:t xml:space="preserve"> et leur nombre </w:t>
            </w:r>
          </w:p>
        </w:tc>
        <w:tc>
          <w:tcPr>
            <w:tcW w:w="3578" w:type="dxa"/>
            <w:tcBorders>
              <w:bottom w:val="nil"/>
            </w:tcBorders>
            <w:shd w:val="clear" w:color="auto" w:fill="auto"/>
          </w:tcPr>
          <w:p w:rsidR="00ED3746" w:rsidRPr="00B77106" w:rsidRDefault="00ED3746" w:rsidP="00ED3746">
            <w:pPr>
              <w:spacing w:after="120" w:line="280" w:lineRule="atLeast"/>
              <w:ind w:left="355" w:right="31"/>
              <w:mirrorIndents/>
              <w:jc w:val="left"/>
              <w:rPr>
                <w:rFonts w:eastAsia="Times New Roman" w:cs="Arial"/>
                <w:sz w:val="18"/>
                <w:szCs w:val="18"/>
              </w:rPr>
            </w:pPr>
            <w:r>
              <w:rPr>
                <w:sz w:val="18"/>
              </w:rPr>
              <w:t>Système de suivi du PDR</w:t>
            </w:r>
          </w:p>
          <w:p w:rsidR="00ED3746" w:rsidRPr="00B77106" w:rsidRDefault="00ED3746" w:rsidP="00ED3746">
            <w:pPr>
              <w:numPr>
                <w:ilvl w:val="0"/>
                <w:numId w:val="20"/>
              </w:numPr>
              <w:spacing w:before="60" w:after="120" w:line="280" w:lineRule="atLeast"/>
              <w:ind w:left="355" w:right="31" w:hanging="357"/>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20"/>
              </w:numPr>
              <w:spacing w:before="60" w:after="120" w:line="280" w:lineRule="atLeast"/>
              <w:ind w:left="355" w:right="31" w:hanging="357"/>
              <w:jc w:val="left"/>
              <w:rPr>
                <w:rFonts w:eastAsia="Times New Roman" w:cs="Arial"/>
                <w:sz w:val="18"/>
                <w:szCs w:val="18"/>
              </w:rPr>
            </w:pPr>
            <w:r>
              <w:rPr>
                <w:sz w:val="18"/>
              </w:rPr>
              <w:t>Demandes de paiement des bénéficiaires (fin du projet)</w:t>
            </w:r>
          </w:p>
        </w:tc>
      </w:tr>
      <w:tr w:rsidR="00ED3746" w:rsidRPr="00B77106" w:rsidTr="00ED3746">
        <w:tc>
          <w:tcPr>
            <w:tcW w:w="3578" w:type="dxa"/>
            <w:tcBorders>
              <w:top w:val="nil"/>
              <w:bottom w:val="single" w:sz="4" w:space="0" w:color="808080"/>
            </w:tcBorders>
            <w:shd w:val="clear" w:color="auto" w:fill="auto"/>
          </w:tcPr>
          <w:p w:rsidR="00ED3746" w:rsidRPr="00B77106" w:rsidRDefault="00ED3746" w:rsidP="00ED3746">
            <w:pPr>
              <w:spacing w:after="120" w:line="280" w:lineRule="atLeast"/>
              <w:ind w:left="29" w:right="110"/>
              <w:mirrorIndents/>
              <w:jc w:val="left"/>
              <w:rPr>
                <w:rFonts w:eastAsia="Times New Roman" w:cs="Arial"/>
                <w:sz w:val="18"/>
                <w:szCs w:val="18"/>
              </w:rPr>
            </w:pPr>
          </w:p>
        </w:tc>
        <w:tc>
          <w:tcPr>
            <w:tcW w:w="3578" w:type="dxa"/>
            <w:tcBorders>
              <w:top w:val="nil"/>
              <w:bottom w:val="single" w:sz="4" w:space="0" w:color="808080"/>
            </w:tcBorders>
            <w:shd w:val="clear" w:color="auto" w:fill="auto"/>
          </w:tcPr>
          <w:p w:rsidR="00ED3746" w:rsidRPr="00B77106" w:rsidRDefault="00ED3746" w:rsidP="00ED3746">
            <w:pPr>
              <w:spacing w:after="120" w:line="280" w:lineRule="atLeast"/>
              <w:ind w:left="75" w:right="61"/>
              <w:mirrorIndents/>
              <w:jc w:val="left"/>
              <w:rPr>
                <w:rFonts w:eastAsia="Times New Roman" w:cs="Arial"/>
                <w:sz w:val="18"/>
                <w:szCs w:val="18"/>
              </w:rPr>
            </w:pPr>
            <w:r>
              <w:rPr>
                <w:sz w:val="18"/>
              </w:rPr>
              <w:t>O.3 Nombre d’opérations bénéficiant d’un soutien</w:t>
            </w:r>
          </w:p>
        </w:tc>
        <w:tc>
          <w:tcPr>
            <w:tcW w:w="3578" w:type="dxa"/>
            <w:tcBorders>
              <w:top w:val="nil"/>
              <w:bottom w:val="single" w:sz="4" w:space="0" w:color="808080"/>
            </w:tcBorders>
            <w:shd w:val="clear" w:color="auto" w:fill="auto"/>
          </w:tcPr>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Nombre total d’opérations bénéficiant d’un soutien</w:t>
            </w:r>
          </w:p>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Nombre d’opérations de coopération bénéficiant d’un soutien (O.16+O.17)</w:t>
            </w:r>
          </w:p>
        </w:tc>
        <w:tc>
          <w:tcPr>
            <w:tcW w:w="3578" w:type="dxa"/>
            <w:tcBorders>
              <w:top w:val="nil"/>
              <w:bottom w:val="single" w:sz="4" w:space="0" w:color="808080"/>
            </w:tcBorders>
            <w:shd w:val="clear" w:color="auto" w:fill="auto"/>
          </w:tcPr>
          <w:p w:rsidR="00ED3746" w:rsidRPr="00B77106" w:rsidRDefault="00ED3746" w:rsidP="00ED3746">
            <w:pPr>
              <w:spacing w:after="120" w:line="280" w:lineRule="atLeast"/>
              <w:ind w:left="355" w:right="31"/>
              <w:mirrorIndents/>
              <w:jc w:val="left"/>
              <w:rPr>
                <w:rFonts w:eastAsia="Times New Roman" w:cs="Arial"/>
                <w:sz w:val="18"/>
                <w:szCs w:val="18"/>
              </w:rPr>
            </w:pPr>
            <w:r>
              <w:rPr>
                <w:sz w:val="18"/>
              </w:rPr>
              <w:t xml:space="preserve">Système de suivi du PDR </w:t>
            </w:r>
          </w:p>
          <w:p w:rsidR="00ED3746" w:rsidRPr="00B77106" w:rsidRDefault="00ED3746" w:rsidP="00ED3746">
            <w:pPr>
              <w:numPr>
                <w:ilvl w:val="0"/>
                <w:numId w:val="20"/>
              </w:numPr>
              <w:spacing w:before="60" w:after="120" w:line="280" w:lineRule="atLeast"/>
              <w:ind w:left="355" w:right="31" w:hanging="357"/>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20"/>
              </w:numPr>
              <w:spacing w:before="60" w:after="120" w:line="280" w:lineRule="atLeast"/>
              <w:ind w:left="355" w:right="31" w:hanging="357"/>
              <w:jc w:val="left"/>
              <w:rPr>
                <w:rFonts w:eastAsia="Times New Roman" w:cs="Arial"/>
                <w:sz w:val="18"/>
                <w:szCs w:val="18"/>
              </w:rPr>
            </w:pPr>
            <w:r>
              <w:rPr>
                <w:sz w:val="18"/>
              </w:rPr>
              <w:t>Demandes de paiement des bénéficiaires (fin du projet)</w:t>
            </w:r>
          </w:p>
        </w:tc>
      </w:tr>
      <w:tr w:rsidR="00ED3746" w:rsidRPr="00B77106" w:rsidTr="00ED3746">
        <w:trPr>
          <w:trHeight w:val="1003"/>
        </w:trPr>
        <w:tc>
          <w:tcPr>
            <w:tcW w:w="3578" w:type="dxa"/>
            <w:tcBorders>
              <w:bottom w:val="single" w:sz="4" w:space="0" w:color="808080"/>
            </w:tcBorders>
            <w:shd w:val="clear" w:color="auto" w:fill="auto"/>
          </w:tcPr>
          <w:p w:rsidR="00ED3746" w:rsidRPr="00B77106" w:rsidRDefault="00ED3746" w:rsidP="00ED3746">
            <w:pPr>
              <w:spacing w:after="120" w:line="280" w:lineRule="atLeast"/>
              <w:ind w:left="29" w:right="110"/>
              <w:mirrorIndents/>
              <w:jc w:val="left"/>
              <w:rPr>
                <w:rFonts w:eastAsia="Times New Roman" w:cs="Arial"/>
                <w:sz w:val="18"/>
                <w:szCs w:val="18"/>
              </w:rPr>
            </w:pPr>
            <w:r>
              <w:rPr>
                <w:sz w:val="18"/>
              </w:rPr>
              <w:t>Des opérations de coopération ont été mises en œuvre entre l’agriculture, la production alimentaire, la foresterie, la recherche et l’innovation dans le but d’améliorer la gestion et les performances environnementales.</w:t>
            </w:r>
          </w:p>
        </w:tc>
        <w:tc>
          <w:tcPr>
            <w:tcW w:w="3578" w:type="dxa"/>
            <w:tcBorders>
              <w:bottom w:val="single" w:sz="4" w:space="0" w:color="808080"/>
            </w:tcBorders>
            <w:shd w:val="clear" w:color="auto" w:fill="auto"/>
          </w:tcPr>
          <w:p w:rsidR="00ED3746" w:rsidRPr="00B77106" w:rsidRDefault="00ED3746" w:rsidP="00ED3746">
            <w:pPr>
              <w:spacing w:after="120" w:line="280" w:lineRule="atLeast"/>
              <w:ind w:left="75" w:right="61"/>
              <w:mirrorIndents/>
              <w:jc w:val="left"/>
              <w:rPr>
                <w:rFonts w:eastAsia="Times New Roman" w:cs="Arial"/>
                <w:sz w:val="18"/>
                <w:szCs w:val="18"/>
              </w:rPr>
            </w:pPr>
            <w:r>
              <w:rPr>
                <w:sz w:val="18"/>
              </w:rPr>
              <w:t>T</w:t>
            </w:r>
            <w:proofErr w:type="gramStart"/>
            <w:r>
              <w:rPr>
                <w:sz w:val="18"/>
              </w:rPr>
              <w:t>2:</w:t>
            </w:r>
            <w:proofErr w:type="gramEnd"/>
            <w:r>
              <w:rPr>
                <w:sz w:val="18"/>
              </w:rPr>
              <w:t xml:space="preserve"> nombre total des actions de coopération bénéficiant d’une aide au titre de la mesure de coopération [article 35 du règlement (UE) nº 1305/2013] (groupements, réseaux et pôles, projets pilotes) </w:t>
            </w:r>
          </w:p>
          <w:p w:rsidR="00ED3746" w:rsidRPr="00B77106" w:rsidRDefault="00ED3746" w:rsidP="00ED3746">
            <w:pPr>
              <w:spacing w:after="120" w:line="280" w:lineRule="atLeast"/>
              <w:ind w:left="75" w:right="61"/>
              <w:mirrorIndents/>
              <w:jc w:val="left"/>
              <w:rPr>
                <w:rFonts w:eastAsia="Times New Roman" w:cs="Arial"/>
                <w:color w:val="57825E"/>
                <w:sz w:val="18"/>
                <w:szCs w:val="18"/>
              </w:rPr>
            </w:pPr>
            <w:r>
              <w:rPr>
                <w:color w:val="57825E"/>
                <w:sz w:val="18"/>
                <w:u w:val="single"/>
              </w:rPr>
              <w:t xml:space="preserve">Indicateur </w:t>
            </w:r>
            <w:proofErr w:type="gramStart"/>
            <w:r>
              <w:rPr>
                <w:color w:val="57825E"/>
                <w:sz w:val="18"/>
                <w:u w:val="single"/>
              </w:rPr>
              <w:t>supplémentaire:</w:t>
            </w:r>
            <w:proofErr w:type="gramEnd"/>
            <w:r>
              <w:rPr>
                <w:color w:val="57825E"/>
                <w:sz w:val="18"/>
              </w:rPr>
              <w:t xml:space="preserve"> pourcentage d’opérations de coopération qui se poursuivent après le soutien du PDR, </w:t>
            </w:r>
            <w:r>
              <w:rPr>
                <w:color w:val="57825E"/>
                <w:sz w:val="18"/>
              </w:rPr>
              <w:lastRenderedPageBreak/>
              <w:t>notamment dans le but d’améliorer la gestion et les performances environnementales</w:t>
            </w:r>
          </w:p>
          <w:p w:rsidR="00ED3746" w:rsidRPr="00B77106" w:rsidRDefault="00ED3746" w:rsidP="00ED3746">
            <w:pPr>
              <w:spacing w:after="120" w:line="280" w:lineRule="atLeast"/>
              <w:ind w:left="75" w:right="61"/>
              <w:mirrorIndents/>
              <w:jc w:val="left"/>
              <w:rPr>
                <w:rFonts w:eastAsia="Times New Roman" w:cs="Arial"/>
                <w:sz w:val="18"/>
                <w:szCs w:val="18"/>
              </w:rPr>
            </w:pPr>
            <w:r>
              <w:rPr>
                <w:color w:val="57825E"/>
                <w:sz w:val="18"/>
                <w:u w:val="single"/>
              </w:rPr>
              <w:t xml:space="preserve">Indicateur </w:t>
            </w:r>
            <w:proofErr w:type="gramStart"/>
            <w:r>
              <w:rPr>
                <w:color w:val="57825E"/>
                <w:sz w:val="18"/>
                <w:u w:val="single"/>
              </w:rPr>
              <w:t>supplémentaire:</w:t>
            </w:r>
            <w:proofErr w:type="gramEnd"/>
            <w:r>
              <w:rPr>
                <w:color w:val="57825E"/>
                <w:sz w:val="18"/>
              </w:rPr>
              <w:t xml:space="preserve"> nombre et types de partenaires participant aux projets de coopération, y compris leurs rôles et leurs responsabilités</w:t>
            </w:r>
          </w:p>
        </w:tc>
        <w:tc>
          <w:tcPr>
            <w:tcW w:w="3578" w:type="dxa"/>
            <w:tcBorders>
              <w:bottom w:val="single" w:sz="4" w:space="0" w:color="808080"/>
            </w:tcBorders>
            <w:shd w:val="clear" w:color="auto" w:fill="auto"/>
          </w:tcPr>
          <w:p w:rsidR="00ED3746" w:rsidRPr="00B77106" w:rsidRDefault="00ED3746" w:rsidP="00ED3746">
            <w:pPr>
              <w:spacing w:after="120" w:line="280" w:lineRule="atLeast"/>
              <w:ind w:left="11" w:right="12"/>
              <w:mirrorIndents/>
              <w:jc w:val="left"/>
              <w:rPr>
                <w:rFonts w:eastAsia="Times New Roman" w:cs="Arial"/>
                <w:sz w:val="18"/>
                <w:szCs w:val="18"/>
              </w:rPr>
            </w:pPr>
            <w:r>
              <w:rPr>
                <w:sz w:val="18"/>
              </w:rPr>
              <w:lastRenderedPageBreak/>
              <w:t>Nombre d’opérations du PEI (point O.16) portant sur l’amélioration de la gestion et des performances environnementales</w:t>
            </w:r>
          </w:p>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 xml:space="preserve">Nombre d’autres opérations de coopération (groupements, réseaux/pôles, projets pilotes) à soutenir au titre de la mesure M16 Coopération (point O.17) portant sur l’amélioration de </w:t>
            </w:r>
            <w:r>
              <w:rPr>
                <w:sz w:val="18"/>
              </w:rPr>
              <w:lastRenderedPageBreak/>
              <w:t>la gestion et des performances environnementales</w:t>
            </w:r>
          </w:p>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 xml:space="preserve">Types de </w:t>
            </w:r>
            <w:proofErr w:type="gramStart"/>
            <w:r>
              <w:rPr>
                <w:sz w:val="18"/>
              </w:rPr>
              <w:t>partenaires participant</w:t>
            </w:r>
            <w:proofErr w:type="gramEnd"/>
            <w:r>
              <w:rPr>
                <w:sz w:val="18"/>
              </w:rPr>
              <w:t xml:space="preserve"> et leur nombre</w:t>
            </w:r>
          </w:p>
        </w:tc>
        <w:tc>
          <w:tcPr>
            <w:tcW w:w="3578" w:type="dxa"/>
            <w:tcBorders>
              <w:bottom w:val="single" w:sz="4" w:space="0" w:color="808080"/>
            </w:tcBorders>
            <w:shd w:val="clear" w:color="auto" w:fill="auto"/>
          </w:tcPr>
          <w:p w:rsidR="00ED3746" w:rsidRPr="00B77106" w:rsidRDefault="00ED3746" w:rsidP="00ED3746">
            <w:pPr>
              <w:spacing w:after="120" w:line="280" w:lineRule="atLeast"/>
              <w:ind w:left="355" w:right="31"/>
              <w:mirrorIndents/>
              <w:jc w:val="left"/>
              <w:rPr>
                <w:rFonts w:eastAsia="Times New Roman" w:cs="Arial"/>
                <w:sz w:val="18"/>
                <w:szCs w:val="18"/>
              </w:rPr>
            </w:pPr>
            <w:r>
              <w:rPr>
                <w:sz w:val="18"/>
              </w:rPr>
              <w:lastRenderedPageBreak/>
              <w:t xml:space="preserve">Système de suivi du PDR </w:t>
            </w:r>
          </w:p>
          <w:p w:rsidR="00ED3746" w:rsidRPr="00B77106" w:rsidRDefault="00ED3746" w:rsidP="00ED3746">
            <w:pPr>
              <w:numPr>
                <w:ilvl w:val="0"/>
                <w:numId w:val="20"/>
              </w:numPr>
              <w:spacing w:before="60" w:after="120" w:line="280" w:lineRule="atLeast"/>
              <w:ind w:left="355" w:right="31" w:hanging="357"/>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20"/>
              </w:numPr>
              <w:spacing w:before="60" w:after="120" w:line="280" w:lineRule="atLeast"/>
              <w:ind w:left="355" w:right="31" w:hanging="357"/>
              <w:jc w:val="left"/>
              <w:rPr>
                <w:rFonts w:eastAsia="Times New Roman" w:cs="Arial"/>
                <w:sz w:val="18"/>
                <w:szCs w:val="18"/>
              </w:rPr>
            </w:pPr>
            <w:r>
              <w:rPr>
                <w:sz w:val="18"/>
              </w:rPr>
              <w:t>Demandes de paiement des bénéficiaires (fin du projet)</w:t>
            </w:r>
          </w:p>
        </w:tc>
      </w:tr>
      <w:tr w:rsidR="00ED3746" w:rsidRPr="00B77106" w:rsidTr="00ED3746">
        <w:tc>
          <w:tcPr>
            <w:tcW w:w="3578" w:type="dxa"/>
            <w:tcBorders>
              <w:top w:val="single" w:sz="4" w:space="0" w:color="808080"/>
            </w:tcBorders>
            <w:shd w:val="clear" w:color="auto" w:fill="auto"/>
          </w:tcPr>
          <w:p w:rsidR="00ED3746" w:rsidRPr="00B77106" w:rsidRDefault="00ED3746" w:rsidP="00ED3746">
            <w:pPr>
              <w:spacing w:after="120" w:line="280" w:lineRule="atLeast"/>
              <w:ind w:left="29" w:right="110"/>
              <w:mirrorIndents/>
              <w:rPr>
                <w:rFonts w:eastAsia="Times New Roman" w:cs="Arial"/>
                <w:sz w:val="18"/>
                <w:szCs w:val="18"/>
              </w:rPr>
            </w:pPr>
          </w:p>
        </w:tc>
        <w:tc>
          <w:tcPr>
            <w:tcW w:w="3578" w:type="dxa"/>
            <w:tcBorders>
              <w:top w:val="single" w:sz="4" w:space="0" w:color="808080"/>
            </w:tcBorders>
            <w:shd w:val="clear" w:color="auto" w:fill="auto"/>
          </w:tcPr>
          <w:p w:rsidR="00ED3746" w:rsidRPr="00B77106" w:rsidRDefault="00ED3746" w:rsidP="00ED3746">
            <w:pPr>
              <w:spacing w:after="120" w:line="280" w:lineRule="atLeast"/>
              <w:ind w:left="75" w:right="61"/>
              <w:mirrorIndents/>
              <w:jc w:val="left"/>
              <w:rPr>
                <w:rFonts w:eastAsia="Times New Roman" w:cs="Arial"/>
                <w:sz w:val="18"/>
                <w:szCs w:val="18"/>
              </w:rPr>
            </w:pPr>
            <w:r>
              <w:rPr>
                <w:sz w:val="18"/>
              </w:rPr>
              <w:t>O.3 Nombre d’opérations bénéficiant d’un soutien</w:t>
            </w:r>
          </w:p>
        </w:tc>
        <w:tc>
          <w:tcPr>
            <w:tcW w:w="3578" w:type="dxa"/>
            <w:tcBorders>
              <w:top w:val="single" w:sz="4" w:space="0" w:color="808080"/>
            </w:tcBorders>
            <w:shd w:val="clear" w:color="auto" w:fill="auto"/>
          </w:tcPr>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Nombre total d’opérations bénéficiant d’un soutien</w:t>
            </w:r>
          </w:p>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Nombre d’opérations de coopération bénéficiant d’un soutien (O.16+O.17)</w:t>
            </w:r>
          </w:p>
        </w:tc>
        <w:tc>
          <w:tcPr>
            <w:tcW w:w="3578" w:type="dxa"/>
            <w:tcBorders>
              <w:top w:val="single" w:sz="4" w:space="0" w:color="808080"/>
            </w:tcBorders>
            <w:shd w:val="clear" w:color="auto" w:fill="auto"/>
          </w:tcPr>
          <w:p w:rsidR="00ED3746" w:rsidRPr="00B77106" w:rsidRDefault="00ED3746" w:rsidP="00ED3746">
            <w:pPr>
              <w:spacing w:after="120" w:line="280" w:lineRule="atLeast"/>
              <w:ind w:left="355" w:right="31"/>
              <w:mirrorIndents/>
              <w:jc w:val="left"/>
              <w:rPr>
                <w:rFonts w:eastAsia="Times New Roman" w:cs="Arial"/>
                <w:sz w:val="18"/>
                <w:szCs w:val="18"/>
              </w:rPr>
            </w:pPr>
            <w:r>
              <w:rPr>
                <w:sz w:val="18"/>
              </w:rPr>
              <w:t>Système de suivi du PDR</w:t>
            </w:r>
          </w:p>
          <w:p w:rsidR="00ED3746" w:rsidRPr="00B77106" w:rsidRDefault="00ED3746" w:rsidP="00ED3746">
            <w:pPr>
              <w:numPr>
                <w:ilvl w:val="0"/>
                <w:numId w:val="20"/>
              </w:numPr>
              <w:spacing w:before="60" w:after="120" w:line="280" w:lineRule="atLeast"/>
              <w:ind w:left="355" w:right="31" w:hanging="357"/>
              <w:jc w:val="left"/>
              <w:rPr>
                <w:rFonts w:eastAsia="Times New Roman" w:cs="Arial"/>
                <w:sz w:val="18"/>
                <w:szCs w:val="18"/>
              </w:rPr>
            </w:pPr>
            <w:r>
              <w:rPr>
                <w:sz w:val="18"/>
              </w:rPr>
              <w:t>Formulaires de demande des bénéficiaires (début du projet)</w:t>
            </w:r>
          </w:p>
          <w:p w:rsidR="00ED3746" w:rsidRPr="00B77106" w:rsidRDefault="00ED3746" w:rsidP="00ED3746">
            <w:pPr>
              <w:numPr>
                <w:ilvl w:val="0"/>
                <w:numId w:val="20"/>
              </w:numPr>
              <w:spacing w:before="60" w:after="120" w:line="280" w:lineRule="atLeast"/>
              <w:ind w:left="355" w:right="31" w:hanging="357"/>
              <w:jc w:val="left"/>
              <w:rPr>
                <w:rFonts w:eastAsia="Times New Roman" w:cs="Arial"/>
                <w:sz w:val="18"/>
                <w:szCs w:val="18"/>
              </w:rPr>
            </w:pPr>
            <w:r>
              <w:rPr>
                <w:sz w:val="18"/>
              </w:rPr>
              <w:t>Demandes de paiement des bénéficiaires (fin du projet)</w:t>
            </w:r>
          </w:p>
        </w:tc>
      </w:tr>
      <w:tr w:rsidR="00ED3746" w:rsidRPr="00B77106" w:rsidTr="00762026">
        <w:tc>
          <w:tcPr>
            <w:tcW w:w="14312" w:type="dxa"/>
            <w:gridSpan w:val="4"/>
            <w:shd w:val="clear" w:color="auto" w:fill="57825E"/>
          </w:tcPr>
          <w:p w:rsidR="00ED3746" w:rsidRPr="00B77106" w:rsidRDefault="00ED3746" w:rsidP="00ED3746">
            <w:pPr>
              <w:spacing w:after="120" w:line="280" w:lineRule="atLeast"/>
              <w:ind w:left="355" w:right="31"/>
              <w:mirrorIndents/>
              <w:rPr>
                <w:rFonts w:eastAsia="Times New Roman" w:cs="Arial"/>
                <w:b/>
                <w:color w:val="FFFFFF"/>
                <w:sz w:val="18"/>
                <w:szCs w:val="18"/>
              </w:rPr>
            </w:pPr>
            <w:r>
              <w:rPr>
                <w:b/>
                <w:color w:val="FFFFFF"/>
                <w:sz w:val="18"/>
              </w:rPr>
              <w:t>Éléments d’évaluation supplémentaires (facultatif)</w:t>
            </w:r>
          </w:p>
        </w:tc>
      </w:tr>
      <w:tr w:rsidR="00ED3746" w:rsidRPr="00B77106" w:rsidTr="00ED3746">
        <w:tc>
          <w:tcPr>
            <w:tcW w:w="3578" w:type="dxa"/>
            <w:shd w:val="clear" w:color="auto" w:fill="auto"/>
          </w:tcPr>
          <w:p w:rsidR="00ED3746" w:rsidRPr="00B77106" w:rsidRDefault="00ED3746" w:rsidP="00ED3746">
            <w:pPr>
              <w:spacing w:after="120" w:line="280" w:lineRule="atLeast"/>
              <w:ind w:left="29" w:right="110"/>
              <w:mirrorIndents/>
              <w:jc w:val="left"/>
              <w:rPr>
                <w:rFonts w:eastAsia="Times New Roman" w:cs="Arial"/>
                <w:sz w:val="18"/>
                <w:szCs w:val="18"/>
              </w:rPr>
            </w:pPr>
            <w:r>
              <w:rPr>
                <w:sz w:val="18"/>
              </w:rPr>
              <w:t>Les projets de coopération ont amélioré la capacité d’innover, notamment dans le domaine de la gestion et des performances environnementales.</w:t>
            </w:r>
          </w:p>
        </w:tc>
        <w:tc>
          <w:tcPr>
            <w:tcW w:w="3578" w:type="dxa"/>
            <w:shd w:val="clear" w:color="auto" w:fill="auto"/>
          </w:tcPr>
          <w:p w:rsidR="00ED3746" w:rsidRPr="00B77106" w:rsidRDefault="00ED3746" w:rsidP="00ED3746">
            <w:pPr>
              <w:spacing w:after="120" w:line="280" w:lineRule="atLeast"/>
              <w:ind w:left="75" w:right="61"/>
              <w:mirrorIndents/>
              <w:jc w:val="left"/>
              <w:rPr>
                <w:rFonts w:eastAsia="Times New Roman" w:cs="Arial"/>
                <w:sz w:val="18"/>
                <w:szCs w:val="18"/>
              </w:rPr>
            </w:pPr>
            <w:r>
              <w:rPr>
                <w:sz w:val="18"/>
              </w:rPr>
              <w:t xml:space="preserve">Nombre et type d’innovations produites par les projets de coopération, dont celles axées sur la gestion et les performances environnementales </w:t>
            </w:r>
          </w:p>
        </w:tc>
        <w:tc>
          <w:tcPr>
            <w:tcW w:w="3578" w:type="dxa"/>
            <w:shd w:val="clear" w:color="auto" w:fill="auto"/>
          </w:tcPr>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Nombre d’innovations produites</w:t>
            </w:r>
          </w:p>
          <w:p w:rsidR="00ED3746" w:rsidRPr="00B77106" w:rsidRDefault="00ED3746" w:rsidP="00ED3746">
            <w:pPr>
              <w:spacing w:after="120" w:line="280" w:lineRule="atLeast"/>
              <w:ind w:left="11" w:right="12"/>
              <w:mirrorIndents/>
              <w:jc w:val="left"/>
              <w:rPr>
                <w:rFonts w:eastAsia="Times New Roman" w:cs="Arial"/>
                <w:sz w:val="18"/>
                <w:szCs w:val="18"/>
              </w:rPr>
            </w:pPr>
            <w:r>
              <w:rPr>
                <w:sz w:val="18"/>
              </w:rPr>
              <w:t>Nombre d’innovations pour améliorer la gestion et les performances environnementales</w:t>
            </w:r>
          </w:p>
        </w:tc>
        <w:tc>
          <w:tcPr>
            <w:tcW w:w="3578" w:type="dxa"/>
            <w:shd w:val="clear" w:color="auto" w:fill="auto"/>
          </w:tcPr>
          <w:p w:rsidR="00ED3746" w:rsidRPr="00B77106" w:rsidRDefault="00ED3746" w:rsidP="00ED3746">
            <w:pPr>
              <w:spacing w:after="120" w:line="280" w:lineRule="atLeast"/>
              <w:ind w:right="31"/>
              <w:mirrorIndents/>
              <w:jc w:val="left"/>
              <w:rPr>
                <w:rFonts w:eastAsia="Times New Roman" w:cs="Arial"/>
                <w:sz w:val="18"/>
                <w:szCs w:val="18"/>
              </w:rPr>
            </w:pPr>
            <w:r>
              <w:rPr>
                <w:sz w:val="18"/>
              </w:rPr>
              <w:t>Enquêtes</w:t>
            </w:r>
          </w:p>
          <w:p w:rsidR="00ED3746" w:rsidRPr="00B77106" w:rsidRDefault="00ED3746" w:rsidP="00ED3746">
            <w:pPr>
              <w:spacing w:after="120" w:line="280" w:lineRule="atLeast"/>
              <w:ind w:right="31"/>
              <w:mirrorIndents/>
              <w:jc w:val="left"/>
              <w:rPr>
                <w:rFonts w:eastAsia="Times New Roman" w:cs="Arial"/>
                <w:sz w:val="18"/>
                <w:szCs w:val="18"/>
              </w:rPr>
            </w:pPr>
            <w:r>
              <w:rPr>
                <w:sz w:val="18"/>
              </w:rPr>
              <w:t>Entretiens et groupes de discussion avec les participants aux projets de coopération</w:t>
            </w:r>
          </w:p>
          <w:p w:rsidR="00ED3746" w:rsidRPr="00B77106" w:rsidRDefault="00ED3746" w:rsidP="00ED3746">
            <w:pPr>
              <w:spacing w:after="120" w:line="280" w:lineRule="atLeast"/>
              <w:ind w:right="31"/>
              <w:mirrorIndents/>
              <w:jc w:val="left"/>
              <w:rPr>
                <w:rFonts w:eastAsia="Times New Roman" w:cs="Arial"/>
                <w:sz w:val="18"/>
                <w:szCs w:val="18"/>
              </w:rPr>
            </w:pPr>
            <w:r>
              <w:rPr>
                <w:sz w:val="18"/>
              </w:rPr>
              <w:t>SIG</w:t>
            </w:r>
          </w:p>
        </w:tc>
      </w:tr>
    </w:tbl>
    <w:p w:rsidR="00ED3746" w:rsidRDefault="00ED3746" w:rsidP="00ED3746">
      <w:pPr>
        <w:spacing w:after="120" w:line="280" w:lineRule="atLeast"/>
        <w:mirrorIndents/>
        <w:sectPr w:rsidR="00ED3746" w:rsidSect="00ED3746">
          <w:endnotePr>
            <w:numFmt w:val="decimal"/>
          </w:endnotePr>
          <w:pgSz w:w="16838" w:h="11906" w:orient="landscape" w:code="9"/>
          <w:pgMar w:top="1440" w:right="1440" w:bottom="1440" w:left="1134" w:header="567" w:footer="1021" w:gutter="0"/>
          <w:cols w:space="708"/>
          <w:noEndnote/>
          <w:docGrid w:linePitch="360"/>
        </w:sectPr>
      </w:pPr>
    </w:p>
    <w:p w:rsidR="00ED3746" w:rsidRPr="00E05D08" w:rsidRDefault="00ED3746" w:rsidP="00ED3746">
      <w:pPr>
        <w:numPr>
          <w:ilvl w:val="0"/>
          <w:numId w:val="56"/>
        </w:numPr>
        <w:spacing w:before="120" w:after="120" w:line="280" w:lineRule="atLeast"/>
        <w:ind w:left="567" w:hanging="567"/>
        <w:mirrorIndents/>
        <w:rPr>
          <w:rFonts w:eastAsia="Times New Roman" w:cs="Times New Roman"/>
          <w:b/>
          <w:szCs w:val="20"/>
        </w:rPr>
      </w:pPr>
      <w:r>
        <w:rPr>
          <w:b/>
        </w:rPr>
        <w:lastRenderedPageBreak/>
        <w:t xml:space="preserve">Méthode d’évaluation proposée </w:t>
      </w:r>
    </w:p>
    <w:p w:rsidR="00ED3746" w:rsidRPr="00E05D08" w:rsidRDefault="00ED3746" w:rsidP="00ED3746">
      <w:pPr>
        <w:spacing w:after="120" w:line="280" w:lineRule="atLeast"/>
        <w:mirrorIndents/>
        <w:rPr>
          <w:rFonts w:eastAsia="Times New Roman" w:cs="Times New Roman"/>
          <w:color w:val="F07E31"/>
          <w:szCs w:val="20"/>
          <w:u w:val="single"/>
        </w:rPr>
      </w:pPr>
      <w:r>
        <w:t>Le calcul des indicateurs communs liés à la QEC nº 2 est décrit à l’annexe 11 des lignes directrices «</w:t>
      </w:r>
      <w:hyperlink r:id="rId38" w:history="1">
        <w:r>
          <w:rPr>
            <w:color w:val="F07E31"/>
            <w:u w:val="single"/>
          </w:rPr>
          <w:t>Évaluation des résultats du PDR: Comment établir le rapport sur l’évaluation en 2017</w:t>
        </w:r>
      </w:hyperlink>
      <w:r>
        <w:t>» (en anglais).</w:t>
      </w:r>
    </w:p>
    <w:p w:rsidR="00ED3746" w:rsidRPr="00E05D08" w:rsidRDefault="00ED3746" w:rsidP="00ED3746">
      <w:pPr>
        <w:spacing w:after="120" w:line="280" w:lineRule="atLeast"/>
        <w:mirrorIndents/>
        <w:rPr>
          <w:rFonts w:eastAsia="Times New Roman" w:cs="Times New Roman"/>
          <w:szCs w:val="20"/>
        </w:rPr>
      </w:pPr>
      <w:r>
        <w:t xml:space="preserve">Pour l’évaluation de la partie de la QEC nº 2 consacrée à l’innovation, il est proposé </w:t>
      </w:r>
      <w:proofErr w:type="gramStart"/>
      <w:r>
        <w:t>de:</w:t>
      </w:r>
      <w:proofErr w:type="gramEnd"/>
    </w:p>
    <w:p w:rsidR="00ED3746" w:rsidRPr="008F1F04" w:rsidRDefault="00ED3746" w:rsidP="00ED3746">
      <w:pPr>
        <w:pStyle w:val="Hlistbullet"/>
      </w:pPr>
      <w:r>
        <w:rPr>
          <w:b/>
        </w:rPr>
        <w:t>ÉTAPE </w:t>
      </w:r>
      <w:proofErr w:type="gramStart"/>
      <w:r>
        <w:rPr>
          <w:b/>
        </w:rPr>
        <w:t>1:</w:t>
      </w:r>
      <w:proofErr w:type="gramEnd"/>
      <w:r>
        <w:rPr>
          <w:b/>
        </w:rPr>
        <w:t xml:space="preserve"> déterminer les bénéficiaires de la mesure M16</w:t>
      </w:r>
      <w:r>
        <w:t xml:space="preserve"> et de ses sous-mesures conformément aux résultats de l’analyse de leur potentiel d’innovation (bénéficiaires qui ont mis en œuvre des opérations jugées innovantes); </w:t>
      </w:r>
    </w:p>
    <w:p w:rsidR="00ED3746" w:rsidRPr="008F1F04" w:rsidRDefault="00ED3746" w:rsidP="00ED3746">
      <w:pPr>
        <w:pStyle w:val="Hlistbullet"/>
      </w:pPr>
      <w:r>
        <w:rPr>
          <w:b/>
        </w:rPr>
        <w:t>ÉTAPE </w:t>
      </w:r>
      <w:proofErr w:type="gramStart"/>
      <w:r>
        <w:rPr>
          <w:b/>
        </w:rPr>
        <w:t>2:</w:t>
      </w:r>
      <w:proofErr w:type="gramEnd"/>
      <w:r>
        <w:rPr>
          <w:b/>
        </w:rPr>
        <w:t xml:space="preserve"> quantifier les indicateurs de réalisation et les indicateurs cibles</w:t>
      </w:r>
      <w:r>
        <w:t xml:space="preserve"> à l’aide des données de suivi tirées de la base de données des opérations du PDR sur les GO. En vue d’utiliser la base de données des opérations pour évaluer l’innovation, l’autorité de gestion peut ajouter et collecter des données liées aux GO et à </w:t>
      </w:r>
      <w:proofErr w:type="gramStart"/>
      <w:r>
        <w:t>l’innovation;</w:t>
      </w:r>
      <w:proofErr w:type="gramEnd"/>
      <w:r>
        <w:t xml:space="preserve"> </w:t>
      </w:r>
    </w:p>
    <w:p w:rsidR="00ED3746" w:rsidRPr="008F1F04" w:rsidRDefault="00ED3746" w:rsidP="00ED3746">
      <w:pPr>
        <w:pStyle w:val="Hlistbullet"/>
      </w:pPr>
      <w:r>
        <w:rPr>
          <w:b/>
        </w:rPr>
        <w:t>ÉTAPE </w:t>
      </w:r>
      <w:proofErr w:type="gramStart"/>
      <w:r>
        <w:rPr>
          <w:b/>
        </w:rPr>
        <w:t>3:</w:t>
      </w:r>
      <w:proofErr w:type="gramEnd"/>
      <w:r>
        <w:rPr>
          <w:b/>
        </w:rPr>
        <w:t xml:space="preserve"> collecter des éléments probants pour répondre à la QEC </w:t>
      </w:r>
      <w:r>
        <w:t xml:space="preserve">à l’aide des méthodes spécifiées. Concevoir des questions ouvertes pour utiliser les méthodes données dans le tableau ci-après (enquêtes, groupes de discussion et méthode Delphi) en respectant les critères de jugement et les indicateurs ainsi que les résultats de l’analyse du potentiel </w:t>
      </w:r>
      <w:proofErr w:type="gramStart"/>
      <w:r>
        <w:t>d’innovation;</w:t>
      </w:r>
      <w:proofErr w:type="gramEnd"/>
    </w:p>
    <w:p w:rsidR="00ED3746" w:rsidRPr="008F1F04" w:rsidRDefault="00ED3746" w:rsidP="00ED3746">
      <w:pPr>
        <w:pStyle w:val="Hlistbullet"/>
      </w:pPr>
      <w:r>
        <w:rPr>
          <w:b/>
        </w:rPr>
        <w:t>ÉTAPE </w:t>
      </w:r>
      <w:proofErr w:type="gramStart"/>
      <w:r>
        <w:rPr>
          <w:b/>
        </w:rPr>
        <w:t>4:</w:t>
      </w:r>
      <w:proofErr w:type="gramEnd"/>
      <w:r>
        <w:rPr>
          <w:b/>
        </w:rPr>
        <w:t xml:space="preserve"> analyser et interpréter les éléments probants collectés</w:t>
      </w:r>
      <w:r>
        <w:t xml:space="preserve"> et les utiliser pour répondre à la QEC nº 2 concernant le renforcement des liens à l’égard de l’innovation.</w:t>
      </w:r>
    </w:p>
    <w:p w:rsidR="00ED3746" w:rsidRPr="00897804" w:rsidRDefault="00ED3746" w:rsidP="00ED3746">
      <w:pPr>
        <w:pStyle w:val="HHeadingtables"/>
        <w:rPr>
          <w:color w:val="6F6F6F"/>
          <w:sz w:val="18"/>
          <w:szCs w:val="18"/>
        </w:rPr>
      </w:pPr>
      <w:bookmarkStart w:id="142" w:name="_Toc503284466"/>
      <w:bookmarkStart w:id="143" w:name="_Toc508894477"/>
      <w:r>
        <w:rPr>
          <w:color w:val="6F6F6F"/>
          <w:sz w:val="18"/>
        </w:rPr>
        <w:t>Méthodes recommandées pour la QEC nº 2</w:t>
      </w:r>
      <w:bookmarkEnd w:id="142"/>
      <w:bookmarkEnd w:id="143"/>
      <w:r>
        <w:rPr>
          <w:color w:val="6F6F6F"/>
          <w:sz w:val="18"/>
        </w:rPr>
        <w:t xml:space="preserve">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1"/>
      </w:tblGrid>
      <w:tr w:rsidR="00ED3746" w:rsidRPr="00B77106" w:rsidTr="00376E80">
        <w:tc>
          <w:tcPr>
            <w:tcW w:w="2405" w:type="dxa"/>
            <w:shd w:val="clear" w:color="auto" w:fill="E36C0A"/>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Méthodes</w:t>
            </w:r>
          </w:p>
        </w:tc>
        <w:tc>
          <w:tcPr>
            <w:tcW w:w="6612" w:type="dxa"/>
            <w:shd w:val="clear" w:color="auto" w:fill="E36C0A"/>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Astuces concernant la manière d’utiliser les méthodes</w:t>
            </w:r>
          </w:p>
        </w:tc>
      </w:tr>
      <w:tr w:rsidR="00ED3746" w:rsidRPr="00B77106" w:rsidTr="00ED3746">
        <w:tc>
          <w:tcPr>
            <w:tcW w:w="2405" w:type="dxa"/>
            <w:shd w:val="clear" w:color="auto" w:fill="auto"/>
          </w:tcPr>
          <w:p w:rsidR="00ED3746" w:rsidRPr="00B77106" w:rsidRDefault="00ED3746" w:rsidP="00ED3746">
            <w:pPr>
              <w:spacing w:after="120" w:line="280" w:lineRule="atLeast"/>
              <w:ind w:left="22" w:right="91"/>
              <w:mirrorIndents/>
              <w:jc w:val="left"/>
              <w:rPr>
                <w:rFonts w:eastAsia="Times New Roman" w:cs="Times New Roman"/>
                <w:sz w:val="18"/>
                <w:szCs w:val="18"/>
              </w:rPr>
            </w:pPr>
            <w:r>
              <w:rPr>
                <w:sz w:val="18"/>
              </w:rPr>
              <w:t>Enquête auprès des bénéficiaires des projets de coopération et des bénéficiaires finaux.</w:t>
            </w:r>
          </w:p>
        </w:tc>
        <w:tc>
          <w:tcPr>
            <w:tcW w:w="6612" w:type="dxa"/>
            <w:shd w:val="clear" w:color="auto" w:fill="auto"/>
          </w:tcPr>
          <w:p w:rsidR="00ED3746" w:rsidRPr="00B77106" w:rsidRDefault="00ED3746" w:rsidP="00ED3746">
            <w:pPr>
              <w:numPr>
                <w:ilvl w:val="0"/>
                <w:numId w:val="21"/>
              </w:numPr>
              <w:spacing w:before="60" w:after="120" w:line="280" w:lineRule="atLeast"/>
              <w:ind w:left="459"/>
              <w:rPr>
                <w:rFonts w:eastAsia="Times New Roman" w:cs="Times New Roman"/>
                <w:sz w:val="18"/>
                <w:szCs w:val="18"/>
              </w:rPr>
            </w:pPr>
            <w:r>
              <w:rPr>
                <w:sz w:val="18"/>
              </w:rPr>
              <w:t>Sélectionner un échantillon de projets de coopération (par exemple, par secteur, taille du GO, zone géographique, etc.) pour collecter des données et des informations auprès des bénéficiaires pour les indicateurs au moyen d’une enquête.</w:t>
            </w:r>
          </w:p>
          <w:p w:rsidR="00ED3746" w:rsidRPr="00B77106" w:rsidRDefault="00ED3746" w:rsidP="00ED3746">
            <w:pPr>
              <w:numPr>
                <w:ilvl w:val="0"/>
                <w:numId w:val="21"/>
              </w:numPr>
              <w:spacing w:before="60" w:after="120" w:line="280" w:lineRule="atLeast"/>
              <w:ind w:left="459"/>
              <w:rPr>
                <w:rFonts w:eastAsia="Times New Roman" w:cs="Times New Roman"/>
                <w:sz w:val="18"/>
                <w:szCs w:val="18"/>
              </w:rPr>
            </w:pPr>
            <w:r>
              <w:rPr>
                <w:sz w:val="18"/>
              </w:rPr>
              <w:t>Sélectionner, entre autres, les projets de coopération qui sont susceptibles d’avoir une incidence sur la gestion et les performances environnementales (par exemple, les sous-mesures 5, 6, 8 et 9 ou les groupes opérationnels dans ce domaine – M16.1).</w:t>
            </w:r>
          </w:p>
          <w:p w:rsidR="00ED3746" w:rsidRPr="00B77106" w:rsidRDefault="00ED3746" w:rsidP="00ED3746">
            <w:pPr>
              <w:numPr>
                <w:ilvl w:val="0"/>
                <w:numId w:val="21"/>
              </w:numPr>
              <w:spacing w:before="60" w:after="120" w:line="280" w:lineRule="atLeast"/>
              <w:ind w:left="459"/>
              <w:rPr>
                <w:rFonts w:eastAsia="Times New Roman" w:cs="Times New Roman"/>
                <w:sz w:val="18"/>
                <w:szCs w:val="18"/>
              </w:rPr>
            </w:pPr>
            <w:r>
              <w:rPr>
                <w:sz w:val="18"/>
              </w:rPr>
              <w:t xml:space="preserve">Élaborer les enquêtes en y incluant des questions ouvertes sur la manière dont les projets de coopération ont contribué </w:t>
            </w:r>
            <w:proofErr w:type="gramStart"/>
            <w:r>
              <w:rPr>
                <w:sz w:val="18"/>
              </w:rPr>
              <w:t>à:</w:t>
            </w:r>
            <w:proofErr w:type="gramEnd"/>
            <w:r>
              <w:rPr>
                <w:sz w:val="18"/>
              </w:rPr>
              <w:t xml:space="preserve"> a) partager les idées innovantes, b) renforcer la capacité d’innover, et c) créer un environnement propice à l’innovation.</w:t>
            </w:r>
          </w:p>
          <w:p w:rsidR="00ED3746" w:rsidRPr="00B77106" w:rsidRDefault="00ED3746" w:rsidP="00ED3746">
            <w:pPr>
              <w:numPr>
                <w:ilvl w:val="0"/>
                <w:numId w:val="21"/>
              </w:numPr>
              <w:spacing w:before="60" w:after="120" w:line="280" w:lineRule="atLeast"/>
              <w:ind w:left="459"/>
              <w:rPr>
                <w:rFonts w:eastAsia="Times New Roman" w:cs="Times New Roman"/>
                <w:szCs w:val="20"/>
              </w:rPr>
            </w:pPr>
            <w:r>
              <w:rPr>
                <w:sz w:val="18"/>
              </w:rPr>
              <w:t xml:space="preserve">Utiliser les résultats de l’enquête </w:t>
            </w:r>
            <w:proofErr w:type="gramStart"/>
            <w:r>
              <w:rPr>
                <w:sz w:val="18"/>
              </w:rPr>
              <w:t>pour:</w:t>
            </w:r>
            <w:proofErr w:type="gramEnd"/>
            <w:r>
              <w:rPr>
                <w:sz w:val="18"/>
              </w:rPr>
              <w:t xml:space="preserve"> évaluer comment différentes formes de projets de coopération (coopération entre différents acteurs, pôles et réseaux et groupes opérationnels) contribuent à renforcer les liens entre la recherche/l’innovation et la pratique.</w:t>
            </w:r>
          </w:p>
        </w:tc>
      </w:tr>
      <w:tr w:rsidR="00ED3746" w:rsidRPr="00B77106" w:rsidTr="00ED3746">
        <w:tc>
          <w:tcPr>
            <w:tcW w:w="2405" w:type="dxa"/>
            <w:shd w:val="clear" w:color="auto" w:fill="auto"/>
          </w:tcPr>
          <w:p w:rsidR="00ED3746" w:rsidRPr="00B77106" w:rsidRDefault="00ED3746" w:rsidP="00ED3746">
            <w:pPr>
              <w:spacing w:after="120" w:line="280" w:lineRule="atLeast"/>
              <w:ind w:left="22" w:right="143"/>
              <w:mirrorIndents/>
              <w:jc w:val="left"/>
              <w:rPr>
                <w:rFonts w:eastAsia="Times New Roman" w:cs="Times New Roman"/>
                <w:sz w:val="18"/>
                <w:szCs w:val="18"/>
              </w:rPr>
            </w:pPr>
            <w:r>
              <w:rPr>
                <w:sz w:val="18"/>
              </w:rPr>
              <w:t>Groupes de discussion structurés</w:t>
            </w:r>
          </w:p>
        </w:tc>
        <w:tc>
          <w:tcPr>
            <w:tcW w:w="6612" w:type="dxa"/>
            <w:shd w:val="clear" w:color="auto" w:fill="auto"/>
          </w:tcPr>
          <w:p w:rsidR="00ED3746" w:rsidRPr="00B77106" w:rsidRDefault="00ED3746" w:rsidP="00ED3746">
            <w:pPr>
              <w:numPr>
                <w:ilvl w:val="0"/>
                <w:numId w:val="22"/>
              </w:numPr>
              <w:spacing w:before="60" w:after="120" w:line="280" w:lineRule="atLeast"/>
              <w:ind w:left="459"/>
              <w:rPr>
                <w:rFonts w:eastAsia="Times New Roman" w:cs="Times New Roman"/>
                <w:sz w:val="18"/>
                <w:szCs w:val="18"/>
              </w:rPr>
            </w:pPr>
            <w:r>
              <w:rPr>
                <w:sz w:val="18"/>
              </w:rPr>
              <w:t>Organiser des groupes de discussion avec les acteurs de l’innovation (par exemple, les services de soutien à l’innovation, les conseillers qui font office de courtiers en innovation, les chercheurs et les centres d’innovation, etc.).</w:t>
            </w:r>
          </w:p>
          <w:p w:rsidR="00ED3746" w:rsidRPr="00B77106" w:rsidRDefault="00ED3746" w:rsidP="00ED3746">
            <w:pPr>
              <w:numPr>
                <w:ilvl w:val="0"/>
                <w:numId w:val="22"/>
              </w:numPr>
              <w:spacing w:before="60" w:after="120" w:line="280" w:lineRule="atLeast"/>
              <w:ind w:left="459"/>
              <w:rPr>
                <w:rFonts w:eastAsia="Times New Roman" w:cs="Times New Roman"/>
                <w:sz w:val="18"/>
                <w:szCs w:val="18"/>
              </w:rPr>
            </w:pPr>
            <w:r>
              <w:rPr>
                <w:sz w:val="18"/>
              </w:rPr>
              <w:t>Analyser comment les liens entre les acteurs influencent la capacité d’innover et de créer un environnement propice à l’innovation.</w:t>
            </w:r>
          </w:p>
          <w:p w:rsidR="00ED3746" w:rsidRPr="00B77106" w:rsidRDefault="00ED3746" w:rsidP="00ED3746">
            <w:pPr>
              <w:numPr>
                <w:ilvl w:val="0"/>
                <w:numId w:val="22"/>
              </w:numPr>
              <w:spacing w:before="60" w:after="120" w:line="280" w:lineRule="atLeast"/>
              <w:ind w:left="459"/>
              <w:rPr>
                <w:rFonts w:eastAsia="Times New Roman" w:cs="Times New Roman"/>
                <w:sz w:val="18"/>
                <w:szCs w:val="18"/>
              </w:rPr>
            </w:pPr>
            <w:r>
              <w:rPr>
                <w:sz w:val="18"/>
              </w:rPr>
              <w:t xml:space="preserve">Envisager la possibilité de créer des groupes de discussion thématiques (par exemple, un groupe de discussion pour les projets de coopération qui </w:t>
            </w:r>
            <w:r>
              <w:rPr>
                <w:sz w:val="18"/>
              </w:rPr>
              <w:lastRenderedPageBreak/>
              <w:t>portent sur les questions environnementales, un autre pour les groupes opérationnels du PEI, etc.).</w:t>
            </w:r>
          </w:p>
        </w:tc>
      </w:tr>
      <w:tr w:rsidR="00ED3746" w:rsidRPr="00B77106" w:rsidTr="00ED3746">
        <w:tc>
          <w:tcPr>
            <w:tcW w:w="2405" w:type="dxa"/>
            <w:shd w:val="clear" w:color="auto" w:fill="auto"/>
          </w:tcPr>
          <w:p w:rsidR="00ED3746" w:rsidRPr="00B77106" w:rsidRDefault="00ED3746" w:rsidP="00ED3746">
            <w:pPr>
              <w:spacing w:after="120" w:line="280" w:lineRule="atLeast"/>
              <w:ind w:right="143"/>
              <w:mirrorIndents/>
              <w:jc w:val="left"/>
              <w:rPr>
                <w:rFonts w:eastAsia="Times New Roman" w:cs="Times New Roman"/>
                <w:sz w:val="18"/>
                <w:szCs w:val="18"/>
              </w:rPr>
            </w:pPr>
            <w:r>
              <w:rPr>
                <w:sz w:val="18"/>
              </w:rPr>
              <w:t>Méthode Delphi</w:t>
            </w:r>
          </w:p>
        </w:tc>
        <w:tc>
          <w:tcPr>
            <w:tcW w:w="6612" w:type="dxa"/>
            <w:shd w:val="clear" w:color="auto" w:fill="auto"/>
          </w:tcPr>
          <w:p w:rsidR="00ED3746" w:rsidRPr="00B77106" w:rsidRDefault="00ED3746" w:rsidP="00ED3746">
            <w:pPr>
              <w:numPr>
                <w:ilvl w:val="0"/>
                <w:numId w:val="23"/>
              </w:numPr>
              <w:spacing w:before="60" w:after="120" w:line="280" w:lineRule="atLeast"/>
              <w:ind w:left="459"/>
              <w:rPr>
                <w:rFonts w:eastAsia="Times New Roman" w:cs="Times New Roman"/>
                <w:sz w:val="18"/>
                <w:szCs w:val="18"/>
              </w:rPr>
            </w:pPr>
            <w:r>
              <w:rPr>
                <w:sz w:val="18"/>
              </w:rPr>
              <w:t>Organiser un processus Delphi avec des experts de l’innovation (par exemple, ceux qui participent aux projets de coopération, mais aussi des universitaires, etc.) afin de prendre des décisions sur les critères pertinents.</w:t>
            </w:r>
          </w:p>
        </w:tc>
      </w:tr>
    </w:tbl>
    <w:p w:rsidR="00ED3746" w:rsidRPr="00E05D08" w:rsidRDefault="00ED3746" w:rsidP="00ED3746">
      <w:pPr>
        <w:spacing w:after="0" w:line="240" w:lineRule="auto"/>
        <w:rPr>
          <w:rFonts w:eastAsia="Times New Roman" w:cs="Times New Roman"/>
          <w:sz w:val="18"/>
          <w:szCs w:val="24"/>
        </w:rPr>
      </w:pPr>
      <w:r>
        <w:br w:type="page"/>
      </w:r>
    </w:p>
    <w:p w:rsidR="00ED3746" w:rsidRPr="00DC1980" w:rsidRDefault="00F204F1" w:rsidP="00ED3746">
      <w:pPr>
        <w:spacing w:after="120" w:line="280" w:lineRule="atLeast"/>
        <w:mirrorIndents/>
        <w:rPr>
          <w:rFonts w:eastAsia="Times New Roman" w:cs="Times New Roman"/>
          <w:szCs w:val="20"/>
        </w:rPr>
      </w:pPr>
      <w:r w:rsidRPr="00DC1980">
        <w:rPr>
          <w:noProof/>
        </w:rPr>
        <w:lastRenderedPageBreak/>
        <mc:AlternateContent>
          <mc:Choice Requires="wps">
            <w:drawing>
              <wp:inline distT="0" distB="0" distL="0" distR="0">
                <wp:extent cx="5707380" cy="4886553"/>
                <wp:effectExtent l="0" t="0" r="26670" b="28575"/>
                <wp:docPr id="7" name="Rectangle: Diagonal Corners Rounded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7380" cy="4886553"/>
                        </a:xfrm>
                        <a:prstGeom prst="round2DiagRect">
                          <a:avLst>
                            <a:gd name="adj1" fmla="val 7299"/>
                            <a:gd name="adj2" fmla="val 0"/>
                          </a:avLst>
                        </a:prstGeom>
                        <a:noFill/>
                        <a:ln w="25400" cap="flat" cmpd="sng" algn="ctr">
                          <a:solidFill>
                            <a:srgbClr val="F07E31"/>
                          </a:solidFill>
                          <a:prstDash val="solid"/>
                        </a:ln>
                        <a:effectLst/>
                      </wps:spPr>
                      <wps:txbx>
                        <w:txbxContent>
                          <w:p w:rsidR="00260B0F" w:rsidRPr="001954EB" w:rsidRDefault="00260B0F" w:rsidP="00ED3746">
                            <w:pPr>
                              <w:pStyle w:val="HStandard"/>
                              <w:rPr>
                                <w:b/>
                                <w:color w:val="F07E31"/>
                                <w:sz w:val="18"/>
                                <w:szCs w:val="18"/>
                              </w:rPr>
                            </w:pPr>
                            <w:r>
                              <w:rPr>
                                <w:noProof/>
                                <w:sz w:val="18"/>
                              </w:rPr>
                              <w:drawing>
                                <wp:inline distT="0" distB="0" distL="0" distR="0">
                                  <wp:extent cx="349885" cy="357505"/>
                                  <wp:effectExtent l="0" t="0" r="0" b="0"/>
                                  <wp:docPr id="4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8"/>
                              </w:rPr>
                              <w:t>Exemples tirés des RAM présentés en 2017</w:t>
                            </w:r>
                          </w:p>
                          <w:p w:rsidR="00260B0F" w:rsidRPr="00547012" w:rsidRDefault="00260B0F" w:rsidP="00ED3746">
                            <w:pPr>
                              <w:rPr>
                                <w:rFonts w:cs="Arial"/>
                                <w:sz w:val="18"/>
                                <w:szCs w:val="18"/>
                              </w:rPr>
                            </w:pPr>
                            <w:r>
                              <w:t xml:space="preserve">Le </w:t>
                            </w:r>
                            <w:r>
                              <w:rPr>
                                <w:b/>
                                <w:sz w:val="18"/>
                              </w:rPr>
                              <w:t>Mecklembourg-Poméranie-Occidentale (DE)</w:t>
                            </w:r>
                            <w:r>
                              <w:rPr>
                                <w:sz w:val="18"/>
                              </w:rPr>
                              <w:t xml:space="preserve"> utilise trois critères de jugement en relation avec </w:t>
                            </w:r>
                            <w:proofErr w:type="gramStart"/>
                            <w:r>
                              <w:rPr>
                                <w:sz w:val="18"/>
                              </w:rPr>
                              <w:t>l’innovation:</w:t>
                            </w:r>
                            <w:proofErr w:type="gramEnd"/>
                          </w:p>
                          <w:p w:rsidR="00260B0F" w:rsidRPr="001954EB" w:rsidRDefault="00260B0F" w:rsidP="00ED3746">
                            <w:pPr>
                              <w:numPr>
                                <w:ilvl w:val="0"/>
                                <w:numId w:val="57"/>
                              </w:numPr>
                              <w:rPr>
                                <w:rFonts w:cs="Arial"/>
                                <w:sz w:val="18"/>
                                <w:szCs w:val="18"/>
                              </w:rPr>
                            </w:pPr>
                            <w:proofErr w:type="gramStart"/>
                            <w:r>
                              <w:rPr>
                                <w:sz w:val="18"/>
                              </w:rPr>
                              <w:t>les</w:t>
                            </w:r>
                            <w:proofErr w:type="gramEnd"/>
                            <w:r>
                              <w:rPr>
                                <w:sz w:val="18"/>
                              </w:rPr>
                              <w:t xml:space="preserve"> processus qui bénéficient d’un soutien du PDR sont innovants et basés sur les connaissances obtenues; </w:t>
                            </w:r>
                          </w:p>
                          <w:p w:rsidR="00260B0F" w:rsidRPr="001954EB" w:rsidRDefault="00260B0F" w:rsidP="00ED3746">
                            <w:pPr>
                              <w:numPr>
                                <w:ilvl w:val="0"/>
                                <w:numId w:val="57"/>
                              </w:numPr>
                              <w:rPr>
                                <w:rFonts w:cs="Arial"/>
                                <w:sz w:val="18"/>
                                <w:szCs w:val="18"/>
                              </w:rPr>
                            </w:pPr>
                            <w:proofErr w:type="gramStart"/>
                            <w:r>
                              <w:rPr>
                                <w:sz w:val="18"/>
                              </w:rPr>
                              <w:t>des</w:t>
                            </w:r>
                            <w:proofErr w:type="gramEnd"/>
                            <w:r>
                              <w:rPr>
                                <w:sz w:val="18"/>
                              </w:rPr>
                              <w:t xml:space="preserve"> actions innovantes sont mises en œuvre et diffusées via les GO;</w:t>
                            </w:r>
                          </w:p>
                          <w:p w:rsidR="00260B0F" w:rsidRPr="001954EB" w:rsidRDefault="00260B0F" w:rsidP="00ED3746">
                            <w:pPr>
                              <w:numPr>
                                <w:ilvl w:val="0"/>
                                <w:numId w:val="57"/>
                              </w:numPr>
                              <w:rPr>
                                <w:rFonts w:cs="Arial"/>
                                <w:sz w:val="18"/>
                                <w:szCs w:val="18"/>
                              </w:rPr>
                            </w:pPr>
                            <w:proofErr w:type="gramStart"/>
                            <w:r>
                              <w:rPr>
                                <w:sz w:val="18"/>
                              </w:rPr>
                              <w:t>les</w:t>
                            </w:r>
                            <w:proofErr w:type="gramEnd"/>
                            <w:r>
                              <w:rPr>
                                <w:sz w:val="18"/>
                              </w:rPr>
                              <w:t xml:space="preserve"> résultats obtenus permettent d’améliorer la position de marché des partenaires concernés via l’innovation.</w:t>
                            </w:r>
                          </w:p>
                          <w:p w:rsidR="00260B0F" w:rsidRPr="00547012" w:rsidRDefault="00260B0F" w:rsidP="00ED3746">
                            <w:pPr>
                              <w:rPr>
                                <w:rFonts w:cs="Arial"/>
                                <w:sz w:val="18"/>
                                <w:szCs w:val="18"/>
                              </w:rPr>
                            </w:pPr>
                            <w:r>
                              <w:rPr>
                                <w:sz w:val="18"/>
                              </w:rPr>
                              <w:t xml:space="preserve">Plusieurs méthodes sont utilisées pour collecter des informations auprès des GO du PEI. Celles-ci couvrent différentes dimensions des innovations et ont pour but de juger la qualité et les effets des </w:t>
                            </w:r>
                            <w:proofErr w:type="gramStart"/>
                            <w:r>
                              <w:rPr>
                                <w:sz w:val="18"/>
                              </w:rPr>
                              <w:t>GO:</w:t>
                            </w:r>
                            <w:proofErr w:type="gramEnd"/>
                          </w:p>
                          <w:p w:rsidR="00260B0F" w:rsidRPr="001954EB" w:rsidRDefault="00260B0F" w:rsidP="00ED3746">
                            <w:pPr>
                              <w:numPr>
                                <w:ilvl w:val="0"/>
                                <w:numId w:val="58"/>
                              </w:numPr>
                              <w:rPr>
                                <w:rFonts w:cs="Arial"/>
                                <w:sz w:val="18"/>
                                <w:szCs w:val="18"/>
                              </w:rPr>
                            </w:pPr>
                            <w:proofErr w:type="gramStart"/>
                            <w:r>
                              <w:rPr>
                                <w:sz w:val="18"/>
                              </w:rPr>
                              <w:t>l’analyse</w:t>
                            </w:r>
                            <w:proofErr w:type="gramEnd"/>
                            <w:r>
                              <w:rPr>
                                <w:sz w:val="18"/>
                              </w:rPr>
                              <w:t xml:space="preserve"> initiale (évaluation des conditions-cadres, entretiens avec les acteurs, etc.);</w:t>
                            </w:r>
                          </w:p>
                          <w:p w:rsidR="00260B0F" w:rsidRPr="001954EB" w:rsidRDefault="00260B0F" w:rsidP="00ED3746">
                            <w:pPr>
                              <w:numPr>
                                <w:ilvl w:val="0"/>
                                <w:numId w:val="58"/>
                              </w:numPr>
                              <w:rPr>
                                <w:rFonts w:cs="Arial"/>
                                <w:sz w:val="18"/>
                                <w:szCs w:val="18"/>
                              </w:rPr>
                            </w:pPr>
                            <w:proofErr w:type="gramStart"/>
                            <w:r>
                              <w:rPr>
                                <w:sz w:val="18"/>
                              </w:rPr>
                              <w:t>l’évaluation</w:t>
                            </w:r>
                            <w:proofErr w:type="gramEnd"/>
                            <w:r>
                              <w:rPr>
                                <w:sz w:val="18"/>
                              </w:rPr>
                              <w:t xml:space="preserve"> des caractéristiques des innovations et de leur type grâce à l’analyse des critères de sélection et des études de cas; </w:t>
                            </w:r>
                          </w:p>
                          <w:p w:rsidR="00260B0F" w:rsidRPr="001954EB" w:rsidRDefault="00260B0F" w:rsidP="00ED3746">
                            <w:pPr>
                              <w:numPr>
                                <w:ilvl w:val="0"/>
                                <w:numId w:val="58"/>
                              </w:numPr>
                              <w:rPr>
                                <w:rFonts w:cs="Arial"/>
                                <w:sz w:val="18"/>
                                <w:szCs w:val="18"/>
                              </w:rPr>
                            </w:pPr>
                            <w:proofErr w:type="gramStart"/>
                            <w:r>
                              <w:rPr>
                                <w:sz w:val="18"/>
                              </w:rPr>
                              <w:t>l’analyse</w:t>
                            </w:r>
                            <w:proofErr w:type="gramEnd"/>
                            <w:r>
                              <w:rPr>
                                <w:sz w:val="18"/>
                              </w:rPr>
                              <w:t xml:space="preserve"> des résultats obtenus et leur diffusion (enquête et auto-évaluation des GO).</w:t>
                            </w:r>
                          </w:p>
                          <w:p w:rsidR="00260B0F" w:rsidRPr="00547012" w:rsidRDefault="00260B0F" w:rsidP="00ED3746">
                            <w:pPr>
                              <w:rPr>
                                <w:rFonts w:cs="Arial"/>
                                <w:sz w:val="18"/>
                                <w:szCs w:val="18"/>
                              </w:rPr>
                            </w:pPr>
                            <w:r>
                              <w:rPr>
                                <w:sz w:val="18"/>
                              </w:rPr>
                              <w:t xml:space="preserve">Les sources de données et d’informations incluent les données de suivi, les formulaires de demande, la documentation des projets, les données statistiques primaires collectées via les enquêtes, et les données statistiques secondaires issues de sources diverses. </w:t>
                            </w:r>
                          </w:p>
                          <w:p w:rsidR="00260B0F" w:rsidRPr="00547012" w:rsidRDefault="00260B0F" w:rsidP="00ED3746">
                            <w:pPr>
                              <w:rPr>
                                <w:rFonts w:cs="Arial"/>
                                <w:sz w:val="18"/>
                                <w:szCs w:val="18"/>
                              </w:rPr>
                            </w:pPr>
                            <w:r>
                              <w:rPr>
                                <w:sz w:val="18"/>
                              </w:rPr>
                              <w:t xml:space="preserve">L’enquête auprès des bénéficiaires (GO du PEI) est menée avant et après l’intervention. </w:t>
                            </w:r>
                          </w:p>
                          <w:p w:rsidR="00260B0F" w:rsidRPr="001954EB" w:rsidRDefault="00260B0F" w:rsidP="00ED3746">
                            <w:pPr>
                              <w:pStyle w:val="HStandard"/>
                              <w:rPr>
                                <w:sz w:val="18"/>
                                <w:szCs w:val="18"/>
                              </w:rPr>
                            </w:pPr>
                            <w:r>
                              <w:t xml:space="preserve">La </w:t>
                            </w:r>
                            <w:r>
                              <w:rPr>
                                <w:b/>
                                <w:sz w:val="18"/>
                              </w:rPr>
                              <w:t xml:space="preserve">République tchèque </w:t>
                            </w:r>
                            <w:r>
                              <w:rPr>
                                <w:sz w:val="18"/>
                              </w:rPr>
                              <w:t>suggère d’utiliser une approche basée sur des études de cas pour collecter des informations auprès des GO et à partir des projets de coopération relatifs à l’innovation.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26" o:spid="_x0000_s1048" style="width:449.4pt;height:384.75pt;visibility:visible;mso-wrap-style:square;mso-left-percent:-10001;mso-top-percent:-10001;mso-position-horizontal:absolute;mso-position-horizontal-relative:char;mso-position-vertical:absolute;mso-position-vertical-relative:line;mso-left-percent:-10001;mso-top-percent:-10001;v-text-anchor:middle" coordsize="5707380,488655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" adj="-11796480,,5400" path="m356670,l5707380,r,l5707380,4529883v,196983,-159687,356670,-356670,356670l,4886553r,l,356670c,159687,159687,,356670,xe" filled="f" strokecolor="#f07e31" strokeweight="2pt">
                <v:stroke joinstyle="miter"/>
                <v:formulas/>
                <v:path arrowok="t" o:connecttype="custom" o:connectlocs="356670,0;5707380,0;5707380,0;5707380,4529883;5350710,4886553;0,4886553;0,4886553;0,356670;356670,0" o:connectangles="0,0,0,0,0,0,0,0,0" textboxrect="0,0,5707380,4886553"/>
                <v:textbox>
                  <w:txbxContent>
                    <w:p w:rsidR="00260B0F" w:rsidRPr="001954EB" w:rsidRDefault="00260B0F" w:rsidP="00ED3746">
                      <w:pPr>
                        <w:pStyle w:val="HStandard"/>
                        <w:rPr>
                          <w:b/>
                          <w:color w:val="F07E31"/>
                          <w:sz w:val="18"/>
                          <w:szCs w:val="18"/>
                        </w:rPr>
                      </w:pPr>
                      <w:r>
                        <w:rPr>
                          <w:noProof/>
                          <w:sz w:val="18"/>
                        </w:rPr>
                        <w:drawing>
                          <wp:inline distT="0" distB="0" distL="0" distR="0">
                            <wp:extent cx="349885" cy="357505"/>
                            <wp:effectExtent l="0" t="0" r="0" b="0"/>
                            <wp:docPr id="4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8"/>
                        </w:rPr>
                        <w:t>Exemples tirés des RAM présentés en 2017</w:t>
                      </w:r>
                    </w:p>
                    <w:p w:rsidR="00260B0F" w:rsidRPr="00547012" w:rsidRDefault="00260B0F" w:rsidP="00ED3746">
                      <w:pPr>
                        <w:rPr>
                          <w:rFonts w:cs="Arial"/>
                          <w:sz w:val="18"/>
                          <w:szCs w:val="18"/>
                        </w:rPr>
                      </w:pPr>
                      <w:r>
                        <w:t xml:space="preserve">Le </w:t>
                      </w:r>
                      <w:r>
                        <w:rPr>
                          <w:b/>
                          <w:sz w:val="18"/>
                        </w:rPr>
                        <w:t>Mecklembourg-Poméranie-Occidentale (DE)</w:t>
                      </w:r>
                      <w:r>
                        <w:rPr>
                          <w:sz w:val="18"/>
                        </w:rPr>
                        <w:t xml:space="preserve"> utilise trois critères de jugement en relation avec </w:t>
                      </w:r>
                      <w:proofErr w:type="gramStart"/>
                      <w:r>
                        <w:rPr>
                          <w:sz w:val="18"/>
                        </w:rPr>
                        <w:t>l’innovation:</w:t>
                      </w:r>
                      <w:proofErr w:type="gramEnd"/>
                    </w:p>
                    <w:p w:rsidR="00260B0F" w:rsidRPr="001954EB" w:rsidRDefault="00260B0F" w:rsidP="00ED3746">
                      <w:pPr>
                        <w:numPr>
                          <w:ilvl w:val="0"/>
                          <w:numId w:val="57"/>
                        </w:numPr>
                        <w:rPr>
                          <w:rFonts w:cs="Arial"/>
                          <w:sz w:val="18"/>
                          <w:szCs w:val="18"/>
                        </w:rPr>
                      </w:pPr>
                      <w:proofErr w:type="gramStart"/>
                      <w:r>
                        <w:rPr>
                          <w:sz w:val="18"/>
                        </w:rPr>
                        <w:t>les</w:t>
                      </w:r>
                      <w:proofErr w:type="gramEnd"/>
                      <w:r>
                        <w:rPr>
                          <w:sz w:val="18"/>
                        </w:rPr>
                        <w:t xml:space="preserve"> processus qui bénéficient d’un soutien du PDR sont innovants et basés sur les connaissances obtenues; </w:t>
                      </w:r>
                    </w:p>
                    <w:p w:rsidR="00260B0F" w:rsidRPr="001954EB" w:rsidRDefault="00260B0F" w:rsidP="00ED3746">
                      <w:pPr>
                        <w:numPr>
                          <w:ilvl w:val="0"/>
                          <w:numId w:val="57"/>
                        </w:numPr>
                        <w:rPr>
                          <w:rFonts w:cs="Arial"/>
                          <w:sz w:val="18"/>
                          <w:szCs w:val="18"/>
                        </w:rPr>
                      </w:pPr>
                      <w:proofErr w:type="gramStart"/>
                      <w:r>
                        <w:rPr>
                          <w:sz w:val="18"/>
                        </w:rPr>
                        <w:t>des</w:t>
                      </w:r>
                      <w:proofErr w:type="gramEnd"/>
                      <w:r>
                        <w:rPr>
                          <w:sz w:val="18"/>
                        </w:rPr>
                        <w:t xml:space="preserve"> actions innovantes sont mises en œuvre et diffusées via les GO;</w:t>
                      </w:r>
                    </w:p>
                    <w:p w:rsidR="00260B0F" w:rsidRPr="001954EB" w:rsidRDefault="00260B0F" w:rsidP="00ED3746">
                      <w:pPr>
                        <w:numPr>
                          <w:ilvl w:val="0"/>
                          <w:numId w:val="57"/>
                        </w:numPr>
                        <w:rPr>
                          <w:rFonts w:cs="Arial"/>
                          <w:sz w:val="18"/>
                          <w:szCs w:val="18"/>
                        </w:rPr>
                      </w:pPr>
                      <w:proofErr w:type="gramStart"/>
                      <w:r>
                        <w:rPr>
                          <w:sz w:val="18"/>
                        </w:rPr>
                        <w:t>les</w:t>
                      </w:r>
                      <w:proofErr w:type="gramEnd"/>
                      <w:r>
                        <w:rPr>
                          <w:sz w:val="18"/>
                        </w:rPr>
                        <w:t xml:space="preserve"> résultats obtenus permettent d’améliorer la position de marché des partenaires concernés via l’innovation.</w:t>
                      </w:r>
                    </w:p>
                    <w:p w:rsidR="00260B0F" w:rsidRPr="00547012" w:rsidRDefault="00260B0F" w:rsidP="00ED3746">
                      <w:pPr>
                        <w:rPr>
                          <w:rFonts w:cs="Arial"/>
                          <w:sz w:val="18"/>
                          <w:szCs w:val="18"/>
                        </w:rPr>
                      </w:pPr>
                      <w:r>
                        <w:rPr>
                          <w:sz w:val="18"/>
                        </w:rPr>
                        <w:t xml:space="preserve">Plusieurs méthodes sont utilisées pour collecter des informations auprès des GO du PEI. Celles-ci couvrent différentes dimensions des innovations et ont pour but de juger la qualité et les effets des </w:t>
                      </w:r>
                      <w:proofErr w:type="gramStart"/>
                      <w:r>
                        <w:rPr>
                          <w:sz w:val="18"/>
                        </w:rPr>
                        <w:t>GO:</w:t>
                      </w:r>
                      <w:proofErr w:type="gramEnd"/>
                    </w:p>
                    <w:p w:rsidR="00260B0F" w:rsidRPr="001954EB" w:rsidRDefault="00260B0F" w:rsidP="00ED3746">
                      <w:pPr>
                        <w:numPr>
                          <w:ilvl w:val="0"/>
                          <w:numId w:val="58"/>
                        </w:numPr>
                        <w:rPr>
                          <w:rFonts w:cs="Arial"/>
                          <w:sz w:val="18"/>
                          <w:szCs w:val="18"/>
                        </w:rPr>
                      </w:pPr>
                      <w:proofErr w:type="gramStart"/>
                      <w:r>
                        <w:rPr>
                          <w:sz w:val="18"/>
                        </w:rPr>
                        <w:t>l’analyse</w:t>
                      </w:r>
                      <w:proofErr w:type="gramEnd"/>
                      <w:r>
                        <w:rPr>
                          <w:sz w:val="18"/>
                        </w:rPr>
                        <w:t xml:space="preserve"> initiale (évaluation des conditions-cadres, entretiens avec les acteurs, etc.);</w:t>
                      </w:r>
                    </w:p>
                    <w:p w:rsidR="00260B0F" w:rsidRPr="001954EB" w:rsidRDefault="00260B0F" w:rsidP="00ED3746">
                      <w:pPr>
                        <w:numPr>
                          <w:ilvl w:val="0"/>
                          <w:numId w:val="58"/>
                        </w:numPr>
                        <w:rPr>
                          <w:rFonts w:cs="Arial"/>
                          <w:sz w:val="18"/>
                          <w:szCs w:val="18"/>
                        </w:rPr>
                      </w:pPr>
                      <w:proofErr w:type="gramStart"/>
                      <w:r>
                        <w:rPr>
                          <w:sz w:val="18"/>
                        </w:rPr>
                        <w:t>l’évaluation</w:t>
                      </w:r>
                      <w:proofErr w:type="gramEnd"/>
                      <w:r>
                        <w:rPr>
                          <w:sz w:val="18"/>
                        </w:rPr>
                        <w:t xml:space="preserve"> des caractéristiques des innovations et de leur type grâce à l’analyse des critères de sélection et des études de cas; </w:t>
                      </w:r>
                    </w:p>
                    <w:p w:rsidR="00260B0F" w:rsidRPr="001954EB" w:rsidRDefault="00260B0F" w:rsidP="00ED3746">
                      <w:pPr>
                        <w:numPr>
                          <w:ilvl w:val="0"/>
                          <w:numId w:val="58"/>
                        </w:numPr>
                        <w:rPr>
                          <w:rFonts w:cs="Arial"/>
                          <w:sz w:val="18"/>
                          <w:szCs w:val="18"/>
                        </w:rPr>
                      </w:pPr>
                      <w:proofErr w:type="gramStart"/>
                      <w:r>
                        <w:rPr>
                          <w:sz w:val="18"/>
                        </w:rPr>
                        <w:t>l’analyse</w:t>
                      </w:r>
                      <w:proofErr w:type="gramEnd"/>
                      <w:r>
                        <w:rPr>
                          <w:sz w:val="18"/>
                        </w:rPr>
                        <w:t xml:space="preserve"> des résultats obtenus et leur diffusion (enquête et auto-évaluation des GO).</w:t>
                      </w:r>
                    </w:p>
                    <w:p w:rsidR="00260B0F" w:rsidRPr="00547012" w:rsidRDefault="00260B0F" w:rsidP="00ED3746">
                      <w:pPr>
                        <w:rPr>
                          <w:rFonts w:cs="Arial"/>
                          <w:sz w:val="18"/>
                          <w:szCs w:val="18"/>
                        </w:rPr>
                      </w:pPr>
                      <w:r>
                        <w:rPr>
                          <w:sz w:val="18"/>
                        </w:rPr>
                        <w:t xml:space="preserve">Les sources de données et d’informations incluent les données de suivi, les formulaires de demande, la documentation des projets, les données statistiques primaires collectées via les enquêtes, et les données statistiques secondaires issues de sources diverses. </w:t>
                      </w:r>
                    </w:p>
                    <w:p w:rsidR="00260B0F" w:rsidRPr="00547012" w:rsidRDefault="00260B0F" w:rsidP="00ED3746">
                      <w:pPr>
                        <w:rPr>
                          <w:rFonts w:cs="Arial"/>
                          <w:sz w:val="18"/>
                          <w:szCs w:val="18"/>
                        </w:rPr>
                      </w:pPr>
                      <w:r>
                        <w:rPr>
                          <w:sz w:val="18"/>
                        </w:rPr>
                        <w:t xml:space="preserve">L’enquête auprès des bénéficiaires (GO du PEI) est menée avant et après l’intervention. </w:t>
                      </w:r>
                    </w:p>
                    <w:p w:rsidR="00260B0F" w:rsidRPr="001954EB" w:rsidRDefault="00260B0F" w:rsidP="00ED3746">
                      <w:pPr>
                        <w:pStyle w:val="HStandard"/>
                        <w:rPr>
                          <w:sz w:val="18"/>
                          <w:szCs w:val="18"/>
                        </w:rPr>
                      </w:pPr>
                      <w:r>
                        <w:t xml:space="preserve">La </w:t>
                      </w:r>
                      <w:r>
                        <w:rPr>
                          <w:b/>
                          <w:sz w:val="18"/>
                        </w:rPr>
                        <w:t xml:space="preserve">République tchèque </w:t>
                      </w:r>
                      <w:r>
                        <w:rPr>
                          <w:sz w:val="18"/>
                        </w:rPr>
                        <w:t>suggère d’utiliser une approche basée sur des études de cas pour collecter des informations auprès des GO et à partir des projets de coopération relatifs à l’innovation.</w:t>
                      </w:r>
                    </w:p>
                  </w:txbxContent>
                </v:textbox>
                <w10:anchorlock/>
              </v:shape>
            </w:pict>
          </mc:Fallback>
        </mc:AlternateContent>
      </w:r>
    </w:p>
    <w:p w:rsidR="00ED3746" w:rsidRPr="00DC1980" w:rsidRDefault="00ED3746" w:rsidP="00ED3746">
      <w:pPr>
        <w:numPr>
          <w:ilvl w:val="0"/>
          <w:numId w:val="56"/>
        </w:numPr>
        <w:spacing w:before="120" w:after="120" w:line="280" w:lineRule="atLeast"/>
        <w:ind w:left="567" w:hanging="567"/>
        <w:mirrorIndents/>
        <w:rPr>
          <w:rFonts w:eastAsia="Times New Roman" w:cs="Times New Roman"/>
          <w:b/>
          <w:szCs w:val="20"/>
        </w:rPr>
      </w:pPr>
      <w:r w:rsidRPr="00DC1980">
        <w:rPr>
          <w:b/>
        </w:rPr>
        <w:t xml:space="preserve">Risques et solutions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ED3746" w:rsidRPr="00B77106" w:rsidTr="00123467">
        <w:tc>
          <w:tcPr>
            <w:tcW w:w="3544" w:type="dxa"/>
            <w:shd w:val="clear" w:color="auto" w:fill="FF6F0D"/>
            <w:hideMark/>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Risques</w:t>
            </w:r>
          </w:p>
        </w:tc>
        <w:tc>
          <w:tcPr>
            <w:tcW w:w="5387" w:type="dxa"/>
            <w:shd w:val="clear" w:color="auto" w:fill="FF6F0D"/>
            <w:hideMark/>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Solutions</w:t>
            </w:r>
          </w:p>
        </w:tc>
      </w:tr>
      <w:tr w:rsidR="00ED3746" w:rsidRPr="00B77106" w:rsidTr="00ED3746">
        <w:tc>
          <w:tcPr>
            <w:tcW w:w="3544" w:type="dxa"/>
            <w:shd w:val="clear" w:color="auto" w:fill="auto"/>
            <w:hideMark/>
          </w:tcPr>
          <w:p w:rsidR="00ED3746" w:rsidRPr="00B77106" w:rsidRDefault="00ED3746" w:rsidP="00ED3746">
            <w:pPr>
              <w:spacing w:after="120" w:line="280" w:lineRule="atLeast"/>
              <w:ind w:left="22" w:right="33"/>
              <w:mirrorIndents/>
              <w:rPr>
                <w:rFonts w:eastAsia="Times New Roman" w:cs="Times New Roman"/>
                <w:sz w:val="18"/>
                <w:szCs w:val="18"/>
              </w:rPr>
            </w:pPr>
            <w:r>
              <w:rPr>
                <w:sz w:val="18"/>
              </w:rPr>
              <w:t>Pour certains indicateurs, les données pourraient ne pas être disponibles avant la fin de la période de programmation (par exemple, le nombre d’opérations de coopération qui se poursuivent après le soutien du PDR).</w:t>
            </w:r>
          </w:p>
        </w:tc>
        <w:tc>
          <w:tcPr>
            <w:tcW w:w="5387" w:type="dxa"/>
            <w:shd w:val="clear" w:color="auto" w:fill="auto"/>
            <w:hideMark/>
          </w:tcPr>
          <w:p w:rsidR="00ED3746" w:rsidRPr="00B77106" w:rsidRDefault="00ED3746" w:rsidP="00ED3746">
            <w:pPr>
              <w:spacing w:after="120" w:line="280" w:lineRule="atLeast"/>
              <w:ind w:left="27" w:right="47"/>
              <w:mirrorIndents/>
              <w:rPr>
                <w:rFonts w:eastAsia="Times New Roman" w:cs="Times New Roman"/>
                <w:sz w:val="18"/>
                <w:szCs w:val="18"/>
              </w:rPr>
            </w:pPr>
            <w:r>
              <w:rPr>
                <w:sz w:val="18"/>
              </w:rPr>
              <w:t xml:space="preserve">Les types de structures de coopération créées (structure juridique, composition, déclaration d’engagement des partenaires, etc.) peuvent être analysées à l’aide d’une évaluation qualitative (par exemple, à l’aide de groupes de discussion ou d’entretiens avec les partenaires du GO). </w:t>
            </w:r>
          </w:p>
        </w:tc>
      </w:tr>
      <w:tr w:rsidR="00ED3746" w:rsidRPr="00B77106" w:rsidTr="00ED3746">
        <w:tc>
          <w:tcPr>
            <w:tcW w:w="3544" w:type="dxa"/>
            <w:shd w:val="clear" w:color="auto" w:fill="auto"/>
          </w:tcPr>
          <w:p w:rsidR="00ED3746" w:rsidRPr="00B77106" w:rsidRDefault="00ED3746" w:rsidP="00ED3746">
            <w:pPr>
              <w:spacing w:after="120" w:line="280" w:lineRule="atLeast"/>
              <w:ind w:left="22" w:right="33"/>
              <w:mirrorIndents/>
              <w:rPr>
                <w:rFonts w:eastAsia="Times New Roman" w:cs="Times New Roman"/>
                <w:sz w:val="18"/>
                <w:szCs w:val="18"/>
              </w:rPr>
            </w:pPr>
            <w:r>
              <w:rPr>
                <w:sz w:val="18"/>
              </w:rPr>
              <w:t xml:space="preserve">Collecter des informations pour certains indicateurs qui peuvent ne pas avoir été inclus au système de suivi du PDR (par exemple, les indicateurs supplémentaires). </w:t>
            </w:r>
          </w:p>
        </w:tc>
        <w:tc>
          <w:tcPr>
            <w:tcW w:w="5387" w:type="dxa"/>
            <w:shd w:val="clear" w:color="auto" w:fill="auto"/>
          </w:tcPr>
          <w:p w:rsidR="00ED3746" w:rsidRPr="00B77106" w:rsidRDefault="00ED3746" w:rsidP="00ED3746">
            <w:pPr>
              <w:spacing w:after="120" w:line="280" w:lineRule="atLeast"/>
              <w:ind w:left="27" w:right="47"/>
              <w:mirrorIndents/>
              <w:rPr>
                <w:rFonts w:eastAsia="Times New Roman" w:cs="Times New Roman"/>
                <w:sz w:val="18"/>
                <w:szCs w:val="18"/>
              </w:rPr>
            </w:pPr>
            <w:r>
              <w:rPr>
                <w:sz w:val="18"/>
              </w:rPr>
              <w:t xml:space="preserve">La collecte d’informations peut s’effectuer au moyen d’enquêtes et d’entretiens. </w:t>
            </w:r>
          </w:p>
          <w:p w:rsidR="00ED3746" w:rsidRPr="00B77106" w:rsidRDefault="00ED3746" w:rsidP="00ED3746">
            <w:pPr>
              <w:spacing w:after="120" w:line="280" w:lineRule="atLeast"/>
              <w:ind w:left="27" w:right="47"/>
              <w:mirrorIndents/>
              <w:rPr>
                <w:rFonts w:eastAsia="Times New Roman" w:cs="Times New Roman"/>
                <w:sz w:val="18"/>
                <w:szCs w:val="18"/>
              </w:rPr>
            </w:pPr>
            <w:r>
              <w:rPr>
                <w:sz w:val="18"/>
              </w:rPr>
              <w:t xml:space="preserve">Les autorités de gestion peuvent aussi envisager d’inclure la collecte de données relatives aux indicateurs supplémentaires via la base de données des opérations. </w:t>
            </w:r>
          </w:p>
        </w:tc>
      </w:tr>
    </w:tbl>
    <w:p w:rsidR="00ED3746" w:rsidRPr="00E05D08" w:rsidRDefault="00ED3746" w:rsidP="00ED3746">
      <w:pPr>
        <w:numPr>
          <w:ilvl w:val="0"/>
          <w:numId w:val="56"/>
        </w:numPr>
        <w:spacing w:before="120" w:after="120" w:line="280" w:lineRule="atLeast"/>
        <w:ind w:left="567" w:hanging="567"/>
        <w:mirrorIndents/>
        <w:rPr>
          <w:rFonts w:eastAsia="Times New Roman" w:cs="Times New Roman"/>
          <w:b/>
          <w:szCs w:val="20"/>
        </w:rPr>
      </w:pPr>
      <w:r>
        <w:rPr>
          <w:b/>
        </w:rPr>
        <w:t>Conclusions et recommandations</w:t>
      </w:r>
    </w:p>
    <w:p w:rsidR="00ED3746" w:rsidRPr="00E05D08" w:rsidRDefault="00ED3746" w:rsidP="00ED3746">
      <w:pPr>
        <w:spacing w:after="120" w:line="280" w:lineRule="atLeast"/>
        <w:mirrorIndents/>
        <w:rPr>
          <w:rFonts w:cs="Times New Roman"/>
          <w:szCs w:val="20"/>
          <w:shd w:val="clear" w:color="000000" w:fill="auto"/>
        </w:rPr>
      </w:pPr>
      <w:r>
        <w:t xml:space="preserve">Les principales conclusions et les recommandations doivent porter sur les points suivants au </w:t>
      </w:r>
      <w:proofErr w:type="gramStart"/>
      <w:r>
        <w:t>moins:</w:t>
      </w:r>
      <w:proofErr w:type="gramEnd"/>
    </w:p>
    <w:p w:rsidR="00ED3746" w:rsidRPr="00E54929" w:rsidRDefault="00ED3746" w:rsidP="00ED3746">
      <w:pPr>
        <w:pStyle w:val="Hlistbullet"/>
        <w:rPr>
          <w:rFonts w:eastAsia="Calibri"/>
          <w:shd w:val="clear" w:color="000000" w:fill="auto"/>
        </w:rPr>
      </w:pPr>
      <w:proofErr w:type="gramStart"/>
      <w:r>
        <w:rPr>
          <w:b/>
        </w:rPr>
        <w:t>la</w:t>
      </w:r>
      <w:proofErr w:type="gramEnd"/>
      <w:r>
        <w:rPr>
          <w:b/>
        </w:rPr>
        <w:t xml:space="preserve"> tendance du PDR à utiliser la mesure de coopération pour repérer l’innovation dans les zones rurales.</w:t>
      </w:r>
      <w:r>
        <w:t xml:space="preserve"> La création d’un groupe opérationnel, par exemple, montre qu’une idée innovante a été découverte et peut être mise en œuvre en liant la recherche et la pratique. Le champ, le </w:t>
      </w:r>
      <w:r>
        <w:lastRenderedPageBreak/>
        <w:t xml:space="preserve">contenu et la durée du projet préparé et mis en œuvre par le GO constituent des informations utiles pour tirer des conclusions supplémentaires à cet </w:t>
      </w:r>
      <w:proofErr w:type="gramStart"/>
      <w:r>
        <w:t>égard;</w:t>
      </w:r>
      <w:proofErr w:type="gramEnd"/>
    </w:p>
    <w:p w:rsidR="00ED3746" w:rsidRPr="00E54929" w:rsidRDefault="00ED3746" w:rsidP="00ED3746">
      <w:pPr>
        <w:pStyle w:val="Hlistbullet"/>
        <w:rPr>
          <w:rFonts w:eastAsia="Calibri"/>
          <w:shd w:val="clear" w:color="000000" w:fill="auto"/>
        </w:rPr>
      </w:pPr>
      <w:proofErr w:type="gramStart"/>
      <w:r>
        <w:rPr>
          <w:b/>
        </w:rPr>
        <w:t>les</w:t>
      </w:r>
      <w:proofErr w:type="gramEnd"/>
      <w:r>
        <w:rPr>
          <w:b/>
        </w:rPr>
        <w:t xml:space="preserve"> effets des projets de coopération sur la capacité d’innover.</w:t>
      </w:r>
      <w:r>
        <w:t xml:space="preserve"> L’analyse du nombre et du type de projets de coopération ainsi que de la participation des acteurs de l’innovation peut permettre de tirer des conclusions sur les réalisations liées à la mesure de coopération en ce qui concerne la capacité d’innovation en milieu </w:t>
      </w:r>
      <w:proofErr w:type="gramStart"/>
      <w:r>
        <w:t>rural;</w:t>
      </w:r>
      <w:proofErr w:type="gramEnd"/>
    </w:p>
    <w:p w:rsidR="00ED3746" w:rsidRPr="00E54929" w:rsidRDefault="00ED3746" w:rsidP="00ED3746">
      <w:pPr>
        <w:pStyle w:val="Hlistbullet"/>
        <w:rPr>
          <w:rFonts w:eastAsia="Calibri"/>
          <w:shd w:val="clear" w:color="000000" w:fill="auto"/>
        </w:rPr>
      </w:pPr>
      <w:proofErr w:type="gramStart"/>
      <w:r>
        <w:rPr>
          <w:b/>
        </w:rPr>
        <w:t>les</w:t>
      </w:r>
      <w:proofErr w:type="gramEnd"/>
      <w:r>
        <w:rPr>
          <w:b/>
        </w:rPr>
        <w:t xml:space="preserve"> effets des projets de coopération sur la création d’un environnement propice à l’innovation</w:t>
      </w:r>
      <w:r>
        <w:t xml:space="preserve"> (autrement dit, la mesure dans laquelle les projets de coopération ont permis la création de structures et de procédures qui facilitent la production d’idées innovantes). Cela inclut, par exemple, des structures et des méthodes de courtage en innovation, l’établissement de liens permanents entre les PME, les services d’innovation et les organismes de financement, etc.</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Lectures complémentaires</w:t>
      </w:r>
    </w:p>
    <w:p w:rsidR="00ED3746" w:rsidRDefault="00F204F1" w:rsidP="00ED3746">
      <w:pPr>
        <w:spacing w:after="120" w:line="280" w:lineRule="atLeast"/>
        <w:mirrorIndents/>
      </w:pPr>
      <w:r>
        <w:rPr>
          <w:noProof/>
        </w:rPr>
        <mc:AlternateContent>
          <mc:Choice Requires="wps">
            <w:drawing>
              <wp:inline distT="0" distB="0" distL="0" distR="0">
                <wp:extent cx="5633720" cy="2143354"/>
                <wp:effectExtent l="0" t="0" r="24130" b="28575"/>
                <wp:docPr id="6" name="Rectangle: Diagonal Corners Rounded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3720" cy="2143354"/>
                        </a:xfrm>
                        <a:prstGeom prst="round2DiagRect">
                          <a:avLst>
                            <a:gd name="adj1" fmla="val 11556"/>
                            <a:gd name="adj2" fmla="val 0"/>
                          </a:avLst>
                        </a:prstGeom>
                        <a:noFill/>
                        <a:ln w="25400" cap="flat" cmpd="sng" algn="ctr">
                          <a:solidFill>
                            <a:srgbClr val="59638E"/>
                          </a:solidFill>
                          <a:prstDash val="solid"/>
                        </a:ln>
                        <a:effectLst/>
                      </wps:spPr>
                      <wps:txbx>
                        <w:txbxContent>
                          <w:p w:rsidR="00260B0F" w:rsidRDefault="00260B0F" w:rsidP="00ED3746">
                            <w:pPr>
                              <w:pStyle w:val="HStandard"/>
                              <w:rPr>
                                <w:color w:val="000000"/>
                                <w:sz w:val="18"/>
                              </w:rPr>
                            </w:pPr>
                            <w:r>
                              <w:rPr>
                                <w:noProof/>
                              </w:rPr>
                              <w:drawing>
                                <wp:inline distT="0" distB="0" distL="0" distR="0">
                                  <wp:extent cx="357505" cy="357505"/>
                                  <wp:effectExtent l="0" t="0" r="0" b="0"/>
                                  <wp:docPr id="5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0041C9" w:rsidRDefault="00260B0F" w:rsidP="00ED3746">
                            <w:pPr>
                              <w:pStyle w:val="HStandard"/>
                              <w:rPr>
                                <w:sz w:val="18"/>
                                <w:szCs w:val="18"/>
                              </w:rPr>
                            </w:pPr>
                            <w:r>
                              <w:rPr>
                                <w:sz w:val="18"/>
                              </w:rPr>
                              <w:t>Lignes directrices «</w:t>
                            </w:r>
                            <w:hyperlink r:id="rId39" w:history="1">
                              <w:r>
                                <w:rPr>
                                  <w:rStyle w:val="Hyperlink"/>
                                  <w:sz w:val="18"/>
                                </w:rPr>
                                <w:t>Évaluation des résultats du PDR: Comment établir le rapport sur l’évaluation en 2017</w:t>
                              </w:r>
                            </w:hyperlink>
                            <w:r>
                              <w:t xml:space="preserve"> (en anglais)»</w:t>
                            </w:r>
                            <w:r>
                              <w:rPr>
                                <w:sz w:val="18"/>
                              </w:rPr>
                              <w:t xml:space="preserve">, annexe 11; </w:t>
                            </w:r>
                          </w:p>
                          <w:p w:rsidR="00260B0F" w:rsidRDefault="00260B0F" w:rsidP="00ED3746">
                            <w:pPr>
                              <w:pStyle w:val="HStandard"/>
                              <w:rPr>
                                <w:sz w:val="18"/>
                                <w:szCs w:val="18"/>
                              </w:rPr>
                            </w:pPr>
                            <w:r>
                              <w:rPr>
                                <w:sz w:val="18"/>
                              </w:rPr>
                              <w:t>Document d’orientation «</w:t>
                            </w:r>
                            <w:proofErr w:type="spellStart"/>
                            <w:r>
                              <w:fldChar w:fldCharType="begin"/>
                            </w:r>
                            <w:r>
                              <w:instrText xml:space="preserve"> HYPERLINK "https://ec.europa.eu/eip/agriculture/sites/agri-eip/files/16_measure_fiche_art_35_co-operation.pdf" </w:instrText>
                            </w:r>
                            <w:r>
                              <w:fldChar w:fldCharType="separate"/>
                            </w:r>
                            <w:r>
                              <w:rPr>
                                <w:rStyle w:val="Hyperlink"/>
                                <w:sz w:val="18"/>
                              </w:rPr>
                              <w:t>Cooperation</w:t>
                            </w:r>
                            <w:proofErr w:type="spellEnd"/>
                            <w:r>
                              <w:rPr>
                                <w:rStyle w:val="Hyperlink"/>
                                <w:sz w:val="18"/>
                              </w:rPr>
                              <w:t xml:space="preserve"> </w:t>
                            </w:r>
                            <w:proofErr w:type="spellStart"/>
                            <w:r>
                              <w:rPr>
                                <w:rStyle w:val="Hyperlink"/>
                                <w:sz w:val="18"/>
                              </w:rPr>
                              <w:t>measure</w:t>
                            </w:r>
                            <w:proofErr w:type="spellEnd"/>
                            <w:r>
                              <w:rPr>
                                <w:rStyle w:val="Hyperlink"/>
                                <w:sz w:val="18"/>
                              </w:rPr>
                              <w:fldChar w:fldCharType="end"/>
                            </w:r>
                            <w:r>
                              <w:rPr>
                                <w:sz w:val="18"/>
                              </w:rPr>
                              <w:t>», article 35 du règlement (UE) nº 1305/2013, novembre 2014</w:t>
                            </w:r>
                            <w:r>
                              <w:t>.</w:t>
                            </w:r>
                          </w:p>
                          <w:p w:rsidR="00260B0F" w:rsidRPr="000041C9" w:rsidRDefault="00260B0F" w:rsidP="00ED3746">
                            <w:pPr>
                              <w:pStyle w:val="HStandard"/>
                              <w:rPr>
                                <w:sz w:val="18"/>
                                <w:szCs w:val="18"/>
                              </w:rPr>
                            </w:pPr>
                            <w:r>
                              <w:rPr>
                                <w:sz w:val="18"/>
                              </w:rPr>
                              <w:t>Documents de l’atelier du REDR sur la mesure M16</w:t>
                            </w:r>
                            <w:proofErr w:type="gramStart"/>
                            <w:r>
                              <w:rPr>
                                <w:sz w:val="18"/>
                              </w:rPr>
                              <w:t xml:space="preserve"> «Coopération</w:t>
                            </w:r>
                            <w:proofErr w:type="gramEnd"/>
                            <w:r>
                              <w:rPr>
                                <w:sz w:val="18"/>
                              </w:rPr>
                              <w:t xml:space="preserve">», juin 2016, Bruxelles: </w:t>
                            </w:r>
                            <w:hyperlink r:id="rId40" w:history="1">
                              <w:r>
                                <w:rPr>
                                  <w:rStyle w:val="Hyperlink"/>
                                  <w:sz w:val="18"/>
                                </w:rPr>
                                <w:t>http://enrd.ec.europa.eu/news-events/events/enrd-workshop-measure-16-cooperation_fr.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27" o:spid="_x0000_s1049" style="width:443.6pt;height:168.75pt;visibility:visible;mso-wrap-style:square;mso-left-percent:-10001;mso-top-percent:-10001;mso-position-horizontal:absolute;mso-position-horizontal-relative:char;mso-position-vertical:absolute;mso-position-vertical-relative:line;mso-left-percent:-10001;mso-top-percent:-10001;v-text-anchor:middle" coordsize="5633720,21433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" adj="-11796480,,5400" path="m247686,l5633720,r,l5633720,1895668v,136793,-110893,247686,-247686,247686l,2143354r,l,247686c,110893,110893,,247686,xe" filled="f" strokecolor="#59638e" strokeweight="2pt">
                <v:stroke joinstyle="miter"/>
                <v:formulas/>
                <v:path arrowok="t" o:connecttype="custom" o:connectlocs="247686,0;5633720,0;5633720,0;5633720,1895668;5386034,2143354;0,2143354;0,2143354;0,247686;247686,0" o:connectangles="0,0,0,0,0,0,0,0,0" textboxrect="0,0,5633720,2143354"/>
                <v:textbox>
                  <w:txbxContent>
                    <w:p w:rsidR="00260B0F" w:rsidRDefault="00260B0F" w:rsidP="00ED3746">
                      <w:pPr>
                        <w:pStyle w:val="HStandard"/>
                        <w:rPr>
                          <w:color w:val="000000"/>
                          <w:sz w:val="18"/>
                        </w:rPr>
                      </w:pPr>
                      <w:r>
                        <w:rPr>
                          <w:noProof/>
                        </w:rPr>
                        <w:drawing>
                          <wp:inline distT="0" distB="0" distL="0" distR="0">
                            <wp:extent cx="357505" cy="357505"/>
                            <wp:effectExtent l="0" t="0" r="0" b="0"/>
                            <wp:docPr id="5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0041C9" w:rsidRDefault="00260B0F" w:rsidP="00ED3746">
                      <w:pPr>
                        <w:pStyle w:val="HStandard"/>
                        <w:rPr>
                          <w:sz w:val="18"/>
                          <w:szCs w:val="18"/>
                        </w:rPr>
                      </w:pPr>
                      <w:r>
                        <w:rPr>
                          <w:sz w:val="18"/>
                        </w:rPr>
                        <w:t>Lignes directrices «</w:t>
                      </w:r>
                      <w:hyperlink r:id="rId41" w:history="1">
                        <w:r>
                          <w:rPr>
                            <w:rStyle w:val="Hyperlink"/>
                            <w:sz w:val="18"/>
                          </w:rPr>
                          <w:t>Évaluation des résultats du PDR: Comment établir le rapport sur l’évaluation en 2017</w:t>
                        </w:r>
                      </w:hyperlink>
                      <w:r>
                        <w:t xml:space="preserve"> (en anglais)»</w:t>
                      </w:r>
                      <w:r>
                        <w:rPr>
                          <w:sz w:val="18"/>
                        </w:rPr>
                        <w:t xml:space="preserve">, annexe 11; </w:t>
                      </w:r>
                    </w:p>
                    <w:p w:rsidR="00260B0F" w:rsidRDefault="00260B0F" w:rsidP="00ED3746">
                      <w:pPr>
                        <w:pStyle w:val="HStandard"/>
                        <w:rPr>
                          <w:sz w:val="18"/>
                          <w:szCs w:val="18"/>
                        </w:rPr>
                      </w:pPr>
                      <w:r>
                        <w:rPr>
                          <w:sz w:val="18"/>
                        </w:rPr>
                        <w:t>Document d’orientation «</w:t>
                      </w:r>
                      <w:proofErr w:type="spellStart"/>
                      <w:r>
                        <w:fldChar w:fldCharType="begin"/>
                      </w:r>
                      <w:r>
                        <w:instrText xml:space="preserve"> HYPERLINK "https://ec.europa.eu/eip/agriculture/sites/agri-eip/files/16_measure_fiche_art_35_co-operation.pdf" </w:instrText>
                      </w:r>
                      <w:r>
                        <w:fldChar w:fldCharType="separate"/>
                      </w:r>
                      <w:r>
                        <w:rPr>
                          <w:rStyle w:val="Hyperlink"/>
                          <w:sz w:val="18"/>
                        </w:rPr>
                        <w:t>Cooperation</w:t>
                      </w:r>
                      <w:proofErr w:type="spellEnd"/>
                      <w:r>
                        <w:rPr>
                          <w:rStyle w:val="Hyperlink"/>
                          <w:sz w:val="18"/>
                        </w:rPr>
                        <w:t xml:space="preserve"> </w:t>
                      </w:r>
                      <w:proofErr w:type="spellStart"/>
                      <w:r>
                        <w:rPr>
                          <w:rStyle w:val="Hyperlink"/>
                          <w:sz w:val="18"/>
                        </w:rPr>
                        <w:t>measure</w:t>
                      </w:r>
                      <w:proofErr w:type="spellEnd"/>
                      <w:r>
                        <w:rPr>
                          <w:rStyle w:val="Hyperlink"/>
                          <w:sz w:val="18"/>
                        </w:rPr>
                        <w:fldChar w:fldCharType="end"/>
                      </w:r>
                      <w:r>
                        <w:rPr>
                          <w:sz w:val="18"/>
                        </w:rPr>
                        <w:t>», article 35 du règlement (UE) nº 1305/2013, novembre 2014</w:t>
                      </w:r>
                      <w:r>
                        <w:t>.</w:t>
                      </w:r>
                    </w:p>
                    <w:p w:rsidR="00260B0F" w:rsidRPr="000041C9" w:rsidRDefault="00260B0F" w:rsidP="00ED3746">
                      <w:pPr>
                        <w:pStyle w:val="HStandard"/>
                        <w:rPr>
                          <w:sz w:val="18"/>
                          <w:szCs w:val="18"/>
                        </w:rPr>
                      </w:pPr>
                      <w:r>
                        <w:rPr>
                          <w:sz w:val="18"/>
                        </w:rPr>
                        <w:t>Documents de l’atelier du REDR sur la mesure M16</w:t>
                      </w:r>
                      <w:proofErr w:type="gramStart"/>
                      <w:r>
                        <w:rPr>
                          <w:sz w:val="18"/>
                        </w:rPr>
                        <w:t xml:space="preserve"> «Coopération</w:t>
                      </w:r>
                      <w:proofErr w:type="gramEnd"/>
                      <w:r>
                        <w:rPr>
                          <w:sz w:val="18"/>
                        </w:rPr>
                        <w:t xml:space="preserve">», juin 2016, Bruxelles: </w:t>
                      </w:r>
                      <w:hyperlink r:id="rId42" w:history="1">
                        <w:r>
                          <w:rPr>
                            <w:rStyle w:val="Hyperlink"/>
                            <w:sz w:val="18"/>
                          </w:rPr>
                          <w:t>http://enrd.ec.europa.eu/news-events/events/enrd-workshop-measure-16-cooperation_fr.</w:t>
                        </w:r>
                      </w:hyperlink>
                    </w:p>
                  </w:txbxContent>
                </v:textbox>
                <w10:anchorlock/>
              </v:shape>
            </w:pict>
          </mc:Fallback>
        </mc:AlternateContent>
      </w:r>
      <w:bookmarkStart w:id="144" w:name="_Toc501382133"/>
    </w:p>
    <w:p w:rsidR="00ED3746" w:rsidRDefault="00ED3746" w:rsidP="00ED3746">
      <w:pPr>
        <w:pStyle w:val="HHeading3"/>
        <w:numPr>
          <w:ilvl w:val="2"/>
          <w:numId w:val="119"/>
        </w:numPr>
        <w:tabs>
          <w:tab w:val="clear" w:pos="567"/>
        </w:tabs>
        <w:spacing w:before="480" w:line="280" w:lineRule="exact"/>
        <w:ind w:left="567" w:hanging="567"/>
      </w:pPr>
      <w:bookmarkStart w:id="145" w:name="CEQ_NRN"/>
      <w:bookmarkStart w:id="146" w:name="_Toc503368727"/>
      <w:bookmarkStart w:id="147" w:name="_Toc508889638"/>
      <w:bookmarkEnd w:id="145"/>
      <w:r>
        <w:t>QEC nº </w:t>
      </w:r>
      <w:proofErr w:type="gramStart"/>
      <w:r>
        <w:t>21:</w:t>
      </w:r>
      <w:proofErr w:type="gramEnd"/>
      <w:r>
        <w:t xml:space="preserve"> «Dans quelle mesure le RRN a-t-il contribué à la réalisation des objectifs fixés à l’article 54, paragraphe 2, du règlement (UE) nº 1305/2013?»</w:t>
      </w:r>
      <w:bookmarkEnd w:id="146"/>
      <w:bookmarkEnd w:id="147"/>
    </w:p>
    <w:bookmarkEnd w:id="144"/>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Comprendre la QEC</w:t>
      </w:r>
    </w:p>
    <w:p w:rsidR="00ED3746" w:rsidRPr="00E05D08" w:rsidRDefault="00ED3746" w:rsidP="00ED3746">
      <w:pPr>
        <w:spacing w:after="120" w:line="280" w:lineRule="atLeast"/>
        <w:mirrorIndents/>
        <w:rPr>
          <w:rFonts w:cs="Times New Roman"/>
          <w:szCs w:val="20"/>
        </w:rPr>
      </w:pPr>
      <w:r>
        <w:t>Cette question porte sur la réalisation des quatre objectifs du RRN</w:t>
      </w:r>
      <w:r>
        <w:rPr>
          <w:vertAlign w:val="superscript"/>
        </w:rPr>
        <w:footnoteReference w:id="57"/>
      </w:r>
      <w:r>
        <w:t>. Les présentes lignes directrices</w:t>
      </w:r>
      <w:r>
        <w:rPr>
          <w:vertAlign w:val="superscript"/>
        </w:rPr>
        <w:footnoteReference w:id="58"/>
      </w:r>
      <w:r>
        <w:t xml:space="preserve"> traitent de la QEC nº 21 en relation avec l’objectif du RRN</w:t>
      </w:r>
      <w:proofErr w:type="gramStart"/>
      <w:r>
        <w:rPr>
          <w:color w:val="292929"/>
        </w:rPr>
        <w:t xml:space="preserve"> «favoriser</w:t>
      </w:r>
      <w:proofErr w:type="gramEnd"/>
      <w:r>
        <w:rPr>
          <w:color w:val="292929"/>
        </w:rPr>
        <w:t xml:space="preserve"> l’innovation dans le secteur de l’agriculture, de la production alimentaire et de la foresterie ainsi que dans les zones rurales» aux fins de l’évaluation de l’innovation, telle que favorisée par les RRN à compter de 2019.</w:t>
      </w:r>
      <w:r>
        <w:t xml:space="preserve"> </w:t>
      </w:r>
    </w:p>
    <w:p w:rsidR="00ED3746" w:rsidRPr="00E05D08" w:rsidRDefault="00ED3746" w:rsidP="00ED3746">
      <w:pPr>
        <w:spacing w:after="120" w:line="280" w:lineRule="atLeast"/>
        <w:mirrorIndents/>
        <w:rPr>
          <w:rFonts w:cs="Times New Roman"/>
          <w:szCs w:val="20"/>
        </w:rPr>
      </w:pPr>
      <w:r>
        <w:t>Le RRN fonctionne au moyen de différents groupes d’actions établis dans le plan d’action du RRN et inclut différents types de parties concernées, dont des acteurs de l’innovation. Il est donc important de reconnaître quels groupes d’actions</w:t>
      </w:r>
      <w:r>
        <w:rPr>
          <w:vertAlign w:val="superscript"/>
        </w:rPr>
        <w:footnoteReference w:id="59"/>
      </w:r>
      <w:r>
        <w:t xml:space="preserve"> sont susceptibles de favoriser l’innovation à travers les trois démarches (voir le </w:t>
      </w:r>
      <w:hyperlink w:anchor="Innovation_RD" w:history="1">
        <w:r>
          <w:rPr>
            <w:rStyle w:val="Hyperlink"/>
            <w:sz w:val="20"/>
          </w:rPr>
          <w:t>chapitre 1.1</w:t>
        </w:r>
      </w:hyperlink>
      <w:r>
        <w:t xml:space="preserve">) et quels types de parties concernées du système d’innovation participent et peuvent être visées par ces actions sur le plan de la promotion de l’innovation. </w:t>
      </w:r>
    </w:p>
    <w:p w:rsidR="00ED3746" w:rsidRDefault="00ED3746" w:rsidP="00ED3746">
      <w:pPr>
        <w:spacing w:after="120" w:line="280" w:lineRule="atLeast"/>
        <w:mirrorIndents/>
        <w:rPr>
          <w:rFonts w:cs="Times New Roman"/>
          <w:szCs w:val="20"/>
        </w:rPr>
      </w:pPr>
      <w:r>
        <w:lastRenderedPageBreak/>
        <w:t>Les actions qui figurent dans le plan d’action du RRN relèvent des sept groupes d’activités mentionnés dans le règlement</w:t>
      </w:r>
      <w:r>
        <w:rPr>
          <w:vertAlign w:val="superscript"/>
        </w:rPr>
        <w:footnoteReference w:id="60"/>
      </w:r>
      <w:r>
        <w:t>. Des exemples de la manière dont ces activités pourraient être liées à la promotion de l’innovation sont donnés dans l’encadré ci-dessous.</w:t>
      </w:r>
    </w:p>
    <w:p w:rsidR="00ED3746" w:rsidRPr="00E05D08" w:rsidRDefault="00ED3746" w:rsidP="00ED3746">
      <w:pPr>
        <w:spacing w:after="120" w:line="280" w:lineRule="atLeast"/>
        <w:mirrorIndents/>
        <w:rPr>
          <w:rFonts w:cs="Times New Roman"/>
          <w:szCs w:val="20"/>
        </w:rPr>
      </w:pPr>
      <w:r>
        <w:t>Les RRN, en tant qu’élément de l’assistance technique, sont destinés à accompagner et à soutenir la mise en œuvre du PDR et contribuent directement à favoriser l’innovation comme objectif transversal. Cependant, les RRN peuvent aussi travailler en synergie avec d’autres acteurs de l’innovation dans le cadre du développement rural, tels que les GAL Leader ou le PEI-AGRI (voir l’exemple dans l’encadré).</w:t>
      </w:r>
    </w:p>
    <w:p w:rsidR="00ED3746" w:rsidRPr="00E05D08" w:rsidRDefault="00F204F1" w:rsidP="00ED3746">
      <w:pPr>
        <w:spacing w:after="120" w:line="280" w:lineRule="atLeast"/>
        <w:mirrorIndents/>
        <w:rPr>
          <w:rFonts w:eastAsia="Times New Roman" w:cs="Times New Roman"/>
          <w:szCs w:val="20"/>
        </w:rPr>
      </w:pPr>
      <w:r>
        <w:rPr>
          <w:noProof/>
        </w:rPr>
        <mc:AlternateContent>
          <mc:Choice Requires="wps">
            <w:drawing>
              <wp:anchor distT="0" distB="0" distL="114300" distR="114300" simplePos="0" relativeHeight="251658752" behindDoc="1" locked="0" layoutInCell="1" allowOverlap="1">
                <wp:simplePos x="0" y="0"/>
                <wp:positionH relativeFrom="column">
                  <wp:posOffset>0</wp:posOffset>
                </wp:positionH>
                <wp:positionV relativeFrom="paragraph">
                  <wp:posOffset>296545</wp:posOffset>
                </wp:positionV>
                <wp:extent cx="5780405" cy="6964045"/>
                <wp:effectExtent l="0" t="0" r="10795" b="27305"/>
                <wp:wrapTight wrapText="bothSides">
                  <wp:wrapPolygon edited="0">
                    <wp:start x="854" y="0"/>
                    <wp:lineTo x="0" y="355"/>
                    <wp:lineTo x="0" y="21626"/>
                    <wp:lineTo x="20786" y="21626"/>
                    <wp:lineTo x="21569" y="21330"/>
                    <wp:lineTo x="21569" y="0"/>
                    <wp:lineTo x="854" y="0"/>
                  </wp:wrapPolygon>
                </wp:wrapTight>
                <wp:docPr id="1" name="Rectangle: Diagonal Corners Rounded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0405" cy="6964045"/>
                        </a:xfrm>
                        <a:prstGeom prst="round2DiagRect">
                          <a:avLst>
                            <a:gd name="adj1" fmla="val 6054"/>
                            <a:gd name="adj2" fmla="val 0"/>
                          </a:avLst>
                        </a:prstGeom>
                        <a:noFill/>
                        <a:ln w="25400" cap="flat" cmpd="sng" algn="ctr">
                          <a:solidFill>
                            <a:srgbClr val="F07E31"/>
                          </a:solidFill>
                          <a:prstDash val="solid"/>
                        </a:ln>
                        <a:effectLst/>
                      </wps:spPr>
                      <wps:txbx>
                        <w:txbxContent>
                          <w:p w:rsidR="00260B0F" w:rsidRPr="0079762F" w:rsidRDefault="00260B0F" w:rsidP="00ED3746">
                            <w:pPr>
                              <w:pStyle w:val="HStandard"/>
                              <w:ind w:left="567" w:hanging="567"/>
                              <w:rPr>
                                <w:i/>
                                <w:sz w:val="18"/>
                                <w:szCs w:val="18"/>
                              </w:rPr>
                            </w:pPr>
                            <w:r>
                              <w:rPr>
                                <w:noProof/>
                                <w:sz w:val="18"/>
                              </w:rPr>
                              <w:drawing>
                                <wp:inline distT="0" distB="0" distL="0" distR="0">
                                  <wp:extent cx="349885" cy="357505"/>
                                  <wp:effectExtent l="0" t="0" r="0" b="0"/>
                                  <wp:docPr id="5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8"/>
                              </w:rPr>
                              <w:t xml:space="preserve">Cultiver les idées nouvelles et partager les </w:t>
                            </w:r>
                            <w:proofErr w:type="gramStart"/>
                            <w:r>
                              <w:rPr>
                                <w:b/>
                                <w:color w:val="F07E31"/>
                                <w:sz w:val="18"/>
                              </w:rPr>
                              <w:t>innovations:</w:t>
                            </w:r>
                            <w:proofErr w:type="gramEnd"/>
                          </w:p>
                          <w:p w:rsidR="00260B0F" w:rsidRPr="0079762F" w:rsidRDefault="00260B0F" w:rsidP="00ED3746">
                            <w:pPr>
                              <w:pStyle w:val="HStandard"/>
                              <w:numPr>
                                <w:ilvl w:val="0"/>
                                <w:numId w:val="26"/>
                              </w:numPr>
                              <w:ind w:left="567" w:hanging="567"/>
                              <w:rPr>
                                <w:sz w:val="18"/>
                                <w:szCs w:val="18"/>
                              </w:rPr>
                            </w:pPr>
                            <w:proofErr w:type="gramStart"/>
                            <w:r>
                              <w:rPr>
                                <w:sz w:val="18"/>
                              </w:rPr>
                              <w:t>collecte</w:t>
                            </w:r>
                            <w:proofErr w:type="gramEnd"/>
                            <w:r>
                              <w:rPr>
                                <w:sz w:val="18"/>
                              </w:rPr>
                              <w:t xml:space="preserve"> d’exemples de projets qui couvrent toutes les priorités du PDR: il peut par exemple s’agir de projets innovants ou de la création de bases de données de projets innovants, contribuant ainsi à la découverte et au partage d’innovations;</w:t>
                            </w:r>
                          </w:p>
                          <w:p w:rsidR="00260B0F" w:rsidRPr="0079762F" w:rsidRDefault="00260B0F" w:rsidP="00ED3746">
                            <w:pPr>
                              <w:pStyle w:val="HStandard"/>
                              <w:numPr>
                                <w:ilvl w:val="0"/>
                                <w:numId w:val="26"/>
                              </w:numPr>
                              <w:ind w:left="567" w:hanging="567"/>
                              <w:rPr>
                                <w:sz w:val="18"/>
                                <w:szCs w:val="18"/>
                              </w:rPr>
                            </w:pPr>
                            <w:proofErr w:type="gramStart"/>
                            <w:r>
                              <w:rPr>
                                <w:sz w:val="18"/>
                              </w:rPr>
                              <w:t>facilitation</w:t>
                            </w:r>
                            <w:proofErr w:type="gramEnd"/>
                            <w:r>
                              <w:rPr>
                                <w:sz w:val="18"/>
                              </w:rPr>
                              <w:t xml:space="preserve"> des échanges thématiques et analytiques entre les acteurs du développement rural, mise en commun et diffusion des données recueillies. Ces échanges peuvent aussi favoriser l’innovation en cultivant et partageant des idées nouvelles et en créant les conditions nécessaires au développement de nouvelles </w:t>
                            </w:r>
                            <w:proofErr w:type="gramStart"/>
                            <w:r>
                              <w:rPr>
                                <w:sz w:val="18"/>
                              </w:rPr>
                              <w:t>connaissances;</w:t>
                            </w:r>
                            <w:proofErr w:type="gramEnd"/>
                          </w:p>
                          <w:p w:rsidR="00260B0F" w:rsidRDefault="00260B0F" w:rsidP="00ED3746">
                            <w:pPr>
                              <w:pStyle w:val="HStandard"/>
                              <w:numPr>
                                <w:ilvl w:val="0"/>
                                <w:numId w:val="26"/>
                              </w:numPr>
                              <w:ind w:left="567" w:hanging="567"/>
                              <w:rPr>
                                <w:sz w:val="18"/>
                                <w:szCs w:val="18"/>
                              </w:rPr>
                            </w:pPr>
                            <w:proofErr w:type="gramStart"/>
                            <w:r>
                              <w:rPr>
                                <w:sz w:val="18"/>
                              </w:rPr>
                              <w:t>publicité</w:t>
                            </w:r>
                            <w:proofErr w:type="gramEnd"/>
                            <w:r>
                              <w:rPr>
                                <w:sz w:val="18"/>
                              </w:rPr>
                              <w:t xml:space="preserve"> et informations concernant le PDR et activités d’information et de communication visant un public plus large. </w:t>
                            </w:r>
                            <w:r>
                              <w:t>Celles-ci peuvent entre autres inclure des informations sur les réalisations du PRD en matière d’innovation, les réalisations des GO du PEI, la manière dont les stratégies de DLAL et les partenariats favorisent l’innovation, et des exemples de ces partenariats et projets Leader/DLAL innovants, etc.</w:t>
                            </w:r>
                          </w:p>
                          <w:p w:rsidR="00260B0F" w:rsidRPr="00E05D08" w:rsidRDefault="00260B0F" w:rsidP="00ED3746">
                            <w:pPr>
                              <w:pStyle w:val="HStandard"/>
                              <w:rPr>
                                <w:b/>
                                <w:color w:val="F07E31"/>
                                <w:sz w:val="18"/>
                                <w:szCs w:val="18"/>
                              </w:rPr>
                            </w:pPr>
                            <w:r>
                              <w:rPr>
                                <w:b/>
                                <w:color w:val="F07E31"/>
                                <w:sz w:val="18"/>
                              </w:rPr>
                              <w:t xml:space="preserve">Renforcer la capacité </w:t>
                            </w:r>
                            <w:proofErr w:type="gramStart"/>
                            <w:r>
                              <w:rPr>
                                <w:b/>
                                <w:color w:val="F07E31"/>
                                <w:sz w:val="18"/>
                              </w:rPr>
                              <w:t>d’innover:</w:t>
                            </w:r>
                            <w:proofErr w:type="gramEnd"/>
                          </w:p>
                          <w:p w:rsidR="00260B0F" w:rsidRPr="0079762F" w:rsidRDefault="00260B0F" w:rsidP="00ED3746">
                            <w:pPr>
                              <w:pStyle w:val="HStandard"/>
                              <w:numPr>
                                <w:ilvl w:val="0"/>
                                <w:numId w:val="26"/>
                              </w:numPr>
                              <w:rPr>
                                <w:sz w:val="18"/>
                                <w:szCs w:val="18"/>
                              </w:rPr>
                            </w:pPr>
                            <w:proofErr w:type="gramStart"/>
                            <w:r>
                              <w:rPr>
                                <w:sz w:val="18"/>
                              </w:rPr>
                              <w:t>activité</w:t>
                            </w:r>
                            <w:proofErr w:type="gramEnd"/>
                            <w:r>
                              <w:rPr>
                                <w:sz w:val="18"/>
                              </w:rPr>
                              <w:t xml:space="preserve"> concernant l’offre de formations et de mises en réseau pour les conseillers et les services de soutien à l’innovation, axés sur l’innovation dans l’agriculture, la foresterie et d’autres secteurs concernés par le PDR. La formation des conseillers et des services de soutien à l’innovation peut par exemple faciliter la création de GO du PEI et ainsi contribuer à renforcer la capacité d’innover dans les zones rurales, puisque les GO sont censés développer des projets </w:t>
                            </w:r>
                            <w:proofErr w:type="gramStart"/>
                            <w:r>
                              <w:rPr>
                                <w:sz w:val="18"/>
                              </w:rPr>
                              <w:t>innovants;</w:t>
                            </w:r>
                            <w:proofErr w:type="gramEnd"/>
                          </w:p>
                          <w:p w:rsidR="00260B0F" w:rsidRPr="00ED3BAD" w:rsidRDefault="00260B0F" w:rsidP="00ED3746">
                            <w:pPr>
                              <w:pStyle w:val="HStandard"/>
                              <w:numPr>
                                <w:ilvl w:val="0"/>
                                <w:numId w:val="26"/>
                              </w:numPr>
                              <w:rPr>
                                <w:sz w:val="18"/>
                                <w:szCs w:val="18"/>
                              </w:rPr>
                            </w:pPr>
                            <w:proofErr w:type="gramStart"/>
                            <w:r>
                              <w:rPr>
                                <w:sz w:val="18"/>
                              </w:rPr>
                              <w:t>activité</w:t>
                            </w:r>
                            <w:proofErr w:type="gramEnd"/>
                            <w:r>
                              <w:rPr>
                                <w:sz w:val="18"/>
                              </w:rPr>
                              <w:t xml:space="preserve"> concernant l’offre de formations et de mises en réseau destinées aux GAL et en particulier l’assistance technique pour la coopération interrégionale et transnationale, les mesures en faveur de la coopération entre les GAL, et le recherche de partenaires au titre de la mesure M16 (coopération). Le RRN peut par exemple faciliter les efforts de coopération à l’appui de l’expérimentation et de l’innovation.</w:t>
                            </w:r>
                          </w:p>
                          <w:p w:rsidR="00260B0F" w:rsidRPr="0079762F" w:rsidRDefault="00260B0F" w:rsidP="00ED3746">
                            <w:pPr>
                              <w:pStyle w:val="HStandard"/>
                              <w:ind w:left="567" w:hanging="567"/>
                              <w:rPr>
                                <w:i/>
                                <w:sz w:val="18"/>
                                <w:szCs w:val="18"/>
                              </w:rPr>
                            </w:pPr>
                            <w:r>
                              <w:rPr>
                                <w:b/>
                                <w:color w:val="F07E31"/>
                                <w:sz w:val="18"/>
                              </w:rPr>
                              <w:t xml:space="preserve">Créer un environnement propice à </w:t>
                            </w:r>
                            <w:proofErr w:type="gramStart"/>
                            <w:r>
                              <w:rPr>
                                <w:b/>
                                <w:color w:val="F07E31"/>
                                <w:sz w:val="18"/>
                              </w:rPr>
                              <w:t>l’innovation:</w:t>
                            </w:r>
                            <w:proofErr w:type="gramEnd"/>
                          </w:p>
                          <w:p w:rsidR="00260B0F" w:rsidRPr="00ED3BAD" w:rsidRDefault="00260B0F" w:rsidP="00ED3746">
                            <w:pPr>
                              <w:pStyle w:val="HStandard"/>
                              <w:numPr>
                                <w:ilvl w:val="0"/>
                                <w:numId w:val="29"/>
                              </w:numPr>
                              <w:ind w:left="567" w:hanging="567"/>
                              <w:rPr>
                                <w:sz w:val="18"/>
                                <w:szCs w:val="18"/>
                              </w:rPr>
                            </w:pPr>
                            <w:proofErr w:type="gramStart"/>
                            <w:r>
                              <w:rPr>
                                <w:sz w:val="18"/>
                              </w:rPr>
                              <w:t>participer</w:t>
                            </w:r>
                            <w:proofErr w:type="gramEnd"/>
                            <w:r>
                              <w:rPr>
                                <w:sz w:val="18"/>
                              </w:rPr>
                              <w:t xml:space="preserve"> et contribuer aux activités des réseaux européens, notamment le REDR et le PEI-AGRI, peut donner la possibilité de favoriser un environnement propice à l’innovation grâce à ces réseaux;</w:t>
                            </w:r>
                          </w:p>
                          <w:p w:rsidR="00260B0F" w:rsidRPr="00547012" w:rsidRDefault="00260B0F" w:rsidP="00ED3746">
                            <w:pPr>
                              <w:pStyle w:val="HStandard"/>
                              <w:numPr>
                                <w:ilvl w:val="0"/>
                                <w:numId w:val="29"/>
                              </w:numPr>
                              <w:ind w:left="567" w:hanging="567"/>
                              <w:rPr>
                                <w:sz w:val="18"/>
                                <w:szCs w:val="18"/>
                              </w:rPr>
                            </w:pPr>
                            <w:proofErr w:type="gramStart"/>
                            <w:r>
                              <w:rPr>
                                <w:sz w:val="18"/>
                              </w:rPr>
                              <w:t>les</w:t>
                            </w:r>
                            <w:proofErr w:type="gramEnd"/>
                            <w:r>
                              <w:rPr>
                                <w:sz w:val="18"/>
                              </w:rPr>
                              <w:t xml:space="preserve"> RRN peuvent favoriser l’innovation en mettant en relation les acteurs de l’innovation (les agriculteurs, les chercheurs, les ONG, les GAL, etc.), en collectant des informations, en animant des initiatives ascendantes, en aidant à affiner des idées nouvelles et en apportant un soutien à la recherche de partenaires et de financements, ce qui contribue à créer un environnement propice à l’innovation.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28" o:spid="_x0000_s1050" style="position:absolute;left:0;text-align:left;margin-left:0;margin-top:23.35pt;width:455.15pt;height:54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80405,6964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" adj="-11796480,,5400" path="m349946,l5780405,r,l5780405,6614099v,193270,-156676,349946,-349946,349946l,6964045r,l,349946c,156676,156676,,349946,xe" filled="f" strokecolor="#f07e31" strokeweight="2pt">
                <v:stroke joinstyle="miter"/>
                <v:formulas/>
                <v:path arrowok="t" o:connecttype="custom" o:connectlocs="349946,0;5780405,0;5780405,0;5780405,6614099;5430459,6964045;0,6964045;0,6964045;0,349946;349946,0" o:connectangles="0,0,0,0,0,0,0,0,0" textboxrect="0,0,5780405,6964045"/>
                <v:textbox>
                  <w:txbxContent>
                    <w:p w:rsidR="00260B0F" w:rsidRPr="0079762F" w:rsidRDefault="00260B0F" w:rsidP="00ED3746">
                      <w:pPr>
                        <w:pStyle w:val="HStandard"/>
                        <w:ind w:left="567" w:hanging="567"/>
                        <w:rPr>
                          <w:i/>
                          <w:sz w:val="18"/>
                          <w:szCs w:val="18"/>
                        </w:rPr>
                      </w:pPr>
                      <w:r>
                        <w:rPr>
                          <w:noProof/>
                          <w:sz w:val="18"/>
                        </w:rPr>
                        <w:drawing>
                          <wp:inline distT="0" distB="0" distL="0" distR="0">
                            <wp:extent cx="349885" cy="357505"/>
                            <wp:effectExtent l="0" t="0" r="0" b="0"/>
                            <wp:docPr id="5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8"/>
                        </w:rPr>
                        <w:t xml:space="preserve">Cultiver les idées nouvelles et partager les </w:t>
                      </w:r>
                      <w:proofErr w:type="gramStart"/>
                      <w:r>
                        <w:rPr>
                          <w:b/>
                          <w:color w:val="F07E31"/>
                          <w:sz w:val="18"/>
                        </w:rPr>
                        <w:t>innovations:</w:t>
                      </w:r>
                      <w:proofErr w:type="gramEnd"/>
                    </w:p>
                    <w:p w:rsidR="00260B0F" w:rsidRPr="0079762F" w:rsidRDefault="00260B0F" w:rsidP="00ED3746">
                      <w:pPr>
                        <w:pStyle w:val="HStandard"/>
                        <w:numPr>
                          <w:ilvl w:val="0"/>
                          <w:numId w:val="26"/>
                        </w:numPr>
                        <w:ind w:left="567" w:hanging="567"/>
                        <w:rPr>
                          <w:sz w:val="18"/>
                          <w:szCs w:val="18"/>
                        </w:rPr>
                      </w:pPr>
                      <w:proofErr w:type="gramStart"/>
                      <w:r>
                        <w:rPr>
                          <w:sz w:val="18"/>
                        </w:rPr>
                        <w:t>collecte</w:t>
                      </w:r>
                      <w:proofErr w:type="gramEnd"/>
                      <w:r>
                        <w:rPr>
                          <w:sz w:val="18"/>
                        </w:rPr>
                        <w:t xml:space="preserve"> d’exemples de projets qui couvrent toutes les priorités du PDR: il peut par exemple s’agir de projets innovants ou de la création de bases de données de projets innovants, contribuant ainsi à la découverte et au partage d’innovations;</w:t>
                      </w:r>
                    </w:p>
                    <w:p w:rsidR="00260B0F" w:rsidRPr="0079762F" w:rsidRDefault="00260B0F" w:rsidP="00ED3746">
                      <w:pPr>
                        <w:pStyle w:val="HStandard"/>
                        <w:numPr>
                          <w:ilvl w:val="0"/>
                          <w:numId w:val="26"/>
                        </w:numPr>
                        <w:ind w:left="567" w:hanging="567"/>
                        <w:rPr>
                          <w:sz w:val="18"/>
                          <w:szCs w:val="18"/>
                        </w:rPr>
                      </w:pPr>
                      <w:proofErr w:type="gramStart"/>
                      <w:r>
                        <w:rPr>
                          <w:sz w:val="18"/>
                        </w:rPr>
                        <w:t>facilitation</w:t>
                      </w:r>
                      <w:proofErr w:type="gramEnd"/>
                      <w:r>
                        <w:rPr>
                          <w:sz w:val="18"/>
                        </w:rPr>
                        <w:t xml:space="preserve"> des échanges thématiques et analytiques entre les acteurs du développement rural, mise en commun et diffusion des données recueillies. Ces échanges peuvent aussi favoriser l’innovation en cultivant et partageant des idées nouvelles et en créant les conditions nécessaires au développement de nouvelles </w:t>
                      </w:r>
                      <w:proofErr w:type="gramStart"/>
                      <w:r>
                        <w:rPr>
                          <w:sz w:val="18"/>
                        </w:rPr>
                        <w:t>connaissances;</w:t>
                      </w:r>
                      <w:proofErr w:type="gramEnd"/>
                    </w:p>
                    <w:p w:rsidR="00260B0F" w:rsidRDefault="00260B0F" w:rsidP="00ED3746">
                      <w:pPr>
                        <w:pStyle w:val="HStandard"/>
                        <w:numPr>
                          <w:ilvl w:val="0"/>
                          <w:numId w:val="26"/>
                        </w:numPr>
                        <w:ind w:left="567" w:hanging="567"/>
                        <w:rPr>
                          <w:sz w:val="18"/>
                          <w:szCs w:val="18"/>
                        </w:rPr>
                      </w:pPr>
                      <w:proofErr w:type="gramStart"/>
                      <w:r>
                        <w:rPr>
                          <w:sz w:val="18"/>
                        </w:rPr>
                        <w:t>publicité</w:t>
                      </w:r>
                      <w:proofErr w:type="gramEnd"/>
                      <w:r>
                        <w:rPr>
                          <w:sz w:val="18"/>
                        </w:rPr>
                        <w:t xml:space="preserve"> et informations concernant le PDR et activités d’information et de communication visant un public plus large. </w:t>
                      </w:r>
                      <w:r>
                        <w:t>Celles-ci peuvent entre autres inclure des informations sur les réalisations du PRD en matière d’innovation, les réalisations des GO du PEI, la manière dont les stratégies de DLAL et les partenariats favorisent l’innovation, et des exemples de ces partenariats et projets Leader/DLAL innovants, etc.</w:t>
                      </w:r>
                    </w:p>
                    <w:p w:rsidR="00260B0F" w:rsidRPr="00E05D08" w:rsidRDefault="00260B0F" w:rsidP="00ED3746">
                      <w:pPr>
                        <w:pStyle w:val="HStandard"/>
                        <w:rPr>
                          <w:b/>
                          <w:color w:val="F07E31"/>
                          <w:sz w:val="18"/>
                          <w:szCs w:val="18"/>
                        </w:rPr>
                      </w:pPr>
                      <w:r>
                        <w:rPr>
                          <w:b/>
                          <w:color w:val="F07E31"/>
                          <w:sz w:val="18"/>
                        </w:rPr>
                        <w:t xml:space="preserve">Renforcer la capacité </w:t>
                      </w:r>
                      <w:proofErr w:type="gramStart"/>
                      <w:r>
                        <w:rPr>
                          <w:b/>
                          <w:color w:val="F07E31"/>
                          <w:sz w:val="18"/>
                        </w:rPr>
                        <w:t>d’innover:</w:t>
                      </w:r>
                      <w:proofErr w:type="gramEnd"/>
                    </w:p>
                    <w:p w:rsidR="00260B0F" w:rsidRPr="0079762F" w:rsidRDefault="00260B0F" w:rsidP="00ED3746">
                      <w:pPr>
                        <w:pStyle w:val="HStandard"/>
                        <w:numPr>
                          <w:ilvl w:val="0"/>
                          <w:numId w:val="26"/>
                        </w:numPr>
                        <w:rPr>
                          <w:sz w:val="18"/>
                          <w:szCs w:val="18"/>
                        </w:rPr>
                      </w:pPr>
                      <w:proofErr w:type="gramStart"/>
                      <w:r>
                        <w:rPr>
                          <w:sz w:val="18"/>
                        </w:rPr>
                        <w:t>activité</w:t>
                      </w:r>
                      <w:proofErr w:type="gramEnd"/>
                      <w:r>
                        <w:rPr>
                          <w:sz w:val="18"/>
                        </w:rPr>
                        <w:t xml:space="preserve"> concernant l’offre de formations et de mises en réseau pour les conseillers et les services de soutien à l’innovation, axés sur l’innovation dans l’agriculture, la foresterie et d’autres secteurs concernés par le PDR. La formation des conseillers et des services de soutien à l’innovation peut par exemple faciliter la création de GO du PEI et ainsi contribuer à renforcer la capacité d’innover dans les zones rurales, puisque les GO sont censés développer des projets </w:t>
                      </w:r>
                      <w:proofErr w:type="gramStart"/>
                      <w:r>
                        <w:rPr>
                          <w:sz w:val="18"/>
                        </w:rPr>
                        <w:t>innovants;</w:t>
                      </w:r>
                      <w:proofErr w:type="gramEnd"/>
                    </w:p>
                    <w:p w:rsidR="00260B0F" w:rsidRPr="00ED3BAD" w:rsidRDefault="00260B0F" w:rsidP="00ED3746">
                      <w:pPr>
                        <w:pStyle w:val="HStandard"/>
                        <w:numPr>
                          <w:ilvl w:val="0"/>
                          <w:numId w:val="26"/>
                        </w:numPr>
                        <w:rPr>
                          <w:sz w:val="18"/>
                          <w:szCs w:val="18"/>
                        </w:rPr>
                      </w:pPr>
                      <w:proofErr w:type="gramStart"/>
                      <w:r>
                        <w:rPr>
                          <w:sz w:val="18"/>
                        </w:rPr>
                        <w:t>activité</w:t>
                      </w:r>
                      <w:proofErr w:type="gramEnd"/>
                      <w:r>
                        <w:rPr>
                          <w:sz w:val="18"/>
                        </w:rPr>
                        <w:t xml:space="preserve"> concernant l’offre de formations et de mises en réseau destinées aux GAL et en particulier l’assistance technique pour la coopération interrégionale et transnationale, les mesures en faveur de la coopération entre les GAL, et le recherche de partenaires au titre de la mesure M16 (coopération). Le RRN peut par exemple faciliter les efforts de coopération à l’appui de l’expérimentation et de l’innovation.</w:t>
                      </w:r>
                    </w:p>
                    <w:p w:rsidR="00260B0F" w:rsidRPr="0079762F" w:rsidRDefault="00260B0F" w:rsidP="00ED3746">
                      <w:pPr>
                        <w:pStyle w:val="HStandard"/>
                        <w:ind w:left="567" w:hanging="567"/>
                        <w:rPr>
                          <w:i/>
                          <w:sz w:val="18"/>
                          <w:szCs w:val="18"/>
                        </w:rPr>
                      </w:pPr>
                      <w:r>
                        <w:rPr>
                          <w:b/>
                          <w:color w:val="F07E31"/>
                          <w:sz w:val="18"/>
                        </w:rPr>
                        <w:t xml:space="preserve">Créer un environnement propice à </w:t>
                      </w:r>
                      <w:proofErr w:type="gramStart"/>
                      <w:r>
                        <w:rPr>
                          <w:b/>
                          <w:color w:val="F07E31"/>
                          <w:sz w:val="18"/>
                        </w:rPr>
                        <w:t>l’innovation:</w:t>
                      </w:r>
                      <w:proofErr w:type="gramEnd"/>
                    </w:p>
                    <w:p w:rsidR="00260B0F" w:rsidRPr="00ED3BAD" w:rsidRDefault="00260B0F" w:rsidP="00ED3746">
                      <w:pPr>
                        <w:pStyle w:val="HStandard"/>
                        <w:numPr>
                          <w:ilvl w:val="0"/>
                          <w:numId w:val="29"/>
                        </w:numPr>
                        <w:ind w:left="567" w:hanging="567"/>
                        <w:rPr>
                          <w:sz w:val="18"/>
                          <w:szCs w:val="18"/>
                        </w:rPr>
                      </w:pPr>
                      <w:proofErr w:type="gramStart"/>
                      <w:r>
                        <w:rPr>
                          <w:sz w:val="18"/>
                        </w:rPr>
                        <w:t>participer</w:t>
                      </w:r>
                      <w:proofErr w:type="gramEnd"/>
                      <w:r>
                        <w:rPr>
                          <w:sz w:val="18"/>
                        </w:rPr>
                        <w:t xml:space="preserve"> et contribuer aux activités des réseaux européens, notamment le REDR et le PEI-AGRI, peut donner la possibilité de favoriser un environnement propice à l’innovation grâce à ces réseaux;</w:t>
                      </w:r>
                    </w:p>
                    <w:p w:rsidR="00260B0F" w:rsidRPr="00547012" w:rsidRDefault="00260B0F" w:rsidP="00ED3746">
                      <w:pPr>
                        <w:pStyle w:val="HStandard"/>
                        <w:numPr>
                          <w:ilvl w:val="0"/>
                          <w:numId w:val="29"/>
                        </w:numPr>
                        <w:ind w:left="567" w:hanging="567"/>
                        <w:rPr>
                          <w:sz w:val="18"/>
                          <w:szCs w:val="18"/>
                        </w:rPr>
                      </w:pPr>
                      <w:proofErr w:type="gramStart"/>
                      <w:r>
                        <w:rPr>
                          <w:sz w:val="18"/>
                        </w:rPr>
                        <w:t>les</w:t>
                      </w:r>
                      <w:proofErr w:type="gramEnd"/>
                      <w:r>
                        <w:rPr>
                          <w:sz w:val="18"/>
                        </w:rPr>
                        <w:t xml:space="preserve"> RRN peuvent favoriser l’innovation en mettant en relation les acteurs de l’innovation (les agriculteurs, les chercheurs, les ONG, les GAL, etc.), en collectant des informations, en animant des initiatives ascendantes, en aidant à affiner des idées nouvelles et en apportant un soutien à la recherche de partenaires et de financements, ce qui contribue à créer un environnement propice à l’innovation.</w:t>
                      </w:r>
                    </w:p>
                  </w:txbxContent>
                </v:textbox>
                <w10:wrap type="tight"/>
              </v:shape>
            </w:pict>
          </mc:Fallback>
        </mc:AlternateContent>
      </w:r>
    </w:p>
    <w:p w:rsidR="00ED3746" w:rsidRDefault="00ED3746" w:rsidP="00ED3746">
      <w:pPr>
        <w:spacing w:before="120" w:after="120" w:line="280" w:lineRule="atLeast"/>
        <w:mirrorIndents/>
        <w:sectPr w:rsidR="00ED3746" w:rsidSect="00ED3746">
          <w:endnotePr>
            <w:numFmt w:val="decimal"/>
          </w:endnotePr>
          <w:type w:val="continuous"/>
          <w:pgSz w:w="11906" w:h="16838" w:code="9"/>
          <w:pgMar w:top="1134" w:right="1440" w:bottom="1440" w:left="1440" w:header="567" w:footer="1021" w:gutter="0"/>
          <w:cols w:space="708"/>
          <w:noEndnote/>
          <w:titlePg/>
          <w:docGrid w:linePitch="360"/>
        </w:sectPr>
      </w:pPr>
    </w:p>
    <w:p w:rsidR="00ED3746" w:rsidRPr="00E05D08" w:rsidRDefault="00ED3746" w:rsidP="00ED3746">
      <w:pPr>
        <w:spacing w:before="120" w:after="120" w:line="280" w:lineRule="atLeast"/>
        <w:mirrorIndents/>
        <w:rPr>
          <w:rFonts w:eastAsia="Times New Roman" w:cs="Times New Roman"/>
          <w:szCs w:val="20"/>
        </w:rPr>
      </w:pPr>
      <w:r>
        <w:lastRenderedPageBreak/>
        <w:t>Il est à noter que cette question d’évaluation concerne les RRN qui favorisent l’innovation non seulement dans l’agriculture, mais aussi dans les zones rurales dans leur ensemble. Les RRN peuvent intervenir à maints égards pour favoriser l’innovation et apporter</w:t>
      </w:r>
      <w:proofErr w:type="gramStart"/>
      <w:r>
        <w:t xml:space="preserve"> «quelque</w:t>
      </w:r>
      <w:proofErr w:type="gramEnd"/>
      <w:r>
        <w:t xml:space="preserve"> chose de neuf» aux communautés rurales:</w:t>
      </w:r>
    </w:p>
    <w:p w:rsidR="00ED3746" w:rsidRPr="00E05D08" w:rsidRDefault="00ED3746" w:rsidP="00ED3746">
      <w:pPr>
        <w:numPr>
          <w:ilvl w:val="0"/>
          <w:numId w:val="27"/>
        </w:numPr>
        <w:spacing w:before="60" w:after="120" w:line="280" w:lineRule="atLeast"/>
        <w:ind w:left="567" w:hanging="567"/>
        <w:rPr>
          <w:rFonts w:eastAsia="Times New Roman" w:cs="Times New Roman"/>
          <w:szCs w:val="20"/>
        </w:rPr>
      </w:pPr>
      <w:proofErr w:type="gramStart"/>
      <w:r>
        <w:t>en</w:t>
      </w:r>
      <w:proofErr w:type="gramEnd"/>
      <w:r>
        <w:t xml:space="preserve"> travaillant avec les organisations et les entreprises rurales pour générer des idées et des approches nouvelles en vue de répondre aux besoins communs;</w:t>
      </w:r>
    </w:p>
    <w:p w:rsidR="00ED3746" w:rsidRPr="00E05D08" w:rsidRDefault="00ED3746" w:rsidP="00ED3746">
      <w:pPr>
        <w:numPr>
          <w:ilvl w:val="0"/>
          <w:numId w:val="27"/>
        </w:numPr>
        <w:spacing w:before="60" w:after="120" w:line="280" w:lineRule="atLeast"/>
        <w:ind w:left="567" w:hanging="567"/>
        <w:rPr>
          <w:rFonts w:eastAsia="Times New Roman" w:cs="Times New Roman"/>
          <w:szCs w:val="20"/>
        </w:rPr>
      </w:pPr>
      <w:proofErr w:type="gramStart"/>
      <w:r>
        <w:t>en</w:t>
      </w:r>
      <w:proofErr w:type="gramEnd"/>
      <w:r>
        <w:t xml:space="preserve"> tirant profit des bonnes pratiques en mettant les praticiens du développement rural en relation avec les experts, les universitaires et les instituts de recherche pertinents;</w:t>
      </w:r>
    </w:p>
    <w:p w:rsidR="00ED3746" w:rsidRPr="00E05D08" w:rsidRDefault="00ED3746" w:rsidP="00ED3746">
      <w:pPr>
        <w:numPr>
          <w:ilvl w:val="0"/>
          <w:numId w:val="27"/>
        </w:numPr>
        <w:spacing w:before="60" w:after="120" w:line="280" w:lineRule="atLeast"/>
        <w:ind w:left="567" w:hanging="567"/>
        <w:rPr>
          <w:rFonts w:eastAsia="Times New Roman" w:cs="Times New Roman"/>
          <w:szCs w:val="20"/>
        </w:rPr>
      </w:pPr>
      <w:proofErr w:type="gramStart"/>
      <w:r>
        <w:t>en</w:t>
      </w:r>
      <w:proofErr w:type="gramEnd"/>
      <w:r>
        <w:t xml:space="preserve"> dispensant des formations sur des sujets liés à l’innovation;</w:t>
      </w:r>
    </w:p>
    <w:p w:rsidR="00ED3746" w:rsidRPr="00E05D08" w:rsidRDefault="00ED3746" w:rsidP="00ED3746">
      <w:pPr>
        <w:numPr>
          <w:ilvl w:val="0"/>
          <w:numId w:val="27"/>
        </w:numPr>
        <w:spacing w:before="60" w:after="120" w:line="280" w:lineRule="atLeast"/>
        <w:ind w:left="567" w:hanging="567"/>
        <w:rPr>
          <w:rFonts w:eastAsia="Times New Roman" w:cs="Times New Roman"/>
          <w:szCs w:val="20"/>
        </w:rPr>
      </w:pPr>
      <w:proofErr w:type="gramStart"/>
      <w:r>
        <w:t>en</w:t>
      </w:r>
      <w:proofErr w:type="gramEnd"/>
      <w:r>
        <w:t xml:space="preserve"> aidant les GAL et les acteurs Leader à soutenir l’innovation comme principe essentiel de leurs stratégies de développement local et à «incuber» de nouvelles idées et approches. </w:t>
      </w:r>
    </w:p>
    <w:p w:rsidR="00ED3746" w:rsidRPr="00E05D08" w:rsidRDefault="00ED3746" w:rsidP="00ED3746">
      <w:pPr>
        <w:spacing w:after="120" w:line="280" w:lineRule="atLeast"/>
        <w:mirrorIndents/>
        <w:rPr>
          <w:rFonts w:eastAsia="Times New Roman" w:cs="Times New Roman"/>
          <w:szCs w:val="20"/>
        </w:rPr>
      </w:pPr>
      <w:r>
        <w:t>Avant d’aborder la QEC nº 21, il est donc important de clarifier ces aspects et de bien comprendre comment un RRN donné peut favoriser l’innovation grâce à ses activités.</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 xml:space="preserve">Difficultés </w:t>
      </w:r>
      <w:proofErr w:type="gramStart"/>
      <w:r>
        <w:rPr>
          <w:b/>
          <w:color w:val="57825E"/>
        </w:rPr>
        <w:t>particulières:</w:t>
      </w:r>
      <w:proofErr w:type="gramEnd"/>
      <w:r>
        <w:rPr>
          <w:b/>
          <w:color w:val="57825E"/>
        </w:rPr>
        <w:t xml:space="preserve"> </w:t>
      </w:r>
    </w:p>
    <w:p w:rsidR="00ED3746" w:rsidRPr="00C9522B" w:rsidRDefault="00ED3746" w:rsidP="00ED3746">
      <w:pPr>
        <w:pStyle w:val="Hlistbullet"/>
      </w:pPr>
      <w:proofErr w:type="gramStart"/>
      <w:r>
        <w:rPr>
          <w:b/>
        </w:rPr>
        <w:t>élaborer</w:t>
      </w:r>
      <w:proofErr w:type="gramEnd"/>
      <w:r>
        <w:rPr>
          <w:b/>
        </w:rPr>
        <w:t xml:space="preserve"> des éléments d’évaluation supplémentaires et propres au programme pour évaluer l’innovation en relation avec les RRN</w:t>
      </w:r>
      <w:r>
        <w:t xml:space="preserve">. Comment concevoir et utiliser des indicateurs (de résultat et d’impact) supplémentaires en plus des indicateurs de réalisation déjà fournis par le CMES pour répondre à la QEC nº 21 du point de vue de la promotion de </w:t>
      </w:r>
      <w:proofErr w:type="gramStart"/>
      <w:r>
        <w:t>l’innovation?</w:t>
      </w:r>
      <w:proofErr w:type="gramEnd"/>
      <w:r>
        <w:t xml:space="preserve"> </w:t>
      </w:r>
    </w:p>
    <w:p w:rsidR="00ED3746" w:rsidRPr="00C9522B" w:rsidRDefault="00ED3746" w:rsidP="00ED3746">
      <w:pPr>
        <w:pStyle w:val="Hlistbullet"/>
      </w:pPr>
      <w:proofErr w:type="gramStart"/>
      <w:r>
        <w:rPr>
          <w:b/>
        </w:rPr>
        <w:t>attribuer</w:t>
      </w:r>
      <w:proofErr w:type="gramEnd"/>
      <w:r>
        <w:rPr>
          <w:b/>
        </w:rPr>
        <w:t xml:space="preserve"> les processus d’innovation aux interventions du RRN. </w:t>
      </w:r>
      <w:r>
        <w:t xml:space="preserve">Comment mesurer la mesure dans laquelle les processus d’innovation générés dans les zones rurales peuvent être directement ou indirectement attribués aux activités du </w:t>
      </w:r>
      <w:proofErr w:type="gramStart"/>
      <w:r>
        <w:t>RRN?</w:t>
      </w:r>
      <w:proofErr w:type="gramEnd"/>
    </w:p>
    <w:p w:rsidR="00ED3746" w:rsidRPr="00C9522B" w:rsidRDefault="00ED3746" w:rsidP="00ED3746">
      <w:pPr>
        <w:pStyle w:val="Hlistbullet"/>
      </w:pPr>
      <w:proofErr w:type="gramStart"/>
      <w:r>
        <w:rPr>
          <w:b/>
        </w:rPr>
        <w:t>attribuer</w:t>
      </w:r>
      <w:proofErr w:type="gramEnd"/>
      <w:r>
        <w:rPr>
          <w:b/>
        </w:rPr>
        <w:t xml:space="preserve"> l’innovation favorisée par le PDR au RRN</w:t>
      </w:r>
      <w:r>
        <w:t xml:space="preserve">, notamment en évaluant la mesure dans laquelle l’innovation favorisée par le PDR peut être liée aux activités du RRN. Cela signifie que les effets des activités du RRN sur la promotion de l’innovation devraient être isolés des effets des autres interventions du PDR (autres mesures, etc.). </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Approche proposée pour répondre à la QEC nº 21</w:t>
      </w:r>
    </w:p>
    <w:p w:rsidR="00ED3746" w:rsidRPr="00A304B0" w:rsidRDefault="00ED3746" w:rsidP="00ED3746">
      <w:pPr>
        <w:numPr>
          <w:ilvl w:val="0"/>
          <w:numId w:val="60"/>
        </w:numPr>
        <w:spacing w:before="120" w:after="120" w:line="280" w:lineRule="atLeast"/>
        <w:ind w:left="567" w:hanging="567"/>
        <w:mirrorIndents/>
        <w:rPr>
          <w:rFonts w:eastAsia="Times New Roman" w:cs="Times New Roman"/>
          <w:b/>
          <w:szCs w:val="20"/>
        </w:rPr>
      </w:pPr>
      <w:r>
        <w:rPr>
          <w:b/>
        </w:rPr>
        <w:t xml:space="preserve">Logique d’intervention </w:t>
      </w:r>
    </w:p>
    <w:p w:rsidR="00ED3746" w:rsidRPr="00E05D08" w:rsidRDefault="00ED3746" w:rsidP="00ED3746">
      <w:pPr>
        <w:spacing w:after="120" w:line="280" w:lineRule="atLeast"/>
        <w:mirrorIndents/>
        <w:rPr>
          <w:rFonts w:eastAsia="Times New Roman" w:cs="Times New Roman"/>
          <w:szCs w:val="20"/>
        </w:rPr>
      </w:pPr>
      <w:r>
        <w:t>L’approche du PDR à l’égard de l’innovation telle qu’établie lors de la conception du programme</w:t>
      </w:r>
      <w:r>
        <w:rPr>
          <w:vertAlign w:val="superscript"/>
        </w:rPr>
        <w:footnoteReference w:id="61"/>
      </w:r>
      <w:r>
        <w:t xml:space="preserve"> inclut aussi le RRN. Lors de la préparation de l’évaluation qui fera l’objet du RAM présenté en 2019, le potentiel d’innovation du groupe d’actions figurant dans le plan d’action du RRN est analysé de la même manière que celui des mesures du PDR. Cela concerne le potentiel du RRN </w:t>
      </w:r>
      <w:proofErr w:type="gramStart"/>
      <w:r>
        <w:t>à:</w:t>
      </w:r>
      <w:proofErr w:type="gramEnd"/>
      <w:r>
        <w:t xml:space="preserve"> a) découvrir et partager des idées nouvelles, b) renforcer la capacité d’innover, et c) créer un environnement propice à l’innovation. En conséquence, toutes les activités mises en œuvre au titre du groupe d’actions du RRN qui ont montré un potentiel d’innovation sont considérées dans le cadre de la logique d’intervention sous-jacente du RRN en matière d’innovation.</w:t>
      </w:r>
    </w:p>
    <w:p w:rsidR="00ED3746" w:rsidRPr="00E05D08" w:rsidRDefault="00ED3746" w:rsidP="00ED3746">
      <w:pPr>
        <w:pStyle w:val="HStandard"/>
        <w:rPr>
          <w:b/>
          <w:sz w:val="16"/>
        </w:rPr>
      </w:pPr>
      <w:r>
        <w:t xml:space="preserve">La figure ci-après illustre la logique d’intervention du RRN en matière d’innovation et la manière dont elle peut être reconstruite à partir de la logique d’intervention existante du RRN ou à partir du plan d’action du RRN. </w:t>
      </w:r>
      <w:r>
        <w:br w:type="page"/>
      </w:r>
    </w:p>
    <w:p w:rsidR="00ED3746" w:rsidRPr="00CB68D9" w:rsidRDefault="00ED3746" w:rsidP="00ED3746">
      <w:pPr>
        <w:pStyle w:val="HHeadingfigures"/>
      </w:pPr>
      <w:bookmarkStart w:id="148" w:name="_Toc503284763"/>
      <w:bookmarkStart w:id="149" w:name="_Toc508894555"/>
      <w:r>
        <w:lastRenderedPageBreak/>
        <w:t>Logique d’intervention du RRN en matière d’innovation</w:t>
      </w:r>
      <w:bookmarkEnd w:id="148"/>
      <w:bookmarkEnd w:id="149"/>
    </w:p>
    <w:p w:rsidR="00ED3746" w:rsidRPr="00E05D08" w:rsidRDefault="00F204F1" w:rsidP="00ED3746">
      <w:pPr>
        <w:spacing w:before="240" w:after="120" w:line="280" w:lineRule="atLeast"/>
        <w:ind w:left="-142"/>
        <w:mirrorIndents/>
        <w:jc w:val="center"/>
        <w:rPr>
          <w:rFonts w:eastAsia="Times New Roman" w:cs="Times New Roman"/>
          <w:b/>
          <w:szCs w:val="20"/>
        </w:rPr>
      </w:pPr>
      <w:r w:rsidRPr="00230BFD">
        <w:rPr>
          <w:noProof/>
        </w:rPr>
        <w:drawing>
          <wp:inline distT="0" distB="0" distL="0" distR="0">
            <wp:extent cx="5732780" cy="32200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ED3746" w:rsidRPr="00E05D08" w:rsidRDefault="00ED3746" w:rsidP="00ED3746">
      <w:pPr>
        <w:suppressAutoHyphens/>
        <w:spacing w:before="60" w:after="140" w:line="240" w:lineRule="auto"/>
        <w:mirrorIndents/>
        <w:jc w:val="center"/>
        <w:rPr>
          <w:rFonts w:eastAsia="Times New Roman" w:cs="Times New Roman"/>
          <w:i/>
          <w:sz w:val="16"/>
          <w:szCs w:val="20"/>
        </w:rPr>
      </w:pPr>
      <w:proofErr w:type="gramStart"/>
      <w:r>
        <w:rPr>
          <w:i/>
          <w:sz w:val="16"/>
        </w:rPr>
        <w:t>Source:</w:t>
      </w:r>
      <w:proofErr w:type="gramEnd"/>
      <w:r>
        <w:rPr>
          <w:i/>
          <w:sz w:val="16"/>
        </w:rPr>
        <w:t xml:space="preserve"> Helpdesk Évaluation européen pour le développement rural, 2017.</w:t>
      </w:r>
    </w:p>
    <w:p w:rsidR="00ED3746" w:rsidRPr="00E05D08" w:rsidRDefault="00ED3746" w:rsidP="00ED3746">
      <w:pPr>
        <w:spacing w:before="120" w:after="120" w:line="280" w:lineRule="atLeast"/>
        <w:mirrorIndents/>
        <w:rPr>
          <w:rFonts w:eastAsia="Times New Roman" w:cs="Times New Roman"/>
          <w:szCs w:val="20"/>
        </w:rPr>
      </w:pPr>
      <w:r>
        <w:t xml:space="preserve">Sur la base de la figure, une logique d’intervention du RRN en matière d’innovation peut être reconstruite de la manière </w:t>
      </w:r>
      <w:proofErr w:type="gramStart"/>
      <w:r>
        <w:t>suivante:</w:t>
      </w:r>
      <w:proofErr w:type="gramEnd"/>
    </w:p>
    <w:p w:rsidR="00ED3746" w:rsidRPr="00BC2432" w:rsidRDefault="00ED3746" w:rsidP="00ED3746">
      <w:pPr>
        <w:pStyle w:val="Hlistbullet"/>
      </w:pPr>
      <w:r>
        <w:rPr>
          <w:b/>
        </w:rPr>
        <w:t>ÉTAPE </w:t>
      </w:r>
      <w:proofErr w:type="gramStart"/>
      <w:r>
        <w:rPr>
          <w:b/>
        </w:rPr>
        <w:t>1</w:t>
      </w:r>
      <w:r>
        <w:t>:</w:t>
      </w:r>
      <w:proofErr w:type="gramEnd"/>
      <w:r>
        <w:t xml:space="preserve"> déterminer les besoins en matière d’innovation du territoire du PDR qui peuvent être couverts par les réseaux ruraux; </w:t>
      </w:r>
    </w:p>
    <w:p w:rsidR="00ED3746" w:rsidRPr="00BC2432" w:rsidRDefault="00ED3746" w:rsidP="00ED3746">
      <w:pPr>
        <w:pStyle w:val="Hlistbullet"/>
      </w:pPr>
      <w:r>
        <w:rPr>
          <w:b/>
        </w:rPr>
        <w:t>ÉTAPE </w:t>
      </w:r>
      <w:proofErr w:type="gramStart"/>
      <w:r>
        <w:rPr>
          <w:b/>
        </w:rPr>
        <w:t>2:</w:t>
      </w:r>
      <w:proofErr w:type="gramEnd"/>
      <w:r>
        <w:t xml:space="preserve"> lier les activités énumérées dans le plan d’action du RRN (et prédéfinies dans le cadre réglementaire de la période de programmation 2014-2020</w:t>
      </w:r>
      <w:r>
        <w:rPr>
          <w:vertAlign w:val="superscript"/>
        </w:rPr>
        <w:footnoteReference w:id="62"/>
      </w:r>
      <w:r>
        <w:t xml:space="preserve">) aux trois démarches et donc à l’objectif général de promotion de l’innovation via le RRN (sur la base de l’analyse du potentiel d’innovation des mesures, voir le </w:t>
      </w:r>
      <w:hyperlink w:anchor="Screening_Potential" w:history="1">
        <w:r>
          <w:rPr>
            <w:rStyle w:val="Hyperlink"/>
            <w:sz w:val="20"/>
          </w:rPr>
          <w:t>chapitre 2.2</w:t>
        </w:r>
      </w:hyperlink>
      <w:r>
        <w:t>);</w:t>
      </w:r>
    </w:p>
    <w:p w:rsidR="00ED3746" w:rsidRPr="00BC2432" w:rsidRDefault="00ED3746" w:rsidP="00ED3746">
      <w:pPr>
        <w:pStyle w:val="Hlistbullet"/>
      </w:pPr>
      <w:r>
        <w:rPr>
          <w:b/>
        </w:rPr>
        <w:t>ÉTAPE </w:t>
      </w:r>
      <w:proofErr w:type="gramStart"/>
      <w:r>
        <w:rPr>
          <w:b/>
        </w:rPr>
        <w:t>3:</w:t>
      </w:r>
      <w:proofErr w:type="gramEnd"/>
      <w:r>
        <w:t xml:space="preserve"> utiliser la théorie du changement pour définir les réalisations escomptées générées grâce aux activités, qui mèneront aux résultats attendus liés aux trois démarches (incidences liées aux objectifs communs du RRN et aux objectifs du PDR). </w:t>
      </w:r>
    </w:p>
    <w:p w:rsidR="00ED3746" w:rsidRPr="00E05D08" w:rsidRDefault="00ED3746" w:rsidP="00ED3746">
      <w:pPr>
        <w:numPr>
          <w:ilvl w:val="0"/>
          <w:numId w:val="60"/>
        </w:numPr>
        <w:spacing w:before="120" w:after="120" w:line="280" w:lineRule="atLeast"/>
        <w:ind w:left="567" w:hanging="567"/>
        <w:mirrorIndents/>
        <w:rPr>
          <w:rFonts w:eastAsia="Times New Roman" w:cs="Times New Roman"/>
          <w:b/>
          <w:szCs w:val="20"/>
        </w:rPr>
      </w:pPr>
      <w:r>
        <w:rPr>
          <w:b/>
        </w:rPr>
        <w:t xml:space="preserve">Éléments d’évaluation </w:t>
      </w:r>
    </w:p>
    <w:p w:rsidR="00ED3746" w:rsidRPr="00E05D08" w:rsidRDefault="00ED3746" w:rsidP="00ED3746">
      <w:pPr>
        <w:spacing w:after="120" w:line="280" w:lineRule="atLeast"/>
        <w:ind w:left="142"/>
        <w:mirrorIndents/>
        <w:rPr>
          <w:rFonts w:eastAsia="Times New Roman" w:cs="Times New Roman"/>
          <w:szCs w:val="20"/>
        </w:rPr>
      </w:pPr>
      <w:r>
        <w:t>Il existe un critère de jugement pour répondre à la QEC nº 21, à savoir celui selon lequel</w:t>
      </w:r>
      <w:proofErr w:type="gramStart"/>
      <w:r>
        <w:t xml:space="preserve"> «[</w:t>
      </w:r>
      <w:proofErr w:type="gramEnd"/>
      <w:r>
        <w:t>l]’innovation dans l’agriculture, la production alimentaire, la foresterie et les zones rurales a été favorisée par le RRN»</w:t>
      </w:r>
      <w:r>
        <w:rPr>
          <w:vertAlign w:val="superscript"/>
        </w:rPr>
        <w:footnoteReference w:id="63"/>
      </w:r>
      <w:r>
        <w:t>. Celui-ci est accompagné de deux indicateurs de réalisation communs</w:t>
      </w:r>
      <w:r>
        <w:rPr>
          <w:vertAlign w:val="superscript"/>
        </w:rPr>
        <w:footnoteReference w:id="64"/>
      </w:r>
      <w:r>
        <w:t>:</w:t>
      </w:r>
    </w:p>
    <w:p w:rsidR="00ED3746" w:rsidRPr="005D0347" w:rsidRDefault="00ED3746" w:rsidP="00ED3746">
      <w:pPr>
        <w:numPr>
          <w:ilvl w:val="0"/>
          <w:numId w:val="95"/>
        </w:numPr>
        <w:tabs>
          <w:tab w:val="left" w:pos="426"/>
        </w:tabs>
        <w:ind w:left="426" w:hanging="284"/>
        <w:mirrorIndents/>
        <w:rPr>
          <w:szCs w:val="20"/>
        </w:rPr>
      </w:pPr>
      <w:proofErr w:type="gramStart"/>
      <w:r>
        <w:t>le</w:t>
      </w:r>
      <w:proofErr w:type="gramEnd"/>
      <w:r>
        <w:t xml:space="preserve"> nombre d’échanges thématiques et analytiques mis en place avec le soutien du RRN (O.24);</w:t>
      </w:r>
    </w:p>
    <w:p w:rsidR="00ED3746" w:rsidRPr="005D0347" w:rsidRDefault="00ED3746" w:rsidP="00ED3746">
      <w:pPr>
        <w:numPr>
          <w:ilvl w:val="0"/>
          <w:numId w:val="95"/>
        </w:numPr>
        <w:tabs>
          <w:tab w:val="left" w:pos="426"/>
        </w:tabs>
        <w:ind w:left="426" w:hanging="284"/>
        <w:mirrorIndents/>
        <w:rPr>
          <w:szCs w:val="20"/>
        </w:rPr>
      </w:pPr>
      <w:proofErr w:type="gramStart"/>
      <w:r>
        <w:t>le</w:t>
      </w:r>
      <w:proofErr w:type="gramEnd"/>
      <w:r>
        <w:t xml:space="preserve"> nombre d’activités du réseau européen de développement rural auxquelles le RRN a participé (O.26).</w:t>
      </w:r>
    </w:p>
    <w:p w:rsidR="00ED3746" w:rsidRPr="00E05D08" w:rsidRDefault="00ED3746" w:rsidP="00ED3746">
      <w:pPr>
        <w:spacing w:after="120" w:line="280" w:lineRule="atLeast"/>
        <w:mirrorIndents/>
        <w:rPr>
          <w:rFonts w:eastAsia="Times New Roman" w:cs="Times New Roman"/>
          <w:szCs w:val="20"/>
        </w:rPr>
      </w:pPr>
      <w:r>
        <w:t>Des critères de jugement et des indicateurs supplémentaires sont proposés dans le tableau 5. À cet effet, le critère de jugement existant a été divisé en plusieurs critères, conformément aux trois démarches d’innovation.</w:t>
      </w:r>
    </w:p>
    <w:p w:rsidR="00ED3746" w:rsidRDefault="00ED3746" w:rsidP="00ED3746">
      <w:pPr>
        <w:spacing w:after="120" w:line="280" w:lineRule="atLeast"/>
        <w:mirrorIndents/>
        <w:sectPr w:rsidR="00ED3746" w:rsidSect="00ED3746">
          <w:endnotePr>
            <w:numFmt w:val="decimal"/>
          </w:endnotePr>
          <w:type w:val="continuous"/>
          <w:pgSz w:w="11906" w:h="16838" w:code="9"/>
          <w:pgMar w:top="1134" w:right="1440" w:bottom="1440" w:left="1440" w:header="567" w:footer="1021" w:gutter="0"/>
          <w:cols w:space="708"/>
          <w:noEndnote/>
          <w:titlePg/>
          <w:docGrid w:linePitch="360"/>
        </w:sectPr>
      </w:pPr>
    </w:p>
    <w:p w:rsidR="00ED3746" w:rsidRDefault="00ED3746" w:rsidP="00ED3746">
      <w:pPr>
        <w:spacing w:after="120" w:line="280" w:lineRule="atLeast"/>
        <w:mirrorIndents/>
        <w:sectPr w:rsidR="00ED3746" w:rsidSect="00ED3746">
          <w:endnotePr>
            <w:numFmt w:val="decimal"/>
          </w:endnotePr>
          <w:type w:val="continuous"/>
          <w:pgSz w:w="11906" w:h="16838" w:code="9"/>
          <w:pgMar w:top="1134" w:right="1440" w:bottom="1440" w:left="1440" w:header="567" w:footer="1021" w:gutter="0"/>
          <w:cols w:space="708"/>
          <w:noEndnote/>
          <w:titlePg/>
          <w:docGrid w:linePitch="360"/>
        </w:sectPr>
      </w:pPr>
    </w:p>
    <w:p w:rsidR="00ED3746" w:rsidRPr="00412D26" w:rsidRDefault="00ED3746" w:rsidP="00ED3746">
      <w:pPr>
        <w:pStyle w:val="HHeadingtables"/>
        <w:rPr>
          <w:color w:val="6F6F6F"/>
          <w:sz w:val="18"/>
          <w:szCs w:val="18"/>
        </w:rPr>
      </w:pPr>
      <w:bookmarkStart w:id="150" w:name="_Toc503284467"/>
      <w:bookmarkStart w:id="151" w:name="_Toc508894478"/>
      <w:r>
        <w:rPr>
          <w:color w:val="6F6F6F"/>
          <w:sz w:val="18"/>
        </w:rPr>
        <w:lastRenderedPageBreak/>
        <w:t>Critères de jugement, indicateurs et données supplémentaires proposés pour répondre à la QEC nº 21.</w:t>
      </w:r>
      <w:bookmarkEnd w:id="150"/>
      <w:bookmarkEnd w:id="151"/>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D3746" w:rsidRPr="00B77106" w:rsidTr="00123467">
        <w:trPr>
          <w:tblHeader/>
        </w:trPr>
        <w:tc>
          <w:tcPr>
            <w:tcW w:w="3508"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Critères de jugement</w:t>
            </w:r>
          </w:p>
        </w:tc>
        <w:tc>
          <w:tcPr>
            <w:tcW w:w="3508"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Indicateurs</w:t>
            </w:r>
          </w:p>
        </w:tc>
        <w:tc>
          <w:tcPr>
            <w:tcW w:w="3508"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Données requises</w:t>
            </w:r>
          </w:p>
        </w:tc>
        <w:tc>
          <w:tcPr>
            <w:tcW w:w="3508"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Sources de données</w:t>
            </w:r>
          </w:p>
        </w:tc>
      </w:tr>
      <w:tr w:rsidR="00ED3746" w:rsidRPr="00B77106" w:rsidTr="00762026">
        <w:trPr>
          <w:trHeight w:val="290"/>
        </w:trPr>
        <w:tc>
          <w:tcPr>
            <w:tcW w:w="14032" w:type="dxa"/>
            <w:gridSpan w:val="4"/>
            <w:shd w:val="clear" w:color="auto" w:fill="57825E"/>
          </w:tcPr>
          <w:p w:rsidR="00ED3746" w:rsidRPr="00B77106" w:rsidRDefault="00ED3746" w:rsidP="00ED3746">
            <w:pPr>
              <w:spacing w:after="120" w:line="280" w:lineRule="atLeast"/>
              <w:mirrorIndents/>
              <w:rPr>
                <w:rFonts w:eastAsia="Times New Roman" w:cs="Arial"/>
                <w:b/>
                <w:color w:val="FFFFFF"/>
                <w:sz w:val="18"/>
                <w:szCs w:val="18"/>
              </w:rPr>
            </w:pPr>
            <w:r>
              <w:rPr>
                <w:b/>
                <w:color w:val="FFFFFF"/>
                <w:sz w:val="18"/>
              </w:rPr>
              <w:t>Éléments d’évaluation communs (CMES et éléments proposés dans le document de travail</w:t>
            </w:r>
            <w:proofErr w:type="gramStart"/>
            <w:r>
              <w:rPr>
                <w:b/>
                <w:color w:val="FFFFFF"/>
                <w:sz w:val="18"/>
              </w:rPr>
              <w:t xml:space="preserve"> «</w:t>
            </w:r>
            <w:r>
              <w:rPr>
                <w:b/>
                <w:i/>
                <w:color w:val="FFFFFF"/>
                <w:sz w:val="18"/>
              </w:rPr>
              <w:t>Questions</w:t>
            </w:r>
            <w:proofErr w:type="gramEnd"/>
            <w:r>
              <w:rPr>
                <w:b/>
                <w:i/>
                <w:color w:val="FFFFFF"/>
                <w:sz w:val="18"/>
              </w:rPr>
              <w:t xml:space="preserve"> d’évaluation communes pour les programmes de développement rural 2014-2020</w:t>
            </w:r>
            <w:r>
              <w:rPr>
                <w:b/>
                <w:color w:val="FFFFFF"/>
                <w:sz w:val="18"/>
              </w:rPr>
              <w:t>»)</w:t>
            </w:r>
          </w:p>
        </w:tc>
      </w:tr>
      <w:tr w:rsidR="00ED3746" w:rsidRPr="00B77106" w:rsidTr="00ED3746">
        <w:trPr>
          <w:trHeight w:val="500"/>
        </w:trPr>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L’innovation dans l’agriculture, la production alimentaire et la foresterie et les zones rurales a été favorisée par le RRN.</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O.24 – Nombre d’échanges thématiques et analytiques mis en place avec le soutien du RRN (ceux liés à l’innovation)</w:t>
            </w:r>
          </w:p>
          <w:p w:rsidR="00ED3746" w:rsidRPr="00B77106" w:rsidRDefault="00ED3746" w:rsidP="00ED3746">
            <w:pPr>
              <w:spacing w:after="120" w:line="280" w:lineRule="atLeast"/>
              <w:jc w:val="left"/>
              <w:rPr>
                <w:rFonts w:cs="Arial"/>
                <w:color w:val="292929"/>
                <w:sz w:val="18"/>
                <w:szCs w:val="18"/>
              </w:rPr>
            </w:pPr>
            <w:r>
              <w:rPr>
                <w:color w:val="292929"/>
                <w:sz w:val="18"/>
              </w:rPr>
              <w:t>O.25 – Nombre d’outils de communication du RRN (liés à l’innovation)</w:t>
            </w:r>
          </w:p>
          <w:p w:rsidR="00ED3746" w:rsidRPr="00B77106" w:rsidRDefault="00ED3746" w:rsidP="00ED3746">
            <w:pPr>
              <w:spacing w:after="120" w:line="280" w:lineRule="atLeast"/>
              <w:jc w:val="left"/>
              <w:rPr>
                <w:rFonts w:cs="Arial"/>
                <w:color w:val="292929"/>
                <w:sz w:val="18"/>
                <w:szCs w:val="18"/>
              </w:rPr>
            </w:pPr>
            <w:r>
              <w:rPr>
                <w:color w:val="292929"/>
                <w:sz w:val="18"/>
              </w:rPr>
              <w:t xml:space="preserve">O.26 – Nombre d’activités du réseau européen de développement rural auxquelles le RRN a participé (liées à l’innovation) </w:t>
            </w:r>
          </w:p>
          <w:p w:rsidR="00ED3746" w:rsidRPr="00B77106" w:rsidRDefault="00ED3746" w:rsidP="00ED3746">
            <w:pPr>
              <w:spacing w:after="120" w:line="280" w:lineRule="atLeast"/>
              <w:jc w:val="left"/>
              <w:rPr>
                <w:rFonts w:cs="Arial"/>
                <w:color w:val="314935"/>
                <w:sz w:val="18"/>
                <w:szCs w:val="18"/>
                <w:u w:val="single"/>
              </w:rPr>
            </w:pPr>
            <w:r>
              <w:rPr>
                <w:color w:val="314935"/>
                <w:sz w:val="18"/>
                <w:u w:val="single"/>
              </w:rPr>
              <w:t xml:space="preserve">Indicateur </w:t>
            </w:r>
            <w:proofErr w:type="gramStart"/>
            <w:r>
              <w:rPr>
                <w:color w:val="314935"/>
                <w:sz w:val="18"/>
                <w:u w:val="single"/>
              </w:rPr>
              <w:t>supplémentaire:</w:t>
            </w:r>
            <w:proofErr w:type="gramEnd"/>
          </w:p>
          <w:p w:rsidR="00ED3746" w:rsidRPr="00B77106" w:rsidRDefault="00ED3746" w:rsidP="00ED3746">
            <w:pPr>
              <w:spacing w:after="120" w:line="280" w:lineRule="atLeast"/>
              <w:jc w:val="left"/>
              <w:rPr>
                <w:rFonts w:cs="Arial"/>
                <w:color w:val="292929"/>
                <w:sz w:val="18"/>
                <w:szCs w:val="18"/>
              </w:rPr>
            </w:pPr>
            <w:r>
              <w:rPr>
                <w:color w:val="314935"/>
                <w:sz w:val="18"/>
              </w:rPr>
              <w:t>Pourcentage de projets innovants encouragés par le RRN sur le nombre total de projets innovants ayant bénéficié d’un soutien du PDR</w:t>
            </w:r>
            <w:r>
              <w:rPr>
                <w:color w:val="292929"/>
                <w:sz w:val="18"/>
              </w:rPr>
              <w:t xml:space="preserve"> </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Données sur les échanges thématiques et analytiques innovants mis en place par le RRN</w:t>
            </w:r>
          </w:p>
          <w:p w:rsidR="00ED3746" w:rsidRPr="00B77106" w:rsidRDefault="00ED3746" w:rsidP="00ED3746">
            <w:pPr>
              <w:spacing w:after="120" w:line="280" w:lineRule="atLeast"/>
              <w:jc w:val="left"/>
              <w:rPr>
                <w:rFonts w:cs="Arial"/>
                <w:color w:val="292929"/>
                <w:sz w:val="18"/>
                <w:szCs w:val="18"/>
              </w:rPr>
            </w:pPr>
            <w:r>
              <w:rPr>
                <w:color w:val="292929"/>
                <w:sz w:val="18"/>
              </w:rPr>
              <w:t>Données sur les outils de communication liés à l’innovation établis par le RRN</w:t>
            </w:r>
          </w:p>
          <w:p w:rsidR="00ED3746" w:rsidRPr="00B77106" w:rsidRDefault="00ED3746" w:rsidP="00ED3746">
            <w:pPr>
              <w:spacing w:after="120" w:line="280" w:lineRule="atLeast"/>
              <w:jc w:val="left"/>
              <w:rPr>
                <w:rFonts w:cs="Arial"/>
                <w:color w:val="292929"/>
                <w:sz w:val="18"/>
                <w:szCs w:val="18"/>
              </w:rPr>
            </w:pPr>
            <w:r>
              <w:rPr>
                <w:color w:val="292929"/>
                <w:sz w:val="18"/>
              </w:rPr>
              <w:t xml:space="preserve">Informations sur les activités du REDR en relation avec l’innovation auxquelles le RRN a participé </w:t>
            </w:r>
          </w:p>
          <w:p w:rsidR="00ED3746" w:rsidRPr="00B77106" w:rsidRDefault="00ED3746" w:rsidP="00ED3746">
            <w:pPr>
              <w:spacing w:after="120" w:line="280" w:lineRule="atLeast"/>
              <w:jc w:val="left"/>
              <w:rPr>
                <w:rFonts w:cs="Arial"/>
                <w:color w:val="292929"/>
                <w:sz w:val="18"/>
                <w:szCs w:val="18"/>
              </w:rPr>
            </w:pPr>
            <w:r>
              <w:rPr>
                <w:color w:val="292929"/>
                <w:sz w:val="18"/>
              </w:rPr>
              <w:t xml:space="preserve">Données sur les projets d’innovation du PDR lancés/soutenus par le RRN </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Système de surveillance du PDR</w:t>
            </w:r>
          </w:p>
          <w:p w:rsidR="00ED3746" w:rsidRPr="00B77106" w:rsidRDefault="00ED3746" w:rsidP="00ED3746">
            <w:pPr>
              <w:spacing w:after="120" w:line="280" w:lineRule="atLeast"/>
              <w:jc w:val="left"/>
              <w:rPr>
                <w:rFonts w:cs="Arial"/>
                <w:color w:val="292929"/>
                <w:sz w:val="18"/>
                <w:szCs w:val="18"/>
              </w:rPr>
            </w:pPr>
            <w:r>
              <w:rPr>
                <w:color w:val="292929"/>
                <w:sz w:val="18"/>
              </w:rPr>
              <w:t>Suivi et auto-évaluation du RRN</w:t>
            </w:r>
          </w:p>
          <w:p w:rsidR="00ED3746" w:rsidRPr="00B77106" w:rsidRDefault="00ED3746" w:rsidP="00ED3746">
            <w:pPr>
              <w:spacing w:after="120" w:line="280" w:lineRule="atLeast"/>
              <w:jc w:val="left"/>
              <w:rPr>
                <w:rFonts w:cs="Arial"/>
                <w:color w:val="292929"/>
                <w:sz w:val="18"/>
                <w:szCs w:val="18"/>
              </w:rPr>
            </w:pPr>
            <w:r>
              <w:rPr>
                <w:color w:val="292929"/>
                <w:sz w:val="18"/>
              </w:rPr>
              <w:t>Suivi du REDR (statistiques du réseau)</w:t>
            </w:r>
          </w:p>
        </w:tc>
      </w:tr>
      <w:tr w:rsidR="00ED3746" w:rsidRPr="00B77106" w:rsidTr="00762026">
        <w:trPr>
          <w:trHeight w:val="461"/>
        </w:trPr>
        <w:tc>
          <w:tcPr>
            <w:tcW w:w="14032" w:type="dxa"/>
            <w:gridSpan w:val="4"/>
            <w:shd w:val="clear" w:color="auto" w:fill="57825E"/>
          </w:tcPr>
          <w:p w:rsidR="00ED3746" w:rsidRPr="00B77106" w:rsidRDefault="00ED3746" w:rsidP="00ED3746">
            <w:pPr>
              <w:spacing w:after="120" w:line="280" w:lineRule="atLeast"/>
              <w:mirrorIndents/>
              <w:rPr>
                <w:rFonts w:eastAsia="Times New Roman" w:cs="Arial"/>
                <w:b/>
                <w:color w:val="FFFFFF"/>
                <w:sz w:val="18"/>
                <w:szCs w:val="18"/>
              </w:rPr>
            </w:pPr>
            <w:r>
              <w:rPr>
                <w:b/>
                <w:color w:val="FFFFFF"/>
                <w:sz w:val="18"/>
              </w:rPr>
              <w:t>Éléments d’évaluation supplémentaires liés à la contribution du RRN à la découverte et au partage des innovations (facultatif)</w:t>
            </w:r>
          </w:p>
        </w:tc>
      </w:tr>
      <w:tr w:rsidR="00ED3746" w:rsidRPr="00B77106" w:rsidTr="00ED3746">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Les activités de publicité, d’information et de communication menées par le RRN concernant l’innovation dans le PDR ont augmenté.</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d’activités de publicité, d’information et de communication menées par le RRN concernant l’innovation</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d’activités publicité, d’information et de communication, par thème</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Suivi et auto-évaluation du RRN</w:t>
            </w:r>
          </w:p>
          <w:p w:rsidR="00ED3746" w:rsidRPr="00B77106" w:rsidRDefault="00ED3746" w:rsidP="00ED3746">
            <w:pPr>
              <w:spacing w:after="120" w:line="280" w:lineRule="atLeast"/>
              <w:jc w:val="left"/>
              <w:rPr>
                <w:rFonts w:cs="Arial"/>
                <w:color w:val="292929"/>
                <w:sz w:val="18"/>
                <w:szCs w:val="18"/>
              </w:rPr>
            </w:pPr>
            <w:r>
              <w:rPr>
                <w:color w:val="292929"/>
                <w:sz w:val="18"/>
              </w:rPr>
              <w:t>Entretiens</w:t>
            </w:r>
          </w:p>
          <w:p w:rsidR="00ED3746" w:rsidRPr="00B77106" w:rsidRDefault="00ED3746" w:rsidP="00ED3746">
            <w:pPr>
              <w:spacing w:after="120" w:line="280" w:lineRule="atLeast"/>
              <w:jc w:val="left"/>
              <w:rPr>
                <w:rFonts w:cs="Arial"/>
                <w:color w:val="292929"/>
                <w:sz w:val="18"/>
                <w:szCs w:val="18"/>
              </w:rPr>
            </w:pPr>
            <w:r>
              <w:rPr>
                <w:color w:val="292929"/>
                <w:sz w:val="18"/>
              </w:rPr>
              <w:t>Publications du RRN</w:t>
            </w:r>
          </w:p>
        </w:tc>
      </w:tr>
    </w:tbl>
    <w:p w:rsidR="00ED3746" w:rsidRDefault="00ED3746">
      <w:r>
        <w:br w:type="page"/>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D3746" w:rsidRPr="00B77106" w:rsidTr="00123467">
        <w:trPr>
          <w:tblHeader/>
        </w:trPr>
        <w:tc>
          <w:tcPr>
            <w:tcW w:w="3508"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lastRenderedPageBreak/>
              <w:t>Critères de jugement</w:t>
            </w:r>
          </w:p>
        </w:tc>
        <w:tc>
          <w:tcPr>
            <w:tcW w:w="3508"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Indicateurs</w:t>
            </w:r>
          </w:p>
        </w:tc>
        <w:tc>
          <w:tcPr>
            <w:tcW w:w="3508"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Données requises</w:t>
            </w:r>
          </w:p>
        </w:tc>
        <w:tc>
          <w:tcPr>
            <w:tcW w:w="3508"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18"/>
              </w:rPr>
            </w:pPr>
            <w:r>
              <w:rPr>
                <w:b/>
                <w:color w:val="FFFFFF"/>
                <w:sz w:val="18"/>
              </w:rPr>
              <w:t>Sources de données</w:t>
            </w:r>
          </w:p>
        </w:tc>
      </w:tr>
      <w:tr w:rsidR="00ED3746" w:rsidRPr="00B77106" w:rsidTr="00762026">
        <w:tc>
          <w:tcPr>
            <w:tcW w:w="14032" w:type="dxa"/>
            <w:gridSpan w:val="4"/>
            <w:shd w:val="clear" w:color="auto" w:fill="57825E"/>
          </w:tcPr>
          <w:p w:rsidR="00ED3746" w:rsidRPr="00B77106" w:rsidRDefault="00ED3746" w:rsidP="00ED3746">
            <w:pPr>
              <w:spacing w:after="120" w:line="280" w:lineRule="atLeast"/>
              <w:mirrorIndents/>
              <w:rPr>
                <w:rFonts w:eastAsia="Times New Roman" w:cs="Arial"/>
                <w:b/>
                <w:color w:val="FFFFFF"/>
                <w:sz w:val="18"/>
                <w:szCs w:val="18"/>
              </w:rPr>
            </w:pPr>
            <w:r>
              <w:rPr>
                <w:b/>
                <w:color w:val="FFFFFF"/>
                <w:sz w:val="18"/>
              </w:rPr>
              <w:t>Éléments d’évaluation supplémentaires liés à la contribution du RRN à la capacité d’innover (facultatif)</w:t>
            </w:r>
          </w:p>
        </w:tc>
      </w:tr>
      <w:tr w:rsidR="00ED3746" w:rsidRPr="00B77106" w:rsidTr="00ED3746">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Les activités du RRN concernant la formation et la mise en réseau ont augmenté </w:t>
            </w:r>
            <w:proofErr w:type="gramStart"/>
            <w:r>
              <w:rPr>
                <w:color w:val="292929"/>
                <w:sz w:val="18"/>
              </w:rPr>
              <w:t>pour:</w:t>
            </w:r>
            <w:proofErr w:type="gramEnd"/>
            <w:r>
              <w:rPr>
                <w:color w:val="292929"/>
                <w:sz w:val="18"/>
              </w:rPr>
              <w:t xml:space="preserve"> a) les conseillers et les services de soutien à l’innovation ou b) les GAL.</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Nombre d’activités de formation et de mise en réseau du RRN </w:t>
            </w:r>
            <w:proofErr w:type="gramStart"/>
            <w:r>
              <w:rPr>
                <w:color w:val="292929"/>
                <w:sz w:val="18"/>
              </w:rPr>
              <w:t>pour:</w:t>
            </w:r>
            <w:proofErr w:type="gramEnd"/>
            <w:r>
              <w:rPr>
                <w:color w:val="292929"/>
                <w:sz w:val="18"/>
              </w:rPr>
              <w:t xml:space="preserve"> a) les conseillers et les services de soutien à l’innovation ou b) les GAL</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d’activités de formation et de mise en réseau, par groupe cible</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RRN (suivi, auto-évaluation, entretiens, publications)</w:t>
            </w:r>
          </w:p>
          <w:p w:rsidR="00ED3746" w:rsidRPr="00B77106" w:rsidRDefault="00ED3746" w:rsidP="00ED3746">
            <w:pPr>
              <w:spacing w:after="120" w:line="280" w:lineRule="atLeast"/>
              <w:jc w:val="left"/>
              <w:rPr>
                <w:rFonts w:cs="Arial"/>
                <w:color w:val="292929"/>
                <w:sz w:val="18"/>
                <w:szCs w:val="18"/>
              </w:rPr>
            </w:pPr>
            <w:r>
              <w:rPr>
                <w:color w:val="292929"/>
                <w:sz w:val="18"/>
              </w:rPr>
              <w:t>GAL (entretiens, enquêtes, groupes de discussion)</w:t>
            </w:r>
          </w:p>
        </w:tc>
      </w:tr>
      <w:tr w:rsidR="00ED3746" w:rsidRPr="00B77106" w:rsidTr="00ED3746">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La capacité des conseillers et des services de soutien à l’innovation de faciliter l’établissement de GO s’est améliorée grâce aux activités du RRN. </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de GO qui ont été mis en place avec le soutien de conseillers/services de soutien à l’innovation ayant bénéficié des activités de formation/mise en réseau menées par le RRN</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de GO mis en place avec le soutien de conseillers/services de soutien à l’innovation</w:t>
            </w:r>
          </w:p>
          <w:p w:rsidR="00ED3746" w:rsidRPr="00B77106" w:rsidRDefault="00ED3746" w:rsidP="00ED3746">
            <w:pPr>
              <w:spacing w:after="120" w:line="280" w:lineRule="atLeast"/>
              <w:jc w:val="left"/>
              <w:rPr>
                <w:rFonts w:cs="Arial"/>
                <w:color w:val="292929"/>
                <w:sz w:val="18"/>
                <w:szCs w:val="18"/>
              </w:rPr>
            </w:pPr>
            <w:r>
              <w:rPr>
                <w:color w:val="292929"/>
                <w:sz w:val="18"/>
              </w:rPr>
              <w:t>Nombre de GO mis en place avec le soutien de conseillers/services de soutien à l’innovation ayant bénéficié des activités de formation/mise en réseau menées par le RRN</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RRN (suivi, auto-évaluation, entretiens, publications)</w:t>
            </w:r>
          </w:p>
          <w:p w:rsidR="00ED3746" w:rsidRPr="00B77106" w:rsidRDefault="00ED3746" w:rsidP="00ED3746">
            <w:pPr>
              <w:spacing w:after="120" w:line="280" w:lineRule="atLeast"/>
              <w:jc w:val="left"/>
              <w:rPr>
                <w:rFonts w:cs="Arial"/>
                <w:color w:val="292929"/>
                <w:sz w:val="18"/>
                <w:szCs w:val="18"/>
              </w:rPr>
            </w:pPr>
            <w:r>
              <w:rPr>
                <w:color w:val="292929"/>
                <w:sz w:val="18"/>
              </w:rPr>
              <w:t>Enquêtes/groupes de discussion avec les GO</w:t>
            </w:r>
          </w:p>
          <w:p w:rsidR="00ED3746" w:rsidRPr="00B77106" w:rsidRDefault="00ED3746" w:rsidP="00ED3746">
            <w:pPr>
              <w:spacing w:after="120" w:line="280" w:lineRule="atLeast"/>
              <w:jc w:val="left"/>
              <w:rPr>
                <w:rFonts w:cs="Arial"/>
                <w:color w:val="292929"/>
                <w:sz w:val="18"/>
                <w:szCs w:val="18"/>
              </w:rPr>
            </w:pPr>
            <w:r>
              <w:rPr>
                <w:color w:val="292929"/>
                <w:sz w:val="18"/>
              </w:rPr>
              <w:t>Enquêtes/groupes de discussion avec les conseillers (services de soutien à l’innovation)</w:t>
            </w:r>
          </w:p>
        </w:tc>
      </w:tr>
      <w:tr w:rsidR="00ED3746" w:rsidRPr="00B77106" w:rsidTr="00762026">
        <w:tc>
          <w:tcPr>
            <w:tcW w:w="14032" w:type="dxa"/>
            <w:gridSpan w:val="4"/>
            <w:shd w:val="clear" w:color="auto" w:fill="57825E"/>
          </w:tcPr>
          <w:p w:rsidR="00ED3746" w:rsidRPr="00B77106" w:rsidRDefault="00ED3746" w:rsidP="00ED3746">
            <w:pPr>
              <w:spacing w:after="120" w:line="280" w:lineRule="atLeast"/>
              <w:mirrorIndents/>
              <w:rPr>
                <w:rFonts w:eastAsia="Times New Roman" w:cs="Arial"/>
                <w:b/>
                <w:color w:val="FFFFFF"/>
                <w:sz w:val="18"/>
                <w:szCs w:val="18"/>
              </w:rPr>
            </w:pPr>
            <w:r>
              <w:rPr>
                <w:b/>
                <w:color w:val="FFFFFF"/>
                <w:sz w:val="18"/>
              </w:rPr>
              <w:t xml:space="preserve">Éléments d’évaluation supplémentaires liés à la contribution du RRN à la création d’un environnement propice à l’innovation </w:t>
            </w:r>
          </w:p>
        </w:tc>
      </w:tr>
      <w:tr w:rsidR="00ED3746" w:rsidRPr="00B77106" w:rsidTr="00ED3746">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La participation du RRN aux activités du REDR relatives à l’innovation a augmenté.</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Nombre d’activités du réseau européen de développement rural auxquelles le RRN a participé (O.26), dont celles sur des thèmes liés à l’innovation </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d’activités du réseau européen de développement rural auxquelles le RRN a participé (O.26), par thème</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Tableaux de suivi</w:t>
            </w:r>
          </w:p>
          <w:p w:rsidR="00ED3746" w:rsidRPr="00B77106" w:rsidRDefault="00ED3746" w:rsidP="00ED3746">
            <w:pPr>
              <w:spacing w:after="120" w:line="280" w:lineRule="atLeast"/>
              <w:jc w:val="left"/>
              <w:rPr>
                <w:rFonts w:cs="Arial"/>
                <w:color w:val="292929"/>
                <w:sz w:val="18"/>
                <w:szCs w:val="18"/>
              </w:rPr>
            </w:pPr>
            <w:r>
              <w:rPr>
                <w:color w:val="292929"/>
                <w:sz w:val="18"/>
              </w:rPr>
              <w:t>RRN (suivi, auto-évaluation, entretiens, publications)</w:t>
            </w:r>
          </w:p>
        </w:tc>
      </w:tr>
      <w:tr w:rsidR="00ED3746" w:rsidRPr="00B77106" w:rsidTr="00ED3746">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La participation du RRN aux activités du PEI a augmenté.</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Nombre et type de contributions du RRN au PEI-AGRI, </w:t>
            </w:r>
            <w:proofErr w:type="gramStart"/>
            <w:r>
              <w:rPr>
                <w:color w:val="292929"/>
                <w:sz w:val="18"/>
              </w:rPr>
              <w:t>dont:</w:t>
            </w:r>
            <w:proofErr w:type="gramEnd"/>
          </w:p>
          <w:p w:rsidR="00ED3746" w:rsidRPr="00B77106" w:rsidRDefault="00ED3746" w:rsidP="00ED3746">
            <w:pPr>
              <w:spacing w:after="120" w:line="280" w:lineRule="atLeast"/>
              <w:jc w:val="left"/>
              <w:rPr>
                <w:rFonts w:cs="Arial"/>
                <w:color w:val="292929"/>
                <w:sz w:val="18"/>
                <w:szCs w:val="18"/>
              </w:rPr>
            </w:pPr>
            <w:proofErr w:type="gramStart"/>
            <w:r>
              <w:rPr>
                <w:color w:val="292929"/>
                <w:sz w:val="18"/>
              </w:rPr>
              <w:t>la</w:t>
            </w:r>
            <w:proofErr w:type="gramEnd"/>
            <w:r>
              <w:rPr>
                <w:color w:val="292929"/>
                <w:sz w:val="18"/>
              </w:rPr>
              <w:t xml:space="preserve"> fourniture d’exemples de projets/bonnes pratiques ciblant l’innovation; </w:t>
            </w:r>
          </w:p>
          <w:p w:rsidR="00ED3746" w:rsidRPr="00B77106" w:rsidRDefault="00ED3746" w:rsidP="00ED3746">
            <w:pPr>
              <w:spacing w:after="120" w:line="280" w:lineRule="atLeast"/>
              <w:jc w:val="left"/>
              <w:rPr>
                <w:rFonts w:cs="Arial"/>
                <w:color w:val="292929"/>
                <w:sz w:val="18"/>
                <w:szCs w:val="18"/>
              </w:rPr>
            </w:pPr>
            <w:proofErr w:type="gramStart"/>
            <w:r>
              <w:rPr>
                <w:color w:val="292929"/>
                <w:sz w:val="18"/>
              </w:rPr>
              <w:t>l’organisation</w:t>
            </w:r>
            <w:proofErr w:type="gramEnd"/>
            <w:r>
              <w:rPr>
                <w:color w:val="292929"/>
                <w:sz w:val="18"/>
              </w:rPr>
              <w:t xml:space="preserve"> de réunions sur l’innovation;</w:t>
            </w:r>
          </w:p>
          <w:p w:rsidR="00ED3746" w:rsidRPr="00B77106" w:rsidRDefault="00ED3746" w:rsidP="00ED3746">
            <w:pPr>
              <w:spacing w:after="120" w:line="280" w:lineRule="atLeast"/>
              <w:jc w:val="left"/>
              <w:rPr>
                <w:rFonts w:cs="Arial"/>
                <w:color w:val="292929"/>
                <w:sz w:val="18"/>
                <w:szCs w:val="18"/>
              </w:rPr>
            </w:pPr>
            <w:proofErr w:type="gramStart"/>
            <w:r>
              <w:rPr>
                <w:color w:val="292929"/>
                <w:sz w:val="18"/>
              </w:rPr>
              <w:lastRenderedPageBreak/>
              <w:t>des</w:t>
            </w:r>
            <w:proofErr w:type="gramEnd"/>
            <w:r>
              <w:rPr>
                <w:color w:val="292929"/>
                <w:sz w:val="18"/>
              </w:rPr>
              <w:t xml:space="preserve"> événements de mise en réseau entre les acteurs de l’innovation, à savoir les GAL et les GO;</w:t>
            </w:r>
          </w:p>
          <w:p w:rsidR="00ED3746" w:rsidRPr="00B77106" w:rsidRDefault="00ED3746" w:rsidP="00ED3746">
            <w:pPr>
              <w:spacing w:after="120" w:line="280" w:lineRule="atLeast"/>
              <w:jc w:val="left"/>
              <w:rPr>
                <w:rFonts w:cs="Arial"/>
                <w:color w:val="292929"/>
                <w:sz w:val="18"/>
                <w:szCs w:val="18"/>
              </w:rPr>
            </w:pPr>
            <w:proofErr w:type="gramStart"/>
            <w:r>
              <w:rPr>
                <w:color w:val="292929"/>
                <w:sz w:val="18"/>
              </w:rPr>
              <w:t>des</w:t>
            </w:r>
            <w:proofErr w:type="gramEnd"/>
            <w:r>
              <w:rPr>
                <w:color w:val="292929"/>
                <w:sz w:val="18"/>
              </w:rPr>
              <w:t xml:space="preserve"> échanges d’informations transfrontières sur les projets, les initiatives de recherche, les réseaux thématiques et les possibilités de financement au titre d’Horizon 2020;</w:t>
            </w:r>
          </w:p>
          <w:p w:rsidR="00ED3746" w:rsidRPr="00B77106" w:rsidRDefault="00ED3746" w:rsidP="00ED3746">
            <w:pPr>
              <w:spacing w:after="120" w:line="280" w:lineRule="atLeast"/>
              <w:jc w:val="left"/>
              <w:rPr>
                <w:rFonts w:cs="Arial"/>
                <w:color w:val="292929"/>
                <w:sz w:val="18"/>
                <w:szCs w:val="18"/>
              </w:rPr>
            </w:pPr>
            <w:proofErr w:type="gramStart"/>
            <w:r>
              <w:rPr>
                <w:color w:val="292929"/>
                <w:sz w:val="18"/>
              </w:rPr>
              <w:t>des</w:t>
            </w:r>
            <w:proofErr w:type="gramEnd"/>
            <w:r>
              <w:rPr>
                <w:color w:val="292929"/>
                <w:sz w:val="18"/>
              </w:rPr>
              <w:t xml:space="preserve"> activités de soutien aux services de soutien à l’innovation pour animer des actions innovantes et établir des GO;</w:t>
            </w:r>
          </w:p>
          <w:p w:rsidR="00ED3746" w:rsidRPr="00B77106" w:rsidRDefault="00ED3746" w:rsidP="00ED3746">
            <w:pPr>
              <w:spacing w:after="120" w:line="280" w:lineRule="atLeast"/>
              <w:jc w:val="left"/>
              <w:rPr>
                <w:rFonts w:cs="Arial"/>
                <w:color w:val="292929"/>
                <w:sz w:val="18"/>
                <w:szCs w:val="18"/>
              </w:rPr>
            </w:pPr>
            <w:proofErr w:type="gramStart"/>
            <w:r>
              <w:rPr>
                <w:color w:val="292929"/>
                <w:sz w:val="18"/>
              </w:rPr>
              <w:t>une</w:t>
            </w:r>
            <w:proofErr w:type="gramEnd"/>
            <w:r>
              <w:rPr>
                <w:color w:val="292929"/>
                <w:sz w:val="18"/>
              </w:rPr>
              <w:t xml:space="preserve"> aide à la recherche de partenaires.</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lastRenderedPageBreak/>
              <w:t xml:space="preserve">Nombre de contributions du RRN au PEI par type, tel qu’indiqué à l’article 35, paragraphe 2, </w:t>
            </w:r>
            <w:proofErr w:type="gramStart"/>
            <w:r>
              <w:rPr>
                <w:color w:val="292929"/>
                <w:sz w:val="18"/>
              </w:rPr>
              <w:t>points a</w:t>
            </w:r>
            <w:proofErr w:type="gramEnd"/>
            <w:r>
              <w:rPr>
                <w:color w:val="292929"/>
                <w:sz w:val="18"/>
              </w:rPr>
              <w:t>) à f) du règlement (UE) nº 1305/2013</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RRN (suivi, auto-évaluation, entretiens, publications)</w:t>
            </w:r>
          </w:p>
          <w:p w:rsidR="00ED3746" w:rsidRPr="00B77106" w:rsidRDefault="00ED3746" w:rsidP="00ED3746">
            <w:pPr>
              <w:spacing w:after="120" w:line="280" w:lineRule="atLeast"/>
              <w:jc w:val="left"/>
              <w:rPr>
                <w:rFonts w:cs="Arial"/>
                <w:color w:val="292929"/>
                <w:sz w:val="18"/>
                <w:szCs w:val="18"/>
              </w:rPr>
            </w:pPr>
            <w:r>
              <w:rPr>
                <w:color w:val="292929"/>
                <w:sz w:val="18"/>
              </w:rPr>
              <w:t>Structure de mise en réseau au niveau des États membres pour les services de soutien à l’innovation (si distincte du RRN)</w:t>
            </w:r>
          </w:p>
          <w:p w:rsidR="00ED3746" w:rsidRPr="00B77106" w:rsidRDefault="00ED3746" w:rsidP="00ED3746">
            <w:pPr>
              <w:spacing w:after="120" w:line="280" w:lineRule="atLeast"/>
              <w:jc w:val="left"/>
              <w:rPr>
                <w:rFonts w:cs="Arial"/>
                <w:color w:val="292929"/>
                <w:sz w:val="18"/>
                <w:szCs w:val="18"/>
              </w:rPr>
            </w:pPr>
            <w:r>
              <w:rPr>
                <w:color w:val="292929"/>
                <w:sz w:val="18"/>
              </w:rPr>
              <w:t>Point de service du PEI</w:t>
            </w:r>
          </w:p>
          <w:p w:rsidR="00ED3746" w:rsidRPr="00B77106" w:rsidRDefault="00ED3746" w:rsidP="00ED3746">
            <w:pPr>
              <w:spacing w:after="120" w:line="280" w:lineRule="atLeast"/>
              <w:jc w:val="left"/>
              <w:rPr>
                <w:rFonts w:cs="Arial"/>
                <w:color w:val="292929"/>
                <w:sz w:val="18"/>
                <w:szCs w:val="18"/>
              </w:rPr>
            </w:pPr>
            <w:r>
              <w:rPr>
                <w:color w:val="292929"/>
                <w:sz w:val="18"/>
              </w:rPr>
              <w:lastRenderedPageBreak/>
              <w:t>Enquêtes/groupes de discussion sur les projets des GO</w:t>
            </w:r>
          </w:p>
        </w:tc>
      </w:tr>
      <w:tr w:rsidR="00ED3746" w:rsidRPr="00B77106" w:rsidTr="00ED3746">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Collaboration, échanges et travail en réseau accrus entre les partenaires de projets innovants</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 xml:space="preserve">Nombre de réseaux/partenariats/groupements de coopération supplémentaires entre les partenaires de projets innovants encouragés par le RRN </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Nombre de réseaux/partenariats/groupements de coopération entre les partenaires de projets innovants soutenus par le RRN</w:t>
            </w:r>
          </w:p>
        </w:tc>
        <w:tc>
          <w:tcPr>
            <w:tcW w:w="3508" w:type="dxa"/>
            <w:shd w:val="clear" w:color="auto" w:fill="auto"/>
          </w:tcPr>
          <w:p w:rsidR="00ED3746" w:rsidRPr="00B77106" w:rsidRDefault="00ED3746" w:rsidP="00ED3746">
            <w:pPr>
              <w:spacing w:after="120" w:line="280" w:lineRule="atLeast"/>
              <w:jc w:val="left"/>
              <w:rPr>
                <w:rFonts w:cs="Arial"/>
                <w:color w:val="292929"/>
                <w:sz w:val="18"/>
                <w:szCs w:val="18"/>
              </w:rPr>
            </w:pPr>
            <w:r>
              <w:rPr>
                <w:color w:val="292929"/>
                <w:sz w:val="18"/>
              </w:rPr>
              <w:t>Base de données du RRN</w:t>
            </w:r>
          </w:p>
          <w:p w:rsidR="00ED3746" w:rsidRPr="00B77106" w:rsidRDefault="00ED3746" w:rsidP="00ED3746">
            <w:pPr>
              <w:spacing w:after="120" w:line="280" w:lineRule="atLeast"/>
              <w:jc w:val="left"/>
              <w:rPr>
                <w:rFonts w:cs="Arial"/>
                <w:color w:val="292929"/>
                <w:sz w:val="18"/>
                <w:szCs w:val="18"/>
              </w:rPr>
            </w:pPr>
            <w:r>
              <w:rPr>
                <w:color w:val="292929"/>
                <w:sz w:val="18"/>
              </w:rPr>
              <w:t>Enquêtes/groupes de discussion</w:t>
            </w:r>
          </w:p>
        </w:tc>
      </w:tr>
    </w:tbl>
    <w:p w:rsidR="00ED3746" w:rsidRDefault="00ED3746" w:rsidP="00ED3746">
      <w:pPr>
        <w:spacing w:after="120" w:line="280" w:lineRule="atLeast"/>
        <w:mirrorIndents/>
        <w:sectPr w:rsidR="00ED3746" w:rsidSect="00ED3746">
          <w:endnotePr>
            <w:numFmt w:val="decimal"/>
          </w:endnotePr>
          <w:pgSz w:w="16840" w:h="11907" w:orient="landscape" w:code="9"/>
          <w:pgMar w:top="1440" w:right="1440" w:bottom="1440" w:left="1134" w:header="567" w:footer="1020" w:gutter="0"/>
          <w:cols w:space="708"/>
          <w:noEndnote/>
          <w:docGrid w:linePitch="435"/>
        </w:sectPr>
      </w:pPr>
    </w:p>
    <w:p w:rsidR="00ED3746" w:rsidRPr="00E05D08" w:rsidRDefault="00ED3746" w:rsidP="00ED3746">
      <w:pPr>
        <w:numPr>
          <w:ilvl w:val="0"/>
          <w:numId w:val="60"/>
        </w:numPr>
        <w:spacing w:before="120" w:after="120" w:line="280" w:lineRule="atLeast"/>
        <w:ind w:left="567" w:hanging="567"/>
        <w:mirrorIndents/>
        <w:rPr>
          <w:rFonts w:eastAsia="Times New Roman" w:cs="Times New Roman"/>
          <w:b/>
          <w:szCs w:val="20"/>
        </w:rPr>
      </w:pPr>
      <w:r>
        <w:rPr>
          <w:b/>
        </w:rPr>
        <w:lastRenderedPageBreak/>
        <w:t xml:space="preserve">Méthode d’évaluation proposée </w:t>
      </w:r>
    </w:p>
    <w:p w:rsidR="00ED3746" w:rsidRPr="00E05D08" w:rsidRDefault="00ED3746" w:rsidP="00ED3746">
      <w:pPr>
        <w:spacing w:after="120" w:line="280" w:lineRule="atLeast"/>
        <w:mirrorIndents/>
        <w:rPr>
          <w:rFonts w:eastAsia="Times New Roman" w:cs="Arial"/>
          <w:szCs w:val="20"/>
        </w:rPr>
      </w:pPr>
      <w:r>
        <w:t>Les étapes suivantes sont recommandées pour répondre à la QEC nº </w:t>
      </w:r>
      <w:proofErr w:type="gramStart"/>
      <w:r>
        <w:t>21:</w:t>
      </w:r>
      <w:proofErr w:type="gramEnd"/>
    </w:p>
    <w:p w:rsidR="00ED3746" w:rsidRPr="007707EC" w:rsidRDefault="00ED3746" w:rsidP="00ED3746">
      <w:pPr>
        <w:pStyle w:val="Hlistbullet"/>
      </w:pPr>
      <w:r>
        <w:rPr>
          <w:b/>
        </w:rPr>
        <w:t>ÉTAPE </w:t>
      </w:r>
      <w:proofErr w:type="gramStart"/>
      <w:r>
        <w:rPr>
          <w:b/>
        </w:rPr>
        <w:t>1:</w:t>
      </w:r>
      <w:proofErr w:type="gramEnd"/>
      <w:r>
        <w:rPr>
          <w:b/>
        </w:rPr>
        <w:t xml:space="preserve"> collecter des informations pour déterminer la contribution du RRN à l’innovation</w:t>
      </w:r>
      <w:r>
        <w:t xml:space="preserve"> auprès des acteurs participant aux actions du RRN qui présentent un potentiel d’innovation. Pour ce faire, les critères de jugement et les indicateurs peuvent être utilisés et les méthodes données dans le tableau 6 ci-après peuvent être </w:t>
      </w:r>
      <w:proofErr w:type="gramStart"/>
      <w:r>
        <w:t>appliquées;</w:t>
      </w:r>
      <w:proofErr w:type="gramEnd"/>
    </w:p>
    <w:p w:rsidR="00ED3746" w:rsidRPr="007707EC" w:rsidRDefault="00ED3746" w:rsidP="00ED3746">
      <w:pPr>
        <w:pStyle w:val="Hlistbullet"/>
      </w:pPr>
      <w:r>
        <w:rPr>
          <w:b/>
        </w:rPr>
        <w:t>ÉTAPE </w:t>
      </w:r>
      <w:proofErr w:type="gramStart"/>
      <w:r>
        <w:rPr>
          <w:b/>
        </w:rPr>
        <w:t>2:</w:t>
      </w:r>
      <w:proofErr w:type="gramEnd"/>
      <w:r>
        <w:rPr>
          <w:b/>
        </w:rPr>
        <w:t xml:space="preserve"> quantifier les indicateurs de réalisation et les indicateurs propres au RRN concernant l’innovation</w:t>
      </w:r>
      <w:r>
        <w:t xml:space="preserve"> en utilisant les données de suivi sur les activités du RRN tirées de la base de données des opérations du PDR et du système de suivi du PDR; </w:t>
      </w:r>
    </w:p>
    <w:p w:rsidR="00ED3746" w:rsidRPr="007707EC" w:rsidRDefault="00ED3746" w:rsidP="00ED3746">
      <w:pPr>
        <w:pStyle w:val="Hlistbullet"/>
      </w:pPr>
      <w:r>
        <w:rPr>
          <w:b/>
        </w:rPr>
        <w:t>ÉTAPE </w:t>
      </w:r>
      <w:proofErr w:type="gramStart"/>
      <w:r>
        <w:rPr>
          <w:b/>
        </w:rPr>
        <w:t>3:</w:t>
      </w:r>
      <w:proofErr w:type="gramEnd"/>
      <w:r>
        <w:rPr>
          <w:b/>
        </w:rPr>
        <w:t xml:space="preserve"> appliquer la théorie du changement afin de comparer les résultats avec le potentiel d’innovation</w:t>
      </w:r>
      <w:r>
        <w:t xml:space="preserve"> des activités du RRN mises en évidence au début du processus d’évaluation avec les activités du RRN mises en œuvre. Cela inclut l’élaboration d’une chronologie causale et d’une description des réalisations des activités du RRN en relation avec les démarches d’innovation et avec la manière dont elles surviennent (en utilisant aussi les informations du système de suivi).</w:t>
      </w:r>
      <w:r>
        <w:rPr>
          <w:b/>
        </w:rPr>
        <w:t xml:space="preserve"> Valider</w:t>
      </w:r>
      <w:r>
        <w:t xml:space="preserve"> ce qui précède à l’aide de techniques de </w:t>
      </w:r>
      <w:proofErr w:type="gramStart"/>
      <w:r>
        <w:t>triangulation;</w:t>
      </w:r>
      <w:proofErr w:type="gramEnd"/>
    </w:p>
    <w:p w:rsidR="00ED3746" w:rsidRPr="007707EC" w:rsidRDefault="00ED3746" w:rsidP="00ED3746">
      <w:pPr>
        <w:pStyle w:val="Hlistbullet"/>
      </w:pPr>
      <w:r>
        <w:rPr>
          <w:b/>
        </w:rPr>
        <w:t>ÉTAPE </w:t>
      </w:r>
      <w:proofErr w:type="gramStart"/>
      <w:r>
        <w:rPr>
          <w:b/>
        </w:rPr>
        <w:t>4:</w:t>
      </w:r>
      <w:proofErr w:type="gramEnd"/>
      <w:r>
        <w:rPr>
          <w:b/>
        </w:rPr>
        <w:t xml:space="preserve"> répondre à la QEC en jugeant la mesure dans laquelle le RRN a contribué à favoriser l’innovation</w:t>
      </w:r>
      <w:r>
        <w:t xml:space="preserve"> au moyen de différents groupes d’activités à l’aide d’une échelle de Likert</w:t>
      </w:r>
      <w:r>
        <w:rPr>
          <w:vertAlign w:val="superscript"/>
        </w:rPr>
        <w:footnoteReference w:id="65"/>
      </w:r>
      <w:r>
        <w:t>. L’évaluateur doit aussi noter le degré de confiance de l’acteur sondé/interrogé dans les résultats sur une échelle analogue à cinq niveaux. Les notes données devront être justifiées.</w:t>
      </w:r>
    </w:p>
    <w:p w:rsidR="00ED3746" w:rsidRPr="00E05D08" w:rsidRDefault="00F204F1" w:rsidP="00ED3746">
      <w:pPr>
        <w:spacing w:after="120" w:line="280" w:lineRule="atLeast"/>
        <w:mirrorIndents/>
        <w:rPr>
          <w:rFonts w:eastAsia="Times New Roman" w:cs="Times New Roman"/>
          <w:szCs w:val="20"/>
        </w:rPr>
      </w:pPr>
      <w:r>
        <w:rPr>
          <w:noProof/>
        </w:rPr>
        <mc:AlternateContent>
          <mc:Choice Requires="wps">
            <w:drawing>
              <wp:inline distT="0" distB="0" distL="0" distR="0">
                <wp:extent cx="5828030" cy="3702050"/>
                <wp:effectExtent l="0" t="0" r="1270" b="0"/>
                <wp:docPr id="550" name="Rectangle: Diagonal Corners Rounded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030" cy="3702050"/>
                        </a:xfrm>
                        <a:prstGeom prst="round2DiagRect">
                          <a:avLst>
                            <a:gd name="adj1" fmla="val 6942"/>
                            <a:gd name="adj2" fmla="val 0"/>
                          </a:avLst>
                        </a:prstGeom>
                        <a:noFill/>
                        <a:ln w="25400" cap="flat" cmpd="sng" algn="ctr">
                          <a:solidFill>
                            <a:srgbClr val="F07E31"/>
                          </a:solidFill>
                          <a:prstDash val="solid"/>
                        </a:ln>
                        <a:effectLst/>
                      </wps:spPr>
                      <wps:txbx>
                        <w:txbxContent>
                          <w:p w:rsidR="00260B0F" w:rsidRPr="00E05D08" w:rsidRDefault="00260B0F" w:rsidP="00ED3746">
                            <w:pPr>
                              <w:pStyle w:val="HStandard"/>
                              <w:ind w:left="567" w:hanging="567"/>
                              <w:rPr>
                                <w:b/>
                                <w:color w:val="F07E31"/>
                                <w:sz w:val="18"/>
                                <w:szCs w:val="18"/>
                              </w:rPr>
                            </w:pPr>
                            <w:r>
                              <w:rPr>
                                <w:noProof/>
                                <w:sz w:val="18"/>
                              </w:rPr>
                              <w:drawing>
                                <wp:inline distT="0" distB="0" distL="0" distR="0">
                                  <wp:extent cx="349885" cy="357505"/>
                                  <wp:effectExtent l="0" t="0" r="0" b="0"/>
                                  <wp:docPr id="5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8"/>
                              </w:rPr>
                              <w:t>Exemples tirés des RAM présentés en 2017</w:t>
                            </w:r>
                          </w:p>
                          <w:p w:rsidR="00260B0F" w:rsidRPr="00EF653F" w:rsidRDefault="00260B0F" w:rsidP="00ED3746">
                            <w:pPr>
                              <w:pStyle w:val="HStandard"/>
                              <w:rPr>
                                <w:sz w:val="18"/>
                                <w:szCs w:val="18"/>
                              </w:rPr>
                            </w:pPr>
                            <w:r>
                              <w:t xml:space="preserve">La </w:t>
                            </w:r>
                            <w:r>
                              <w:rPr>
                                <w:b/>
                                <w:sz w:val="18"/>
                              </w:rPr>
                              <w:t xml:space="preserve">République tchèque </w:t>
                            </w:r>
                            <w:r>
                              <w:rPr>
                                <w:sz w:val="18"/>
                              </w:rPr>
                              <w:t xml:space="preserve">mentionne des études de cas basées sur les informations collectées auprès des bénéficiaires des projets innovants. Elle propose de suivre les données sur les projets innovants pour les indicateurs de réalisation O.24 et O.25 grâce à la base de données des opérations, et de les utiliser dans l’évaluation en </w:t>
                            </w:r>
                            <w:proofErr w:type="gramStart"/>
                            <w:r>
                              <w:rPr>
                                <w:sz w:val="18"/>
                              </w:rPr>
                              <w:t>2019:</w:t>
                            </w:r>
                            <w:proofErr w:type="gramEnd"/>
                          </w:p>
                          <w:p w:rsidR="00260B0F" w:rsidRPr="00EF653F" w:rsidRDefault="00260B0F" w:rsidP="00ED3746">
                            <w:pPr>
                              <w:pStyle w:val="HStandard"/>
                              <w:numPr>
                                <w:ilvl w:val="0"/>
                                <w:numId w:val="49"/>
                              </w:numPr>
                              <w:tabs>
                                <w:tab w:val="left" w:pos="5702"/>
                              </w:tabs>
                              <w:ind w:left="567" w:hanging="567"/>
                              <w:rPr>
                                <w:sz w:val="18"/>
                                <w:szCs w:val="18"/>
                              </w:rPr>
                            </w:pPr>
                            <w:r>
                              <w:rPr>
                                <w:sz w:val="18"/>
                              </w:rPr>
                              <w:t xml:space="preserve">O.24 – nombre d’échanges thématiques et analytiques entre les acteurs du développement rural mis en place avec le soutien du RRN – échanges axés sur les conseillers et les services de soutien à </w:t>
                            </w:r>
                            <w:proofErr w:type="gramStart"/>
                            <w:r>
                              <w:rPr>
                                <w:sz w:val="18"/>
                              </w:rPr>
                              <w:t>l’innovation;</w:t>
                            </w:r>
                            <w:proofErr w:type="gramEnd"/>
                            <w:r>
                              <w:rPr>
                                <w:sz w:val="18"/>
                              </w:rPr>
                              <w:t xml:space="preserve"> </w:t>
                            </w:r>
                          </w:p>
                          <w:p w:rsidR="00260B0F" w:rsidRPr="00EF653F" w:rsidRDefault="00260B0F" w:rsidP="00ED3746">
                            <w:pPr>
                              <w:pStyle w:val="HStandard"/>
                              <w:numPr>
                                <w:ilvl w:val="0"/>
                                <w:numId w:val="49"/>
                              </w:numPr>
                              <w:tabs>
                                <w:tab w:val="left" w:pos="5702"/>
                              </w:tabs>
                              <w:ind w:left="567" w:hanging="567"/>
                              <w:rPr>
                                <w:sz w:val="18"/>
                                <w:szCs w:val="18"/>
                              </w:rPr>
                            </w:pPr>
                            <w:r>
                              <w:rPr>
                                <w:sz w:val="18"/>
                              </w:rPr>
                              <w:t>O.25 – nombre d’outils de communication du RRN axés sur les conseillers et les services de soutien à l’innovation.</w:t>
                            </w:r>
                          </w:p>
                          <w:p w:rsidR="00260B0F" w:rsidRDefault="00260B0F" w:rsidP="00ED3746">
                            <w:pPr>
                              <w:pStyle w:val="HStandard"/>
                              <w:rPr>
                                <w:sz w:val="18"/>
                                <w:szCs w:val="18"/>
                              </w:rPr>
                            </w:pPr>
                            <w:r>
                              <w:t xml:space="preserve">La </w:t>
                            </w:r>
                            <w:r>
                              <w:rPr>
                                <w:b/>
                              </w:rPr>
                              <w:t>Slovaquie</w:t>
                            </w:r>
                            <w:r>
                              <w:t xml:space="preserve"> décrit les entretiens menés avec les acteurs concernés (RRN et participants aux activités du RRN) en vue de collecter des données pour les indicateurs </w:t>
                            </w:r>
                            <w:proofErr w:type="gramStart"/>
                            <w:r>
                              <w:t>supplémentaires:</w:t>
                            </w:r>
                            <w:proofErr w:type="gramEnd"/>
                            <w:r>
                              <w:rPr>
                                <w:sz w:val="18"/>
                              </w:rPr>
                              <w:t xml:space="preserve"> pourcentage de projets innovants soutenus par le RRN par rapport au nombre total de projets innovants ayant bénéficié d’un soutien du PDR. </w:t>
                            </w:r>
                          </w:p>
                          <w:p w:rsidR="00260B0F" w:rsidRPr="00ED3BAD" w:rsidRDefault="00260B0F" w:rsidP="00ED3746">
                            <w:pPr>
                              <w:pStyle w:val="HStandard"/>
                              <w:rPr>
                                <w:sz w:val="18"/>
                                <w:szCs w:val="18"/>
                              </w:rPr>
                            </w:pPr>
                            <w:r>
                              <w:t xml:space="preserve">La </w:t>
                            </w:r>
                            <w:r>
                              <w:rPr>
                                <w:b/>
                                <w:sz w:val="18"/>
                              </w:rPr>
                              <w:t>Castille-et-León</w:t>
                            </w:r>
                            <w:r>
                              <w:rPr>
                                <w:sz w:val="18"/>
                              </w:rPr>
                              <w:t xml:space="preserve"> </w:t>
                            </w:r>
                            <w:r>
                              <w:rPr>
                                <w:b/>
                                <w:sz w:val="18"/>
                              </w:rPr>
                              <w:t>(ES)</w:t>
                            </w:r>
                            <w:r>
                              <w:rPr>
                                <w:sz w:val="18"/>
                              </w:rPr>
                              <w:t xml:space="preserve"> recommande d’introduire dans le système de suivi un indicateur qui mesure le nombre de participants aux projets de la mesure M16.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550" o:spid="_x0000_s1051" style="width:458.9pt;height:291.5pt;visibility:visible;mso-wrap-style:square;mso-left-percent:-10001;mso-top-percent:-10001;mso-position-horizontal:absolute;mso-position-horizontal-relative:char;mso-position-vertical:absolute;mso-position-vertical-relative:line;mso-left-percent:-10001;mso-top-percent:-10001;v-text-anchor:middle" coordsize="5828030,3702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" adj="-11796480,,5400" path="m256996,l5828030,r,l5828030,3445054v,141935,-115061,256996,-256996,256996l,3702050r,l,256996c,115061,115061,,256996,xe" filled="f" strokecolor="#f07e31" strokeweight="2pt">
                <v:stroke joinstyle="miter"/>
                <v:formulas/>
                <v:path arrowok="t" o:connecttype="custom" o:connectlocs="256996,0;5828030,0;5828030,0;5828030,3445054;5571034,3702050;0,3702050;0,3702050;0,256996;256996,0" o:connectangles="0,0,0,0,0,0,0,0,0" textboxrect="0,0,5828030,3702050"/>
                <v:textbox>
                  <w:txbxContent>
                    <w:p w:rsidR="00260B0F" w:rsidRPr="00E05D08" w:rsidRDefault="00260B0F" w:rsidP="00ED3746">
                      <w:pPr>
                        <w:pStyle w:val="HStandard"/>
                        <w:ind w:left="567" w:hanging="567"/>
                        <w:rPr>
                          <w:b/>
                          <w:color w:val="F07E31"/>
                          <w:sz w:val="18"/>
                          <w:szCs w:val="18"/>
                        </w:rPr>
                      </w:pPr>
                      <w:r>
                        <w:rPr>
                          <w:noProof/>
                          <w:sz w:val="18"/>
                        </w:rPr>
                        <w:drawing>
                          <wp:inline distT="0" distB="0" distL="0" distR="0">
                            <wp:extent cx="349885" cy="357505"/>
                            <wp:effectExtent l="0" t="0" r="0" b="0"/>
                            <wp:docPr id="5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8"/>
                        </w:rPr>
                        <w:t>Exemples tirés des RAM présentés en 2017</w:t>
                      </w:r>
                    </w:p>
                    <w:p w:rsidR="00260B0F" w:rsidRPr="00EF653F" w:rsidRDefault="00260B0F" w:rsidP="00ED3746">
                      <w:pPr>
                        <w:pStyle w:val="HStandard"/>
                        <w:rPr>
                          <w:sz w:val="18"/>
                          <w:szCs w:val="18"/>
                        </w:rPr>
                      </w:pPr>
                      <w:r>
                        <w:t xml:space="preserve">La </w:t>
                      </w:r>
                      <w:r>
                        <w:rPr>
                          <w:b/>
                          <w:sz w:val="18"/>
                        </w:rPr>
                        <w:t xml:space="preserve">République tchèque </w:t>
                      </w:r>
                      <w:r>
                        <w:rPr>
                          <w:sz w:val="18"/>
                        </w:rPr>
                        <w:t xml:space="preserve">mentionne des études de cas basées sur les informations collectées auprès des bénéficiaires des projets innovants. Elle propose de suivre les données sur les projets innovants pour les indicateurs de réalisation O.24 et O.25 grâce à la base de données des opérations, et de les utiliser dans l’évaluation en </w:t>
                      </w:r>
                      <w:proofErr w:type="gramStart"/>
                      <w:r>
                        <w:rPr>
                          <w:sz w:val="18"/>
                        </w:rPr>
                        <w:t>2019:</w:t>
                      </w:r>
                      <w:proofErr w:type="gramEnd"/>
                    </w:p>
                    <w:p w:rsidR="00260B0F" w:rsidRPr="00EF653F" w:rsidRDefault="00260B0F" w:rsidP="00ED3746">
                      <w:pPr>
                        <w:pStyle w:val="HStandard"/>
                        <w:numPr>
                          <w:ilvl w:val="0"/>
                          <w:numId w:val="49"/>
                        </w:numPr>
                        <w:tabs>
                          <w:tab w:val="left" w:pos="5702"/>
                        </w:tabs>
                        <w:ind w:left="567" w:hanging="567"/>
                        <w:rPr>
                          <w:sz w:val="18"/>
                          <w:szCs w:val="18"/>
                        </w:rPr>
                      </w:pPr>
                      <w:r>
                        <w:rPr>
                          <w:sz w:val="18"/>
                        </w:rPr>
                        <w:t xml:space="preserve">O.24 – nombre d’échanges thématiques et analytiques entre les acteurs du développement rural mis en place avec le soutien du RRN – échanges axés sur les conseillers et les services de soutien à </w:t>
                      </w:r>
                      <w:proofErr w:type="gramStart"/>
                      <w:r>
                        <w:rPr>
                          <w:sz w:val="18"/>
                        </w:rPr>
                        <w:t>l’innovation;</w:t>
                      </w:r>
                      <w:proofErr w:type="gramEnd"/>
                      <w:r>
                        <w:rPr>
                          <w:sz w:val="18"/>
                        </w:rPr>
                        <w:t xml:space="preserve"> </w:t>
                      </w:r>
                    </w:p>
                    <w:p w:rsidR="00260B0F" w:rsidRPr="00EF653F" w:rsidRDefault="00260B0F" w:rsidP="00ED3746">
                      <w:pPr>
                        <w:pStyle w:val="HStandard"/>
                        <w:numPr>
                          <w:ilvl w:val="0"/>
                          <w:numId w:val="49"/>
                        </w:numPr>
                        <w:tabs>
                          <w:tab w:val="left" w:pos="5702"/>
                        </w:tabs>
                        <w:ind w:left="567" w:hanging="567"/>
                        <w:rPr>
                          <w:sz w:val="18"/>
                          <w:szCs w:val="18"/>
                        </w:rPr>
                      </w:pPr>
                      <w:r>
                        <w:rPr>
                          <w:sz w:val="18"/>
                        </w:rPr>
                        <w:t>O.25 – nombre d’outils de communication du RRN axés sur les conseillers et les services de soutien à l’innovation.</w:t>
                      </w:r>
                    </w:p>
                    <w:p w:rsidR="00260B0F" w:rsidRDefault="00260B0F" w:rsidP="00ED3746">
                      <w:pPr>
                        <w:pStyle w:val="HStandard"/>
                        <w:rPr>
                          <w:sz w:val="18"/>
                          <w:szCs w:val="18"/>
                        </w:rPr>
                      </w:pPr>
                      <w:r>
                        <w:t xml:space="preserve">La </w:t>
                      </w:r>
                      <w:r>
                        <w:rPr>
                          <w:b/>
                        </w:rPr>
                        <w:t>Slovaquie</w:t>
                      </w:r>
                      <w:r>
                        <w:t xml:space="preserve"> décrit les entretiens menés avec les acteurs concernés (RRN et participants aux activités du RRN) en vue de collecter des données pour les indicateurs </w:t>
                      </w:r>
                      <w:proofErr w:type="gramStart"/>
                      <w:r>
                        <w:t>supplémentaires:</w:t>
                      </w:r>
                      <w:proofErr w:type="gramEnd"/>
                      <w:r>
                        <w:rPr>
                          <w:sz w:val="18"/>
                        </w:rPr>
                        <w:t xml:space="preserve"> pourcentage de projets innovants soutenus par le RRN par rapport au nombre total de projets innovants ayant bénéficié d’un soutien du PDR. </w:t>
                      </w:r>
                    </w:p>
                    <w:p w:rsidR="00260B0F" w:rsidRPr="00ED3BAD" w:rsidRDefault="00260B0F" w:rsidP="00ED3746">
                      <w:pPr>
                        <w:pStyle w:val="HStandard"/>
                        <w:rPr>
                          <w:sz w:val="18"/>
                          <w:szCs w:val="18"/>
                        </w:rPr>
                      </w:pPr>
                      <w:r>
                        <w:t xml:space="preserve">La </w:t>
                      </w:r>
                      <w:r>
                        <w:rPr>
                          <w:b/>
                          <w:sz w:val="18"/>
                        </w:rPr>
                        <w:t>Castille-et-León</w:t>
                      </w:r>
                      <w:r>
                        <w:rPr>
                          <w:sz w:val="18"/>
                        </w:rPr>
                        <w:t xml:space="preserve"> </w:t>
                      </w:r>
                      <w:r>
                        <w:rPr>
                          <w:b/>
                          <w:sz w:val="18"/>
                        </w:rPr>
                        <w:t>(ES)</w:t>
                      </w:r>
                      <w:r>
                        <w:rPr>
                          <w:sz w:val="18"/>
                        </w:rPr>
                        <w:t xml:space="preserve"> recommande d’introduire dans le système de suivi un indicateur qui mesure le nombre de participants aux projets de la mesure M16.</w:t>
                      </w:r>
                    </w:p>
                  </w:txbxContent>
                </v:textbox>
                <w10:anchorlock/>
              </v:shape>
            </w:pict>
          </mc:Fallback>
        </mc:AlternateContent>
      </w:r>
    </w:p>
    <w:p w:rsidR="00ED3746" w:rsidRPr="00E05D08" w:rsidRDefault="00ED3746" w:rsidP="00ED3746">
      <w:pPr>
        <w:spacing w:after="120" w:line="280" w:lineRule="atLeast"/>
        <w:mirrorIndents/>
        <w:rPr>
          <w:rFonts w:eastAsia="Times New Roman" w:cs="Times New Roman"/>
          <w:szCs w:val="20"/>
        </w:rPr>
      </w:pPr>
      <w:r>
        <w:t>Les lignes directrices</w:t>
      </w:r>
      <w:r>
        <w:rPr>
          <w:i/>
        </w:rPr>
        <w:t xml:space="preserve"> </w:t>
      </w:r>
      <w:hyperlink r:id="rId44" w:history="1">
        <w:r>
          <w:rPr>
            <w:rStyle w:val="Hyperlink"/>
          </w:rPr>
          <w:t>«Évaluation des réseaux ruraux nationaux 2014-</w:t>
        </w:r>
        <w:proofErr w:type="gramStart"/>
        <w:r>
          <w:rPr>
            <w:rStyle w:val="Hyperlink"/>
          </w:rPr>
          <w:t>2020</w:t>
        </w:r>
        <w:r>
          <w:rPr>
            <w:rStyle w:val="Hyperlink"/>
            <w:sz w:val="20"/>
          </w:rPr>
          <w:t>»</w:t>
        </w:r>
        <w:proofErr w:type="gramEnd"/>
      </w:hyperlink>
      <w:r>
        <w:rPr>
          <w:color w:val="F07E31"/>
          <w:sz w:val="16"/>
          <w:u w:val="single"/>
          <w:vertAlign w:val="superscript"/>
        </w:rPr>
        <w:footnoteReference w:id="66"/>
      </w:r>
      <w:r>
        <w:t xml:space="preserve"> donnent une description détaillée des méthodes et des outils pour évaluer les RRN. Elles proposent une approche mixte qui combine des méthodes qualitatives et quantitatives. Celles-ci comprennent des enquêtes, des méthodes fondées sur le dialogue, des méthodes analytiques et des méthodes diagnostiques. </w:t>
      </w:r>
    </w:p>
    <w:p w:rsidR="00ED3746" w:rsidRPr="00E05D08" w:rsidRDefault="00ED3746" w:rsidP="00762026">
      <w:pPr>
        <w:spacing w:after="120" w:line="280" w:lineRule="atLeast"/>
        <w:mirrorIndents/>
        <w:rPr>
          <w:rFonts w:eastAsia="Times New Roman" w:cs="Times New Roman"/>
          <w:b/>
          <w:sz w:val="16"/>
          <w:szCs w:val="20"/>
        </w:rPr>
      </w:pPr>
      <w:r>
        <w:lastRenderedPageBreak/>
        <w:t>Le tableau suivant donne un bref aperçu des méthodes à utiliser pour répondre à la QEC nº 21 en ce qui concerne l’objectif d’innovation d) des RRN. Une description complète de ces méthodes figure dans les lignes directrices</w:t>
      </w:r>
      <w:r>
        <w:rPr>
          <w:i/>
        </w:rPr>
        <w:t xml:space="preserve"> </w:t>
      </w:r>
      <w:hyperlink r:id="rId45" w:history="1">
        <w:r>
          <w:rPr>
            <w:rStyle w:val="Hyperlink"/>
          </w:rPr>
          <w:t>«Évaluation des réseaux ruraux nationaux 2014-</w:t>
        </w:r>
        <w:proofErr w:type="gramStart"/>
        <w:r>
          <w:rPr>
            <w:rStyle w:val="Hyperlink"/>
          </w:rPr>
          <w:t>2020</w:t>
        </w:r>
        <w:r>
          <w:rPr>
            <w:rStyle w:val="Hyperlink"/>
            <w:sz w:val="20"/>
          </w:rPr>
          <w:t>»</w:t>
        </w:r>
        <w:proofErr w:type="gramEnd"/>
      </w:hyperlink>
      <w:r>
        <w:t>.</w:t>
      </w:r>
    </w:p>
    <w:p w:rsidR="00ED3746" w:rsidRPr="00D57D0A" w:rsidRDefault="00ED3746" w:rsidP="00ED3746">
      <w:pPr>
        <w:pStyle w:val="HHeadingtables"/>
        <w:rPr>
          <w:color w:val="6F6F6F"/>
          <w:sz w:val="18"/>
          <w:szCs w:val="18"/>
        </w:rPr>
      </w:pPr>
      <w:bookmarkStart w:id="152" w:name="_Toc503284468"/>
      <w:bookmarkStart w:id="153" w:name="_Toc508894479"/>
      <w:r>
        <w:rPr>
          <w:color w:val="6F6F6F"/>
          <w:sz w:val="18"/>
        </w:rPr>
        <w:t>Méthodes recommandées pour la QEC nº 21</w:t>
      </w:r>
      <w:bookmarkEnd w:id="152"/>
      <w:bookmarkEnd w:id="153"/>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ED3746" w:rsidRPr="00B77106" w:rsidTr="008E5189">
        <w:trPr>
          <w:tblHeader/>
        </w:trPr>
        <w:tc>
          <w:tcPr>
            <w:tcW w:w="2405"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20"/>
              </w:rPr>
            </w:pPr>
            <w:r>
              <w:rPr>
                <w:b/>
                <w:color w:val="FFFFFF"/>
                <w:sz w:val="18"/>
              </w:rPr>
              <w:t>Méthode</w:t>
            </w:r>
          </w:p>
        </w:tc>
        <w:tc>
          <w:tcPr>
            <w:tcW w:w="6612" w:type="dxa"/>
            <w:shd w:val="clear" w:color="auto" w:fill="FF6F0D"/>
          </w:tcPr>
          <w:p w:rsidR="00ED3746" w:rsidRPr="00B77106" w:rsidRDefault="00ED3746" w:rsidP="00ED3746">
            <w:pPr>
              <w:spacing w:after="120" w:line="280" w:lineRule="atLeast"/>
              <w:mirrorIndents/>
              <w:jc w:val="center"/>
              <w:rPr>
                <w:rFonts w:eastAsia="Times New Roman" w:cs="Arial"/>
                <w:b/>
                <w:color w:val="FFFFFF"/>
                <w:sz w:val="18"/>
                <w:szCs w:val="20"/>
              </w:rPr>
            </w:pPr>
            <w:r>
              <w:rPr>
                <w:b/>
                <w:color w:val="FFFFFF"/>
                <w:sz w:val="18"/>
              </w:rPr>
              <w:t>Astuces sur l’utilisation de chaque méthode pour répondre à la QEC nº 21</w:t>
            </w:r>
          </w:p>
        </w:tc>
      </w:tr>
      <w:tr w:rsidR="00ED3746" w:rsidRPr="00B77106" w:rsidTr="00ED3746">
        <w:tc>
          <w:tcPr>
            <w:tcW w:w="2405" w:type="dxa"/>
            <w:shd w:val="clear" w:color="auto" w:fill="auto"/>
            <w:vAlign w:val="center"/>
          </w:tcPr>
          <w:p w:rsidR="00ED3746" w:rsidRPr="00B77106" w:rsidRDefault="00ED3746" w:rsidP="00ED3746">
            <w:pPr>
              <w:spacing w:after="120" w:line="280" w:lineRule="atLeast"/>
              <w:jc w:val="left"/>
              <w:rPr>
                <w:rFonts w:cs="Arial"/>
                <w:b/>
                <w:sz w:val="18"/>
                <w:szCs w:val="18"/>
              </w:rPr>
            </w:pPr>
            <w:r>
              <w:rPr>
                <w:b/>
                <w:sz w:val="18"/>
              </w:rPr>
              <w:t>Enquêtes</w:t>
            </w:r>
          </w:p>
        </w:tc>
        <w:tc>
          <w:tcPr>
            <w:tcW w:w="6612" w:type="dxa"/>
            <w:shd w:val="clear" w:color="auto" w:fill="auto"/>
          </w:tcPr>
          <w:p w:rsidR="00ED3746" w:rsidRPr="00B77106" w:rsidRDefault="00ED3746" w:rsidP="00ED3746">
            <w:pPr>
              <w:spacing w:after="120" w:line="280" w:lineRule="atLeast"/>
              <w:rPr>
                <w:rFonts w:cs="Arial"/>
                <w:sz w:val="18"/>
                <w:szCs w:val="18"/>
              </w:rPr>
            </w:pPr>
            <w:r>
              <w:rPr>
                <w:sz w:val="18"/>
              </w:rPr>
              <w:t>Elles peuvent être utilisées pour collecter des données et des informations sur l’innovation qui ne figurent pas dans les bases de données, en particulier en relation avec les indicateurs supplémentaires.</w:t>
            </w:r>
          </w:p>
          <w:p w:rsidR="00ED3746" w:rsidRPr="00B77106" w:rsidRDefault="00ED3746" w:rsidP="00ED3746">
            <w:pPr>
              <w:spacing w:after="120" w:line="280" w:lineRule="atLeast"/>
              <w:rPr>
                <w:rFonts w:cs="Arial"/>
                <w:sz w:val="18"/>
                <w:szCs w:val="18"/>
              </w:rPr>
            </w:pPr>
            <w:r>
              <w:rPr>
                <w:sz w:val="18"/>
              </w:rPr>
              <w:t>Les enquêtes peuvent être adressées aux RRN, aux GO du PEI, aux bénéficiaires des projets et aux autres parties concernées par l’innovation.</w:t>
            </w:r>
          </w:p>
        </w:tc>
      </w:tr>
      <w:tr w:rsidR="00ED3746" w:rsidRPr="00B77106" w:rsidTr="00ED3746">
        <w:tc>
          <w:tcPr>
            <w:tcW w:w="2405" w:type="dxa"/>
            <w:shd w:val="clear" w:color="auto" w:fill="auto"/>
            <w:vAlign w:val="center"/>
          </w:tcPr>
          <w:p w:rsidR="00ED3746" w:rsidRPr="00B77106" w:rsidRDefault="00ED3746" w:rsidP="00ED3746">
            <w:pPr>
              <w:spacing w:after="120" w:line="280" w:lineRule="atLeast"/>
              <w:jc w:val="left"/>
              <w:rPr>
                <w:rFonts w:cs="Arial"/>
                <w:b/>
                <w:sz w:val="18"/>
                <w:szCs w:val="18"/>
              </w:rPr>
            </w:pPr>
            <w:r>
              <w:rPr>
                <w:b/>
                <w:sz w:val="18"/>
              </w:rPr>
              <w:t>Groupes de discussion (méthode fondée sur le dialogue)</w:t>
            </w:r>
          </w:p>
        </w:tc>
        <w:tc>
          <w:tcPr>
            <w:tcW w:w="6612" w:type="dxa"/>
            <w:shd w:val="clear" w:color="auto" w:fill="auto"/>
          </w:tcPr>
          <w:p w:rsidR="00ED3746" w:rsidRPr="00B77106" w:rsidRDefault="00ED3746" w:rsidP="00ED3746">
            <w:pPr>
              <w:spacing w:after="120" w:line="280" w:lineRule="atLeast"/>
              <w:rPr>
                <w:rFonts w:cs="Arial"/>
                <w:sz w:val="18"/>
                <w:szCs w:val="18"/>
              </w:rPr>
            </w:pPr>
            <w:r>
              <w:rPr>
                <w:sz w:val="18"/>
              </w:rPr>
              <w:t>Utilisés dans le cadre des méthodes d’évaluation fondées sur le dialogue, ces groupes peuvent être organisés comme suit pour la QEC nº </w:t>
            </w:r>
            <w:proofErr w:type="gramStart"/>
            <w:r>
              <w:rPr>
                <w:sz w:val="18"/>
              </w:rPr>
              <w:t>21:</w:t>
            </w:r>
            <w:proofErr w:type="gramEnd"/>
          </w:p>
          <w:p w:rsidR="00ED3746" w:rsidRPr="00B77106" w:rsidRDefault="00ED3746" w:rsidP="00ED3746">
            <w:pPr>
              <w:numPr>
                <w:ilvl w:val="0"/>
                <w:numId w:val="40"/>
              </w:numPr>
              <w:spacing w:before="60" w:after="120" w:line="280" w:lineRule="atLeast"/>
              <w:ind w:left="317"/>
              <w:rPr>
                <w:rFonts w:eastAsia="Times New Roman" w:cs="Arial"/>
                <w:sz w:val="18"/>
                <w:szCs w:val="20"/>
              </w:rPr>
            </w:pPr>
            <w:proofErr w:type="gramStart"/>
            <w:r>
              <w:rPr>
                <w:sz w:val="18"/>
              </w:rPr>
              <w:t>dans</w:t>
            </w:r>
            <w:proofErr w:type="gramEnd"/>
            <w:r>
              <w:rPr>
                <w:sz w:val="18"/>
              </w:rPr>
              <w:t xml:space="preserve"> une architecture à deux niveaux, créer des groupes de discussion aux différents niveaux (autrement dit, conseillers/services de soutien à l’innovation et GAL). Les deux niveaux peuvent bénéficier des activités de formation et de mise en réseau des </w:t>
            </w:r>
            <w:proofErr w:type="gramStart"/>
            <w:r>
              <w:rPr>
                <w:sz w:val="18"/>
              </w:rPr>
              <w:t>RRN;</w:t>
            </w:r>
            <w:proofErr w:type="gramEnd"/>
            <w:r>
              <w:rPr>
                <w:sz w:val="18"/>
              </w:rPr>
              <w:t xml:space="preserve"> </w:t>
            </w:r>
          </w:p>
          <w:p w:rsidR="00ED3746" w:rsidRPr="00B77106" w:rsidRDefault="00ED3746" w:rsidP="00ED3746">
            <w:pPr>
              <w:numPr>
                <w:ilvl w:val="0"/>
                <w:numId w:val="40"/>
              </w:numPr>
              <w:spacing w:before="60" w:after="120" w:line="280" w:lineRule="atLeast"/>
              <w:ind w:left="317"/>
              <w:rPr>
                <w:rFonts w:eastAsia="Times New Roman" w:cs="Arial"/>
                <w:sz w:val="18"/>
                <w:szCs w:val="20"/>
              </w:rPr>
            </w:pPr>
            <w:proofErr w:type="gramStart"/>
            <w:r>
              <w:rPr>
                <w:sz w:val="18"/>
              </w:rPr>
              <w:t>axés</w:t>
            </w:r>
            <w:proofErr w:type="gramEnd"/>
            <w:r>
              <w:rPr>
                <w:sz w:val="18"/>
              </w:rPr>
              <w:t xml:space="preserve"> sur le domaine thématique de l’innovation (par exemple, mettre en place des groupes de personnes avec une grande variété de points de vue pour valider les activités des RRN visant à favoriser l’innovation).</w:t>
            </w:r>
          </w:p>
        </w:tc>
      </w:tr>
      <w:tr w:rsidR="00ED3746" w:rsidRPr="00B77106" w:rsidTr="00ED3746">
        <w:tc>
          <w:tcPr>
            <w:tcW w:w="2405" w:type="dxa"/>
            <w:shd w:val="clear" w:color="auto" w:fill="auto"/>
            <w:vAlign w:val="center"/>
          </w:tcPr>
          <w:p w:rsidR="00ED3746" w:rsidRPr="00B77106" w:rsidRDefault="00ED3746" w:rsidP="00ED3746">
            <w:pPr>
              <w:spacing w:after="120" w:line="280" w:lineRule="atLeast"/>
              <w:jc w:val="left"/>
              <w:rPr>
                <w:rFonts w:cs="Arial"/>
                <w:b/>
                <w:sz w:val="18"/>
                <w:szCs w:val="18"/>
              </w:rPr>
            </w:pPr>
            <w:r>
              <w:rPr>
                <w:b/>
                <w:sz w:val="18"/>
              </w:rPr>
              <w:t>Analyse fonctionnelle des réseaux (méthode diagnostique)</w:t>
            </w:r>
          </w:p>
        </w:tc>
        <w:tc>
          <w:tcPr>
            <w:tcW w:w="6612" w:type="dxa"/>
            <w:shd w:val="clear" w:color="auto" w:fill="auto"/>
          </w:tcPr>
          <w:p w:rsidR="00ED3746" w:rsidRPr="00B77106" w:rsidRDefault="00ED3746" w:rsidP="00ED3746">
            <w:pPr>
              <w:spacing w:after="120" w:line="280" w:lineRule="atLeast"/>
              <w:rPr>
                <w:rFonts w:cs="Arial"/>
                <w:sz w:val="18"/>
                <w:szCs w:val="18"/>
              </w:rPr>
            </w:pPr>
            <w:r>
              <w:rPr>
                <w:sz w:val="18"/>
              </w:rPr>
              <w:t>Combiner une enquête en ligne auprès des GO [en faisant la distinction entre ceux qui ont reçu une forme de soutien (courtage, formation, etc.) du RRN et les autres] avec une série d’entretiens approfondis avec certains GO. Une autre solution consiste à organiser un groupe de discussion afin de réfléchir sur les résultats préliminaires de l’enquête en ligne.</w:t>
            </w:r>
          </w:p>
        </w:tc>
      </w:tr>
      <w:tr w:rsidR="00ED3746" w:rsidRPr="00B77106" w:rsidTr="00ED3746">
        <w:tc>
          <w:tcPr>
            <w:tcW w:w="2405" w:type="dxa"/>
            <w:shd w:val="clear" w:color="auto" w:fill="auto"/>
            <w:vAlign w:val="center"/>
          </w:tcPr>
          <w:p w:rsidR="00ED3746" w:rsidRPr="00B77106" w:rsidRDefault="00ED3746" w:rsidP="00ED3746">
            <w:pPr>
              <w:spacing w:after="120" w:line="280" w:lineRule="atLeast"/>
              <w:jc w:val="left"/>
              <w:rPr>
                <w:rFonts w:cs="Arial"/>
                <w:b/>
                <w:sz w:val="18"/>
                <w:szCs w:val="18"/>
              </w:rPr>
            </w:pPr>
            <w:r>
              <w:rPr>
                <w:b/>
                <w:sz w:val="18"/>
              </w:rPr>
              <w:t>Analyse des acteurs de l’innovation (méthode diagnostique)</w:t>
            </w:r>
          </w:p>
        </w:tc>
        <w:tc>
          <w:tcPr>
            <w:tcW w:w="6612" w:type="dxa"/>
            <w:shd w:val="clear" w:color="auto" w:fill="auto"/>
          </w:tcPr>
          <w:p w:rsidR="00ED3746" w:rsidRPr="00B77106" w:rsidRDefault="00ED3746" w:rsidP="00ED3746">
            <w:pPr>
              <w:spacing w:after="120" w:line="280" w:lineRule="atLeast"/>
              <w:rPr>
                <w:rFonts w:cs="Arial"/>
                <w:sz w:val="18"/>
                <w:szCs w:val="18"/>
              </w:rPr>
            </w:pPr>
            <w:r>
              <w:rPr>
                <w:sz w:val="18"/>
              </w:rPr>
              <w:t xml:space="preserve">Elle peut être adressée aux acteurs de l’innovation à différents </w:t>
            </w:r>
            <w:proofErr w:type="gramStart"/>
            <w:r>
              <w:rPr>
                <w:sz w:val="18"/>
              </w:rPr>
              <w:t>niveaux:</w:t>
            </w:r>
            <w:proofErr w:type="gramEnd"/>
            <w:r>
              <w:rPr>
                <w:sz w:val="18"/>
              </w:rPr>
              <w:t xml:space="preserve"> le RRN ou la structure de réseau au niveau des États membres pour les services de soutien à l’innovation (si distincte du RRN); les coordinateurs des réseaux thématiques, les coordinateurs des GO et même le point de service du PEI. </w:t>
            </w:r>
          </w:p>
          <w:p w:rsidR="00ED3746" w:rsidRPr="00B77106" w:rsidRDefault="00ED3746" w:rsidP="00ED3746">
            <w:pPr>
              <w:spacing w:after="120" w:line="280" w:lineRule="atLeast"/>
              <w:rPr>
                <w:rFonts w:cs="Arial"/>
                <w:sz w:val="18"/>
                <w:szCs w:val="18"/>
              </w:rPr>
            </w:pPr>
            <w:r>
              <w:rPr>
                <w:sz w:val="18"/>
              </w:rPr>
              <w:t>L’analyse des parties concernées aidera à collecter des informations sur les indicateurs pour lesquels des données ne sont pas collectées via la base de données de suivi. Dans le cas de la QEC nº 21, seuls trois indicateurs de réalisation peuvent être quantifiés à l’aide des données de suivi, et même dans ce cas, les données peuvent être trop génériques et ne pas couvrir les éléments d’innovation. Par exemple, le nombre d’échanges thématiques et analytiques mis en place avec le soutien du RRN (O.24) peut être consigné dans la base de données de suivi, mais sans préciser quels échanges portaient sur des thèmes liés à l’innovation.</w:t>
            </w:r>
          </w:p>
        </w:tc>
      </w:tr>
      <w:tr w:rsidR="00ED3746" w:rsidRPr="00B77106" w:rsidTr="00ED3746">
        <w:tc>
          <w:tcPr>
            <w:tcW w:w="2405" w:type="dxa"/>
            <w:shd w:val="clear" w:color="auto" w:fill="auto"/>
            <w:vAlign w:val="center"/>
          </w:tcPr>
          <w:p w:rsidR="00ED3746" w:rsidRPr="00B77106" w:rsidRDefault="00ED3746" w:rsidP="00ED3746">
            <w:pPr>
              <w:spacing w:after="120" w:line="280" w:lineRule="atLeast"/>
              <w:jc w:val="left"/>
              <w:rPr>
                <w:rFonts w:cs="Arial"/>
                <w:sz w:val="18"/>
                <w:szCs w:val="18"/>
              </w:rPr>
            </w:pPr>
            <w:r>
              <w:rPr>
                <w:b/>
              </w:rPr>
              <w:t>Analyse des réseaux sociaux (ARS)</w:t>
            </w:r>
            <w:r>
              <w:t xml:space="preserve"> (méthode diagnostique)</w:t>
            </w:r>
          </w:p>
        </w:tc>
        <w:tc>
          <w:tcPr>
            <w:tcW w:w="6612" w:type="dxa"/>
            <w:shd w:val="clear" w:color="auto" w:fill="auto"/>
          </w:tcPr>
          <w:p w:rsidR="00ED3746" w:rsidRPr="00B77106" w:rsidRDefault="00ED3746" w:rsidP="00ED3746">
            <w:pPr>
              <w:spacing w:after="120" w:line="280" w:lineRule="atLeast"/>
              <w:rPr>
                <w:rFonts w:cs="Arial"/>
                <w:sz w:val="18"/>
                <w:szCs w:val="18"/>
              </w:rPr>
            </w:pPr>
            <w:r>
              <w:rPr>
                <w:sz w:val="18"/>
              </w:rPr>
              <w:t xml:space="preserve">Une ARS peut être réalisée sur un aspect thématique, notamment la mesure dans laquelle les objectifs d’innovation du RRN sont favorisés, en examinant les tracés des réseaux d’innovation (par exemple, pour déterminer les acteurs essentiels de l’innovation au sein du réseau), en évaluant leurs caractéristiques structurelles (par exemple, la position centrale ou périphérique des parties concernées par l’innovation) et les chevauchements entre ceux-ci (par exemple pour déterminer </w:t>
            </w:r>
            <w:r>
              <w:rPr>
                <w:sz w:val="18"/>
              </w:rPr>
              <w:lastRenderedPageBreak/>
              <w:t>les connecteurs essentiels), en vue d’en débattre au sein d’un groupe de discussion.</w:t>
            </w:r>
          </w:p>
          <w:p w:rsidR="00ED3746" w:rsidRPr="00B77106" w:rsidRDefault="00ED3746" w:rsidP="00ED3746">
            <w:pPr>
              <w:spacing w:after="120" w:line="280" w:lineRule="atLeast"/>
              <w:rPr>
                <w:rFonts w:cs="Arial"/>
                <w:sz w:val="18"/>
                <w:szCs w:val="18"/>
              </w:rPr>
            </w:pPr>
            <w:r>
              <w:rPr>
                <w:sz w:val="18"/>
              </w:rPr>
              <w:t>L’ARS peut aider à mesurer la participation des parties concernées par l’innovation dans le RRN et à évaluer l’efficacité des réalisations relatives à l’innovation (par exemple, les échanges thématiques et analytiques sur l’innovation, les activités de formation et de mise en réseau sur l’innovation, et la collecte d’exemples de projets en relation avec l’innovation).</w:t>
            </w:r>
          </w:p>
        </w:tc>
      </w:tr>
      <w:tr w:rsidR="00ED3746" w:rsidRPr="00B77106" w:rsidTr="00ED3746">
        <w:tc>
          <w:tcPr>
            <w:tcW w:w="2405" w:type="dxa"/>
            <w:shd w:val="clear" w:color="auto" w:fill="auto"/>
            <w:vAlign w:val="center"/>
          </w:tcPr>
          <w:p w:rsidR="00ED3746" w:rsidRPr="00B77106" w:rsidRDefault="00ED3746" w:rsidP="00ED3746">
            <w:pPr>
              <w:spacing w:after="120" w:line="280" w:lineRule="atLeast"/>
              <w:jc w:val="left"/>
              <w:rPr>
                <w:rFonts w:cs="Arial"/>
                <w:b/>
                <w:sz w:val="18"/>
                <w:szCs w:val="18"/>
              </w:rPr>
            </w:pPr>
            <w:r>
              <w:rPr>
                <w:b/>
                <w:sz w:val="18"/>
              </w:rPr>
              <w:t>Études de cas</w:t>
            </w:r>
          </w:p>
        </w:tc>
        <w:tc>
          <w:tcPr>
            <w:tcW w:w="6612" w:type="dxa"/>
            <w:shd w:val="clear" w:color="auto" w:fill="auto"/>
          </w:tcPr>
          <w:p w:rsidR="00ED3746" w:rsidRPr="00B77106" w:rsidRDefault="00ED3746" w:rsidP="00ED3746">
            <w:pPr>
              <w:spacing w:after="120" w:line="280" w:lineRule="atLeast"/>
              <w:rPr>
                <w:rFonts w:cs="Arial"/>
                <w:sz w:val="18"/>
                <w:szCs w:val="18"/>
              </w:rPr>
            </w:pPr>
            <w:r>
              <w:rPr>
                <w:sz w:val="18"/>
              </w:rPr>
              <w:t xml:space="preserve">Les études de cas peuvent être adaptées et utilisées dans n’importe quelle évaluation. Elles offrent la possibilité de mélanger plusieurs méthodes et sont très flexibles dans leur conception. Dans le cas de la QEC nº 21, il est proposé de construire une étude de cas autour des questions/critères liés à l’innovation </w:t>
            </w:r>
            <w:proofErr w:type="gramStart"/>
            <w:r>
              <w:rPr>
                <w:sz w:val="18"/>
              </w:rPr>
              <w:t>suivants:</w:t>
            </w:r>
            <w:proofErr w:type="gramEnd"/>
          </w:p>
          <w:p w:rsidR="00ED3746" w:rsidRPr="00B77106" w:rsidRDefault="00ED3746" w:rsidP="00ED3746">
            <w:pPr>
              <w:numPr>
                <w:ilvl w:val="0"/>
                <w:numId w:val="41"/>
              </w:numPr>
              <w:spacing w:before="60" w:after="120" w:line="280" w:lineRule="atLeast"/>
              <w:ind w:left="360"/>
              <w:rPr>
                <w:rFonts w:eastAsia="Times New Roman" w:cs="Times New Roman"/>
                <w:sz w:val="18"/>
                <w:szCs w:val="20"/>
              </w:rPr>
            </w:pPr>
            <w:proofErr w:type="gramStart"/>
            <w:r>
              <w:rPr>
                <w:sz w:val="18"/>
              </w:rPr>
              <w:t>l’analyse</w:t>
            </w:r>
            <w:proofErr w:type="gramEnd"/>
            <w:r>
              <w:rPr>
                <w:sz w:val="18"/>
              </w:rPr>
              <w:t xml:space="preserve"> du rôle du RRN dans la mise en place des groupes opérationnels et donc dans la promotion de l’innovation dans l’agriculture, dans la foresterie et dans les zones rurales;</w:t>
            </w:r>
          </w:p>
          <w:p w:rsidR="00ED3746" w:rsidRPr="00B77106" w:rsidRDefault="00ED3746" w:rsidP="00ED3746">
            <w:pPr>
              <w:numPr>
                <w:ilvl w:val="0"/>
                <w:numId w:val="41"/>
              </w:numPr>
              <w:spacing w:before="60" w:after="120" w:line="280" w:lineRule="atLeast"/>
              <w:ind w:left="360"/>
              <w:rPr>
                <w:rFonts w:eastAsia="Times New Roman" w:cs="Times New Roman"/>
                <w:sz w:val="18"/>
                <w:szCs w:val="20"/>
              </w:rPr>
            </w:pPr>
            <w:proofErr w:type="gramStart"/>
            <w:r>
              <w:rPr>
                <w:sz w:val="18"/>
              </w:rPr>
              <w:t>l’analyse</w:t>
            </w:r>
            <w:proofErr w:type="gramEnd"/>
            <w:r>
              <w:rPr>
                <w:sz w:val="18"/>
              </w:rPr>
              <w:t xml:space="preserve"> des contributions du RRN visant à promouvoir les conseillers et les services de soutien à l’innovation comme formateurs dans les processus d’innovation interactifs (par exemple, pour s’emparer d’idées de pratiques, faire office de courtiers, de facilitateurs et de diffuseurs des nouvelles connaissances);</w:t>
            </w:r>
          </w:p>
          <w:p w:rsidR="00ED3746" w:rsidRPr="00B77106" w:rsidRDefault="00ED3746" w:rsidP="00ED3746">
            <w:pPr>
              <w:numPr>
                <w:ilvl w:val="0"/>
                <w:numId w:val="41"/>
              </w:numPr>
              <w:spacing w:before="60" w:after="120" w:line="280" w:lineRule="atLeast"/>
              <w:ind w:left="360"/>
              <w:rPr>
                <w:rFonts w:eastAsia="Times New Roman" w:cs="Times New Roman"/>
                <w:sz w:val="18"/>
                <w:szCs w:val="20"/>
              </w:rPr>
            </w:pPr>
            <w:proofErr w:type="gramStart"/>
            <w:r>
              <w:rPr>
                <w:sz w:val="18"/>
              </w:rPr>
              <w:t>l’analyse</w:t>
            </w:r>
            <w:proofErr w:type="gramEnd"/>
            <w:r>
              <w:rPr>
                <w:sz w:val="18"/>
              </w:rPr>
              <w:t xml:space="preserve"> du rôle des RRN dans les réseaux thématiques, qui mettent en relation les groupes opérationnels et évaluent donc les liens avec Horizon 2020.</w:t>
            </w:r>
          </w:p>
        </w:tc>
      </w:tr>
    </w:tbl>
    <w:p w:rsidR="00ED3746" w:rsidRPr="00E05D08" w:rsidRDefault="00ED3746" w:rsidP="00ED3746">
      <w:pPr>
        <w:numPr>
          <w:ilvl w:val="0"/>
          <w:numId w:val="60"/>
        </w:numPr>
        <w:spacing w:before="120" w:after="120" w:line="280" w:lineRule="atLeast"/>
        <w:ind w:left="567" w:hanging="567"/>
        <w:mirrorIndents/>
        <w:rPr>
          <w:rFonts w:eastAsia="Times New Roman" w:cs="Times New Roman"/>
          <w:b/>
          <w:szCs w:val="20"/>
        </w:rPr>
      </w:pPr>
      <w:r>
        <w:rPr>
          <w:b/>
        </w:rPr>
        <w:t>Risques et solutions</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ED3746" w:rsidRPr="00B77106" w:rsidTr="00762026">
        <w:trPr>
          <w:tblHeader/>
        </w:trPr>
        <w:tc>
          <w:tcPr>
            <w:tcW w:w="4508" w:type="dxa"/>
            <w:shd w:val="clear" w:color="auto" w:fill="FF6F0D"/>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Risques</w:t>
            </w:r>
          </w:p>
        </w:tc>
        <w:tc>
          <w:tcPr>
            <w:tcW w:w="4509" w:type="dxa"/>
            <w:shd w:val="clear" w:color="auto" w:fill="FF6F0D"/>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Solutions</w:t>
            </w:r>
          </w:p>
        </w:tc>
      </w:tr>
      <w:tr w:rsidR="00ED3746" w:rsidRPr="00B77106" w:rsidTr="00ED3746">
        <w:trPr>
          <w:trHeight w:val="699"/>
        </w:trPr>
        <w:tc>
          <w:tcPr>
            <w:tcW w:w="4508" w:type="dxa"/>
            <w:shd w:val="clear" w:color="auto" w:fill="auto"/>
          </w:tcPr>
          <w:p w:rsidR="00ED3746" w:rsidRPr="00B77106" w:rsidRDefault="00ED3746" w:rsidP="00ED3746">
            <w:pPr>
              <w:spacing w:after="120" w:line="280" w:lineRule="atLeast"/>
              <w:rPr>
                <w:rFonts w:cs="Arial"/>
                <w:sz w:val="18"/>
                <w:szCs w:val="18"/>
              </w:rPr>
            </w:pPr>
            <w:r>
              <w:rPr>
                <w:sz w:val="18"/>
              </w:rPr>
              <w:t>Des données relatives aux trois principaux indicateurs de réalisation devraient être disponibles, mais elles ne seront très probablement pas axées sur l’innovation. Par exemple, les données sur les échanges thématiques et analytiques ne seront peut-être pas collectées par thème, plus particulièrement sur le thème de l’innovation. De même, les données sur les outils de communication ne seront peut-être pas désagrégées par thème (par exemple, communication des résultats de l’innovation).</w:t>
            </w:r>
          </w:p>
        </w:tc>
        <w:tc>
          <w:tcPr>
            <w:tcW w:w="4509" w:type="dxa"/>
            <w:shd w:val="clear" w:color="auto" w:fill="auto"/>
          </w:tcPr>
          <w:p w:rsidR="00ED3746" w:rsidRPr="00B77106" w:rsidRDefault="00ED3746" w:rsidP="00ED3746">
            <w:pPr>
              <w:spacing w:after="120" w:line="280" w:lineRule="atLeast"/>
              <w:rPr>
                <w:rFonts w:eastAsia="Times New Roman" w:cs="Times New Roman"/>
                <w:sz w:val="18"/>
                <w:szCs w:val="18"/>
              </w:rPr>
            </w:pPr>
            <w:r>
              <w:rPr>
                <w:sz w:val="18"/>
              </w:rPr>
              <w:t>Les AG pourraient intégrer le volet relatif à l’innovation pour les trois indicateurs de réalisation communs dans les bases de données de suivi</w:t>
            </w:r>
            <w:r>
              <w:rPr>
                <w:sz w:val="18"/>
                <w:vertAlign w:val="superscript"/>
              </w:rPr>
              <w:footnoteReference w:id="67"/>
            </w:r>
            <w:r>
              <w:rPr>
                <w:sz w:val="18"/>
              </w:rPr>
              <w:t>.</w:t>
            </w:r>
          </w:p>
        </w:tc>
      </w:tr>
      <w:tr w:rsidR="00ED3746" w:rsidRPr="00B77106" w:rsidTr="00ED3746">
        <w:tc>
          <w:tcPr>
            <w:tcW w:w="4508" w:type="dxa"/>
            <w:shd w:val="clear" w:color="auto" w:fill="auto"/>
          </w:tcPr>
          <w:p w:rsidR="00ED3746" w:rsidRPr="00B77106" w:rsidRDefault="00ED3746" w:rsidP="00ED3746">
            <w:pPr>
              <w:spacing w:after="120" w:line="280" w:lineRule="atLeast"/>
              <w:rPr>
                <w:rFonts w:cs="Arial"/>
                <w:sz w:val="18"/>
                <w:szCs w:val="18"/>
              </w:rPr>
            </w:pPr>
            <w:r>
              <w:rPr>
                <w:sz w:val="18"/>
              </w:rPr>
              <w:t>Pour tous les autres indicateurs proposés, les données ne seraient pas collectées à des fins de suivi, à moins qu’une AG/un RRN ait décidé de les collecter en plus des éléments de données communs.</w:t>
            </w:r>
          </w:p>
        </w:tc>
        <w:tc>
          <w:tcPr>
            <w:tcW w:w="4509" w:type="dxa"/>
            <w:shd w:val="clear" w:color="auto" w:fill="auto"/>
          </w:tcPr>
          <w:p w:rsidR="00ED3746" w:rsidRPr="00B77106" w:rsidRDefault="00ED3746" w:rsidP="00ED3746">
            <w:pPr>
              <w:spacing w:after="120" w:line="280" w:lineRule="atLeast"/>
              <w:rPr>
                <w:rFonts w:cs="Arial"/>
                <w:sz w:val="18"/>
                <w:szCs w:val="18"/>
              </w:rPr>
            </w:pPr>
            <w:r>
              <w:rPr>
                <w:sz w:val="18"/>
              </w:rPr>
              <w:t xml:space="preserve">Au début de la mise en œuvre, les RRN devraient signaler leurs activités axées sur la promotion de l’innovation (par exemple, la formation des acteurs de l’innovation, les échanges thématiques sur l’innovation, la collecte de bonnes pratiques en </w:t>
            </w:r>
            <w:r>
              <w:rPr>
                <w:sz w:val="18"/>
              </w:rPr>
              <w:lastRenderedPageBreak/>
              <w:t>matière d’innovation, le soutien à la mise en place de GO, etc.).</w:t>
            </w:r>
          </w:p>
        </w:tc>
      </w:tr>
      <w:tr w:rsidR="00ED3746" w:rsidRPr="00B77106" w:rsidTr="00ED3746">
        <w:tc>
          <w:tcPr>
            <w:tcW w:w="4508" w:type="dxa"/>
            <w:shd w:val="clear" w:color="auto" w:fill="auto"/>
          </w:tcPr>
          <w:p w:rsidR="00ED3746" w:rsidRPr="00B77106" w:rsidRDefault="00ED3746" w:rsidP="00ED3746">
            <w:pPr>
              <w:spacing w:after="120" w:line="280" w:lineRule="atLeast"/>
              <w:rPr>
                <w:rFonts w:cs="Arial"/>
                <w:sz w:val="18"/>
                <w:szCs w:val="18"/>
              </w:rPr>
            </w:pPr>
            <w:r>
              <w:rPr>
                <w:sz w:val="18"/>
              </w:rPr>
              <w:lastRenderedPageBreak/>
              <w:t>Se baser sur une seule méthode (qualitative ou quantitative) pour analyser les données pourrait ne pas donner des résultats fiables.</w:t>
            </w:r>
          </w:p>
        </w:tc>
        <w:tc>
          <w:tcPr>
            <w:tcW w:w="4509" w:type="dxa"/>
            <w:shd w:val="clear" w:color="auto" w:fill="auto"/>
          </w:tcPr>
          <w:p w:rsidR="00ED3746" w:rsidRPr="00B77106" w:rsidRDefault="00ED3746" w:rsidP="00ED3746">
            <w:pPr>
              <w:spacing w:after="120" w:line="280" w:lineRule="atLeast"/>
              <w:rPr>
                <w:rFonts w:cs="Arial"/>
                <w:sz w:val="18"/>
                <w:szCs w:val="18"/>
              </w:rPr>
            </w:pPr>
            <w:r>
              <w:t>Utiliser une combinaison de méthodes d’évaluation, qui permettent de collecter des informations de manière continue ou ex post, telles que celles proposées ci-dessus (enquêtes, groupes de discussion, méthodes diagnostiques, études de cas) et permettent de trianguler et d’obtenir des résultats plus fiables.</w:t>
            </w:r>
          </w:p>
        </w:tc>
      </w:tr>
    </w:tbl>
    <w:p w:rsidR="00ED3746" w:rsidRPr="00E05D08" w:rsidRDefault="00ED3746" w:rsidP="00ED3746">
      <w:pPr>
        <w:numPr>
          <w:ilvl w:val="0"/>
          <w:numId w:val="60"/>
        </w:numPr>
        <w:spacing w:before="120" w:after="120" w:line="280" w:lineRule="atLeast"/>
        <w:ind w:left="567" w:hanging="567"/>
        <w:mirrorIndents/>
        <w:rPr>
          <w:rFonts w:eastAsia="Times New Roman" w:cs="Times New Roman"/>
          <w:b/>
          <w:szCs w:val="20"/>
        </w:rPr>
      </w:pPr>
      <w:r>
        <w:rPr>
          <w:b/>
        </w:rPr>
        <w:t>Conclusions et recommandations</w:t>
      </w:r>
    </w:p>
    <w:p w:rsidR="00ED3746" w:rsidRPr="00E05D08" w:rsidRDefault="00ED3746" w:rsidP="00ED3746">
      <w:pPr>
        <w:spacing w:after="120" w:line="280" w:lineRule="atLeast"/>
        <w:mirrorIndents/>
        <w:rPr>
          <w:rFonts w:cs="Times New Roman"/>
          <w:szCs w:val="20"/>
          <w:shd w:val="clear" w:color="000000" w:fill="auto"/>
        </w:rPr>
      </w:pPr>
      <w:r>
        <w:t xml:space="preserve">Les conclusions et les recommandations devraient porter </w:t>
      </w:r>
      <w:proofErr w:type="gramStart"/>
      <w:r>
        <w:t>sur:</w:t>
      </w:r>
      <w:proofErr w:type="gramEnd"/>
    </w:p>
    <w:p w:rsidR="00ED3746" w:rsidRPr="00E72529" w:rsidRDefault="00ED3746" w:rsidP="00ED3746">
      <w:pPr>
        <w:pStyle w:val="Hlistbullet"/>
        <w:rPr>
          <w:rFonts w:eastAsia="Calibri"/>
          <w:shd w:val="clear" w:color="000000" w:fill="auto"/>
        </w:rPr>
      </w:pPr>
      <w:proofErr w:type="gramStart"/>
      <w:r>
        <w:rPr>
          <w:b/>
        </w:rPr>
        <w:t>la</w:t>
      </w:r>
      <w:proofErr w:type="gramEnd"/>
      <w:r>
        <w:rPr>
          <w:b/>
        </w:rPr>
        <w:t xml:space="preserve"> mesure dans laquelle les RRN contribuent à favoriser l’innovation</w:t>
      </w:r>
      <w:r>
        <w:t xml:space="preserve"> dans l’agriculture, la production alimentaire, la foresterie et les zones rurales;</w:t>
      </w:r>
    </w:p>
    <w:p w:rsidR="00ED3746" w:rsidRPr="00E72529" w:rsidRDefault="00ED3746" w:rsidP="00ED3746">
      <w:pPr>
        <w:pStyle w:val="Hlistbullet"/>
        <w:rPr>
          <w:rFonts w:eastAsia="Calibri"/>
          <w:shd w:val="clear" w:color="000000" w:fill="auto"/>
        </w:rPr>
      </w:pPr>
      <w:proofErr w:type="gramStart"/>
      <w:r>
        <w:rPr>
          <w:b/>
        </w:rPr>
        <w:t>les</w:t>
      </w:r>
      <w:proofErr w:type="gramEnd"/>
      <w:r>
        <w:rPr>
          <w:b/>
        </w:rPr>
        <w:t xml:space="preserve"> principaux facteurs et conditions</w:t>
      </w:r>
      <w:r>
        <w:t xml:space="preserve"> qui font des RRN des acteurs essentiels dans les processus d’innovation interactifs;</w:t>
      </w:r>
    </w:p>
    <w:p w:rsidR="00ED3746" w:rsidRPr="00E72529" w:rsidRDefault="00ED3746" w:rsidP="00ED3746">
      <w:pPr>
        <w:pStyle w:val="Hlistbullet"/>
        <w:rPr>
          <w:rFonts w:eastAsia="Calibri"/>
          <w:shd w:val="clear" w:color="000000" w:fill="auto"/>
        </w:rPr>
      </w:pPr>
      <w:proofErr w:type="gramStart"/>
      <w:r>
        <w:rPr>
          <w:b/>
        </w:rPr>
        <w:t>le</w:t>
      </w:r>
      <w:proofErr w:type="gramEnd"/>
      <w:r>
        <w:rPr>
          <w:b/>
        </w:rPr>
        <w:t xml:space="preserve"> rôle des RRN dans le système d’innovation</w:t>
      </w:r>
      <w:r>
        <w:t>: 1) repérer l’innovation en collectant et en disséminant les bonnes pratiques; 2) renforcer la capacité d’innover par la formation, la mise en réseau et les échanges thématiques et analytiques; 3) créer un environnement propice à l’innovation en soutenant et en animant les GO du PEI.</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Lectures complémentaires</w:t>
      </w:r>
    </w:p>
    <w:p w:rsidR="00ED3746" w:rsidRPr="00E05D08" w:rsidRDefault="00F204F1" w:rsidP="00ED3746">
      <w:pPr>
        <w:spacing w:after="120" w:line="280" w:lineRule="atLeast"/>
        <w:mirrorIndents/>
        <w:rPr>
          <w:rFonts w:cs="Times New Roman"/>
          <w:szCs w:val="20"/>
        </w:rPr>
      </w:pPr>
      <w:r>
        <w:rPr>
          <w:noProof/>
        </w:rPr>
        <mc:AlternateContent>
          <mc:Choice Requires="wps">
            <w:drawing>
              <wp:inline distT="0" distB="0" distL="0" distR="0">
                <wp:extent cx="5625465" cy="3174797"/>
                <wp:effectExtent l="0" t="0" r="13335" b="26035"/>
                <wp:docPr id="552" name="Rectangle: Diagonal Corners Rounded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5465" cy="3174797"/>
                        </a:xfrm>
                        <a:prstGeom prst="round2DiagRect">
                          <a:avLst>
                            <a:gd name="adj1" fmla="val 9900"/>
                            <a:gd name="adj2" fmla="val 0"/>
                          </a:avLst>
                        </a:prstGeom>
                        <a:noFill/>
                        <a:ln w="25400" cap="flat" cmpd="sng" algn="ctr">
                          <a:solidFill>
                            <a:srgbClr val="59638E"/>
                          </a:solidFill>
                          <a:prstDash val="solid"/>
                        </a:ln>
                        <a:effectLst/>
                      </wps:spPr>
                      <wps:txbx>
                        <w:txbxContent>
                          <w:p w:rsidR="00260B0F" w:rsidRDefault="00260B0F" w:rsidP="00ED3746">
                            <w:pPr>
                              <w:pStyle w:val="HStandard"/>
                              <w:rPr>
                                <w:color w:val="000000"/>
                                <w:sz w:val="18"/>
                              </w:rPr>
                            </w:pPr>
                            <w:r>
                              <w:rPr>
                                <w:noProof/>
                              </w:rPr>
                              <w:drawing>
                                <wp:inline distT="0" distB="0" distL="0" distR="0">
                                  <wp:extent cx="357505" cy="357505"/>
                                  <wp:effectExtent l="0" t="0" r="0" b="0"/>
                                  <wp:docPr id="5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6F1763" w:rsidRDefault="00260B0F" w:rsidP="00ED3746">
                            <w:pPr>
                              <w:pStyle w:val="HStandard"/>
                              <w:rPr>
                                <w:sz w:val="18"/>
                                <w:szCs w:val="18"/>
                              </w:rPr>
                            </w:pPr>
                            <w:r>
                              <w:rPr>
                                <w:sz w:val="18"/>
                              </w:rPr>
                              <w:t>Helpdesk Évaluation européen (2016), Lignes directrices «</w:t>
                            </w:r>
                            <w:hyperlink r:id="rId46" w:history="1">
                              <w:r>
                                <w:rPr>
                                  <w:color w:val="F07E31"/>
                                  <w:sz w:val="18"/>
                                  <w:u w:val="single"/>
                                </w:rPr>
                                <w:t>Évaluation des résultats du PDR: Comment établir le rapport sur l’évaluation en 2017</w:t>
                              </w:r>
                            </w:hyperlink>
                            <w:r>
                              <w:rPr>
                                <w:sz w:val="18"/>
                              </w:rPr>
                              <w:t xml:space="preserve">» (en anglais) annexe 11 </w:t>
                            </w:r>
                          </w:p>
                          <w:p w:rsidR="00260B0F" w:rsidRPr="006F1763" w:rsidRDefault="00260B0F" w:rsidP="00ED3746">
                            <w:pPr>
                              <w:pStyle w:val="HStandard"/>
                              <w:rPr>
                                <w:sz w:val="18"/>
                                <w:szCs w:val="18"/>
                              </w:rPr>
                            </w:pPr>
                            <w:r>
                              <w:rPr>
                                <w:sz w:val="18"/>
                              </w:rPr>
                              <w:t>REDR (2014),</w:t>
                            </w:r>
                            <w:hyperlink r:id="rId47" w:history="1">
                              <w:r>
                                <w:rPr>
                                  <w:rStyle w:val="Hyperlink"/>
                                  <w:sz w:val="18"/>
                                </w:rPr>
                                <w:t xml:space="preserve"> NRN </w:t>
                              </w:r>
                              <w:proofErr w:type="spellStart"/>
                              <w:r>
                                <w:rPr>
                                  <w:rStyle w:val="Hyperlink"/>
                                  <w:sz w:val="18"/>
                                </w:rPr>
                                <w:t>Guidebook</w:t>
                              </w:r>
                              <w:proofErr w:type="spellEnd"/>
                            </w:hyperlink>
                            <w:r>
                              <w:rPr>
                                <w:sz w:val="18"/>
                              </w:rPr>
                              <w:t>. Office des publications Luxembourg</w:t>
                            </w:r>
                          </w:p>
                          <w:p w:rsidR="00260B0F" w:rsidRPr="006F1763" w:rsidRDefault="00260B0F" w:rsidP="00ED3746">
                            <w:pPr>
                              <w:pStyle w:val="HStandard"/>
                              <w:rPr>
                                <w:sz w:val="18"/>
                                <w:szCs w:val="18"/>
                              </w:rPr>
                            </w:pPr>
                            <w:r>
                              <w:t>Helpdesk Évaluation européen</w:t>
                            </w:r>
                            <w:r>
                              <w:rPr>
                                <w:sz w:val="18"/>
                              </w:rPr>
                              <w:t xml:space="preserve"> (2016), Lignes directrices</w:t>
                            </w:r>
                            <w:r>
                              <w:t xml:space="preserve"> «</w:t>
                            </w:r>
                            <w:hyperlink r:id="rId48" w:history="1">
                              <w:r>
                                <w:rPr>
                                  <w:rStyle w:val="Hyperlink"/>
                                  <w:sz w:val="18"/>
                                </w:rPr>
                                <w:t>Évaluation des réseaux ruraux nationaux 2014-2020</w:t>
                              </w:r>
                            </w:hyperlink>
                            <w:r>
                              <w:t>».</w:t>
                            </w:r>
                          </w:p>
                          <w:p w:rsidR="00260B0F" w:rsidRPr="006F1763" w:rsidRDefault="00260B0F" w:rsidP="00ED3746">
                            <w:pPr>
                              <w:pStyle w:val="HStandard"/>
                              <w:rPr>
                                <w:sz w:val="18"/>
                                <w:szCs w:val="18"/>
                              </w:rPr>
                            </w:pPr>
                            <w:r>
                              <w:rPr>
                                <w:sz w:val="18"/>
                              </w:rPr>
                              <w:t xml:space="preserve">Commission européenne, DG AGRI (2014), </w:t>
                            </w:r>
                            <w:hyperlink r:id="rId49" w:history="1">
                              <w:r>
                                <w:rPr>
                                  <w:rStyle w:val="Hyperlink"/>
                                  <w:sz w:val="18"/>
                                </w:rPr>
                                <w:t>Lignes directrices pour la programmation en matière d’innovation et la mise en œuvre du PEI pour la productivité et le développement durable de l’agriculture (en anglais).</w:t>
                              </w:r>
                            </w:hyperlink>
                          </w:p>
                          <w:p w:rsidR="00260B0F" w:rsidRPr="006F1763" w:rsidRDefault="00260B0F" w:rsidP="00ED3746">
                            <w:pPr>
                              <w:pStyle w:val="HStandard"/>
                              <w:rPr>
                                <w:sz w:val="18"/>
                                <w:szCs w:val="18"/>
                              </w:rPr>
                            </w:pPr>
                            <w:r w:rsidRPr="00D97603">
                              <w:rPr>
                                <w:sz w:val="18"/>
                                <w:lang w:val="en-GB"/>
                              </w:rPr>
                              <w:t xml:space="preserve">Helpdesk </w:t>
                            </w:r>
                            <w:proofErr w:type="spellStart"/>
                            <w:r w:rsidRPr="00D97603">
                              <w:rPr>
                                <w:sz w:val="18"/>
                                <w:lang w:val="en-GB"/>
                              </w:rPr>
                              <w:t>Évaluation</w:t>
                            </w:r>
                            <w:proofErr w:type="spellEnd"/>
                            <w:r w:rsidRPr="00D97603">
                              <w:rPr>
                                <w:sz w:val="18"/>
                                <w:lang w:val="en-GB"/>
                              </w:rPr>
                              <w:t xml:space="preserve"> </w:t>
                            </w:r>
                            <w:proofErr w:type="spellStart"/>
                            <w:r w:rsidRPr="00D97603">
                              <w:rPr>
                                <w:sz w:val="18"/>
                                <w:lang w:val="en-GB"/>
                              </w:rPr>
                              <w:t>européen</w:t>
                            </w:r>
                            <w:proofErr w:type="spellEnd"/>
                            <w:r w:rsidRPr="00D97603">
                              <w:rPr>
                                <w:sz w:val="18"/>
                                <w:lang w:val="en-GB"/>
                              </w:rPr>
                              <w:t xml:space="preserve"> (2014), </w:t>
                            </w:r>
                            <w:r w:rsidRPr="00D97603">
                              <w:rPr>
                                <w:i/>
                                <w:sz w:val="18"/>
                                <w:lang w:val="en-GB"/>
                              </w:rPr>
                              <w:t>Intervention logic and evaluation framework for 2014-2020 National Rural Networks</w:t>
                            </w:r>
                            <w:r w:rsidRPr="00D97603">
                              <w:rPr>
                                <w:sz w:val="18"/>
                                <w:lang w:val="en-GB"/>
                              </w:rPr>
                              <w:t xml:space="preserve">. </w:t>
                            </w:r>
                            <w:r>
                              <w:rPr>
                                <w:sz w:val="18"/>
                              </w:rPr>
                              <w:t>Document de référence présenté lors de l’</w:t>
                            </w:r>
                            <w:hyperlink r:id="rId50" w:history="1">
                              <w:r>
                                <w:rPr>
                                  <w:rStyle w:val="Hyperlink"/>
                                  <w:sz w:val="18"/>
                                </w:rPr>
                                <w:t xml:space="preserve">atelier sur les bonnes pratiques «National Rural Networks: How to show </w:t>
                              </w:r>
                              <w:proofErr w:type="spellStart"/>
                              <w:r>
                                <w:rPr>
                                  <w:rStyle w:val="Hyperlink"/>
                                  <w:sz w:val="18"/>
                                </w:rPr>
                                <w:t>their</w:t>
                              </w:r>
                              <w:proofErr w:type="spellEnd"/>
                              <w:r>
                                <w:rPr>
                                  <w:rStyle w:val="Hyperlink"/>
                                  <w:sz w:val="18"/>
                                </w:rPr>
                                <w:t xml:space="preserve"> </w:t>
                              </w:r>
                              <w:proofErr w:type="spellStart"/>
                              <w:r>
                                <w:rPr>
                                  <w:rStyle w:val="Hyperlink"/>
                                  <w:sz w:val="18"/>
                                </w:rPr>
                                <w:t>benefits</w:t>
                              </w:r>
                              <w:proofErr w:type="spellEnd"/>
                            </w:hyperlink>
                            <w:r>
                              <w:rPr>
                                <w:color w:val="F07E31"/>
                                <w:sz w:val="18"/>
                              </w:rPr>
                              <w:t>»</w:t>
                            </w:r>
                            <w:r>
                              <w:rPr>
                                <w:sz w:val="18"/>
                              </w:rPr>
                              <w:t>, Rome (Italie), les 10 et 11 avril 2014</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552" o:spid="_x0000_s1052" style="width:442.95pt;height:250pt;visibility:visible;mso-wrap-style:square;mso-left-percent:-10001;mso-top-percent:-10001;mso-position-horizontal:absolute;mso-position-horizontal-relative:char;mso-position-vertical:absolute;mso-position-vertical-relative:line;mso-left-percent:-10001;mso-top-percent:-10001;v-text-anchor:middle" coordsize="5625465,317479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" adj="-11796480,,5400" path="m314305,l5625465,r,l5625465,2860492v,173586,-140719,314305,-314305,314305l,3174797r,l,314305c,140719,140719,,314305,xe" filled="f" strokecolor="#59638e" strokeweight="2pt">
                <v:stroke joinstyle="miter"/>
                <v:formulas/>
                <v:path arrowok="t" o:connecttype="custom" o:connectlocs="314305,0;5625465,0;5625465,0;5625465,2860492;5311160,3174797;0,3174797;0,3174797;0,314305;314305,0" o:connectangles="0,0,0,0,0,0,0,0,0" textboxrect="0,0,5625465,3174797"/>
                <v:textbox>
                  <w:txbxContent>
                    <w:p w:rsidR="00260B0F" w:rsidRDefault="00260B0F" w:rsidP="00ED3746">
                      <w:pPr>
                        <w:pStyle w:val="HStandard"/>
                        <w:rPr>
                          <w:color w:val="000000"/>
                          <w:sz w:val="18"/>
                        </w:rPr>
                      </w:pPr>
                      <w:r>
                        <w:rPr>
                          <w:noProof/>
                        </w:rPr>
                        <w:drawing>
                          <wp:inline distT="0" distB="0" distL="0" distR="0">
                            <wp:extent cx="357505" cy="357505"/>
                            <wp:effectExtent l="0" t="0" r="0" b="0"/>
                            <wp:docPr id="5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6F1763" w:rsidRDefault="00260B0F" w:rsidP="00ED3746">
                      <w:pPr>
                        <w:pStyle w:val="HStandard"/>
                        <w:rPr>
                          <w:sz w:val="18"/>
                          <w:szCs w:val="18"/>
                        </w:rPr>
                      </w:pPr>
                      <w:r>
                        <w:rPr>
                          <w:sz w:val="18"/>
                        </w:rPr>
                        <w:t>Helpdesk Évaluation européen (2016), Lignes directrices «</w:t>
                      </w:r>
                      <w:hyperlink r:id="rId51" w:history="1">
                        <w:r>
                          <w:rPr>
                            <w:color w:val="F07E31"/>
                            <w:sz w:val="18"/>
                            <w:u w:val="single"/>
                          </w:rPr>
                          <w:t>Évaluation des résultats du PDR: Comment établir le rapport sur l’évaluation en 2017</w:t>
                        </w:r>
                      </w:hyperlink>
                      <w:r>
                        <w:rPr>
                          <w:sz w:val="18"/>
                        </w:rPr>
                        <w:t xml:space="preserve">» (en anglais) annexe 11 </w:t>
                      </w:r>
                    </w:p>
                    <w:p w:rsidR="00260B0F" w:rsidRPr="006F1763" w:rsidRDefault="00260B0F" w:rsidP="00ED3746">
                      <w:pPr>
                        <w:pStyle w:val="HStandard"/>
                        <w:rPr>
                          <w:sz w:val="18"/>
                          <w:szCs w:val="18"/>
                        </w:rPr>
                      </w:pPr>
                      <w:r>
                        <w:rPr>
                          <w:sz w:val="18"/>
                        </w:rPr>
                        <w:t>REDR (2014),</w:t>
                      </w:r>
                      <w:hyperlink r:id="rId52" w:history="1">
                        <w:r>
                          <w:rPr>
                            <w:rStyle w:val="Hyperlink"/>
                            <w:sz w:val="18"/>
                          </w:rPr>
                          <w:t xml:space="preserve"> NRN </w:t>
                        </w:r>
                        <w:proofErr w:type="spellStart"/>
                        <w:r>
                          <w:rPr>
                            <w:rStyle w:val="Hyperlink"/>
                            <w:sz w:val="18"/>
                          </w:rPr>
                          <w:t>Guidebook</w:t>
                        </w:r>
                        <w:proofErr w:type="spellEnd"/>
                      </w:hyperlink>
                      <w:r>
                        <w:rPr>
                          <w:sz w:val="18"/>
                        </w:rPr>
                        <w:t>. Office des publications Luxembourg</w:t>
                      </w:r>
                    </w:p>
                    <w:p w:rsidR="00260B0F" w:rsidRPr="006F1763" w:rsidRDefault="00260B0F" w:rsidP="00ED3746">
                      <w:pPr>
                        <w:pStyle w:val="HStandard"/>
                        <w:rPr>
                          <w:sz w:val="18"/>
                          <w:szCs w:val="18"/>
                        </w:rPr>
                      </w:pPr>
                      <w:r>
                        <w:t>Helpdesk Évaluation européen</w:t>
                      </w:r>
                      <w:r>
                        <w:rPr>
                          <w:sz w:val="18"/>
                        </w:rPr>
                        <w:t xml:space="preserve"> (2016), Lignes directrices</w:t>
                      </w:r>
                      <w:r>
                        <w:t xml:space="preserve"> «</w:t>
                      </w:r>
                      <w:hyperlink r:id="rId53" w:history="1">
                        <w:r>
                          <w:rPr>
                            <w:rStyle w:val="Hyperlink"/>
                            <w:sz w:val="18"/>
                          </w:rPr>
                          <w:t>Évaluation des réseaux ruraux nationaux 2014-2020</w:t>
                        </w:r>
                      </w:hyperlink>
                      <w:r>
                        <w:t>».</w:t>
                      </w:r>
                    </w:p>
                    <w:p w:rsidR="00260B0F" w:rsidRPr="006F1763" w:rsidRDefault="00260B0F" w:rsidP="00ED3746">
                      <w:pPr>
                        <w:pStyle w:val="HStandard"/>
                        <w:rPr>
                          <w:sz w:val="18"/>
                          <w:szCs w:val="18"/>
                        </w:rPr>
                      </w:pPr>
                      <w:r>
                        <w:rPr>
                          <w:sz w:val="18"/>
                        </w:rPr>
                        <w:t xml:space="preserve">Commission européenne, DG AGRI (2014), </w:t>
                      </w:r>
                      <w:hyperlink r:id="rId54" w:history="1">
                        <w:r>
                          <w:rPr>
                            <w:rStyle w:val="Hyperlink"/>
                            <w:sz w:val="18"/>
                          </w:rPr>
                          <w:t>Lignes directrices pour la programmation en matière d’innovation et la mise en œuvre du PEI pour la productivité et le développement durable de l’agriculture (en anglais).</w:t>
                        </w:r>
                      </w:hyperlink>
                    </w:p>
                    <w:p w:rsidR="00260B0F" w:rsidRPr="006F1763" w:rsidRDefault="00260B0F" w:rsidP="00ED3746">
                      <w:pPr>
                        <w:pStyle w:val="HStandard"/>
                        <w:rPr>
                          <w:sz w:val="18"/>
                          <w:szCs w:val="18"/>
                        </w:rPr>
                      </w:pPr>
                      <w:r w:rsidRPr="00D97603">
                        <w:rPr>
                          <w:sz w:val="18"/>
                          <w:lang w:val="en-GB"/>
                        </w:rPr>
                        <w:t xml:space="preserve">Helpdesk </w:t>
                      </w:r>
                      <w:proofErr w:type="spellStart"/>
                      <w:r w:rsidRPr="00D97603">
                        <w:rPr>
                          <w:sz w:val="18"/>
                          <w:lang w:val="en-GB"/>
                        </w:rPr>
                        <w:t>Évaluation</w:t>
                      </w:r>
                      <w:proofErr w:type="spellEnd"/>
                      <w:r w:rsidRPr="00D97603">
                        <w:rPr>
                          <w:sz w:val="18"/>
                          <w:lang w:val="en-GB"/>
                        </w:rPr>
                        <w:t xml:space="preserve"> </w:t>
                      </w:r>
                      <w:proofErr w:type="spellStart"/>
                      <w:r w:rsidRPr="00D97603">
                        <w:rPr>
                          <w:sz w:val="18"/>
                          <w:lang w:val="en-GB"/>
                        </w:rPr>
                        <w:t>européen</w:t>
                      </w:r>
                      <w:proofErr w:type="spellEnd"/>
                      <w:r w:rsidRPr="00D97603">
                        <w:rPr>
                          <w:sz w:val="18"/>
                          <w:lang w:val="en-GB"/>
                        </w:rPr>
                        <w:t xml:space="preserve"> (2014), </w:t>
                      </w:r>
                      <w:r w:rsidRPr="00D97603">
                        <w:rPr>
                          <w:i/>
                          <w:sz w:val="18"/>
                          <w:lang w:val="en-GB"/>
                        </w:rPr>
                        <w:t>Intervention logic and evaluation framework for 2014-2020 National Rural Networks</w:t>
                      </w:r>
                      <w:r w:rsidRPr="00D97603">
                        <w:rPr>
                          <w:sz w:val="18"/>
                          <w:lang w:val="en-GB"/>
                        </w:rPr>
                        <w:t xml:space="preserve">. </w:t>
                      </w:r>
                      <w:r>
                        <w:rPr>
                          <w:sz w:val="18"/>
                        </w:rPr>
                        <w:t>Document de référence présenté lors de l’</w:t>
                      </w:r>
                      <w:hyperlink r:id="rId55" w:history="1">
                        <w:r>
                          <w:rPr>
                            <w:rStyle w:val="Hyperlink"/>
                            <w:sz w:val="18"/>
                          </w:rPr>
                          <w:t xml:space="preserve">atelier sur les bonnes pratiques «National Rural Networks: How to show </w:t>
                        </w:r>
                        <w:proofErr w:type="spellStart"/>
                        <w:r>
                          <w:rPr>
                            <w:rStyle w:val="Hyperlink"/>
                            <w:sz w:val="18"/>
                          </w:rPr>
                          <w:t>their</w:t>
                        </w:r>
                        <w:proofErr w:type="spellEnd"/>
                        <w:r>
                          <w:rPr>
                            <w:rStyle w:val="Hyperlink"/>
                            <w:sz w:val="18"/>
                          </w:rPr>
                          <w:t xml:space="preserve"> </w:t>
                        </w:r>
                        <w:proofErr w:type="spellStart"/>
                        <w:r>
                          <w:rPr>
                            <w:rStyle w:val="Hyperlink"/>
                            <w:sz w:val="18"/>
                          </w:rPr>
                          <w:t>benefits</w:t>
                        </w:r>
                        <w:proofErr w:type="spellEnd"/>
                      </w:hyperlink>
                      <w:r>
                        <w:rPr>
                          <w:color w:val="F07E31"/>
                          <w:sz w:val="18"/>
                        </w:rPr>
                        <w:t>»</w:t>
                      </w:r>
                      <w:r>
                        <w:rPr>
                          <w:sz w:val="18"/>
                        </w:rPr>
                        <w:t>, Rome (Italie), les 10 et 11 avril 2014</w:t>
                      </w:r>
                      <w:r>
                        <w:t>.</w:t>
                      </w:r>
                    </w:p>
                  </w:txbxContent>
                </v:textbox>
                <w10:anchorlock/>
              </v:shape>
            </w:pict>
          </mc:Fallback>
        </mc:AlternateContent>
      </w:r>
    </w:p>
    <w:p w:rsidR="00ED3746" w:rsidRPr="006871D2" w:rsidRDefault="00ED3746" w:rsidP="00ED3746">
      <w:pPr>
        <w:pStyle w:val="HHeading3"/>
        <w:numPr>
          <w:ilvl w:val="2"/>
          <w:numId w:val="124"/>
        </w:numPr>
        <w:tabs>
          <w:tab w:val="clear" w:pos="567"/>
        </w:tabs>
        <w:spacing w:before="480" w:line="280" w:lineRule="exact"/>
        <w:ind w:left="567" w:hanging="567"/>
      </w:pPr>
      <w:bookmarkStart w:id="154" w:name="_Toc501382134"/>
      <w:bookmarkStart w:id="155" w:name="_Toc503368728"/>
      <w:bookmarkStart w:id="156" w:name="_Toc508889639"/>
      <w:r>
        <w:lastRenderedPageBreak/>
        <w:t>QEC nº </w:t>
      </w:r>
      <w:proofErr w:type="gramStart"/>
      <w:r>
        <w:t>23:</w:t>
      </w:r>
      <w:proofErr w:type="gramEnd"/>
      <w:r>
        <w:t xml:space="preserve"> «Dans quelle mesure le PDR a-t-il contribué à la réalisation de l’objectif phare de la stratégie Europe 2020 visant à investir 3 % du PIB de l’Union européenne dans la recherche et le développement et l’innovation?»</w:t>
      </w:r>
      <w:bookmarkEnd w:id="154"/>
      <w:bookmarkEnd w:id="155"/>
      <w:bookmarkEnd w:id="156"/>
      <w:r>
        <w:t xml:space="preserve"> </w:t>
      </w:r>
    </w:p>
    <w:p w:rsidR="00ED3746" w:rsidRPr="00E05D08" w:rsidRDefault="00ED3746" w:rsidP="00ED3746">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rPr>
        <w:t>Comprendre la QEC</w:t>
      </w:r>
    </w:p>
    <w:p w:rsidR="00ED3746" w:rsidRPr="00E05D08" w:rsidRDefault="00ED3746" w:rsidP="00ED3746">
      <w:pPr>
        <w:spacing w:after="120" w:line="280" w:lineRule="atLeast"/>
        <w:mirrorIndents/>
        <w:rPr>
          <w:rFonts w:eastAsia="Times New Roman" w:cs="Times New Roman"/>
          <w:szCs w:val="20"/>
        </w:rPr>
      </w:pPr>
      <w:r>
        <w:t>Cette QEC concerne un des cinq grands objectifs de la stratégie Europe </w:t>
      </w:r>
      <w:proofErr w:type="gramStart"/>
      <w:r>
        <w:t>2020:</w:t>
      </w:r>
      <w:proofErr w:type="gramEnd"/>
      <w:r>
        <w:t xml:space="preserve"> «investir 3 % du PIB de l’Union européenne dans la recherche et le développement/l’innovation». Pour comprendre la question, il convient de prendre en considération le contexte et la mesure de cet objectif phare, et plus important encore, sa finalité, à savoir améliorer les conditions de l’innovation, de la recherche et du développement, tout en recourant à la fois aux fonds publics et aux fonds privés. </w:t>
      </w:r>
    </w:p>
    <w:p w:rsidR="00ED3746" w:rsidRPr="00E05D08" w:rsidRDefault="00ED3746" w:rsidP="00ED3746">
      <w:pPr>
        <w:spacing w:after="120" w:line="280" w:lineRule="atLeast"/>
        <w:mirrorIndents/>
        <w:rPr>
          <w:rFonts w:eastAsia="Times New Roman" w:cs="Times New Roman"/>
          <w:szCs w:val="20"/>
        </w:rPr>
      </w:pPr>
      <w:r>
        <w:t xml:space="preserve">Ce grand objectif est lié aux priorités de la stratégie Europe 2020 pour une croissance intelligente, durable et inclusive basée sur la connaissance et l’innovation. L’objectif attire l’attention sur la nécessité à la fois pour les secteurs public et privé d’investir dans la R&amp;D, mais il se concentre </w:t>
      </w:r>
      <w:r>
        <w:rPr>
          <w:b/>
        </w:rPr>
        <w:t>sur les ressources plutôt que sur l’impact</w:t>
      </w:r>
      <w:r>
        <w:rPr>
          <w:b/>
          <w:vertAlign w:val="superscript"/>
        </w:rPr>
        <w:footnoteReference w:id="68"/>
      </w:r>
      <w:r>
        <w:t xml:space="preserve">. Il est absolument nécessaire d’améliorer les conditions de la R&amp;D privée au sein de l’Union et de nombreuses mesures proposées dans cette stratégie se proposent de le faire. Il est évident aussi qu’en considérant la R&amp;D et l’innovation ensemble, nous atteindrons un ensemble plus large de dépenses davantage pertinent pour les activités commerciales et les éléments moteurs de la productivité. La Commission propose de maintenir l’objectif de 3 % tout en concevant un indicateur qui refléterait l’intensité de la R&amp;D et de l’innovation. </w:t>
      </w:r>
    </w:p>
    <w:p w:rsidR="00ED3746" w:rsidRPr="00E05D08" w:rsidRDefault="00ED3746" w:rsidP="00ED3746">
      <w:pPr>
        <w:spacing w:after="120" w:line="280" w:lineRule="atLeast"/>
        <w:mirrorIndents/>
        <w:rPr>
          <w:rFonts w:eastAsia="Times New Roman" w:cs="Times New Roman"/>
          <w:szCs w:val="20"/>
        </w:rPr>
      </w:pPr>
      <w:r>
        <w:t>Cet objectif phare a été traduit dans les États membres en des objectifs nationaux qui reflètent les différentes situations et circonstances afin que chaque État membre puisse vérifier ses propres avancées vers les objectifs d’Europe 2020</w:t>
      </w:r>
      <w:r>
        <w:rPr>
          <w:vertAlign w:val="superscript"/>
        </w:rPr>
        <w:footnoteReference w:id="69"/>
      </w:r>
      <w:r>
        <w:t xml:space="preserve">. </w:t>
      </w:r>
    </w:p>
    <w:p w:rsidR="00ED3746" w:rsidRPr="00E05D08" w:rsidRDefault="00ED3746" w:rsidP="00ED3746">
      <w:pPr>
        <w:keepNext/>
        <w:keepLines/>
        <w:tabs>
          <w:tab w:val="left" w:pos="680"/>
        </w:tabs>
        <w:spacing w:before="240" w:after="240" w:line="280" w:lineRule="atLeast"/>
        <w:mirrorIndents/>
        <w:outlineLvl w:val="3"/>
        <w:rPr>
          <w:rFonts w:eastAsia="Times New Roman" w:cs="Times New Roman"/>
          <w:b/>
          <w:color w:val="57825E"/>
          <w:szCs w:val="20"/>
        </w:rPr>
      </w:pPr>
      <w:r>
        <w:rPr>
          <w:b/>
          <w:color w:val="57825E"/>
        </w:rPr>
        <w:t xml:space="preserve">Difficultés </w:t>
      </w:r>
      <w:proofErr w:type="gramStart"/>
      <w:r>
        <w:rPr>
          <w:b/>
          <w:color w:val="57825E"/>
        </w:rPr>
        <w:t>particulières:</w:t>
      </w:r>
      <w:proofErr w:type="gramEnd"/>
      <w:r>
        <w:rPr>
          <w:b/>
          <w:color w:val="57825E"/>
        </w:rPr>
        <w:t xml:space="preserve"> </w:t>
      </w:r>
    </w:p>
    <w:p w:rsidR="00ED3746" w:rsidRPr="006C63CD" w:rsidRDefault="00ED3746" w:rsidP="00ED3746">
      <w:pPr>
        <w:pStyle w:val="Hlistbullet"/>
      </w:pPr>
      <w:proofErr w:type="gramStart"/>
      <w:r>
        <w:rPr>
          <w:b/>
        </w:rPr>
        <w:t>gestion</w:t>
      </w:r>
      <w:proofErr w:type="gramEnd"/>
      <w:r>
        <w:rPr>
          <w:b/>
        </w:rPr>
        <w:t xml:space="preserve"> des données pour obtenir des données de grande qualité sur la R&amp;D et l’innovation: </w:t>
      </w:r>
      <w:r>
        <w:t>Eurostat publie régulièrement un rapport d’avancement complet sur l’indicateur de l'objectif phare</w:t>
      </w:r>
      <w:r>
        <w:rPr>
          <w:vertAlign w:val="superscript"/>
        </w:rPr>
        <w:footnoteReference w:id="70"/>
      </w:r>
      <w:r>
        <w:t>. La collecte des données est guidée par le manuel de Frascati (OCDE)</w:t>
      </w:r>
      <w:r>
        <w:rPr>
          <w:vertAlign w:val="superscript"/>
        </w:rPr>
        <w:footnoteReference w:id="71"/>
      </w:r>
      <w:r>
        <w:t xml:space="preserve"> et par certaines réglementations européennes</w:t>
      </w:r>
      <w:r>
        <w:rPr>
          <w:vertAlign w:val="superscript"/>
        </w:rPr>
        <w:footnoteReference w:id="72"/>
      </w:r>
      <w:r>
        <w:t xml:space="preserve">. Le manuel de Frascati est aussi à la base de la collecte des données pour l’indicateur indirect de l’indicateur de </w:t>
      </w:r>
      <w:proofErr w:type="gramStart"/>
      <w:r>
        <w:t>l' objectif</w:t>
      </w:r>
      <w:proofErr w:type="gramEnd"/>
      <w:r>
        <w:t xml:space="preserve"> phare «dépense intérieure brute de R&amp;D (DIRD)» qui sont collectées par Eurostat</w:t>
      </w:r>
      <w:r>
        <w:rPr>
          <w:vertAlign w:val="superscript"/>
        </w:rPr>
        <w:footnoteReference w:id="73"/>
      </w:r>
      <w:r>
        <w:t>. Il comprend les dépenses de recherche et développement des entreprises, des établissements d’enseignement supérieur ainsi que des organismes publics et des organisations privées à but non lucratif. La DIRD est fournie par Eurostat pour les niveaux NUTS 1 et NUTS 2. L’indicateur</w:t>
      </w:r>
      <w:proofErr w:type="gramStart"/>
      <w:r>
        <w:t xml:space="preserve"> «pourcentage</w:t>
      </w:r>
      <w:proofErr w:type="gramEnd"/>
      <w:r>
        <w:t xml:space="preserve"> de la DIRD totale» montre les parts relatives des différentes sources de fonds dans la R&amp;D:</w:t>
      </w:r>
      <w:r>
        <w:rPr>
          <w:color w:val="333333"/>
        </w:rPr>
        <w:t xml:space="preserve"> l’industrie, le gouvernement, l’enseignement supérieur et le secteur privé à but non lucratif. La cinquième source de fonds indiquée provient de la DIRD financée depuis l’étranger. </w:t>
      </w:r>
      <w:r>
        <w:t>Le</w:t>
      </w:r>
      <w:proofErr w:type="gramStart"/>
      <w:r>
        <w:t xml:space="preserve"> «pourcentage</w:t>
      </w:r>
      <w:proofErr w:type="gramEnd"/>
      <w:r>
        <w:t xml:space="preserve"> de la DIRD totale» est fourni pour le niveau NUTS 1.</w:t>
      </w:r>
      <w:r>
        <w:rPr>
          <w:color w:val="333333"/>
        </w:rPr>
        <w:t xml:space="preserve"> Bien qu’Eurostat publie les données les plus récentes, il y a un décalage de deux à trois ans. </w:t>
      </w:r>
      <w:r>
        <w:t xml:space="preserve">Eurostat ne fournit pas de données pour la DIRD ni le pourcentage de la DIRD totale par secteur économique (par exemple, industrie alimentaire, agriculture, etc.). Bien que les statistiques fassent explicitement référence aux dépenses dans la recherche et le développement, elles incluent toutefois également </w:t>
      </w:r>
      <w:r>
        <w:rPr>
          <w:b/>
        </w:rPr>
        <w:t xml:space="preserve">les dépenses dans </w:t>
      </w:r>
      <w:r>
        <w:rPr>
          <w:b/>
        </w:rPr>
        <w:lastRenderedPageBreak/>
        <w:t>l’innovation</w:t>
      </w:r>
      <w:r>
        <w:t xml:space="preserve"> jusqu’à un certain point, tel que prévu par la stratégie Europe 2020. Pour les programmes de financement qui encouragent l’innovation, le manuel de Frascati est un point de référence. Il mesure les activités scientifiques, technologiques et d’innovation, mais la frontière entre les activités de R&amp;D et d’innovation n’est pas toujours tout à fait </w:t>
      </w:r>
      <w:proofErr w:type="gramStart"/>
      <w:r>
        <w:t>claire;</w:t>
      </w:r>
      <w:proofErr w:type="gramEnd"/>
      <w:r>
        <w:t xml:space="preserve"> </w:t>
      </w:r>
    </w:p>
    <w:p w:rsidR="00ED3746" w:rsidRPr="006C63CD" w:rsidRDefault="00ED3746" w:rsidP="00ED3746">
      <w:pPr>
        <w:pStyle w:val="Hlistbullet"/>
      </w:pPr>
      <w:proofErr w:type="gramStart"/>
      <w:r>
        <w:rPr>
          <w:b/>
        </w:rPr>
        <w:t>évaluer</w:t>
      </w:r>
      <w:proofErr w:type="gramEnd"/>
      <w:r>
        <w:rPr>
          <w:b/>
        </w:rPr>
        <w:t xml:space="preserve"> la contribution du PDR à l'objectif phare: </w:t>
      </w:r>
      <w:r>
        <w:t>la difficulté consiste à refléter de manière adéquate et réaliste les contributions du PDR à l'objectif phare en gardant à l’esprit l’orientation des programmes vers la stratégie Europe 2020. Dans le cadre de cette évaluation, il est également nécessaire de prendre en considération les caractéristiques des interventions du Feader et les particularités des zones rurales et des secteurs dans lesquels elles fonctionnent. Étant donné que les zones rurales sont en général structurellement plus faibles que les zones urbaines et que la stratégie Europe 2020 est basée sur les investissements dans les zones et les secteurs de croissance, une contribution relativement plus faible du PDR par rapport aux autres programmes opérationnels peut être escomptée</w:t>
      </w:r>
      <w:r>
        <w:rPr>
          <w:vertAlign w:val="superscript"/>
        </w:rPr>
        <w:footnoteReference w:id="74"/>
      </w:r>
      <w:r>
        <w:t xml:space="preserve">. Cependant, ce qui peut sembler moins important pour les économies nationales peut être très important pour le PIB dans les zones rurales et pour le futur développement de celles-ci. Il convient donc de calculer les contributions du PDR à l'objectif phare et de répondre à la QEC. </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Approche proposée pour répondre à la QEC nº 23</w:t>
      </w:r>
    </w:p>
    <w:p w:rsidR="00ED3746" w:rsidRPr="00E05D08" w:rsidRDefault="00ED3746" w:rsidP="00ED3746">
      <w:pPr>
        <w:numPr>
          <w:ilvl w:val="0"/>
          <w:numId w:val="61"/>
        </w:numPr>
        <w:spacing w:before="120" w:after="120" w:line="280" w:lineRule="atLeast"/>
        <w:ind w:left="567" w:hanging="567"/>
        <w:mirrorIndents/>
        <w:rPr>
          <w:rFonts w:eastAsia="Times New Roman" w:cs="Times New Roman"/>
          <w:b/>
          <w:szCs w:val="20"/>
        </w:rPr>
      </w:pPr>
      <w:r>
        <w:rPr>
          <w:b/>
        </w:rPr>
        <w:t xml:space="preserve">Logique d’intervention </w:t>
      </w:r>
    </w:p>
    <w:p w:rsidR="00ED3746" w:rsidRDefault="00ED3746" w:rsidP="00ED3746">
      <w:pPr>
        <w:spacing w:after="120" w:line="280" w:lineRule="atLeast"/>
        <w:mirrorIndents/>
        <w:rPr>
          <w:rFonts w:eastAsia="Times New Roman" w:cs="Times New Roman"/>
          <w:szCs w:val="20"/>
        </w:rPr>
      </w:pPr>
      <w:r>
        <w:t xml:space="preserve">Toutes les mesures/sous-mesures du PDR qui contribuent à favoriser l’innovation par l’intermédiaire des trois démarches dans les zones rurales recensées dans le cadre de l’analyse de leur potentiel d’innovation (voir le </w:t>
      </w:r>
      <w:hyperlink w:anchor="Screening_Potential" w:history="1">
        <w:r>
          <w:rPr>
            <w:rStyle w:val="Hyperlink"/>
            <w:sz w:val="20"/>
          </w:rPr>
          <w:t>chapitre 2.2</w:t>
        </w:r>
      </w:hyperlink>
      <w:r>
        <w:t xml:space="preserve">) devraient être prises en considération dans le cadre de la logique d’intervention liée à la QEC nº 23. Cela va au-delà des mesures qui sont principalement considérées comme des mesures qui favorisent l’innovation (M1, M2 et M16) et cela peut aussi couvrir d’autres mesures d’investissement, de commercialisation, axées sur une zone donnée dont la mise en œuvre pourrait soutenir l’innovation (par exemple, au moyen de critères de sélection de projets relatifs à l’innovation). Les opérations mises en œuvre au titre de ces mesures et sous-mesures sont prises en considération dans le calcul des dépenses de R&amp;D et d’innovation, et l’évaluation de l'objectif phare ou de son indicateur indirect (DIRD) et des indicateurs supplémentaires sont utilisés pour répondre à la QEC nº 23 (tel que déterminé dans le cadre de l’analyse du potentiel d’innovation – voir le </w:t>
      </w:r>
      <w:hyperlink w:anchor="Screening_Potential" w:history="1">
        <w:r>
          <w:rPr>
            <w:rStyle w:val="Hyperlink"/>
            <w:sz w:val="20"/>
          </w:rPr>
          <w:t>chapitre 2.2</w:t>
        </w:r>
      </w:hyperlink>
      <w:r>
        <w:t xml:space="preserve">). </w:t>
      </w:r>
    </w:p>
    <w:p w:rsidR="00ED3746" w:rsidRPr="00E05D08" w:rsidRDefault="00ED3746" w:rsidP="00ED3746">
      <w:pPr>
        <w:numPr>
          <w:ilvl w:val="0"/>
          <w:numId w:val="61"/>
        </w:numPr>
        <w:spacing w:before="120" w:after="120" w:line="280" w:lineRule="atLeast"/>
        <w:ind w:left="567" w:hanging="567"/>
        <w:mirrorIndents/>
        <w:rPr>
          <w:rFonts w:eastAsia="Times New Roman" w:cs="Times New Roman"/>
          <w:b/>
          <w:szCs w:val="20"/>
        </w:rPr>
      </w:pPr>
      <w:r>
        <w:rPr>
          <w:b/>
        </w:rPr>
        <w:t>Éléments d’évaluation liés à la QEC nº 23</w:t>
      </w:r>
    </w:p>
    <w:p w:rsidR="00ED3746" w:rsidRPr="00E05D08" w:rsidRDefault="00ED3746" w:rsidP="00ED3746">
      <w:pPr>
        <w:spacing w:after="120" w:line="280" w:lineRule="atLeast"/>
        <w:mirrorIndents/>
        <w:rPr>
          <w:rFonts w:eastAsia="Times New Roman" w:cs="Times New Roman"/>
          <w:szCs w:val="20"/>
        </w:rPr>
      </w:pPr>
      <w:r>
        <w:t>Le document de travail «</w:t>
      </w:r>
      <w:hyperlink r:id="rId56" w:history="1">
        <w:r>
          <w:rPr>
            <w:rStyle w:val="Hyperlink"/>
            <w:sz w:val="20"/>
          </w:rPr>
          <w:t>Questions d’évaluation communes pour les programmes de développement rural 2014-2020</w:t>
        </w:r>
      </w:hyperlink>
      <w:r>
        <w:t xml:space="preserve">» propose deux critères de jugement (augmentation des investissements dans la R&amp;D et renforcement de l’innovation), deux indicateurs communs CMES (T1 – dépenses au titre des articles 14 et 35, et T2 – nombre total des actions de coopération bénéficiant d’une aide au titre de la mesure de coopération) et un indicateur supplémentaire (dépense de R&amp;D du PDR en pourcentage du PIB) pour répondre à la QEC nº 23. Ces éléments ne peuvent cependant pas rendre pleinement compte des contributions du PDR à l'objectif phare. </w:t>
      </w:r>
    </w:p>
    <w:p w:rsidR="00ED3746" w:rsidRPr="00E05D08" w:rsidRDefault="00ED3746" w:rsidP="00ED3746">
      <w:pPr>
        <w:spacing w:after="120" w:line="280" w:lineRule="atLeast"/>
        <w:mirrorIndents/>
        <w:rPr>
          <w:rFonts w:eastAsia="Times New Roman" w:cs="Times New Roman"/>
          <w:szCs w:val="20"/>
        </w:rPr>
      </w:pPr>
      <w:r>
        <w:t xml:space="preserve">Les présentes lignes directrices proposent donc des éléments d’évaluation supplémentaires pour répondre à la QEC nº 23 (voir le </w:t>
      </w:r>
      <w:hyperlink w:anchor="JC_Indic_data" w:history="1">
        <w:r>
          <w:rPr>
            <w:rStyle w:val="Hyperlink"/>
            <w:sz w:val="20"/>
          </w:rPr>
          <w:t>tableau 7</w:t>
        </w:r>
      </w:hyperlink>
      <w:r>
        <w:t>).</w:t>
      </w:r>
    </w:p>
    <w:p w:rsidR="00ED3746" w:rsidRDefault="00ED3746" w:rsidP="00ED3746">
      <w:pPr>
        <w:spacing w:after="120" w:line="280" w:lineRule="atLeast"/>
        <w:mirrorIndents/>
        <w:sectPr w:rsidR="00ED3746" w:rsidSect="00ED3746">
          <w:endnotePr>
            <w:numFmt w:val="decimal"/>
          </w:endnotePr>
          <w:type w:val="continuous"/>
          <w:pgSz w:w="11907" w:h="16840" w:code="9"/>
          <w:pgMar w:top="1440" w:right="1440" w:bottom="1134" w:left="1440" w:header="567" w:footer="1020" w:gutter="0"/>
          <w:cols w:space="708"/>
          <w:noEndnote/>
          <w:titlePg/>
          <w:docGrid w:linePitch="435"/>
        </w:sectPr>
      </w:pPr>
    </w:p>
    <w:p w:rsidR="00ED3746" w:rsidRPr="00A90171" w:rsidRDefault="00ED3746" w:rsidP="00ED3746">
      <w:pPr>
        <w:pStyle w:val="HHeadingtables"/>
        <w:rPr>
          <w:color w:val="6F6F6F"/>
          <w:sz w:val="18"/>
          <w:szCs w:val="18"/>
        </w:rPr>
      </w:pPr>
      <w:bookmarkStart w:id="158" w:name="JC_Indic_data"/>
      <w:bookmarkStart w:id="159" w:name="_Toc503284469"/>
      <w:bookmarkStart w:id="160" w:name="_Toc508894480"/>
      <w:bookmarkEnd w:id="158"/>
      <w:r>
        <w:rPr>
          <w:color w:val="6F6F6F"/>
          <w:sz w:val="18"/>
        </w:rPr>
        <w:lastRenderedPageBreak/>
        <w:t>Critères de jugement, indicateurs et données requises pour répondre à la QEC nº 23</w:t>
      </w:r>
      <w:bookmarkEnd w:id="159"/>
      <w:bookmarkEnd w:id="160"/>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ED3746" w:rsidRPr="00B77106" w:rsidTr="00ED3746">
        <w:trPr>
          <w:trHeight w:val="294"/>
        </w:trPr>
        <w:tc>
          <w:tcPr>
            <w:tcW w:w="3684" w:type="dxa"/>
            <w:shd w:val="clear" w:color="auto" w:fill="F07E31"/>
            <w:vAlign w:val="center"/>
            <w:hideMark/>
          </w:tcPr>
          <w:p w:rsidR="00ED3746" w:rsidRPr="00E05D08" w:rsidRDefault="00ED3746" w:rsidP="00ED3746">
            <w:pPr>
              <w:spacing w:before="60" w:after="0" w:line="240" w:lineRule="auto"/>
              <w:jc w:val="center"/>
              <w:rPr>
                <w:rFonts w:eastAsia="Times New Roman" w:cs="Arial"/>
                <w:b/>
                <w:bCs/>
                <w:color w:val="FFFFFF"/>
                <w:sz w:val="18"/>
                <w:szCs w:val="18"/>
              </w:rPr>
            </w:pPr>
            <w:r>
              <w:rPr>
                <w:b/>
                <w:color w:val="FFFFFF"/>
                <w:sz w:val="18"/>
              </w:rPr>
              <w:t xml:space="preserve">Critères de jugement </w:t>
            </w:r>
          </w:p>
        </w:tc>
        <w:tc>
          <w:tcPr>
            <w:tcW w:w="3684" w:type="dxa"/>
            <w:shd w:val="clear" w:color="auto" w:fill="F07E31"/>
            <w:vAlign w:val="center"/>
            <w:hideMark/>
          </w:tcPr>
          <w:p w:rsidR="00ED3746" w:rsidRPr="00E05D08" w:rsidRDefault="00ED3746" w:rsidP="00ED3746">
            <w:pPr>
              <w:spacing w:before="60" w:after="0" w:line="240" w:lineRule="auto"/>
              <w:jc w:val="center"/>
              <w:rPr>
                <w:rFonts w:eastAsia="Times New Roman" w:cs="Arial"/>
                <w:color w:val="FFFFFF"/>
                <w:sz w:val="18"/>
                <w:szCs w:val="18"/>
              </w:rPr>
            </w:pPr>
            <w:r>
              <w:rPr>
                <w:b/>
                <w:color w:val="FFFFFF"/>
                <w:sz w:val="18"/>
              </w:rPr>
              <w:t>Indicateurs</w:t>
            </w:r>
          </w:p>
        </w:tc>
        <w:tc>
          <w:tcPr>
            <w:tcW w:w="3684" w:type="dxa"/>
            <w:shd w:val="clear" w:color="auto" w:fill="F07E31"/>
            <w:vAlign w:val="center"/>
          </w:tcPr>
          <w:p w:rsidR="00ED3746" w:rsidRPr="00E05D08" w:rsidRDefault="00ED3746" w:rsidP="00ED3746">
            <w:pPr>
              <w:spacing w:before="60" w:after="0" w:line="240" w:lineRule="auto"/>
              <w:jc w:val="center"/>
              <w:rPr>
                <w:rFonts w:eastAsia="Times New Roman" w:cs="Arial"/>
                <w:b/>
                <w:bCs/>
                <w:color w:val="FFFFFF"/>
                <w:sz w:val="18"/>
                <w:szCs w:val="18"/>
              </w:rPr>
            </w:pPr>
            <w:r>
              <w:rPr>
                <w:b/>
                <w:color w:val="FFFFFF"/>
                <w:sz w:val="18"/>
              </w:rPr>
              <w:t>Données requises</w:t>
            </w:r>
          </w:p>
        </w:tc>
        <w:tc>
          <w:tcPr>
            <w:tcW w:w="3685" w:type="dxa"/>
            <w:shd w:val="clear" w:color="auto" w:fill="F07E31"/>
            <w:vAlign w:val="center"/>
          </w:tcPr>
          <w:p w:rsidR="00ED3746" w:rsidRPr="00E05D08" w:rsidRDefault="00ED3746" w:rsidP="00ED3746">
            <w:pPr>
              <w:spacing w:before="60" w:after="0" w:line="240" w:lineRule="auto"/>
              <w:jc w:val="center"/>
              <w:rPr>
                <w:rFonts w:eastAsia="Times New Roman" w:cs="Arial"/>
                <w:b/>
                <w:bCs/>
                <w:color w:val="FFFFFF"/>
                <w:sz w:val="18"/>
                <w:szCs w:val="18"/>
              </w:rPr>
            </w:pPr>
            <w:r>
              <w:rPr>
                <w:b/>
                <w:color w:val="FFFFFF"/>
                <w:sz w:val="18"/>
              </w:rPr>
              <w:t>Sources de données</w:t>
            </w:r>
          </w:p>
        </w:tc>
      </w:tr>
      <w:tr w:rsidR="00ED3746" w:rsidRPr="00B77106" w:rsidTr="00ED3746">
        <w:trPr>
          <w:trHeight w:val="418"/>
        </w:trPr>
        <w:tc>
          <w:tcPr>
            <w:tcW w:w="14737" w:type="dxa"/>
            <w:gridSpan w:val="4"/>
            <w:shd w:val="clear" w:color="auto" w:fill="8BAB80"/>
            <w:vAlign w:val="center"/>
          </w:tcPr>
          <w:p w:rsidR="00ED3746" w:rsidRPr="00E05D08" w:rsidRDefault="00ED3746" w:rsidP="00ED3746">
            <w:pPr>
              <w:spacing w:after="120" w:line="280" w:lineRule="atLeast"/>
              <w:mirrorIndents/>
              <w:rPr>
                <w:rFonts w:eastAsia="Times New Roman" w:cs="Arial"/>
                <w:b/>
                <w:color w:val="FFFFFF"/>
                <w:sz w:val="18"/>
                <w:szCs w:val="18"/>
              </w:rPr>
            </w:pPr>
            <w:r>
              <w:rPr>
                <w:b/>
                <w:color w:val="FFFFFF"/>
                <w:sz w:val="18"/>
              </w:rPr>
              <w:t>Éléments d’évaluation communs (CMES et éléments proposés dans le document de travail</w:t>
            </w:r>
            <w:proofErr w:type="gramStart"/>
            <w:r>
              <w:rPr>
                <w:b/>
                <w:color w:val="FFFFFF"/>
                <w:sz w:val="18"/>
              </w:rPr>
              <w:t xml:space="preserve"> «Questions</w:t>
            </w:r>
            <w:proofErr w:type="gramEnd"/>
            <w:r>
              <w:rPr>
                <w:b/>
                <w:color w:val="FFFFFF"/>
                <w:sz w:val="18"/>
              </w:rPr>
              <w:t xml:space="preserve"> d’évaluation communes pour les programmes de développement rural 2014-2020»)</w:t>
            </w:r>
          </w:p>
        </w:tc>
      </w:tr>
      <w:tr w:rsidR="00ED3746" w:rsidRPr="00B77106" w:rsidTr="00ED3746">
        <w:trPr>
          <w:trHeight w:val="1928"/>
        </w:trPr>
        <w:tc>
          <w:tcPr>
            <w:tcW w:w="3684" w:type="dxa"/>
            <w:shd w:val="clear" w:color="auto" w:fill="auto"/>
            <w:vAlign w:val="center"/>
          </w:tcPr>
          <w:p w:rsidR="00ED3746" w:rsidRPr="00E05D08" w:rsidRDefault="00ED3746" w:rsidP="00ED3746">
            <w:pPr>
              <w:spacing w:after="120" w:line="280" w:lineRule="atLeast"/>
              <w:jc w:val="left"/>
              <w:rPr>
                <w:rFonts w:eastAsia="Times New Roman" w:cs="Arial"/>
                <w:sz w:val="18"/>
                <w:szCs w:val="18"/>
              </w:rPr>
            </w:pPr>
            <w:r>
              <w:rPr>
                <w:sz w:val="18"/>
              </w:rPr>
              <w:t>L’investissement dans la R&amp;D et l’innovation a augmenté</w:t>
            </w:r>
            <w:r>
              <w:rPr>
                <w:sz w:val="18"/>
                <w:vertAlign w:val="superscript"/>
              </w:rPr>
              <w:footnoteReference w:id="75"/>
            </w:r>
            <w:r>
              <w:rPr>
                <w:sz w:val="18"/>
              </w:rPr>
              <w:t>.</w:t>
            </w:r>
          </w:p>
          <w:p w:rsidR="00ED3746" w:rsidRPr="00E05D08" w:rsidRDefault="00ED3746" w:rsidP="00ED3746">
            <w:pPr>
              <w:spacing w:after="120" w:line="280" w:lineRule="atLeast"/>
              <w:jc w:val="left"/>
              <w:rPr>
                <w:rFonts w:eastAsia="Times New Roman" w:cs="Arial"/>
                <w:sz w:val="18"/>
                <w:szCs w:val="18"/>
              </w:rPr>
            </w:pPr>
            <w:r>
              <w:rPr>
                <w:sz w:val="18"/>
              </w:rPr>
              <w:t xml:space="preserve">L’innovation a été favorisée. </w:t>
            </w:r>
          </w:p>
        </w:tc>
        <w:tc>
          <w:tcPr>
            <w:tcW w:w="3684" w:type="dxa"/>
            <w:shd w:val="clear" w:color="auto" w:fill="auto"/>
            <w:vAlign w:val="center"/>
            <w:hideMark/>
          </w:tcPr>
          <w:p w:rsidR="00ED3746" w:rsidRPr="00E05D08" w:rsidRDefault="00ED3746" w:rsidP="00ED3746">
            <w:pPr>
              <w:spacing w:after="120" w:line="280" w:lineRule="atLeast"/>
              <w:jc w:val="left"/>
              <w:rPr>
                <w:rFonts w:eastAsia="Times New Roman" w:cs="Arial"/>
                <w:sz w:val="18"/>
                <w:szCs w:val="18"/>
              </w:rPr>
            </w:pPr>
            <w:r>
              <w:rPr>
                <w:sz w:val="18"/>
              </w:rPr>
              <w:t>T</w:t>
            </w:r>
            <w:proofErr w:type="gramStart"/>
            <w:r>
              <w:rPr>
                <w:sz w:val="18"/>
              </w:rPr>
              <w:t>1:</w:t>
            </w:r>
            <w:proofErr w:type="gramEnd"/>
            <w:r>
              <w:rPr>
                <w:sz w:val="18"/>
              </w:rPr>
              <w:t xml:space="preserve"> pourcentage des dépenses au titre des articles 14, 15 et 35 du règlement (UE) nº 1305/2013 par rapport au montant total des dépenses pour le PDR </w:t>
            </w:r>
          </w:p>
          <w:p w:rsidR="00ED3746" w:rsidRPr="00E05D08" w:rsidRDefault="00ED3746" w:rsidP="00ED3746">
            <w:pPr>
              <w:spacing w:after="120" w:line="280" w:lineRule="atLeast"/>
              <w:jc w:val="left"/>
              <w:rPr>
                <w:rFonts w:eastAsia="Times New Roman" w:cs="Arial"/>
                <w:sz w:val="18"/>
                <w:szCs w:val="18"/>
              </w:rPr>
            </w:pPr>
            <w:r>
              <w:rPr>
                <w:sz w:val="18"/>
              </w:rPr>
              <w:t>T</w:t>
            </w:r>
            <w:proofErr w:type="gramStart"/>
            <w:r>
              <w:rPr>
                <w:sz w:val="18"/>
              </w:rPr>
              <w:t>2:</w:t>
            </w:r>
            <w:proofErr w:type="gramEnd"/>
            <w:r>
              <w:rPr>
                <w:sz w:val="18"/>
              </w:rPr>
              <w:t xml:space="preserve"> nombre total des opérations des projets de coopération bénéficiant d’une aide au titre de la mesure de coopération [article 35 du règlement (UE) nº 1305/2013] (groupements, réseaux et pôles, projets pilotes) </w:t>
            </w:r>
          </w:p>
          <w:p w:rsidR="00ED3746" w:rsidRPr="001120E4" w:rsidRDefault="00ED3746" w:rsidP="00ED3746">
            <w:pPr>
              <w:spacing w:after="120" w:line="280" w:lineRule="atLeast"/>
              <w:jc w:val="left"/>
              <w:rPr>
                <w:rFonts w:eastAsia="Times New Roman" w:cs="Arial"/>
                <w:color w:val="57825E"/>
                <w:sz w:val="18"/>
                <w:szCs w:val="18"/>
              </w:rPr>
            </w:pPr>
            <w:r>
              <w:rPr>
                <w:color w:val="57825E"/>
                <w:sz w:val="18"/>
                <w:u w:val="single"/>
              </w:rPr>
              <w:t xml:space="preserve">Indicateur </w:t>
            </w:r>
            <w:proofErr w:type="gramStart"/>
            <w:r>
              <w:rPr>
                <w:color w:val="57825E"/>
                <w:sz w:val="18"/>
                <w:u w:val="single"/>
              </w:rPr>
              <w:t>supplémentaire:</w:t>
            </w:r>
            <w:proofErr w:type="gramEnd"/>
            <w:r>
              <w:rPr>
                <w:color w:val="57825E"/>
                <w:sz w:val="18"/>
              </w:rPr>
              <w:t xml:space="preserve"> </w:t>
            </w:r>
          </w:p>
          <w:p w:rsidR="00ED3746" w:rsidRPr="00E05D08" w:rsidRDefault="00ED3746" w:rsidP="00ED3746">
            <w:pPr>
              <w:spacing w:after="120" w:line="280" w:lineRule="atLeast"/>
              <w:jc w:val="left"/>
              <w:rPr>
                <w:rFonts w:eastAsia="Times New Roman" w:cs="Arial"/>
                <w:sz w:val="18"/>
                <w:szCs w:val="18"/>
              </w:rPr>
            </w:pPr>
            <w:r>
              <w:rPr>
                <w:color w:val="57825E"/>
                <w:sz w:val="18"/>
              </w:rPr>
              <w:t>Dépense de R&amp;D du PDR en pourcentage du PIB (DIRD</w:t>
            </w:r>
            <w:proofErr w:type="gramStart"/>
            <w:r>
              <w:rPr>
                <w:color w:val="57825E"/>
                <w:sz w:val="18"/>
              </w:rPr>
              <w:t xml:space="preserve"> «développement</w:t>
            </w:r>
            <w:proofErr w:type="gramEnd"/>
            <w:r>
              <w:rPr>
                <w:color w:val="57825E"/>
                <w:sz w:val="18"/>
              </w:rPr>
              <w:t xml:space="preserve"> rural»)</w:t>
            </w:r>
            <w:r>
              <w:rPr>
                <w:sz w:val="18"/>
              </w:rPr>
              <w:t xml:space="preserve"> </w:t>
            </w:r>
          </w:p>
        </w:tc>
        <w:tc>
          <w:tcPr>
            <w:tcW w:w="3684" w:type="dxa"/>
          </w:tcPr>
          <w:p w:rsidR="00ED3746" w:rsidRPr="00E05D08" w:rsidRDefault="00ED3746" w:rsidP="00ED3746">
            <w:pPr>
              <w:spacing w:after="120" w:line="280" w:lineRule="atLeast"/>
              <w:jc w:val="left"/>
              <w:rPr>
                <w:rFonts w:eastAsia="Times New Roman" w:cs="Arial"/>
                <w:sz w:val="18"/>
                <w:szCs w:val="18"/>
              </w:rPr>
            </w:pPr>
            <w:r>
              <w:rPr>
                <w:sz w:val="18"/>
              </w:rPr>
              <w:t>Données sur les dépenses de R&amp;D et d’innovation du PDR</w:t>
            </w:r>
          </w:p>
          <w:p w:rsidR="00ED3746" w:rsidRPr="00E05D08" w:rsidRDefault="00ED3746" w:rsidP="00ED3746">
            <w:pPr>
              <w:spacing w:after="120" w:line="280" w:lineRule="atLeast"/>
              <w:jc w:val="left"/>
              <w:rPr>
                <w:rFonts w:eastAsia="Times New Roman" w:cs="Arial"/>
                <w:sz w:val="18"/>
                <w:szCs w:val="18"/>
              </w:rPr>
            </w:pPr>
            <w:r>
              <w:rPr>
                <w:sz w:val="18"/>
              </w:rPr>
              <w:t xml:space="preserve">Données sur les dépenses totales du PDR </w:t>
            </w:r>
          </w:p>
          <w:p w:rsidR="00ED3746" w:rsidRPr="00E05D08" w:rsidRDefault="00ED3746" w:rsidP="00ED3746">
            <w:pPr>
              <w:spacing w:after="120" w:line="280" w:lineRule="atLeast"/>
              <w:jc w:val="left"/>
              <w:rPr>
                <w:rFonts w:eastAsia="Times New Roman" w:cs="Arial"/>
                <w:sz w:val="18"/>
                <w:szCs w:val="18"/>
              </w:rPr>
            </w:pPr>
            <w:r>
              <w:rPr>
                <w:sz w:val="18"/>
              </w:rPr>
              <w:t>Données sur les dépenses de R&amp;D et d’innovation pour l’État membre/la région</w:t>
            </w:r>
          </w:p>
          <w:p w:rsidR="00ED3746" w:rsidRPr="00E05D08" w:rsidRDefault="00ED3746" w:rsidP="00ED3746">
            <w:pPr>
              <w:spacing w:after="120" w:line="280" w:lineRule="atLeast"/>
              <w:jc w:val="left"/>
              <w:rPr>
                <w:rFonts w:eastAsia="Times New Roman" w:cs="Arial"/>
                <w:sz w:val="18"/>
                <w:szCs w:val="18"/>
              </w:rPr>
            </w:pPr>
            <w:r>
              <w:rPr>
                <w:sz w:val="18"/>
              </w:rPr>
              <w:t>Données sur le PIB pour l’État membre/la région</w:t>
            </w:r>
          </w:p>
        </w:tc>
        <w:tc>
          <w:tcPr>
            <w:tcW w:w="3685" w:type="dxa"/>
          </w:tcPr>
          <w:p w:rsidR="00ED3746" w:rsidRPr="00E05D08" w:rsidRDefault="00ED3746" w:rsidP="00ED3746">
            <w:pPr>
              <w:spacing w:after="120" w:line="280" w:lineRule="atLeast"/>
              <w:jc w:val="left"/>
              <w:rPr>
                <w:rFonts w:eastAsia="Times New Roman" w:cs="Arial"/>
                <w:sz w:val="18"/>
                <w:szCs w:val="18"/>
              </w:rPr>
            </w:pPr>
            <w:r>
              <w:rPr>
                <w:sz w:val="18"/>
              </w:rPr>
              <w:t>Système de surveillance du PDR</w:t>
            </w:r>
          </w:p>
          <w:p w:rsidR="00ED3746" w:rsidRPr="00E05D08" w:rsidRDefault="00ED3746" w:rsidP="00ED3746">
            <w:pPr>
              <w:spacing w:after="120" w:line="280" w:lineRule="atLeast"/>
              <w:jc w:val="left"/>
              <w:rPr>
                <w:rFonts w:eastAsia="Times New Roman" w:cs="Arial"/>
                <w:sz w:val="18"/>
                <w:szCs w:val="18"/>
              </w:rPr>
            </w:pPr>
            <w:r>
              <w:rPr>
                <w:sz w:val="18"/>
              </w:rPr>
              <w:t xml:space="preserve">Eurostat </w:t>
            </w:r>
          </w:p>
          <w:p w:rsidR="00ED3746" w:rsidRPr="00E05D08" w:rsidRDefault="00ED3746" w:rsidP="00ED3746">
            <w:pPr>
              <w:spacing w:after="120" w:line="280" w:lineRule="atLeast"/>
              <w:jc w:val="left"/>
              <w:rPr>
                <w:rFonts w:eastAsia="Times New Roman" w:cs="Arial"/>
                <w:sz w:val="18"/>
                <w:szCs w:val="18"/>
              </w:rPr>
            </w:pPr>
            <w:r>
              <w:rPr>
                <w:sz w:val="18"/>
              </w:rPr>
              <w:t xml:space="preserve">Statistiques nationales/régionales </w:t>
            </w:r>
          </w:p>
        </w:tc>
      </w:tr>
      <w:tr w:rsidR="00ED3746" w:rsidRPr="00B77106" w:rsidTr="00ED3746">
        <w:trPr>
          <w:trHeight w:val="404"/>
        </w:trPr>
        <w:tc>
          <w:tcPr>
            <w:tcW w:w="14737" w:type="dxa"/>
            <w:gridSpan w:val="4"/>
            <w:shd w:val="clear" w:color="auto" w:fill="8BAB80"/>
            <w:vAlign w:val="center"/>
          </w:tcPr>
          <w:p w:rsidR="00ED3746" w:rsidRPr="00E05D08" w:rsidRDefault="00ED3746" w:rsidP="00ED3746">
            <w:pPr>
              <w:spacing w:after="120" w:line="280" w:lineRule="atLeast"/>
              <w:rPr>
                <w:rFonts w:eastAsia="Times New Roman" w:cs="Arial"/>
                <w:b/>
                <w:color w:val="FFFFFF"/>
                <w:sz w:val="18"/>
                <w:szCs w:val="18"/>
              </w:rPr>
            </w:pPr>
            <w:r>
              <w:rPr>
                <w:b/>
                <w:color w:val="FFFFFF"/>
                <w:sz w:val="18"/>
              </w:rPr>
              <w:t>Éléments d’évaluation supplémentaires (facultatif)</w:t>
            </w:r>
          </w:p>
        </w:tc>
      </w:tr>
      <w:tr w:rsidR="00ED3746" w:rsidRPr="00B77106" w:rsidTr="00ED3746">
        <w:trPr>
          <w:trHeight w:val="1928"/>
        </w:trPr>
        <w:tc>
          <w:tcPr>
            <w:tcW w:w="3684" w:type="dxa"/>
            <w:shd w:val="clear" w:color="auto" w:fill="auto"/>
            <w:vAlign w:val="center"/>
          </w:tcPr>
          <w:p w:rsidR="00ED3746" w:rsidRPr="00E05D08" w:rsidRDefault="00ED3746" w:rsidP="00ED3746">
            <w:pPr>
              <w:spacing w:after="120" w:line="280" w:lineRule="atLeast"/>
              <w:jc w:val="left"/>
              <w:rPr>
                <w:rFonts w:eastAsia="Times New Roman" w:cs="Arial"/>
                <w:sz w:val="18"/>
                <w:szCs w:val="18"/>
              </w:rPr>
            </w:pPr>
            <w:r>
              <w:rPr>
                <w:sz w:val="18"/>
              </w:rPr>
              <w:t>L’investissement dans la R&amp;D et l’innovation a augmenté.</w:t>
            </w:r>
          </w:p>
        </w:tc>
        <w:tc>
          <w:tcPr>
            <w:tcW w:w="3684" w:type="dxa"/>
            <w:shd w:val="clear" w:color="auto" w:fill="auto"/>
            <w:vAlign w:val="center"/>
          </w:tcPr>
          <w:p w:rsidR="00ED3746" w:rsidRPr="001120E4" w:rsidRDefault="00ED3746" w:rsidP="00ED3746">
            <w:pPr>
              <w:spacing w:after="120" w:line="280" w:lineRule="atLeast"/>
              <w:jc w:val="left"/>
              <w:rPr>
                <w:rFonts w:eastAsia="Times New Roman" w:cs="Arial"/>
                <w:color w:val="57825E"/>
                <w:sz w:val="18"/>
                <w:szCs w:val="18"/>
                <w:u w:val="single"/>
              </w:rPr>
            </w:pPr>
            <w:r>
              <w:rPr>
                <w:color w:val="57825E"/>
                <w:sz w:val="18"/>
                <w:u w:val="single"/>
              </w:rPr>
              <w:t xml:space="preserve">Indicateurs </w:t>
            </w:r>
            <w:proofErr w:type="gramStart"/>
            <w:r>
              <w:rPr>
                <w:color w:val="57825E"/>
                <w:sz w:val="18"/>
                <w:u w:val="single"/>
              </w:rPr>
              <w:t>supplémentaires:</w:t>
            </w:r>
            <w:proofErr w:type="gramEnd"/>
            <w:r>
              <w:rPr>
                <w:color w:val="57825E"/>
                <w:sz w:val="18"/>
                <w:u w:val="single"/>
              </w:rPr>
              <w:t xml:space="preserve"> </w:t>
            </w:r>
          </w:p>
          <w:p w:rsidR="00ED3746" w:rsidRPr="001120E4" w:rsidRDefault="00ED3746" w:rsidP="00ED3746">
            <w:pPr>
              <w:spacing w:after="120" w:line="280" w:lineRule="atLeast"/>
              <w:jc w:val="left"/>
              <w:rPr>
                <w:rFonts w:eastAsia="Times New Roman" w:cs="Arial"/>
                <w:color w:val="57825E"/>
                <w:sz w:val="18"/>
                <w:szCs w:val="18"/>
              </w:rPr>
            </w:pPr>
            <w:r>
              <w:rPr>
                <w:color w:val="57825E"/>
                <w:sz w:val="18"/>
              </w:rPr>
              <w:t>Dépense intérieure brute de R&amp;D (DIRD) par rapport au produit intérieur brut (PIB)</w:t>
            </w:r>
          </w:p>
          <w:p w:rsidR="00ED3746" w:rsidRPr="001120E4" w:rsidRDefault="00ED3746" w:rsidP="00ED3746">
            <w:pPr>
              <w:spacing w:after="120" w:line="280" w:lineRule="atLeast"/>
              <w:jc w:val="left"/>
              <w:rPr>
                <w:rFonts w:eastAsia="Times New Roman" w:cs="Arial"/>
                <w:color w:val="57825E"/>
                <w:sz w:val="18"/>
                <w:szCs w:val="18"/>
              </w:rPr>
            </w:pPr>
            <w:r>
              <w:rPr>
                <w:color w:val="57825E"/>
                <w:sz w:val="18"/>
              </w:rPr>
              <w:t xml:space="preserve">Dépenses de R&amp;D et d’innovation du PDR en pourcentage des dépenses totales du PDR </w:t>
            </w:r>
          </w:p>
          <w:p w:rsidR="00ED3746" w:rsidRPr="00E05D08" w:rsidRDefault="00ED3746" w:rsidP="00ED3746">
            <w:pPr>
              <w:spacing w:after="120" w:line="280" w:lineRule="atLeast"/>
              <w:jc w:val="left"/>
              <w:rPr>
                <w:rFonts w:eastAsia="Times New Roman" w:cs="Arial"/>
                <w:sz w:val="18"/>
                <w:szCs w:val="18"/>
              </w:rPr>
            </w:pPr>
            <w:r>
              <w:rPr>
                <w:color w:val="57825E"/>
                <w:sz w:val="18"/>
              </w:rPr>
              <w:lastRenderedPageBreak/>
              <w:t>Dépenses de R&amp;D et d’innovation du PDR en pourcentage des dépenses intérieures brutes de R&amp;D et d’innovation</w:t>
            </w:r>
          </w:p>
        </w:tc>
        <w:tc>
          <w:tcPr>
            <w:tcW w:w="3684" w:type="dxa"/>
          </w:tcPr>
          <w:p w:rsidR="00ED3746" w:rsidRDefault="00ED3746" w:rsidP="00ED3746">
            <w:pPr>
              <w:spacing w:after="120" w:line="280" w:lineRule="atLeast"/>
              <w:jc w:val="left"/>
              <w:rPr>
                <w:rFonts w:eastAsia="Times New Roman" w:cs="Arial"/>
                <w:sz w:val="18"/>
                <w:szCs w:val="18"/>
              </w:rPr>
            </w:pPr>
            <w:r>
              <w:rPr>
                <w:sz w:val="18"/>
              </w:rPr>
              <w:lastRenderedPageBreak/>
              <w:t>Données sur la R&amp;D et l’innovation conformément au manuel de Frascati</w:t>
            </w:r>
          </w:p>
          <w:p w:rsidR="00ED3746" w:rsidRPr="00E05D08" w:rsidRDefault="00ED3746" w:rsidP="00ED3746">
            <w:pPr>
              <w:spacing w:after="120" w:line="280" w:lineRule="atLeast"/>
              <w:jc w:val="left"/>
              <w:rPr>
                <w:rFonts w:eastAsia="Times New Roman" w:cs="Arial"/>
                <w:sz w:val="18"/>
                <w:szCs w:val="18"/>
              </w:rPr>
            </w:pPr>
            <w:r>
              <w:rPr>
                <w:sz w:val="18"/>
              </w:rPr>
              <w:t xml:space="preserve">Données sur les dépenses de R&amp;D et d’innovation du PDR ventilées par type de bénéficiaire </w:t>
            </w:r>
          </w:p>
          <w:p w:rsidR="00ED3746" w:rsidRPr="00E05D08" w:rsidRDefault="00ED3746" w:rsidP="00ED3746">
            <w:pPr>
              <w:spacing w:after="120" w:line="280" w:lineRule="atLeast"/>
              <w:jc w:val="left"/>
              <w:rPr>
                <w:rFonts w:eastAsia="Times New Roman" w:cs="Arial"/>
                <w:sz w:val="18"/>
                <w:szCs w:val="18"/>
              </w:rPr>
            </w:pPr>
            <w:r>
              <w:rPr>
                <w:sz w:val="18"/>
              </w:rPr>
              <w:t xml:space="preserve">Données sur les dépenses totales du PDR </w:t>
            </w:r>
          </w:p>
          <w:p w:rsidR="00ED3746" w:rsidRPr="00E05D08" w:rsidRDefault="00ED3746" w:rsidP="00ED3746">
            <w:pPr>
              <w:spacing w:after="120" w:line="280" w:lineRule="atLeast"/>
              <w:jc w:val="left"/>
              <w:rPr>
                <w:rFonts w:eastAsia="Times New Roman" w:cs="Arial"/>
                <w:sz w:val="18"/>
                <w:szCs w:val="18"/>
              </w:rPr>
            </w:pPr>
            <w:r>
              <w:rPr>
                <w:sz w:val="18"/>
              </w:rPr>
              <w:lastRenderedPageBreak/>
              <w:t>Données sur les dépenses de R&amp;D et d’innovation pour l’État membre/la région</w:t>
            </w:r>
          </w:p>
          <w:p w:rsidR="00ED3746" w:rsidRPr="00E05D08" w:rsidRDefault="00ED3746" w:rsidP="00ED3746">
            <w:pPr>
              <w:spacing w:after="120" w:line="280" w:lineRule="atLeast"/>
              <w:jc w:val="left"/>
              <w:rPr>
                <w:rFonts w:eastAsia="Times New Roman" w:cs="Arial"/>
                <w:sz w:val="18"/>
                <w:szCs w:val="18"/>
              </w:rPr>
            </w:pPr>
            <w:r>
              <w:rPr>
                <w:sz w:val="18"/>
              </w:rPr>
              <w:t>Données sur le PIB pour l’État membre/la région</w:t>
            </w:r>
          </w:p>
        </w:tc>
        <w:tc>
          <w:tcPr>
            <w:tcW w:w="3685" w:type="dxa"/>
          </w:tcPr>
          <w:p w:rsidR="00ED3746" w:rsidRPr="00E05D08" w:rsidRDefault="00ED3746" w:rsidP="00ED3746">
            <w:pPr>
              <w:spacing w:after="120" w:line="280" w:lineRule="atLeast"/>
              <w:jc w:val="left"/>
              <w:rPr>
                <w:rFonts w:eastAsia="Times New Roman" w:cs="Arial"/>
                <w:sz w:val="18"/>
                <w:szCs w:val="18"/>
              </w:rPr>
            </w:pPr>
            <w:r>
              <w:rPr>
                <w:sz w:val="18"/>
              </w:rPr>
              <w:lastRenderedPageBreak/>
              <w:t>Système de surveillance du PDR</w:t>
            </w:r>
          </w:p>
          <w:p w:rsidR="00ED3746" w:rsidRPr="00E05D08" w:rsidRDefault="00ED3746" w:rsidP="00ED3746">
            <w:pPr>
              <w:spacing w:after="120" w:line="280" w:lineRule="atLeast"/>
              <w:jc w:val="left"/>
              <w:rPr>
                <w:rFonts w:eastAsia="Times New Roman" w:cs="Arial"/>
                <w:sz w:val="18"/>
                <w:szCs w:val="18"/>
              </w:rPr>
            </w:pPr>
            <w:r>
              <w:rPr>
                <w:sz w:val="18"/>
              </w:rPr>
              <w:t xml:space="preserve">Eurostat </w:t>
            </w:r>
          </w:p>
          <w:p w:rsidR="00ED3746" w:rsidRPr="00E05D08" w:rsidRDefault="00ED3746" w:rsidP="00ED3746">
            <w:pPr>
              <w:spacing w:after="120" w:line="280" w:lineRule="atLeast"/>
              <w:jc w:val="left"/>
              <w:rPr>
                <w:rFonts w:eastAsia="Times New Roman" w:cs="Arial"/>
                <w:sz w:val="18"/>
                <w:szCs w:val="18"/>
              </w:rPr>
            </w:pPr>
            <w:r>
              <w:rPr>
                <w:sz w:val="18"/>
              </w:rPr>
              <w:t xml:space="preserve">Statistiques nationales/régionales </w:t>
            </w:r>
          </w:p>
        </w:tc>
      </w:tr>
    </w:tbl>
    <w:p w:rsidR="00ED3746" w:rsidRDefault="00ED3746" w:rsidP="00ED3746">
      <w:pPr>
        <w:numPr>
          <w:ilvl w:val="0"/>
          <w:numId w:val="45"/>
        </w:numPr>
        <w:spacing w:before="60" w:after="120" w:line="280" w:lineRule="atLeast"/>
        <w:sectPr w:rsidR="00ED3746" w:rsidSect="00ED3746">
          <w:endnotePr>
            <w:numFmt w:val="decimal"/>
          </w:endnotePr>
          <w:pgSz w:w="16840" w:h="11907" w:orient="landscape" w:code="9"/>
          <w:pgMar w:top="1440" w:right="1134" w:bottom="1440" w:left="1440" w:header="567" w:footer="1020" w:gutter="0"/>
          <w:cols w:space="708"/>
          <w:noEndnote/>
          <w:docGrid w:linePitch="360"/>
        </w:sectPr>
      </w:pPr>
    </w:p>
    <w:p w:rsidR="00ED3746" w:rsidRPr="00E05D08" w:rsidRDefault="00ED3746" w:rsidP="00ED3746">
      <w:pPr>
        <w:numPr>
          <w:ilvl w:val="0"/>
          <w:numId w:val="61"/>
        </w:numPr>
        <w:spacing w:before="120" w:after="120" w:line="280" w:lineRule="atLeast"/>
        <w:ind w:left="567" w:hanging="567"/>
        <w:mirrorIndents/>
        <w:rPr>
          <w:rFonts w:eastAsia="Times New Roman" w:cs="Times New Roman"/>
          <w:b/>
          <w:szCs w:val="20"/>
        </w:rPr>
      </w:pPr>
      <w:r>
        <w:rPr>
          <w:b/>
        </w:rPr>
        <w:lastRenderedPageBreak/>
        <w:t>Méthode d’évaluation proposée</w:t>
      </w:r>
    </w:p>
    <w:p w:rsidR="00ED3746" w:rsidRPr="00E05D08" w:rsidRDefault="00ED3746" w:rsidP="00ED3746">
      <w:pPr>
        <w:spacing w:after="120" w:line="280" w:lineRule="atLeast"/>
        <w:mirrorIndents/>
        <w:rPr>
          <w:rFonts w:eastAsia="Times New Roman" w:cs="Times New Roman"/>
          <w:szCs w:val="20"/>
        </w:rPr>
      </w:pPr>
      <w:r>
        <w:t>L’indicateur de l'objectif phare est collecté par Eurostat et via les statistiques nationales et renvoie à la dépense intérieure brute de R&amp;D (DIRD), en tant qu'indicateur indirect du PIB, connu sous le nom d’intensité de R&amp;D. Les statistiques compilent les dépenses de R&amp;D pour quatre </w:t>
      </w:r>
      <w:proofErr w:type="gramStart"/>
      <w:r>
        <w:t>secteurs:</w:t>
      </w:r>
      <w:proofErr w:type="gramEnd"/>
      <w:r>
        <w:t xml:space="preserve"> 1) le secteur des entreprises, 2) le secteur public, 3) le secteur de l’enseignement supérieur, et 4) le secteur privé à but non lucratif. Des informations plus détaillées sur le calcul de chaque indicateur figurent dans le tableau 8.</w:t>
      </w:r>
    </w:p>
    <w:p w:rsidR="00ED3746" w:rsidRPr="0059311F" w:rsidRDefault="00ED3746" w:rsidP="00ED3746">
      <w:pPr>
        <w:pStyle w:val="Hlistbullet"/>
      </w:pPr>
      <w:r>
        <w:t xml:space="preserve">Les données pour les indicateurs communs T1 et T2 sont collectées directement à partir du système de suivi du PDR (base de données des opérations). </w:t>
      </w:r>
    </w:p>
    <w:p w:rsidR="00ED3746" w:rsidRPr="00F73706" w:rsidRDefault="00ED3746" w:rsidP="00ED3746">
      <w:pPr>
        <w:pStyle w:val="Hlistbullet"/>
      </w:pPr>
      <w:r>
        <w:t xml:space="preserve">Les données relatives à l'objectif </w:t>
      </w:r>
      <w:proofErr w:type="spellStart"/>
      <w:proofErr w:type="gramStart"/>
      <w:r>
        <w:t>phare</w:t>
      </w:r>
      <w:r>
        <w:rPr>
          <w:i/>
        </w:rPr>
        <w:t>«dépense</w:t>
      </w:r>
      <w:proofErr w:type="spellEnd"/>
      <w:proofErr w:type="gramEnd"/>
      <w:r>
        <w:rPr>
          <w:i/>
        </w:rPr>
        <w:t xml:space="preserve"> intérieure brute de R&amp;D (DIRD) par rapport au produit intérieur brut (PIB)»</w:t>
      </w:r>
      <w:r>
        <w:t xml:space="preserve"> peuvent être collectées aux niveaux NUTS 1 et NUTS 2 d’Eurostat.</w:t>
      </w:r>
    </w:p>
    <w:p w:rsidR="00ED3746" w:rsidRPr="00F73706" w:rsidRDefault="00ED3746" w:rsidP="00ED3746">
      <w:pPr>
        <w:pStyle w:val="Hlistbullet"/>
      </w:pPr>
      <w:r>
        <w:t>L’indicateur supplémentaire</w:t>
      </w:r>
      <w:proofErr w:type="gramStart"/>
      <w:r>
        <w:t xml:space="preserve"> </w:t>
      </w:r>
      <w:r>
        <w:rPr>
          <w:i/>
        </w:rPr>
        <w:t>«dépense</w:t>
      </w:r>
      <w:proofErr w:type="gramEnd"/>
      <w:r>
        <w:rPr>
          <w:i/>
        </w:rPr>
        <w:t xml:space="preserve"> de R&amp;D du PDR en pourcentage du PIB»</w:t>
      </w:r>
      <w:r>
        <w:t xml:space="preserve"> (ci-après appelé DIRD «développement rural» ou DIRDᴰᴿ) montre la dépense de R&amp;D du PDR via les mesures/sous-mesures pertinentes par rapport au PIB:</w:t>
      </w:r>
    </w:p>
    <w:p w:rsidR="00ED3746" w:rsidRPr="00F73706" w:rsidRDefault="00ED3746" w:rsidP="00ED3746">
      <w:pPr>
        <w:pStyle w:val="Hlistbullet2"/>
      </w:pPr>
      <w:proofErr w:type="gramStart"/>
      <w:r>
        <w:t>les</w:t>
      </w:r>
      <w:proofErr w:type="gramEnd"/>
      <w:r>
        <w:t xml:space="preserve"> données sur le PIB sont collectées via les statistiques nationales et sont aussi disponibles à partir de sources de l’Union (Eurostat); </w:t>
      </w:r>
    </w:p>
    <w:p w:rsidR="00ED3746" w:rsidRPr="00F73706" w:rsidRDefault="00ED3746" w:rsidP="00ED3746">
      <w:pPr>
        <w:pStyle w:val="Hlistbullet2"/>
      </w:pPr>
      <w:proofErr w:type="gramStart"/>
      <w:r>
        <w:t>les</w:t>
      </w:r>
      <w:proofErr w:type="gramEnd"/>
      <w:r>
        <w:t xml:space="preserve"> données sur les dépenses de recherche et de développement et d’innovation du PDR peuvent être tirées du système de suivi du PDR en calculant les dépenses liées aux opérations présentant un potentiel d’innovation (telles que recensées dans le cadre de l’analyse du potentiel d’innovation – voir le </w:t>
      </w:r>
      <w:hyperlink w:anchor="Screening_Potential" w:history="1">
        <w:r>
          <w:rPr>
            <w:rStyle w:val="Hyperlink"/>
            <w:sz w:val="20"/>
          </w:rPr>
          <w:t>chapitre 2.2</w:t>
        </w:r>
      </w:hyperlink>
      <w:r>
        <w:t xml:space="preserve">) et ventilées par bénéficiaires attribués aux secteurs tel que prévu par le manuel de Frascati. </w:t>
      </w:r>
    </w:p>
    <w:p w:rsidR="00ED3746" w:rsidRPr="00F73706" w:rsidRDefault="00ED3746" w:rsidP="00ED3746">
      <w:pPr>
        <w:pStyle w:val="Hlistbullet"/>
      </w:pPr>
      <w:r>
        <w:t>L’indicateur supplémentaire</w:t>
      </w:r>
      <w:proofErr w:type="gramStart"/>
      <w:r>
        <w:t xml:space="preserve"> </w:t>
      </w:r>
      <w:r>
        <w:rPr>
          <w:i/>
        </w:rPr>
        <w:t>«dépense</w:t>
      </w:r>
      <w:proofErr w:type="gramEnd"/>
      <w:r>
        <w:rPr>
          <w:i/>
        </w:rPr>
        <w:t xml:space="preserve"> de R&amp;D et d’innovation du PDR en pourcentage des dépenses totales du PDR»</w:t>
      </w:r>
      <w:r>
        <w:t xml:space="preserve"> montre la part du budget du PDR consacrée au soutien à la recherche et au développement et à l’innovation. Les données pour cet indicateur peuvent aussi être tirées du système de suivi du PDR, si la base de données des opérations permet également de suivre les informations sur les projets ayant un potentiel d’innovation élevé qui ont été recensés lors l’analyse préalable à l’évaluation.</w:t>
      </w:r>
    </w:p>
    <w:p w:rsidR="00ED3746" w:rsidRPr="00E05D08" w:rsidRDefault="00ED3746" w:rsidP="00ED3746">
      <w:pPr>
        <w:pStyle w:val="Hlistbullet"/>
      </w:pPr>
      <w:r>
        <w:t>L’indicateur supplémentaire</w:t>
      </w:r>
      <w:proofErr w:type="gramStart"/>
      <w:r>
        <w:t xml:space="preserve"> </w:t>
      </w:r>
      <w:r>
        <w:rPr>
          <w:i/>
        </w:rPr>
        <w:t>«dépenses</w:t>
      </w:r>
      <w:proofErr w:type="gramEnd"/>
      <w:r>
        <w:rPr>
          <w:i/>
        </w:rPr>
        <w:t xml:space="preserve"> de R&amp;D et d’innovation du PDR en pourcentage des dépenses intérieures brutes de R&amp;D et d’innovation»</w:t>
      </w:r>
      <w:r>
        <w:t xml:space="preserve"> montre la relation entre les investissements du PDR dans la recherche, le développement et l’innovation et les dépenses intérieures brutes de R&amp;D. Les données peuvent être tirées du système de suivi du PDR, des statistiques nationales et régionales, ainsi que d’Eurostat.</w:t>
      </w:r>
    </w:p>
    <w:p w:rsidR="00ED3746" w:rsidRPr="00E05D08" w:rsidRDefault="00ED3746" w:rsidP="00ED3746">
      <w:pPr>
        <w:spacing w:after="120" w:line="280" w:lineRule="atLeast"/>
        <w:mirrorIndents/>
        <w:rPr>
          <w:rFonts w:eastAsia="Times New Roman" w:cs="Times New Roman"/>
          <w:szCs w:val="20"/>
        </w:rPr>
      </w:pPr>
      <w:r>
        <w:t xml:space="preserve">Les chiffres relatifs aux indicateurs peuvent être calculés ex ante (contributions prévues) et au moment de l’évaluation pour le RAM à présenter en 2019 et de l’évaluation ex post (contributions réelles au moment de l’évaluation), ce qui permet alors de comparer les contributions prévues et réelles. L’exemple dans le tableau 8 montre les valeurs prévues et réelles des indicateurs communs et </w:t>
      </w:r>
      <w:proofErr w:type="gramStart"/>
      <w:r>
        <w:t>supplémentaires:</w:t>
      </w:r>
      <w:proofErr w:type="gramEnd"/>
    </w:p>
    <w:p w:rsidR="00ED3746" w:rsidRPr="00E05D08" w:rsidRDefault="00ED3746" w:rsidP="00ED3746">
      <w:pPr>
        <w:spacing w:after="0" w:line="240" w:lineRule="auto"/>
        <w:rPr>
          <w:rFonts w:eastAsia="Times New Roman" w:cs="Times New Roman"/>
          <w:b/>
          <w:sz w:val="16"/>
          <w:szCs w:val="20"/>
          <w:highlight w:val="yellow"/>
        </w:rPr>
      </w:pPr>
      <w:r>
        <w:br w:type="page"/>
      </w:r>
      <w:bookmarkStart w:id="161" w:name="_Hlk501698024"/>
    </w:p>
    <w:p w:rsidR="00ED3746" w:rsidRPr="00D62992" w:rsidRDefault="00ED3746" w:rsidP="00ED3746">
      <w:pPr>
        <w:pStyle w:val="HHeadingtables"/>
        <w:rPr>
          <w:color w:val="6F6F6F"/>
          <w:sz w:val="18"/>
          <w:szCs w:val="18"/>
        </w:rPr>
      </w:pPr>
      <w:bookmarkStart w:id="162" w:name="_Toc503284470"/>
      <w:bookmarkStart w:id="163" w:name="_Toc508894481"/>
      <w:r>
        <w:rPr>
          <w:color w:val="6F6F6F"/>
          <w:sz w:val="18"/>
        </w:rPr>
        <w:lastRenderedPageBreak/>
        <w:t>Exemple de valeurs prévues et réelles des indicateurs communs et supplémentaires</w:t>
      </w:r>
      <w:bookmarkEnd w:id="162"/>
      <w:bookmarkEnd w:id="163"/>
      <w:r>
        <w:rPr>
          <w:color w:val="6F6F6F"/>
          <w:sz w:val="18"/>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461"/>
        <w:gridCol w:w="3916"/>
        <w:gridCol w:w="1495"/>
        <w:gridCol w:w="1494"/>
        <w:gridCol w:w="762"/>
      </w:tblGrid>
      <w:tr w:rsidR="00ED3746" w:rsidRPr="00B77106" w:rsidTr="00ED3746">
        <w:trPr>
          <w:trHeight w:val="192"/>
        </w:trPr>
        <w:tc>
          <w:tcPr>
            <w:tcW w:w="1202" w:type="dxa"/>
            <w:shd w:val="clear" w:color="auto" w:fill="F07E31"/>
            <w:vAlign w:val="center"/>
            <w:hideMark/>
          </w:tcPr>
          <w:p w:rsidR="00ED3746" w:rsidRPr="00253803" w:rsidRDefault="00ED3746" w:rsidP="00ED3746">
            <w:pPr>
              <w:spacing w:before="60" w:after="120" w:line="220" w:lineRule="atLeast"/>
              <w:ind w:right="154"/>
              <w:jc w:val="center"/>
              <w:rPr>
                <w:rFonts w:eastAsia="Times New Roman" w:cs="Arial"/>
                <w:b/>
                <w:bCs/>
                <w:color w:val="FFFFFF"/>
                <w:sz w:val="18"/>
                <w:szCs w:val="20"/>
              </w:rPr>
            </w:pPr>
          </w:p>
        </w:tc>
        <w:tc>
          <w:tcPr>
            <w:tcW w:w="4175" w:type="dxa"/>
            <w:shd w:val="clear" w:color="auto" w:fill="F07E31"/>
            <w:vAlign w:val="center"/>
            <w:hideMark/>
          </w:tcPr>
          <w:p w:rsidR="00ED3746" w:rsidRPr="00F73706" w:rsidRDefault="00ED3746" w:rsidP="00ED3746">
            <w:pPr>
              <w:spacing w:before="60" w:after="120" w:line="220" w:lineRule="atLeast"/>
              <w:jc w:val="center"/>
              <w:rPr>
                <w:rFonts w:eastAsia="Times New Roman" w:cs="Arial"/>
                <w:b/>
                <w:bCs/>
                <w:color w:val="FFFFFF"/>
                <w:sz w:val="18"/>
                <w:szCs w:val="20"/>
              </w:rPr>
            </w:pPr>
            <w:r>
              <w:rPr>
                <w:b/>
                <w:color w:val="FFFFFF"/>
                <w:sz w:val="18"/>
              </w:rPr>
              <w:t>Indicateurs</w:t>
            </w:r>
          </w:p>
        </w:tc>
        <w:tc>
          <w:tcPr>
            <w:tcW w:w="1495" w:type="dxa"/>
            <w:shd w:val="clear" w:color="auto" w:fill="F07E31"/>
            <w:vAlign w:val="center"/>
            <w:hideMark/>
          </w:tcPr>
          <w:p w:rsidR="00ED3746" w:rsidRPr="00F73706" w:rsidRDefault="00ED3746" w:rsidP="00ED3746">
            <w:pPr>
              <w:spacing w:before="60" w:after="120" w:line="220" w:lineRule="atLeast"/>
              <w:jc w:val="center"/>
              <w:rPr>
                <w:rFonts w:eastAsia="Times New Roman" w:cs="Arial"/>
                <w:b/>
                <w:bCs/>
                <w:color w:val="FFFFFF"/>
                <w:sz w:val="18"/>
                <w:szCs w:val="20"/>
              </w:rPr>
            </w:pPr>
            <w:r>
              <w:rPr>
                <w:b/>
                <w:color w:val="FFFFFF"/>
                <w:sz w:val="18"/>
              </w:rPr>
              <w:t>Valeurs prévues</w:t>
            </w:r>
          </w:p>
        </w:tc>
        <w:tc>
          <w:tcPr>
            <w:tcW w:w="1494" w:type="dxa"/>
            <w:shd w:val="clear" w:color="auto" w:fill="F07E31"/>
            <w:vAlign w:val="center"/>
            <w:hideMark/>
          </w:tcPr>
          <w:p w:rsidR="00ED3746" w:rsidRPr="00F73706" w:rsidRDefault="00ED3746" w:rsidP="00ED3746">
            <w:pPr>
              <w:spacing w:before="60" w:after="120" w:line="220" w:lineRule="atLeast"/>
              <w:jc w:val="center"/>
              <w:rPr>
                <w:rFonts w:eastAsia="Times New Roman" w:cs="Arial"/>
                <w:b/>
                <w:bCs/>
                <w:color w:val="FFFFFF"/>
                <w:sz w:val="18"/>
                <w:szCs w:val="20"/>
              </w:rPr>
            </w:pPr>
            <w:r>
              <w:rPr>
                <w:b/>
                <w:color w:val="FFFFFF"/>
                <w:sz w:val="18"/>
              </w:rPr>
              <w:t>Valeurs réelles</w:t>
            </w:r>
          </w:p>
        </w:tc>
        <w:tc>
          <w:tcPr>
            <w:tcW w:w="762" w:type="dxa"/>
            <w:shd w:val="clear" w:color="auto" w:fill="F07E31"/>
            <w:vAlign w:val="center"/>
          </w:tcPr>
          <w:p w:rsidR="00ED3746" w:rsidRPr="00F73706" w:rsidRDefault="00ED3746" w:rsidP="00ED3746">
            <w:pPr>
              <w:spacing w:before="60" w:after="120" w:line="220" w:lineRule="atLeast"/>
              <w:jc w:val="center"/>
              <w:rPr>
                <w:rFonts w:eastAsia="Times New Roman" w:cs="Arial"/>
                <w:b/>
                <w:bCs/>
                <w:color w:val="FFFFFF"/>
                <w:sz w:val="18"/>
                <w:szCs w:val="20"/>
              </w:rPr>
            </w:pPr>
            <w:r>
              <w:rPr>
                <w:b/>
                <w:color w:val="FFFFFF"/>
                <w:sz w:val="18"/>
              </w:rPr>
              <w:t>Calc.</w:t>
            </w:r>
          </w:p>
        </w:tc>
      </w:tr>
      <w:tr w:rsidR="00ED3746" w:rsidRPr="00B77106" w:rsidTr="00ED3746">
        <w:trPr>
          <w:trHeight w:val="310"/>
        </w:trPr>
        <w:tc>
          <w:tcPr>
            <w:tcW w:w="1202" w:type="dxa"/>
            <w:vMerge w:val="restart"/>
            <w:shd w:val="clear" w:color="auto" w:fill="auto"/>
            <w:vAlign w:val="center"/>
            <w:hideMark/>
          </w:tcPr>
          <w:p w:rsidR="00ED3746" w:rsidRPr="00F73706" w:rsidRDefault="00ED3746" w:rsidP="00ED3746">
            <w:pPr>
              <w:spacing w:before="60" w:after="120" w:line="220" w:lineRule="atLeast"/>
              <w:jc w:val="left"/>
              <w:rPr>
                <w:rFonts w:eastAsia="Times New Roman" w:cs="Arial"/>
                <w:sz w:val="18"/>
                <w:szCs w:val="20"/>
              </w:rPr>
            </w:pPr>
            <w:r>
              <w:rPr>
                <w:sz w:val="18"/>
              </w:rPr>
              <w:t>Données tirées du PDR (base de données des opérations)</w:t>
            </w:r>
          </w:p>
        </w:tc>
        <w:tc>
          <w:tcPr>
            <w:tcW w:w="4175" w:type="dxa"/>
            <w:shd w:val="clear" w:color="auto" w:fill="auto"/>
            <w:vAlign w:val="center"/>
            <w:hideMark/>
          </w:tcPr>
          <w:p w:rsidR="00ED3746" w:rsidRPr="00F73706" w:rsidRDefault="00ED3746" w:rsidP="00ED3746">
            <w:pPr>
              <w:spacing w:before="60" w:after="120" w:line="220" w:lineRule="atLeast"/>
              <w:jc w:val="left"/>
              <w:rPr>
                <w:rFonts w:eastAsia="Times New Roman" w:cs="Arial"/>
                <w:sz w:val="18"/>
                <w:szCs w:val="20"/>
              </w:rPr>
            </w:pPr>
            <w:r>
              <w:rPr>
                <w:sz w:val="18"/>
              </w:rPr>
              <w:t>Dépenses totales du PDR (agrégées)</w:t>
            </w:r>
          </w:p>
        </w:tc>
        <w:tc>
          <w:tcPr>
            <w:tcW w:w="1495"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800 000 000</w:t>
            </w:r>
          </w:p>
        </w:tc>
        <w:tc>
          <w:tcPr>
            <w:tcW w:w="1494"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790 000 000</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a</w:t>
            </w:r>
            <w:proofErr w:type="gramEnd"/>
          </w:p>
        </w:tc>
      </w:tr>
      <w:tr w:rsidR="00ED3746" w:rsidRPr="00B77106" w:rsidTr="00ED3746">
        <w:trPr>
          <w:trHeight w:val="363"/>
        </w:trPr>
        <w:tc>
          <w:tcPr>
            <w:tcW w:w="1202" w:type="dxa"/>
            <w:vMerge/>
            <w:vAlign w:val="center"/>
            <w:hideMark/>
          </w:tcPr>
          <w:p w:rsidR="00ED3746" w:rsidRPr="00F73706" w:rsidRDefault="00ED3746" w:rsidP="00ED3746">
            <w:pPr>
              <w:spacing w:before="60" w:after="120" w:line="220" w:lineRule="atLeast"/>
              <w:jc w:val="left"/>
              <w:rPr>
                <w:rFonts w:eastAsia="Times New Roman" w:cs="Arial"/>
                <w:sz w:val="18"/>
                <w:szCs w:val="20"/>
              </w:rPr>
            </w:pPr>
          </w:p>
        </w:tc>
        <w:tc>
          <w:tcPr>
            <w:tcW w:w="4175" w:type="dxa"/>
            <w:shd w:val="clear" w:color="auto" w:fill="auto"/>
            <w:vAlign w:val="center"/>
            <w:hideMark/>
          </w:tcPr>
          <w:p w:rsidR="00ED3746" w:rsidRPr="00F73706" w:rsidRDefault="00ED3746" w:rsidP="00ED3746">
            <w:pPr>
              <w:spacing w:before="60" w:after="120" w:line="220" w:lineRule="atLeast"/>
              <w:jc w:val="left"/>
              <w:rPr>
                <w:rFonts w:eastAsia="Times New Roman" w:cs="Arial"/>
                <w:sz w:val="18"/>
                <w:szCs w:val="20"/>
              </w:rPr>
            </w:pPr>
            <w:r>
              <w:rPr>
                <w:sz w:val="18"/>
              </w:rPr>
              <w:t>Dépenses du PDR au titre des articles 14, 15 et 35 du règlement (UE) nº 1305/2013 (agrégées)</w:t>
            </w:r>
          </w:p>
        </w:tc>
        <w:tc>
          <w:tcPr>
            <w:tcW w:w="1495"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40 000 000</w:t>
            </w:r>
          </w:p>
        </w:tc>
        <w:tc>
          <w:tcPr>
            <w:tcW w:w="1494"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30 000 000</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b</w:t>
            </w:r>
            <w:proofErr w:type="gramEnd"/>
          </w:p>
        </w:tc>
      </w:tr>
      <w:tr w:rsidR="00ED3746" w:rsidRPr="00B77106" w:rsidTr="00ED3746">
        <w:trPr>
          <w:trHeight w:val="631"/>
        </w:trPr>
        <w:tc>
          <w:tcPr>
            <w:tcW w:w="1202" w:type="dxa"/>
            <w:vMerge/>
            <w:vAlign w:val="center"/>
            <w:hideMark/>
          </w:tcPr>
          <w:p w:rsidR="00ED3746" w:rsidRPr="00F73706" w:rsidRDefault="00ED3746" w:rsidP="00ED3746">
            <w:pPr>
              <w:spacing w:before="60" w:after="120" w:line="220" w:lineRule="atLeast"/>
              <w:jc w:val="left"/>
              <w:rPr>
                <w:rFonts w:eastAsia="Times New Roman" w:cs="Arial"/>
                <w:sz w:val="18"/>
                <w:szCs w:val="20"/>
              </w:rPr>
            </w:pPr>
          </w:p>
        </w:tc>
        <w:tc>
          <w:tcPr>
            <w:tcW w:w="4175" w:type="dxa"/>
            <w:shd w:val="clear" w:color="auto" w:fill="auto"/>
            <w:vAlign w:val="center"/>
            <w:hideMark/>
          </w:tcPr>
          <w:p w:rsidR="00ED3746" w:rsidRPr="00F73706" w:rsidRDefault="00ED3746" w:rsidP="00ED3746">
            <w:pPr>
              <w:spacing w:before="60" w:after="120" w:line="220" w:lineRule="atLeast"/>
              <w:jc w:val="left"/>
              <w:rPr>
                <w:rFonts w:eastAsia="Times New Roman" w:cs="Arial"/>
                <w:sz w:val="18"/>
                <w:szCs w:val="20"/>
              </w:rPr>
            </w:pPr>
            <w:r>
              <w:rPr>
                <w:sz w:val="18"/>
              </w:rPr>
              <w:t>Dépenses du PDR pour toutes les mesures/sous-mesures du PDR qui investissent dans la R&amp;D et qui sont susceptibles de favoriser l’innovation (agrégées)</w:t>
            </w:r>
          </w:p>
        </w:tc>
        <w:tc>
          <w:tcPr>
            <w:tcW w:w="1495"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120 000 000</w:t>
            </w:r>
          </w:p>
        </w:tc>
        <w:tc>
          <w:tcPr>
            <w:tcW w:w="1494"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140 000 000</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c</w:t>
            </w:r>
            <w:proofErr w:type="gramEnd"/>
          </w:p>
        </w:tc>
      </w:tr>
      <w:tr w:rsidR="00ED3746" w:rsidRPr="00B77106" w:rsidTr="00ED3746">
        <w:trPr>
          <w:trHeight w:val="631"/>
        </w:trPr>
        <w:tc>
          <w:tcPr>
            <w:tcW w:w="1202" w:type="dxa"/>
            <w:vMerge w:val="restart"/>
            <w:vAlign w:val="center"/>
          </w:tcPr>
          <w:p w:rsidR="00ED3746" w:rsidRPr="00F73706" w:rsidRDefault="00ED3746" w:rsidP="00ED3746">
            <w:pPr>
              <w:spacing w:before="60" w:after="120" w:line="220" w:lineRule="atLeast"/>
              <w:jc w:val="left"/>
              <w:rPr>
                <w:rFonts w:eastAsia="Times New Roman" w:cs="Arial"/>
                <w:sz w:val="18"/>
                <w:szCs w:val="20"/>
              </w:rPr>
            </w:pPr>
            <w:r>
              <w:rPr>
                <w:sz w:val="18"/>
              </w:rPr>
              <w:t>Données contextuelles</w:t>
            </w:r>
          </w:p>
        </w:tc>
        <w:tc>
          <w:tcPr>
            <w:tcW w:w="4175" w:type="dxa"/>
            <w:shd w:val="clear" w:color="auto" w:fill="auto"/>
            <w:vAlign w:val="center"/>
          </w:tcPr>
          <w:p w:rsidR="00ED3746" w:rsidRPr="00F73706" w:rsidRDefault="00ED3746" w:rsidP="00ED3746">
            <w:pPr>
              <w:spacing w:before="60" w:after="120" w:line="220" w:lineRule="atLeast"/>
              <w:jc w:val="left"/>
              <w:rPr>
                <w:rFonts w:eastAsia="Times New Roman" w:cs="Arial"/>
                <w:sz w:val="18"/>
                <w:szCs w:val="20"/>
              </w:rPr>
            </w:pPr>
            <w:r>
              <w:rPr>
                <w:sz w:val="18"/>
              </w:rPr>
              <w:t>PIB national/régional (de tous les secteurs) (annuel)</w:t>
            </w:r>
          </w:p>
        </w:tc>
        <w:tc>
          <w:tcPr>
            <w:tcW w:w="1495"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200 000 000 000</w:t>
            </w:r>
          </w:p>
        </w:tc>
        <w:tc>
          <w:tcPr>
            <w:tcW w:w="1494"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200 000 000 000</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d</w:t>
            </w:r>
            <w:proofErr w:type="gramEnd"/>
          </w:p>
        </w:tc>
      </w:tr>
      <w:tr w:rsidR="00ED3746" w:rsidRPr="00B77106" w:rsidTr="00ED3746">
        <w:trPr>
          <w:trHeight w:val="631"/>
        </w:trPr>
        <w:tc>
          <w:tcPr>
            <w:tcW w:w="1202" w:type="dxa"/>
            <w:vMerge/>
            <w:vAlign w:val="center"/>
          </w:tcPr>
          <w:p w:rsidR="00ED3746" w:rsidRPr="00F73706" w:rsidRDefault="00ED3746" w:rsidP="00ED3746">
            <w:pPr>
              <w:spacing w:before="60" w:after="120" w:line="220" w:lineRule="atLeast"/>
              <w:jc w:val="left"/>
              <w:rPr>
                <w:rFonts w:eastAsia="Times New Roman" w:cs="Arial"/>
                <w:sz w:val="18"/>
                <w:szCs w:val="20"/>
              </w:rPr>
            </w:pPr>
          </w:p>
        </w:tc>
        <w:tc>
          <w:tcPr>
            <w:tcW w:w="4175" w:type="dxa"/>
            <w:shd w:val="clear" w:color="auto" w:fill="auto"/>
            <w:vAlign w:val="center"/>
          </w:tcPr>
          <w:p w:rsidR="00ED3746" w:rsidRPr="00F73706" w:rsidRDefault="00ED3746" w:rsidP="00ED3746">
            <w:pPr>
              <w:spacing w:before="60" w:after="120" w:line="220" w:lineRule="atLeast"/>
              <w:jc w:val="left"/>
              <w:rPr>
                <w:rFonts w:eastAsia="Times New Roman" w:cs="Arial"/>
                <w:sz w:val="18"/>
                <w:szCs w:val="20"/>
              </w:rPr>
            </w:pPr>
            <w:r>
              <w:rPr>
                <w:sz w:val="18"/>
              </w:rPr>
              <w:t>Dépenses intérieures brutes de R&amp;D (DIRD) de tous les secteurs (annuelles)</w:t>
            </w:r>
          </w:p>
        </w:tc>
        <w:tc>
          <w:tcPr>
            <w:tcW w:w="1495"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3 000 000 000</w:t>
            </w:r>
          </w:p>
        </w:tc>
        <w:tc>
          <w:tcPr>
            <w:tcW w:w="1494"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3 000 000 000</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e</w:t>
            </w:r>
            <w:proofErr w:type="gramEnd"/>
          </w:p>
        </w:tc>
      </w:tr>
      <w:tr w:rsidR="00ED3746" w:rsidRPr="00B77106" w:rsidTr="00ED3746">
        <w:trPr>
          <w:trHeight w:val="542"/>
        </w:trPr>
        <w:tc>
          <w:tcPr>
            <w:tcW w:w="1202" w:type="dxa"/>
            <w:vMerge w:val="restart"/>
            <w:shd w:val="clear" w:color="auto" w:fill="auto"/>
            <w:vAlign w:val="center"/>
            <w:hideMark/>
          </w:tcPr>
          <w:p w:rsidR="00ED3746" w:rsidRPr="00F73706" w:rsidRDefault="00ED3746" w:rsidP="00ED3746">
            <w:pPr>
              <w:spacing w:before="60" w:after="120" w:line="220" w:lineRule="atLeast"/>
              <w:jc w:val="left"/>
              <w:rPr>
                <w:rFonts w:eastAsia="Times New Roman" w:cs="Arial"/>
                <w:sz w:val="18"/>
                <w:szCs w:val="20"/>
              </w:rPr>
            </w:pPr>
            <w:r>
              <w:rPr>
                <w:sz w:val="18"/>
              </w:rPr>
              <w:t xml:space="preserve">Valeurs des indicateurs cibles communs </w:t>
            </w:r>
          </w:p>
        </w:tc>
        <w:tc>
          <w:tcPr>
            <w:tcW w:w="4175" w:type="dxa"/>
            <w:shd w:val="clear" w:color="auto" w:fill="auto"/>
            <w:vAlign w:val="center"/>
            <w:hideMark/>
          </w:tcPr>
          <w:p w:rsidR="00ED3746" w:rsidRPr="00F73706" w:rsidRDefault="00ED3746" w:rsidP="00ED3746">
            <w:pPr>
              <w:spacing w:before="60" w:after="120" w:line="220" w:lineRule="atLeast"/>
              <w:jc w:val="left"/>
              <w:rPr>
                <w:rFonts w:eastAsia="Times New Roman" w:cs="Arial"/>
                <w:sz w:val="18"/>
                <w:szCs w:val="20"/>
              </w:rPr>
            </w:pPr>
            <w:r>
              <w:rPr>
                <w:sz w:val="18"/>
              </w:rPr>
              <w:t>T</w:t>
            </w:r>
            <w:proofErr w:type="gramStart"/>
            <w:r>
              <w:rPr>
                <w:sz w:val="18"/>
              </w:rPr>
              <w:t>1:</w:t>
            </w:r>
            <w:proofErr w:type="gramEnd"/>
            <w:r>
              <w:rPr>
                <w:sz w:val="18"/>
              </w:rPr>
              <w:t xml:space="preserve"> pourcentage des dépenses au titre des articles 14, 15 et 35 du règlement (UE) nº 1305/2013 par rapport au montant total des dépenses pour le PDR</w:t>
            </w:r>
          </w:p>
        </w:tc>
        <w:tc>
          <w:tcPr>
            <w:tcW w:w="1495"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5 %</w:t>
            </w:r>
          </w:p>
        </w:tc>
        <w:tc>
          <w:tcPr>
            <w:tcW w:w="1494"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4 %</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f</w:t>
            </w:r>
            <w:proofErr w:type="gramEnd"/>
            <w:r>
              <w:rPr>
                <w:color w:val="F07E31"/>
                <w:sz w:val="18"/>
              </w:rPr>
              <w:t>=</w:t>
            </w:r>
            <w:r>
              <w:br/>
            </w:r>
            <w:r>
              <w:rPr>
                <w:color w:val="F07E31"/>
                <w:sz w:val="18"/>
              </w:rPr>
              <w:t>b*100/a</w:t>
            </w:r>
          </w:p>
        </w:tc>
      </w:tr>
      <w:tr w:rsidR="00ED3746" w:rsidRPr="00B77106" w:rsidTr="00ED3746">
        <w:trPr>
          <w:trHeight w:val="542"/>
        </w:trPr>
        <w:tc>
          <w:tcPr>
            <w:tcW w:w="1202" w:type="dxa"/>
            <w:vMerge/>
            <w:vAlign w:val="center"/>
            <w:hideMark/>
          </w:tcPr>
          <w:p w:rsidR="00ED3746" w:rsidRPr="00F73706" w:rsidRDefault="00ED3746" w:rsidP="00ED3746">
            <w:pPr>
              <w:spacing w:before="60" w:after="120" w:line="220" w:lineRule="atLeast"/>
              <w:jc w:val="left"/>
              <w:rPr>
                <w:rFonts w:eastAsia="Times New Roman" w:cs="Arial"/>
                <w:sz w:val="18"/>
                <w:szCs w:val="20"/>
              </w:rPr>
            </w:pPr>
          </w:p>
        </w:tc>
        <w:tc>
          <w:tcPr>
            <w:tcW w:w="4175" w:type="dxa"/>
            <w:shd w:val="clear" w:color="auto" w:fill="auto"/>
            <w:vAlign w:val="center"/>
            <w:hideMark/>
          </w:tcPr>
          <w:p w:rsidR="00ED3746" w:rsidRPr="00F73706" w:rsidRDefault="00ED3746" w:rsidP="00ED3746">
            <w:pPr>
              <w:spacing w:before="60" w:after="120" w:line="220" w:lineRule="atLeast"/>
              <w:jc w:val="left"/>
              <w:rPr>
                <w:rFonts w:eastAsia="Times New Roman" w:cs="Arial"/>
                <w:sz w:val="18"/>
                <w:szCs w:val="20"/>
              </w:rPr>
            </w:pPr>
            <w:r>
              <w:rPr>
                <w:sz w:val="18"/>
              </w:rPr>
              <w:t>T</w:t>
            </w:r>
            <w:proofErr w:type="gramStart"/>
            <w:r>
              <w:rPr>
                <w:sz w:val="18"/>
              </w:rPr>
              <w:t>2:</w:t>
            </w:r>
            <w:proofErr w:type="gramEnd"/>
            <w:r>
              <w:rPr>
                <w:sz w:val="18"/>
              </w:rPr>
              <w:t xml:space="preserve"> nombre total des opérations des projets de coopération bénéficiant d’une aide au titre de la mesure de coopération [article 35 du règlement (UE) nº 1305/2013] (groupements, réseaux et pôles, projets pilotes)</w:t>
            </w:r>
          </w:p>
        </w:tc>
        <w:tc>
          <w:tcPr>
            <w:tcW w:w="1495"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30</w:t>
            </w:r>
          </w:p>
        </w:tc>
        <w:tc>
          <w:tcPr>
            <w:tcW w:w="1494" w:type="dxa"/>
            <w:shd w:val="clear" w:color="auto" w:fill="auto"/>
            <w:vAlign w:val="center"/>
            <w:hideMark/>
          </w:tcPr>
          <w:p w:rsidR="00ED3746" w:rsidRPr="00F73706" w:rsidRDefault="00ED3746" w:rsidP="00ED3746">
            <w:pPr>
              <w:spacing w:before="60" w:after="120" w:line="220" w:lineRule="atLeast"/>
              <w:jc w:val="right"/>
              <w:rPr>
                <w:rFonts w:eastAsia="Times New Roman" w:cs="Arial"/>
                <w:sz w:val="18"/>
                <w:szCs w:val="20"/>
              </w:rPr>
            </w:pPr>
            <w:r>
              <w:rPr>
                <w:sz w:val="18"/>
              </w:rPr>
              <w:t>50</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g</w:t>
            </w:r>
            <w:proofErr w:type="gramEnd"/>
          </w:p>
        </w:tc>
      </w:tr>
      <w:tr w:rsidR="00ED3746" w:rsidRPr="00B77106" w:rsidTr="00ED3746">
        <w:trPr>
          <w:trHeight w:val="561"/>
        </w:trPr>
        <w:tc>
          <w:tcPr>
            <w:tcW w:w="1202" w:type="dxa"/>
            <w:vMerge w:val="restart"/>
            <w:shd w:val="clear" w:color="auto" w:fill="auto"/>
            <w:vAlign w:val="center"/>
          </w:tcPr>
          <w:p w:rsidR="00ED3746" w:rsidRPr="00F73706" w:rsidRDefault="00ED3746" w:rsidP="00ED3746">
            <w:pPr>
              <w:spacing w:before="60" w:after="120" w:line="220" w:lineRule="atLeast"/>
              <w:jc w:val="left"/>
              <w:rPr>
                <w:rFonts w:eastAsia="Times New Roman" w:cs="Arial"/>
                <w:sz w:val="18"/>
                <w:szCs w:val="20"/>
              </w:rPr>
            </w:pPr>
            <w:r>
              <w:rPr>
                <w:sz w:val="18"/>
              </w:rPr>
              <w:t xml:space="preserve">Valeurs des indicateurs de résultat supplémentaires </w:t>
            </w:r>
          </w:p>
        </w:tc>
        <w:tc>
          <w:tcPr>
            <w:tcW w:w="4175" w:type="dxa"/>
            <w:shd w:val="clear" w:color="auto" w:fill="auto"/>
            <w:vAlign w:val="center"/>
          </w:tcPr>
          <w:p w:rsidR="00ED3746" w:rsidRPr="00F73706" w:rsidRDefault="00ED3746" w:rsidP="00ED3746">
            <w:pPr>
              <w:spacing w:after="120" w:line="220" w:lineRule="atLeast"/>
              <w:jc w:val="left"/>
              <w:rPr>
                <w:rFonts w:eastAsia="Times New Roman" w:cs="Arial"/>
                <w:color w:val="57825E"/>
                <w:sz w:val="18"/>
                <w:szCs w:val="18"/>
              </w:rPr>
            </w:pPr>
            <w:r>
              <w:rPr>
                <w:color w:val="57825E"/>
                <w:sz w:val="18"/>
              </w:rPr>
              <w:t xml:space="preserve">Dépense intérieure brute de R&amp;D (DIRD) par rapport au produit intérieur brut (PIB) </w:t>
            </w:r>
          </w:p>
        </w:tc>
        <w:tc>
          <w:tcPr>
            <w:tcW w:w="1495"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1,5 %</w:t>
            </w:r>
          </w:p>
        </w:tc>
        <w:tc>
          <w:tcPr>
            <w:tcW w:w="1494"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1,5 %</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h</w:t>
            </w:r>
            <w:proofErr w:type="gramEnd"/>
            <w:r>
              <w:rPr>
                <w:color w:val="F07E31"/>
                <w:sz w:val="18"/>
              </w:rPr>
              <w:t>= e*100/d</w:t>
            </w:r>
          </w:p>
        </w:tc>
      </w:tr>
      <w:tr w:rsidR="00ED3746" w:rsidRPr="00B77106" w:rsidTr="00ED3746">
        <w:trPr>
          <w:trHeight w:val="561"/>
        </w:trPr>
        <w:tc>
          <w:tcPr>
            <w:tcW w:w="1202" w:type="dxa"/>
            <w:vMerge/>
            <w:shd w:val="clear" w:color="auto" w:fill="auto"/>
            <w:vAlign w:val="center"/>
            <w:hideMark/>
          </w:tcPr>
          <w:p w:rsidR="00ED3746" w:rsidRPr="00F73706" w:rsidRDefault="00ED3746" w:rsidP="00ED3746">
            <w:pPr>
              <w:spacing w:before="60" w:after="120" w:line="220" w:lineRule="atLeast"/>
              <w:rPr>
                <w:rFonts w:eastAsia="Times New Roman" w:cs="Arial"/>
                <w:sz w:val="18"/>
                <w:szCs w:val="20"/>
              </w:rPr>
            </w:pPr>
          </w:p>
        </w:tc>
        <w:tc>
          <w:tcPr>
            <w:tcW w:w="4175" w:type="dxa"/>
            <w:shd w:val="clear" w:color="auto" w:fill="auto"/>
            <w:vAlign w:val="center"/>
            <w:hideMark/>
          </w:tcPr>
          <w:p w:rsidR="00ED3746" w:rsidRPr="00F73706" w:rsidRDefault="00ED3746" w:rsidP="00ED3746">
            <w:pPr>
              <w:spacing w:after="120" w:line="220" w:lineRule="atLeast"/>
              <w:jc w:val="left"/>
              <w:rPr>
                <w:rFonts w:eastAsia="Times New Roman" w:cs="Arial"/>
                <w:color w:val="57825E"/>
                <w:sz w:val="18"/>
                <w:szCs w:val="20"/>
              </w:rPr>
            </w:pPr>
            <w:r>
              <w:rPr>
                <w:color w:val="57825E"/>
                <w:sz w:val="18"/>
              </w:rPr>
              <w:t>Dépense de R&amp;D du PDR en pourcentage du PIB (DIRD</w:t>
            </w:r>
            <w:proofErr w:type="gramStart"/>
            <w:r>
              <w:rPr>
                <w:color w:val="57825E"/>
                <w:sz w:val="18"/>
              </w:rPr>
              <w:t xml:space="preserve"> «développement</w:t>
            </w:r>
            <w:proofErr w:type="gramEnd"/>
            <w:r>
              <w:rPr>
                <w:color w:val="57825E"/>
                <w:sz w:val="18"/>
              </w:rPr>
              <w:t xml:space="preserve"> rural») </w:t>
            </w:r>
          </w:p>
        </w:tc>
        <w:tc>
          <w:tcPr>
            <w:tcW w:w="1495"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0,06 %</w:t>
            </w:r>
          </w:p>
        </w:tc>
        <w:tc>
          <w:tcPr>
            <w:tcW w:w="1494"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0,07 %</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i</w:t>
            </w:r>
            <w:proofErr w:type="gramEnd"/>
            <w:r>
              <w:rPr>
                <w:color w:val="F07E31"/>
                <w:sz w:val="18"/>
              </w:rPr>
              <w:t xml:space="preserve">= </w:t>
            </w:r>
            <w:r>
              <w:br/>
            </w:r>
            <w:r>
              <w:rPr>
                <w:color w:val="F07E31"/>
                <w:sz w:val="18"/>
              </w:rPr>
              <w:t>c*100/d</w:t>
            </w:r>
          </w:p>
        </w:tc>
      </w:tr>
      <w:tr w:rsidR="00ED3746" w:rsidRPr="00B77106" w:rsidTr="00ED3746">
        <w:trPr>
          <w:trHeight w:val="650"/>
        </w:trPr>
        <w:tc>
          <w:tcPr>
            <w:tcW w:w="1202" w:type="dxa"/>
            <w:vMerge/>
            <w:shd w:val="clear" w:color="auto" w:fill="auto"/>
            <w:vAlign w:val="center"/>
          </w:tcPr>
          <w:p w:rsidR="00ED3746" w:rsidRPr="00F73706" w:rsidRDefault="00ED3746" w:rsidP="00ED3746">
            <w:pPr>
              <w:spacing w:before="60" w:after="120" w:line="220" w:lineRule="atLeast"/>
              <w:rPr>
                <w:rFonts w:eastAsia="Times New Roman" w:cs="Arial"/>
                <w:sz w:val="18"/>
                <w:szCs w:val="20"/>
              </w:rPr>
            </w:pPr>
          </w:p>
        </w:tc>
        <w:tc>
          <w:tcPr>
            <w:tcW w:w="4175" w:type="dxa"/>
            <w:shd w:val="clear" w:color="auto" w:fill="auto"/>
            <w:vAlign w:val="center"/>
          </w:tcPr>
          <w:p w:rsidR="00ED3746" w:rsidRPr="00F73706" w:rsidRDefault="00ED3746" w:rsidP="00ED3746">
            <w:pPr>
              <w:spacing w:after="120" w:line="220" w:lineRule="atLeast"/>
              <w:jc w:val="left"/>
              <w:rPr>
                <w:rFonts w:eastAsia="Times New Roman" w:cs="Arial"/>
                <w:color w:val="57825E"/>
                <w:sz w:val="18"/>
                <w:szCs w:val="18"/>
              </w:rPr>
            </w:pPr>
            <w:r>
              <w:rPr>
                <w:color w:val="57825E"/>
                <w:sz w:val="18"/>
              </w:rPr>
              <w:t xml:space="preserve">Dépenses de R&amp;D et d’innovation du PDR en pourcentage des dépenses totales du PDR. </w:t>
            </w:r>
          </w:p>
        </w:tc>
        <w:tc>
          <w:tcPr>
            <w:tcW w:w="1495"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15 %</w:t>
            </w:r>
          </w:p>
        </w:tc>
        <w:tc>
          <w:tcPr>
            <w:tcW w:w="1494"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17,72 %</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j</w:t>
            </w:r>
            <w:proofErr w:type="gramEnd"/>
            <w:r>
              <w:rPr>
                <w:color w:val="F07E31"/>
                <w:sz w:val="18"/>
              </w:rPr>
              <w:t>=</w:t>
            </w:r>
            <w:r>
              <w:br/>
            </w:r>
            <w:r>
              <w:rPr>
                <w:color w:val="F07E31"/>
                <w:sz w:val="18"/>
              </w:rPr>
              <w:t>c*100/a</w:t>
            </w:r>
          </w:p>
        </w:tc>
      </w:tr>
      <w:tr w:rsidR="00ED3746" w:rsidRPr="00B77106" w:rsidTr="00ED3746">
        <w:trPr>
          <w:trHeight w:val="610"/>
        </w:trPr>
        <w:tc>
          <w:tcPr>
            <w:tcW w:w="1202" w:type="dxa"/>
            <w:vMerge/>
            <w:shd w:val="clear" w:color="auto" w:fill="auto"/>
            <w:vAlign w:val="center"/>
          </w:tcPr>
          <w:p w:rsidR="00ED3746" w:rsidRPr="00F73706" w:rsidRDefault="00ED3746" w:rsidP="00ED3746">
            <w:pPr>
              <w:spacing w:before="60" w:after="120" w:line="220" w:lineRule="atLeast"/>
              <w:rPr>
                <w:rFonts w:eastAsia="Times New Roman" w:cs="Arial"/>
                <w:sz w:val="18"/>
                <w:szCs w:val="20"/>
              </w:rPr>
            </w:pPr>
          </w:p>
        </w:tc>
        <w:tc>
          <w:tcPr>
            <w:tcW w:w="4175" w:type="dxa"/>
            <w:shd w:val="clear" w:color="auto" w:fill="auto"/>
            <w:vAlign w:val="center"/>
          </w:tcPr>
          <w:p w:rsidR="00ED3746" w:rsidRPr="00F73706" w:rsidRDefault="00ED3746" w:rsidP="00ED3746">
            <w:pPr>
              <w:spacing w:after="120" w:line="220" w:lineRule="atLeast"/>
              <w:jc w:val="left"/>
              <w:rPr>
                <w:rFonts w:eastAsia="Times New Roman" w:cs="Arial"/>
                <w:color w:val="57825E"/>
                <w:sz w:val="18"/>
                <w:szCs w:val="18"/>
              </w:rPr>
            </w:pPr>
            <w:r>
              <w:rPr>
                <w:color w:val="57825E"/>
                <w:sz w:val="18"/>
              </w:rPr>
              <w:t xml:space="preserve">Dépenses de R&amp;D et d’innovation du PDR en pourcentage des dépenses intérieures brutes de R&amp;D et d’innovation. </w:t>
            </w:r>
          </w:p>
        </w:tc>
        <w:tc>
          <w:tcPr>
            <w:tcW w:w="1495"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4,00 %</w:t>
            </w:r>
          </w:p>
        </w:tc>
        <w:tc>
          <w:tcPr>
            <w:tcW w:w="1494" w:type="dxa"/>
            <w:shd w:val="clear" w:color="auto" w:fill="auto"/>
            <w:vAlign w:val="center"/>
          </w:tcPr>
          <w:p w:rsidR="00ED3746" w:rsidRPr="00F73706" w:rsidRDefault="00ED3746" w:rsidP="00ED3746">
            <w:pPr>
              <w:spacing w:before="60" w:after="120" w:line="220" w:lineRule="atLeast"/>
              <w:jc w:val="right"/>
              <w:rPr>
                <w:rFonts w:eastAsia="Times New Roman" w:cs="Arial"/>
                <w:sz w:val="18"/>
                <w:szCs w:val="20"/>
              </w:rPr>
            </w:pPr>
            <w:r>
              <w:rPr>
                <w:sz w:val="18"/>
              </w:rPr>
              <w:t>4,67 %</w:t>
            </w:r>
          </w:p>
        </w:tc>
        <w:tc>
          <w:tcPr>
            <w:tcW w:w="762" w:type="dxa"/>
            <w:vAlign w:val="center"/>
          </w:tcPr>
          <w:p w:rsidR="00ED3746" w:rsidRPr="00F73706" w:rsidRDefault="00ED3746" w:rsidP="00ED3746">
            <w:pPr>
              <w:spacing w:before="60" w:after="120" w:line="220" w:lineRule="atLeast"/>
              <w:jc w:val="center"/>
              <w:rPr>
                <w:rFonts w:eastAsia="Times New Roman" w:cs="Arial"/>
                <w:color w:val="F07E31"/>
                <w:sz w:val="18"/>
                <w:szCs w:val="20"/>
              </w:rPr>
            </w:pPr>
            <w:proofErr w:type="gramStart"/>
            <w:r>
              <w:rPr>
                <w:color w:val="F07E31"/>
                <w:sz w:val="18"/>
              </w:rPr>
              <w:t>k</w:t>
            </w:r>
            <w:proofErr w:type="gramEnd"/>
            <w:r>
              <w:rPr>
                <w:color w:val="F07E31"/>
                <w:sz w:val="18"/>
              </w:rPr>
              <w:t>=</w:t>
            </w:r>
            <w:r>
              <w:br/>
            </w:r>
            <w:r>
              <w:rPr>
                <w:color w:val="F07E31"/>
                <w:sz w:val="18"/>
              </w:rPr>
              <w:t>c*100/e</w:t>
            </w:r>
          </w:p>
        </w:tc>
      </w:tr>
    </w:tbl>
    <w:p w:rsidR="00ED3746" w:rsidRPr="00E05D08" w:rsidRDefault="00ED3746" w:rsidP="00ED3746">
      <w:pPr>
        <w:numPr>
          <w:ilvl w:val="0"/>
          <w:numId w:val="61"/>
        </w:numPr>
        <w:spacing w:before="120" w:after="120" w:line="280" w:lineRule="atLeast"/>
        <w:ind w:left="567" w:hanging="567"/>
        <w:mirrorIndents/>
        <w:rPr>
          <w:rFonts w:eastAsia="Times New Roman" w:cs="Times New Roman"/>
          <w:b/>
          <w:szCs w:val="20"/>
        </w:rPr>
      </w:pPr>
      <w:r>
        <w:rPr>
          <w:b/>
        </w:rPr>
        <w:t xml:space="preserve">Risques et solutions </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ED3746" w:rsidRPr="00B77106" w:rsidTr="00633E23">
        <w:trPr>
          <w:tblHeader/>
        </w:trPr>
        <w:tc>
          <w:tcPr>
            <w:tcW w:w="4508" w:type="dxa"/>
            <w:shd w:val="clear" w:color="auto" w:fill="FF6F0D"/>
          </w:tcPr>
          <w:bookmarkEnd w:id="161"/>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Risques</w:t>
            </w:r>
          </w:p>
        </w:tc>
        <w:tc>
          <w:tcPr>
            <w:tcW w:w="4508" w:type="dxa"/>
            <w:shd w:val="clear" w:color="auto" w:fill="FF6F0D"/>
          </w:tcPr>
          <w:p w:rsidR="00ED3746" w:rsidRPr="00B77106" w:rsidRDefault="00ED3746" w:rsidP="00ED3746">
            <w:pPr>
              <w:spacing w:after="120" w:line="280" w:lineRule="atLeast"/>
              <w:mirrorIndents/>
              <w:jc w:val="center"/>
              <w:rPr>
                <w:rFonts w:eastAsia="Times New Roman" w:cs="Times New Roman"/>
                <w:b/>
                <w:color w:val="FFFFFF"/>
                <w:sz w:val="18"/>
                <w:szCs w:val="18"/>
              </w:rPr>
            </w:pPr>
            <w:r>
              <w:rPr>
                <w:b/>
                <w:color w:val="FFFFFF"/>
                <w:sz w:val="18"/>
              </w:rPr>
              <w:t>Solutions</w:t>
            </w:r>
          </w:p>
        </w:tc>
      </w:tr>
      <w:tr w:rsidR="00ED3746" w:rsidRPr="00B77106" w:rsidTr="00ED3746">
        <w:tc>
          <w:tcPr>
            <w:tcW w:w="4508" w:type="dxa"/>
            <w:shd w:val="clear" w:color="auto" w:fill="auto"/>
          </w:tcPr>
          <w:p w:rsidR="00ED3746" w:rsidRPr="00B77106" w:rsidRDefault="00ED3746" w:rsidP="00ED3746">
            <w:pPr>
              <w:spacing w:after="120" w:line="280" w:lineRule="atLeast"/>
              <w:jc w:val="left"/>
              <w:rPr>
                <w:rFonts w:cs="Arial"/>
                <w:sz w:val="18"/>
                <w:szCs w:val="18"/>
              </w:rPr>
            </w:pPr>
            <w:r>
              <w:rPr>
                <w:sz w:val="18"/>
              </w:rPr>
              <w:t>Mauvaise estimation du potentiel de différentes mesures du PDR à favoriser l’innovation dans les zones rurales, principalement celles autres que les</w:t>
            </w:r>
            <w:proofErr w:type="gramStart"/>
            <w:r>
              <w:rPr>
                <w:sz w:val="18"/>
              </w:rPr>
              <w:t xml:space="preserve"> «mesures</w:t>
            </w:r>
            <w:proofErr w:type="gramEnd"/>
            <w:r>
              <w:rPr>
                <w:sz w:val="18"/>
              </w:rPr>
              <w:t xml:space="preserve"> d’innovation» typiques telles que les mesures M1, M2, M16, M19 ou M20, ce qui pourrait entraîner des erreurs dans le calcul des dépenses de R&amp;D et d’innovation du PDR.</w:t>
            </w:r>
          </w:p>
          <w:p w:rsidR="00ED3746" w:rsidRPr="00B77106" w:rsidRDefault="00ED3746" w:rsidP="00ED3746">
            <w:pPr>
              <w:spacing w:after="120" w:line="280" w:lineRule="atLeast"/>
              <w:jc w:val="left"/>
              <w:rPr>
                <w:rFonts w:cs="Arial"/>
                <w:b/>
                <w:sz w:val="18"/>
                <w:szCs w:val="18"/>
              </w:rPr>
            </w:pPr>
          </w:p>
        </w:tc>
        <w:tc>
          <w:tcPr>
            <w:tcW w:w="4508" w:type="dxa"/>
            <w:shd w:val="clear" w:color="auto" w:fill="auto"/>
          </w:tcPr>
          <w:p w:rsidR="00ED3746" w:rsidRPr="00B77106" w:rsidRDefault="00ED3746" w:rsidP="00ED3746">
            <w:pPr>
              <w:spacing w:after="120" w:line="280" w:lineRule="atLeast"/>
              <w:jc w:val="left"/>
              <w:rPr>
                <w:rFonts w:cs="Arial"/>
                <w:sz w:val="18"/>
                <w:szCs w:val="18"/>
              </w:rPr>
            </w:pPr>
            <w:r>
              <w:rPr>
                <w:sz w:val="18"/>
              </w:rPr>
              <w:t>Ce risque peut en partie être éliminé si une évaluation minutieuse du potentiel d’innovation du PDR est réalisée avant le début de l’évaluation. Le fait de signaler les mesures du PDR qui sont susceptibles d’avoir un potentiel d’innovation élevé facilite l’évaluation de leur potentiel réel. Par exemple, si les évaluateurs savent quelles mesures peuvent fortement influencer la génération d’idées nouvelles, ils vérifieront les</w:t>
            </w:r>
            <w:proofErr w:type="gramStart"/>
            <w:r>
              <w:rPr>
                <w:sz w:val="18"/>
              </w:rPr>
              <w:t xml:space="preserve"> «performances</w:t>
            </w:r>
            <w:proofErr w:type="gramEnd"/>
            <w:r>
              <w:rPr>
                <w:sz w:val="18"/>
              </w:rPr>
              <w:t xml:space="preserve"> innovantes» de ces mesures au moment de l’évaluation et prendront leurs dépenses en </w:t>
            </w:r>
            <w:r>
              <w:rPr>
                <w:sz w:val="18"/>
              </w:rPr>
              <w:lastRenderedPageBreak/>
              <w:t xml:space="preserve">considération dans le calcul des indicateurs correspondants. </w:t>
            </w:r>
          </w:p>
        </w:tc>
      </w:tr>
      <w:tr w:rsidR="00ED3746" w:rsidRPr="00B77106" w:rsidTr="00ED3746">
        <w:tc>
          <w:tcPr>
            <w:tcW w:w="4508" w:type="dxa"/>
            <w:shd w:val="clear" w:color="auto" w:fill="auto"/>
          </w:tcPr>
          <w:p w:rsidR="00ED3746" w:rsidRPr="00B77106" w:rsidRDefault="00ED3746" w:rsidP="00ED3746">
            <w:pPr>
              <w:spacing w:after="120" w:line="280" w:lineRule="atLeast"/>
              <w:jc w:val="left"/>
              <w:rPr>
                <w:rFonts w:cs="Arial"/>
                <w:b/>
                <w:sz w:val="18"/>
                <w:szCs w:val="18"/>
              </w:rPr>
            </w:pPr>
            <w:r>
              <w:rPr>
                <w:sz w:val="18"/>
              </w:rPr>
              <w:t>Le manque de données de qualité (au format requis) sur la R&amp;D et l’innovation dans les statistiques nationales et régionales. En cas d’insuffisance de données de qualité, le risque est que les évaluateurs n’utilisent pas les techniques adéquates pour estimer les dépenses investies dans la R&amp;D et l’innovation. Cela pourrait compromettre l’obtention de valeurs réalistes pour les indicateurs supplémentaires proposés.</w:t>
            </w:r>
          </w:p>
        </w:tc>
        <w:tc>
          <w:tcPr>
            <w:tcW w:w="4508" w:type="dxa"/>
            <w:shd w:val="clear" w:color="auto" w:fill="auto"/>
          </w:tcPr>
          <w:p w:rsidR="00ED3746" w:rsidRPr="00B77106" w:rsidRDefault="00ED3746" w:rsidP="00ED3746">
            <w:pPr>
              <w:spacing w:after="120" w:line="280" w:lineRule="atLeast"/>
              <w:jc w:val="left"/>
              <w:rPr>
                <w:rFonts w:cs="Arial"/>
                <w:b/>
                <w:sz w:val="18"/>
                <w:szCs w:val="18"/>
              </w:rPr>
            </w:pPr>
            <w:r>
              <w:rPr>
                <w:sz w:val="18"/>
              </w:rPr>
              <w:t>Pour éviter ce risque, il est important que les évaluateurs disposent de la capacité et des outils nécessaires (par exemple, des coefficients) pour estimer les valeurs statistiques au niveau national/régional.</w:t>
            </w:r>
          </w:p>
        </w:tc>
      </w:tr>
    </w:tbl>
    <w:p w:rsidR="00ED3746" w:rsidRPr="00E05D08" w:rsidRDefault="00ED3746" w:rsidP="00ED3746">
      <w:pPr>
        <w:numPr>
          <w:ilvl w:val="0"/>
          <w:numId w:val="61"/>
        </w:numPr>
        <w:spacing w:before="120" w:after="120" w:line="280" w:lineRule="atLeast"/>
        <w:ind w:left="567" w:hanging="567"/>
        <w:mirrorIndents/>
        <w:rPr>
          <w:rFonts w:eastAsia="Times New Roman" w:cs="Times New Roman"/>
          <w:b/>
          <w:szCs w:val="20"/>
        </w:rPr>
      </w:pPr>
      <w:r>
        <w:rPr>
          <w:b/>
        </w:rPr>
        <w:t xml:space="preserve">Conclusions et recommandations </w:t>
      </w:r>
    </w:p>
    <w:p w:rsidR="00ED3746" w:rsidRPr="00E05D08" w:rsidRDefault="00ED3746" w:rsidP="00ED3746">
      <w:pPr>
        <w:spacing w:after="120" w:line="280" w:lineRule="atLeast"/>
        <w:mirrorIndents/>
        <w:rPr>
          <w:rFonts w:eastAsia="Times New Roman" w:cs="Times New Roman"/>
          <w:szCs w:val="20"/>
        </w:rPr>
      </w:pPr>
      <w:r>
        <w:t xml:space="preserve">Les conclusions et les recommandations relatives à la QEC nº 23 devraient prendre en considération les aspects </w:t>
      </w:r>
      <w:proofErr w:type="gramStart"/>
      <w:r>
        <w:t>suivants:</w:t>
      </w:r>
      <w:proofErr w:type="gramEnd"/>
    </w:p>
    <w:p w:rsidR="00ED3746" w:rsidRPr="00545C6C" w:rsidRDefault="00ED3746" w:rsidP="00ED3746">
      <w:pPr>
        <w:pStyle w:val="Hlistbullet"/>
      </w:pPr>
      <w:proofErr w:type="gramStart"/>
      <w:r>
        <w:rPr>
          <w:b/>
        </w:rPr>
        <w:t>le</w:t>
      </w:r>
      <w:proofErr w:type="gramEnd"/>
      <w:r>
        <w:rPr>
          <w:b/>
        </w:rPr>
        <w:t xml:space="preserve"> niveau des investissements dans la R&amp;D et l’innovation</w:t>
      </w:r>
      <w:r>
        <w:t xml:space="preserve"> mis en œuvre par le PDR par rapport à la situation globale de l’investissement dans la R&amp;D et l’innovation, dans l’État membre/la région;</w:t>
      </w:r>
    </w:p>
    <w:p w:rsidR="00ED3746" w:rsidRPr="00545C6C" w:rsidRDefault="00ED3746" w:rsidP="00ED3746">
      <w:pPr>
        <w:pStyle w:val="Hlistbullet"/>
      </w:pPr>
      <w:proofErr w:type="gramStart"/>
      <w:r>
        <w:rPr>
          <w:b/>
        </w:rPr>
        <w:t>le</w:t>
      </w:r>
      <w:proofErr w:type="gramEnd"/>
      <w:r>
        <w:rPr>
          <w:b/>
        </w:rPr>
        <w:t xml:space="preserve"> potentiel des différentes mesures en matière d’investissement dans la R&amp;D et l’innovation</w:t>
      </w:r>
      <w:r>
        <w:t xml:space="preserve">, dans le domaine de l’agriculture, de la transformation alimentaire, de la foresterie et les zones rurales. </w:t>
      </w:r>
    </w:p>
    <w:p w:rsidR="00ED3746" w:rsidRPr="00E05D08" w:rsidRDefault="00ED3746" w:rsidP="00ED3746">
      <w:pPr>
        <w:pStyle w:val="HHeading4"/>
        <w:rPr>
          <w:rFonts w:eastAsia="Calibri"/>
        </w:rPr>
      </w:pPr>
      <w:r>
        <w:t>Lectures complémentaires</w:t>
      </w:r>
    </w:p>
    <w:p w:rsidR="00ED3746" w:rsidRPr="00E05D08" w:rsidRDefault="00F204F1" w:rsidP="00ED3746">
      <w:pPr>
        <w:pStyle w:val="HStandard"/>
      </w:pPr>
      <w:r>
        <w:rPr>
          <w:noProof/>
        </w:rPr>
        <mc:AlternateContent>
          <mc:Choice Requires="wps">
            <w:drawing>
              <wp:inline distT="0" distB="0" distL="0" distR="0">
                <wp:extent cx="5765165" cy="2448560"/>
                <wp:effectExtent l="0" t="0" r="6985" b="8890"/>
                <wp:docPr id="559" name="Rectangle: Diagonal Corners Rounded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165" cy="2448560"/>
                        </a:xfrm>
                        <a:prstGeom prst="round2DiagRect">
                          <a:avLst>
                            <a:gd name="adj1" fmla="val 9341"/>
                            <a:gd name="adj2" fmla="val 0"/>
                          </a:avLst>
                        </a:prstGeom>
                        <a:noFill/>
                        <a:ln w="25400" cap="flat" cmpd="sng" algn="ctr">
                          <a:solidFill>
                            <a:srgbClr val="59638E"/>
                          </a:solidFill>
                          <a:prstDash val="solid"/>
                        </a:ln>
                        <a:effectLst/>
                      </wps:spPr>
                      <wps:txbx>
                        <w:txbxContent>
                          <w:p w:rsidR="00260B0F" w:rsidRDefault="00260B0F" w:rsidP="00ED3746">
                            <w:pPr>
                              <w:pStyle w:val="HStandard"/>
                              <w:rPr>
                                <w:color w:val="000000"/>
                                <w:sz w:val="18"/>
                              </w:rPr>
                            </w:pPr>
                            <w:r>
                              <w:rPr>
                                <w:noProof/>
                              </w:rPr>
                              <w:drawing>
                                <wp:inline distT="0" distB="0" distL="0" distR="0">
                                  <wp:extent cx="357505" cy="357505"/>
                                  <wp:effectExtent l="0" t="0" r="0" b="0"/>
                                  <wp:docPr id="15"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8D17C8" w:rsidRDefault="00260B0F" w:rsidP="00ED3746">
                            <w:pPr>
                              <w:pStyle w:val="HStandard"/>
                              <w:rPr>
                                <w:sz w:val="18"/>
                                <w:szCs w:val="18"/>
                              </w:rPr>
                            </w:pPr>
                            <w:r>
                              <w:rPr>
                                <w:sz w:val="18"/>
                              </w:rPr>
                              <w:t>CE (2010) Europe </w:t>
                            </w:r>
                            <w:proofErr w:type="gramStart"/>
                            <w:r>
                              <w:rPr>
                                <w:sz w:val="18"/>
                              </w:rPr>
                              <w:t>2020:</w:t>
                            </w:r>
                            <w:proofErr w:type="gramEnd"/>
                            <w:r>
                              <w:fldChar w:fldCharType="begin"/>
                            </w:r>
                            <w:r>
                              <w:instrText xml:space="preserve"> HYPERLINK "http://eur-lex.europa.eu/LexUriServ/LexUriServ.do?uri=COM:2010:2020:FIN:FR:PDF" </w:instrText>
                            </w:r>
                            <w:r>
                              <w:fldChar w:fldCharType="separate"/>
                            </w:r>
                            <w:r>
                              <w:rPr>
                                <w:rStyle w:val="Hyperlink"/>
                                <w:sz w:val="18"/>
                              </w:rPr>
                              <w:t xml:space="preserve"> une stratégie pour une croissance intelligente, durable et inclusive</w:t>
                            </w:r>
                            <w:r>
                              <w:rPr>
                                <w:rStyle w:val="Hyperlink"/>
                                <w:sz w:val="18"/>
                              </w:rPr>
                              <w:fldChar w:fldCharType="end"/>
                            </w:r>
                            <w:r>
                              <w:t>.</w:t>
                            </w:r>
                          </w:p>
                          <w:p w:rsidR="00260B0F" w:rsidRPr="00260B0F" w:rsidRDefault="00260B0F" w:rsidP="00ED3746">
                            <w:pPr>
                              <w:pStyle w:val="HStandard"/>
                              <w:rPr>
                                <w:sz w:val="18"/>
                                <w:szCs w:val="18"/>
                                <w:lang w:val="fr-BE"/>
                              </w:rPr>
                            </w:pPr>
                            <w:r w:rsidRPr="00D97603">
                              <w:rPr>
                                <w:sz w:val="18"/>
                                <w:lang w:val="en-GB"/>
                              </w:rPr>
                              <w:t xml:space="preserve">Eurostat (2017), </w:t>
                            </w:r>
                            <w:hyperlink r:id="rId57" w:history="1">
                              <w:r w:rsidRPr="00D97603">
                                <w:rPr>
                                  <w:rStyle w:val="Hyperlink"/>
                                  <w:i/>
                                  <w:sz w:val="18"/>
                                  <w:lang w:val="en-GB"/>
                                </w:rPr>
                                <w:t xml:space="preserve">Smarter, greener, more inclusive? </w:t>
                              </w:r>
                              <w:proofErr w:type="spellStart"/>
                              <w:r w:rsidRPr="00260B0F">
                                <w:rPr>
                                  <w:rStyle w:val="Hyperlink"/>
                                  <w:i/>
                                  <w:sz w:val="18"/>
                                  <w:lang w:val="fr-BE"/>
                                </w:rPr>
                                <w:t>Indicators</w:t>
                              </w:r>
                              <w:proofErr w:type="spellEnd"/>
                              <w:r w:rsidRPr="00260B0F">
                                <w:rPr>
                                  <w:rStyle w:val="Hyperlink"/>
                                  <w:i/>
                                  <w:sz w:val="18"/>
                                  <w:lang w:val="fr-BE"/>
                                </w:rPr>
                                <w:t xml:space="preserve"> to support the Europe 2020 </w:t>
                              </w:r>
                              <w:proofErr w:type="spellStart"/>
                              <w:r w:rsidRPr="00260B0F">
                                <w:rPr>
                                  <w:rStyle w:val="Hyperlink"/>
                                  <w:i/>
                                  <w:sz w:val="18"/>
                                  <w:lang w:val="fr-BE"/>
                                </w:rPr>
                                <w:t>Strategy</w:t>
                              </w:r>
                              <w:proofErr w:type="spellEnd"/>
                              <w:r w:rsidRPr="00260B0F">
                                <w:rPr>
                                  <w:rStyle w:val="Hyperlink"/>
                                  <w:sz w:val="18"/>
                                  <w:lang w:val="fr-BE"/>
                                </w:rPr>
                                <w:t>.</w:t>
                              </w:r>
                            </w:hyperlink>
                          </w:p>
                          <w:p w:rsidR="00260B0F" w:rsidRPr="00260B0F" w:rsidRDefault="00260B0F" w:rsidP="00ED3746">
                            <w:pPr>
                              <w:pStyle w:val="HStandard"/>
                              <w:rPr>
                                <w:sz w:val="18"/>
                                <w:szCs w:val="18"/>
                                <w:lang w:val="fr-BE"/>
                              </w:rPr>
                            </w:pPr>
                            <w:r w:rsidRPr="00260B0F">
                              <w:rPr>
                                <w:sz w:val="18"/>
                                <w:lang w:val="fr-BE"/>
                              </w:rPr>
                              <w:t>Dietz S. (2017), «</w:t>
                            </w:r>
                            <w:hyperlink r:id="rId58" w:history="1">
                              <w:r w:rsidRPr="00260B0F">
                                <w:rPr>
                                  <w:rStyle w:val="Hyperlink"/>
                                  <w:i/>
                                  <w:sz w:val="18"/>
                                  <w:lang w:val="fr-BE"/>
                                </w:rPr>
                                <w:t xml:space="preserve">ELER </w:t>
                              </w:r>
                              <w:proofErr w:type="spellStart"/>
                              <w:r w:rsidRPr="00260B0F">
                                <w:rPr>
                                  <w:rStyle w:val="Hyperlink"/>
                                  <w:i/>
                                  <w:sz w:val="18"/>
                                  <w:lang w:val="fr-BE"/>
                                </w:rPr>
                                <w:t>im</w:t>
                              </w:r>
                              <w:proofErr w:type="spellEnd"/>
                              <w:r w:rsidRPr="00260B0F">
                                <w:rPr>
                                  <w:rStyle w:val="Hyperlink"/>
                                  <w:i/>
                                  <w:sz w:val="18"/>
                                  <w:lang w:val="fr-BE"/>
                                </w:rPr>
                                <w:t xml:space="preserve"> </w:t>
                              </w:r>
                              <w:proofErr w:type="spellStart"/>
                              <w:r w:rsidRPr="00260B0F">
                                <w:rPr>
                                  <w:rStyle w:val="Hyperlink"/>
                                  <w:i/>
                                  <w:sz w:val="18"/>
                                  <w:lang w:val="fr-BE"/>
                                </w:rPr>
                                <w:t>Kontext</w:t>
                              </w:r>
                              <w:proofErr w:type="spellEnd"/>
                              <w:r w:rsidRPr="00260B0F">
                                <w:rPr>
                                  <w:rStyle w:val="Hyperlink"/>
                                  <w:i/>
                                  <w:sz w:val="18"/>
                                  <w:lang w:val="fr-BE"/>
                                </w:rPr>
                                <w:t xml:space="preserve"> der </w:t>
                              </w:r>
                              <w:proofErr w:type="spellStart"/>
                              <w:r w:rsidRPr="00260B0F">
                                <w:rPr>
                                  <w:rStyle w:val="Hyperlink"/>
                                  <w:i/>
                                  <w:sz w:val="18"/>
                                  <w:lang w:val="fr-BE"/>
                                </w:rPr>
                                <w:t>Strategie</w:t>
                              </w:r>
                              <w:proofErr w:type="spellEnd"/>
                              <w:r w:rsidRPr="00260B0F">
                                <w:rPr>
                                  <w:rStyle w:val="Hyperlink"/>
                                  <w:i/>
                                  <w:sz w:val="18"/>
                                  <w:lang w:val="fr-BE"/>
                                </w:rPr>
                                <w:t xml:space="preserve"> „Europa 2020”</w:t>
                              </w:r>
                            </w:hyperlink>
                            <w:proofErr w:type="gramStart"/>
                            <w:r w:rsidRPr="00260B0F">
                              <w:rPr>
                                <w:sz w:val="18"/>
                                <w:lang w:val="fr-BE"/>
                              </w:rPr>
                              <w:t>»;</w:t>
                            </w:r>
                            <w:proofErr w:type="gramEnd"/>
                            <w:r w:rsidRPr="00260B0F">
                              <w:rPr>
                                <w:sz w:val="18"/>
                                <w:lang w:val="fr-BE"/>
                              </w:rPr>
                              <w:t xml:space="preserve"> présentation lors de l’événement annuel MEN-D 2017.</w:t>
                            </w:r>
                          </w:p>
                          <w:p w:rsidR="00260B0F" w:rsidRPr="00D97603" w:rsidRDefault="00260B0F" w:rsidP="00ED3746">
                            <w:pPr>
                              <w:pStyle w:val="HStandard"/>
                              <w:rPr>
                                <w:sz w:val="18"/>
                                <w:szCs w:val="18"/>
                                <w:lang w:val="de-DE"/>
                              </w:rPr>
                            </w:pPr>
                            <w:r w:rsidRPr="00D97603">
                              <w:rPr>
                                <w:sz w:val="18"/>
                                <w:lang w:val="de-DE"/>
                              </w:rPr>
                              <w:t xml:space="preserve">MEN-D (2015), </w:t>
                            </w:r>
                            <w:hyperlink r:id="rId59" w:history="1">
                              <w:r w:rsidRPr="00D97603">
                                <w:rPr>
                                  <w:rStyle w:val="Hyperlink"/>
                                  <w:i/>
                                  <w:sz w:val="18"/>
                                  <w:lang w:val="de-DE"/>
                                </w:rPr>
                                <w:t>Monitoring und Evaluierung der ELER-Förderperiode 2014 – 2020:</w:t>
                              </w:r>
                              <w:r w:rsidRPr="00D97603">
                                <w:rPr>
                                  <w:rStyle w:val="Hyperlink"/>
                                  <w:sz w:val="18"/>
                                  <w:lang w:val="de-DE"/>
                                </w:rPr>
                                <w:t xml:space="preserve"> </w:t>
                              </w:r>
                              <w:r w:rsidRPr="00D97603">
                                <w:rPr>
                                  <w:rStyle w:val="Hyperlink"/>
                                  <w:i/>
                                  <w:sz w:val="18"/>
                                  <w:lang w:val="de-DE"/>
                                </w:rPr>
                                <w:t>Auswertung der Methoden und Erfahrungen der Ex-Ante Bewertung</w:t>
                              </w:r>
                              <w:r w:rsidRPr="00D97603">
                                <w:rPr>
                                  <w:rStyle w:val="Hyperlink"/>
                                  <w:sz w:val="18"/>
                                  <w:lang w:val="de-DE"/>
                                </w:rPr>
                                <w:t>.</w:t>
                              </w:r>
                            </w:hyperlink>
                          </w:p>
                          <w:p w:rsidR="00260B0F" w:rsidRPr="00D97603" w:rsidRDefault="00260B0F" w:rsidP="00ED3746">
                            <w:pPr>
                              <w:pStyle w:val="HStandard"/>
                              <w:rPr>
                                <w:sz w:val="18"/>
                                <w:szCs w:val="18"/>
                                <w:lang w:val="en-GB"/>
                              </w:rPr>
                            </w:pPr>
                            <w:r w:rsidRPr="00D97603">
                              <w:rPr>
                                <w:sz w:val="18"/>
                                <w:lang w:val="en-GB"/>
                              </w:rPr>
                              <w:t xml:space="preserve">MEN-D (2017), </w:t>
                            </w:r>
                            <w:hyperlink r:id="rId60" w:history="1">
                              <w:r w:rsidRPr="00D97603">
                                <w:rPr>
                                  <w:rStyle w:val="Hyperlink"/>
                                  <w:i/>
                                  <w:sz w:val="18"/>
                                  <w:lang w:val="en-GB"/>
                                </w:rPr>
                                <w:t>EAFRD in the context of the Europe 2020 Strategy - evaluation of contributions and future challenges</w:t>
                              </w:r>
                            </w:hyperlink>
                            <w:r w:rsidRPr="00D97603">
                              <w:rPr>
                                <w:sz w:val="1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559" o:spid="_x0000_s1053" style="width:453.95pt;height:192.8pt;visibility:visible;mso-wrap-style:square;mso-left-percent:-10001;mso-top-percent:-10001;mso-position-horizontal:absolute;mso-position-horizontal-relative:char;mso-position-vertical:absolute;mso-position-vertical-relative:line;mso-left-percent:-10001;mso-top-percent:-10001;v-text-anchor:middle" coordsize="5765165,244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" adj="-11796480,,5400" path="m228720,l5765165,r,l5765165,2219840v,126319,-102401,228720,-228720,228720l,2448560r,l,228720c,102401,102401,,228720,xe" filled="f" strokecolor="#59638e" strokeweight="2pt">
                <v:stroke joinstyle="miter"/>
                <v:formulas/>
                <v:path arrowok="t" o:connecttype="custom" o:connectlocs="228720,0;5765165,0;5765165,0;5765165,2219840;5536445,2448560;0,2448560;0,2448560;0,228720;228720,0" o:connectangles="0,0,0,0,0,0,0,0,0" textboxrect="0,0,5765165,2448560"/>
                <v:textbox>
                  <w:txbxContent>
                    <w:p w:rsidR="00260B0F" w:rsidRDefault="00260B0F" w:rsidP="00ED3746">
                      <w:pPr>
                        <w:pStyle w:val="HStandard"/>
                        <w:rPr>
                          <w:color w:val="000000"/>
                          <w:sz w:val="18"/>
                        </w:rPr>
                      </w:pPr>
                      <w:r>
                        <w:rPr>
                          <w:noProof/>
                        </w:rPr>
                        <w:drawing>
                          <wp:inline distT="0" distB="0" distL="0" distR="0">
                            <wp:extent cx="357505" cy="357505"/>
                            <wp:effectExtent l="0" t="0" r="0" b="0"/>
                            <wp:docPr id="15"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8D17C8" w:rsidRDefault="00260B0F" w:rsidP="00ED3746">
                      <w:pPr>
                        <w:pStyle w:val="HStandard"/>
                        <w:rPr>
                          <w:sz w:val="18"/>
                          <w:szCs w:val="18"/>
                        </w:rPr>
                      </w:pPr>
                      <w:r>
                        <w:rPr>
                          <w:sz w:val="18"/>
                        </w:rPr>
                        <w:t>CE (2010) Europe </w:t>
                      </w:r>
                      <w:proofErr w:type="gramStart"/>
                      <w:r>
                        <w:rPr>
                          <w:sz w:val="18"/>
                        </w:rPr>
                        <w:t>2020:</w:t>
                      </w:r>
                      <w:proofErr w:type="gramEnd"/>
                      <w:r>
                        <w:fldChar w:fldCharType="begin"/>
                      </w:r>
                      <w:r>
                        <w:instrText xml:space="preserve"> HYPERLINK "http://eur-lex.europa.eu/LexUriServ/LexUriServ.do?uri=COM:2010:2020:FIN:FR:PDF" </w:instrText>
                      </w:r>
                      <w:r>
                        <w:fldChar w:fldCharType="separate"/>
                      </w:r>
                      <w:r>
                        <w:rPr>
                          <w:rStyle w:val="Hyperlink"/>
                          <w:sz w:val="18"/>
                        </w:rPr>
                        <w:t xml:space="preserve"> une stratégie pour une croissance intelligente, durable et inclusive</w:t>
                      </w:r>
                      <w:r>
                        <w:rPr>
                          <w:rStyle w:val="Hyperlink"/>
                          <w:sz w:val="18"/>
                        </w:rPr>
                        <w:fldChar w:fldCharType="end"/>
                      </w:r>
                      <w:r>
                        <w:t>.</w:t>
                      </w:r>
                    </w:p>
                    <w:p w:rsidR="00260B0F" w:rsidRPr="00260B0F" w:rsidRDefault="00260B0F" w:rsidP="00ED3746">
                      <w:pPr>
                        <w:pStyle w:val="HStandard"/>
                        <w:rPr>
                          <w:sz w:val="18"/>
                          <w:szCs w:val="18"/>
                          <w:lang w:val="fr-BE"/>
                        </w:rPr>
                      </w:pPr>
                      <w:r w:rsidRPr="00D97603">
                        <w:rPr>
                          <w:sz w:val="18"/>
                          <w:lang w:val="en-GB"/>
                        </w:rPr>
                        <w:t xml:space="preserve">Eurostat (2017), </w:t>
                      </w:r>
                      <w:hyperlink r:id="rId61" w:history="1">
                        <w:r w:rsidRPr="00D97603">
                          <w:rPr>
                            <w:rStyle w:val="Hyperlink"/>
                            <w:i/>
                            <w:sz w:val="18"/>
                            <w:lang w:val="en-GB"/>
                          </w:rPr>
                          <w:t xml:space="preserve">Smarter, greener, more inclusive? </w:t>
                        </w:r>
                        <w:proofErr w:type="spellStart"/>
                        <w:r w:rsidRPr="00260B0F">
                          <w:rPr>
                            <w:rStyle w:val="Hyperlink"/>
                            <w:i/>
                            <w:sz w:val="18"/>
                            <w:lang w:val="fr-BE"/>
                          </w:rPr>
                          <w:t>Indicators</w:t>
                        </w:r>
                        <w:proofErr w:type="spellEnd"/>
                        <w:r w:rsidRPr="00260B0F">
                          <w:rPr>
                            <w:rStyle w:val="Hyperlink"/>
                            <w:i/>
                            <w:sz w:val="18"/>
                            <w:lang w:val="fr-BE"/>
                          </w:rPr>
                          <w:t xml:space="preserve"> to support the Europe 2020 </w:t>
                        </w:r>
                        <w:proofErr w:type="spellStart"/>
                        <w:r w:rsidRPr="00260B0F">
                          <w:rPr>
                            <w:rStyle w:val="Hyperlink"/>
                            <w:i/>
                            <w:sz w:val="18"/>
                            <w:lang w:val="fr-BE"/>
                          </w:rPr>
                          <w:t>Strategy</w:t>
                        </w:r>
                        <w:proofErr w:type="spellEnd"/>
                        <w:r w:rsidRPr="00260B0F">
                          <w:rPr>
                            <w:rStyle w:val="Hyperlink"/>
                            <w:sz w:val="18"/>
                            <w:lang w:val="fr-BE"/>
                          </w:rPr>
                          <w:t>.</w:t>
                        </w:r>
                      </w:hyperlink>
                    </w:p>
                    <w:p w:rsidR="00260B0F" w:rsidRPr="00260B0F" w:rsidRDefault="00260B0F" w:rsidP="00ED3746">
                      <w:pPr>
                        <w:pStyle w:val="HStandard"/>
                        <w:rPr>
                          <w:sz w:val="18"/>
                          <w:szCs w:val="18"/>
                          <w:lang w:val="fr-BE"/>
                        </w:rPr>
                      </w:pPr>
                      <w:r w:rsidRPr="00260B0F">
                        <w:rPr>
                          <w:sz w:val="18"/>
                          <w:lang w:val="fr-BE"/>
                        </w:rPr>
                        <w:t>Dietz S. (2017), «</w:t>
                      </w:r>
                      <w:hyperlink r:id="rId62" w:history="1">
                        <w:r w:rsidRPr="00260B0F">
                          <w:rPr>
                            <w:rStyle w:val="Hyperlink"/>
                            <w:i/>
                            <w:sz w:val="18"/>
                            <w:lang w:val="fr-BE"/>
                          </w:rPr>
                          <w:t xml:space="preserve">ELER </w:t>
                        </w:r>
                        <w:proofErr w:type="spellStart"/>
                        <w:r w:rsidRPr="00260B0F">
                          <w:rPr>
                            <w:rStyle w:val="Hyperlink"/>
                            <w:i/>
                            <w:sz w:val="18"/>
                            <w:lang w:val="fr-BE"/>
                          </w:rPr>
                          <w:t>im</w:t>
                        </w:r>
                        <w:proofErr w:type="spellEnd"/>
                        <w:r w:rsidRPr="00260B0F">
                          <w:rPr>
                            <w:rStyle w:val="Hyperlink"/>
                            <w:i/>
                            <w:sz w:val="18"/>
                            <w:lang w:val="fr-BE"/>
                          </w:rPr>
                          <w:t xml:space="preserve"> </w:t>
                        </w:r>
                        <w:proofErr w:type="spellStart"/>
                        <w:r w:rsidRPr="00260B0F">
                          <w:rPr>
                            <w:rStyle w:val="Hyperlink"/>
                            <w:i/>
                            <w:sz w:val="18"/>
                            <w:lang w:val="fr-BE"/>
                          </w:rPr>
                          <w:t>Kontext</w:t>
                        </w:r>
                        <w:proofErr w:type="spellEnd"/>
                        <w:r w:rsidRPr="00260B0F">
                          <w:rPr>
                            <w:rStyle w:val="Hyperlink"/>
                            <w:i/>
                            <w:sz w:val="18"/>
                            <w:lang w:val="fr-BE"/>
                          </w:rPr>
                          <w:t xml:space="preserve"> der </w:t>
                        </w:r>
                        <w:proofErr w:type="spellStart"/>
                        <w:r w:rsidRPr="00260B0F">
                          <w:rPr>
                            <w:rStyle w:val="Hyperlink"/>
                            <w:i/>
                            <w:sz w:val="18"/>
                            <w:lang w:val="fr-BE"/>
                          </w:rPr>
                          <w:t>Strategie</w:t>
                        </w:r>
                        <w:proofErr w:type="spellEnd"/>
                        <w:r w:rsidRPr="00260B0F">
                          <w:rPr>
                            <w:rStyle w:val="Hyperlink"/>
                            <w:i/>
                            <w:sz w:val="18"/>
                            <w:lang w:val="fr-BE"/>
                          </w:rPr>
                          <w:t xml:space="preserve"> „Europa 2020”</w:t>
                        </w:r>
                      </w:hyperlink>
                      <w:proofErr w:type="gramStart"/>
                      <w:r w:rsidRPr="00260B0F">
                        <w:rPr>
                          <w:sz w:val="18"/>
                          <w:lang w:val="fr-BE"/>
                        </w:rPr>
                        <w:t>»;</w:t>
                      </w:r>
                      <w:proofErr w:type="gramEnd"/>
                      <w:r w:rsidRPr="00260B0F">
                        <w:rPr>
                          <w:sz w:val="18"/>
                          <w:lang w:val="fr-BE"/>
                        </w:rPr>
                        <w:t xml:space="preserve"> présentation lors de l’événement annuel MEN-D 2017.</w:t>
                      </w:r>
                    </w:p>
                    <w:p w:rsidR="00260B0F" w:rsidRPr="00D97603" w:rsidRDefault="00260B0F" w:rsidP="00ED3746">
                      <w:pPr>
                        <w:pStyle w:val="HStandard"/>
                        <w:rPr>
                          <w:sz w:val="18"/>
                          <w:szCs w:val="18"/>
                          <w:lang w:val="de-DE"/>
                        </w:rPr>
                      </w:pPr>
                      <w:r w:rsidRPr="00D97603">
                        <w:rPr>
                          <w:sz w:val="18"/>
                          <w:lang w:val="de-DE"/>
                        </w:rPr>
                        <w:t xml:space="preserve">MEN-D (2015), </w:t>
                      </w:r>
                      <w:hyperlink r:id="rId63" w:history="1">
                        <w:r w:rsidRPr="00D97603">
                          <w:rPr>
                            <w:rStyle w:val="Hyperlink"/>
                            <w:i/>
                            <w:sz w:val="18"/>
                            <w:lang w:val="de-DE"/>
                          </w:rPr>
                          <w:t>Monitoring und Evaluierung der ELER-Förderperiode 2014 – 2020:</w:t>
                        </w:r>
                        <w:r w:rsidRPr="00D97603">
                          <w:rPr>
                            <w:rStyle w:val="Hyperlink"/>
                            <w:sz w:val="18"/>
                            <w:lang w:val="de-DE"/>
                          </w:rPr>
                          <w:t xml:space="preserve"> </w:t>
                        </w:r>
                        <w:r w:rsidRPr="00D97603">
                          <w:rPr>
                            <w:rStyle w:val="Hyperlink"/>
                            <w:i/>
                            <w:sz w:val="18"/>
                            <w:lang w:val="de-DE"/>
                          </w:rPr>
                          <w:t>Auswertung der Methoden und Erfahrungen der Ex-Ante Bewertung</w:t>
                        </w:r>
                        <w:r w:rsidRPr="00D97603">
                          <w:rPr>
                            <w:rStyle w:val="Hyperlink"/>
                            <w:sz w:val="18"/>
                            <w:lang w:val="de-DE"/>
                          </w:rPr>
                          <w:t>.</w:t>
                        </w:r>
                      </w:hyperlink>
                    </w:p>
                    <w:p w:rsidR="00260B0F" w:rsidRPr="00D97603" w:rsidRDefault="00260B0F" w:rsidP="00ED3746">
                      <w:pPr>
                        <w:pStyle w:val="HStandard"/>
                        <w:rPr>
                          <w:sz w:val="18"/>
                          <w:szCs w:val="18"/>
                          <w:lang w:val="en-GB"/>
                        </w:rPr>
                      </w:pPr>
                      <w:r w:rsidRPr="00D97603">
                        <w:rPr>
                          <w:sz w:val="18"/>
                          <w:lang w:val="en-GB"/>
                        </w:rPr>
                        <w:t xml:space="preserve">MEN-D (2017), </w:t>
                      </w:r>
                      <w:hyperlink r:id="rId64" w:history="1">
                        <w:r w:rsidRPr="00D97603">
                          <w:rPr>
                            <w:rStyle w:val="Hyperlink"/>
                            <w:i/>
                            <w:sz w:val="18"/>
                            <w:lang w:val="en-GB"/>
                          </w:rPr>
                          <w:t>EAFRD in the context of the Europe 2020 Strategy - evaluation of contributions and future challenges</w:t>
                        </w:r>
                      </w:hyperlink>
                      <w:r w:rsidRPr="00D97603">
                        <w:rPr>
                          <w:sz w:val="18"/>
                          <w:lang w:val="en-GB"/>
                        </w:rPr>
                        <w:t xml:space="preserve">. </w:t>
                      </w:r>
                    </w:p>
                  </w:txbxContent>
                </v:textbox>
                <w10:anchorlock/>
              </v:shape>
            </w:pict>
          </mc:Fallback>
        </mc:AlternateContent>
      </w:r>
    </w:p>
    <w:p w:rsidR="00ED3746" w:rsidRPr="00324C42" w:rsidRDefault="00ED3746" w:rsidP="00ED3746">
      <w:pPr>
        <w:pStyle w:val="HHeading3"/>
        <w:numPr>
          <w:ilvl w:val="2"/>
          <w:numId w:val="125"/>
        </w:numPr>
        <w:tabs>
          <w:tab w:val="clear" w:pos="567"/>
        </w:tabs>
        <w:spacing w:before="480" w:line="280" w:lineRule="exact"/>
        <w:ind w:left="567" w:hanging="567"/>
      </w:pPr>
      <w:bookmarkStart w:id="164" w:name="_Toc501382135"/>
      <w:bookmarkStart w:id="165" w:name="_Toc503368729"/>
      <w:bookmarkStart w:id="166" w:name="_Toc508889640"/>
      <w:r>
        <w:t>QEC nº </w:t>
      </w:r>
      <w:proofErr w:type="gramStart"/>
      <w:r>
        <w:t>30:</w:t>
      </w:r>
      <w:proofErr w:type="gramEnd"/>
      <w:r>
        <w:t xml:space="preserve"> «Dans quelle mesure les interventions du PDR ont-elles contribué à favoriser l’innovation?»</w:t>
      </w:r>
      <w:bookmarkEnd w:id="164"/>
      <w:bookmarkEnd w:id="165"/>
      <w:bookmarkEnd w:id="166"/>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Comprendre la QEC</w:t>
      </w:r>
    </w:p>
    <w:p w:rsidR="00ED3746" w:rsidRPr="00E05D08" w:rsidRDefault="00ED3746" w:rsidP="00ED3746">
      <w:pPr>
        <w:spacing w:after="120" w:line="280" w:lineRule="atLeast"/>
        <w:mirrorIndents/>
        <w:rPr>
          <w:rFonts w:eastAsia="Times New Roman" w:cs="Arial"/>
          <w:szCs w:val="20"/>
        </w:rPr>
      </w:pPr>
      <w:r>
        <w:t xml:space="preserve">La QEC nº 30 concerne le processus de favorisation de l’innovation. Cela rend la question très vaste sur le plan conceptuel, étant donné que </w:t>
      </w:r>
      <w:r>
        <w:rPr>
          <w:b/>
        </w:rPr>
        <w:t>l’innovation naît des interactions des acteurs du système d’innovation</w:t>
      </w:r>
      <w:r>
        <w:t>.</w:t>
      </w:r>
      <w:r>
        <w:rPr>
          <w:b/>
        </w:rPr>
        <w:t xml:space="preserve"> </w:t>
      </w:r>
      <w:r>
        <w:t xml:space="preserve">L’évaluation des processus demande du temps et il n’est donc possible de répondre à </w:t>
      </w:r>
      <w:r>
        <w:lastRenderedPageBreak/>
        <w:t xml:space="preserve">la question que lorsque l’intervention du PDR est déjà bien avancée (dans le RAM présenté en 2019) ou terminée (évaluation ex post). </w:t>
      </w:r>
    </w:p>
    <w:p w:rsidR="00ED3746" w:rsidRPr="00E05D08" w:rsidRDefault="00ED3746" w:rsidP="00ED3746">
      <w:pPr>
        <w:spacing w:after="120" w:line="280" w:lineRule="atLeast"/>
        <w:mirrorIndents/>
        <w:rPr>
          <w:rFonts w:eastAsia="Times New Roman" w:cs="Arial"/>
          <w:szCs w:val="20"/>
        </w:rPr>
      </w:pPr>
      <w:r>
        <w:t xml:space="preserve">La contribution à grande échelle du PDR en matière d’innovation, c’est-à-dire, au regard de processus d’innovation performants qui ont entraîné des changements relativement importants (par exemple, un nombre relativement élevé d’agriculteurs qui adoptent une nouvelle technologie) est dans l’intérêt de l’Union. Le point de départ pour répondre à la QEC nº 30 consiste donc à déterminer les changements importants auxquels le PDR affirme avoir contribué, et pour lesquels une partie au moins de la contribution a consisté à favoriser l’innovation. Ces changements importants peuvent être mis en évidence en évaluant les indicateurs d’incidence et en collectant des informations supplémentaires (par exemple, grâce à des analyses documentaires et à des entretiens avec les parties concernées à la suite des résultats de l’analyse du potentiel d’innovation, voir le </w:t>
      </w:r>
      <w:r>
        <w:rPr>
          <w:color w:val="F07E31"/>
        </w:rPr>
        <w:t>chapitre 2.2</w:t>
      </w:r>
      <w:r>
        <w:t xml:space="preserve">). Les résultats seront aussi utilisés pour répondre à d’autres QEC (les QEC nº 24 à 29). </w:t>
      </w:r>
    </w:p>
    <w:p w:rsidR="00ED3746" w:rsidRPr="00E05D08" w:rsidRDefault="00ED3746" w:rsidP="00ED3746">
      <w:pPr>
        <w:spacing w:after="120" w:line="280" w:lineRule="atLeast"/>
        <w:mirrorIndents/>
        <w:rPr>
          <w:rFonts w:eastAsia="Times New Roman" w:cs="Arial"/>
          <w:szCs w:val="20"/>
        </w:rPr>
      </w:pPr>
      <w:r>
        <w:t xml:space="preserve">Le chapitre 1.1 part du postulat que les mesures/sous-mesures du PDR contribuent à </w:t>
      </w:r>
      <w:r>
        <w:rPr>
          <w:b/>
        </w:rPr>
        <w:t xml:space="preserve">favoriser l’innovation </w:t>
      </w:r>
      <w:r>
        <w:t xml:space="preserve">via trois démarches interconnectées (voir la </w:t>
      </w:r>
      <w:hyperlink w:anchor="Pathways" w:history="1">
        <w:r>
          <w:rPr>
            <w:rStyle w:val="Hyperlink"/>
            <w:sz w:val="20"/>
          </w:rPr>
          <w:t>figure 1</w:t>
        </w:r>
      </w:hyperlink>
      <w:r>
        <w:t xml:space="preserve">). L’intérêt des trois démarches est qu’elles aident l’évaluateur à décortiquer et à mieux comprendre le processus d’innovation. Les lignes directrices proposent donc trois sous-questions à la QEC nº 30 correspondant aux différentes </w:t>
      </w:r>
      <w:proofErr w:type="gramStart"/>
      <w:r>
        <w:t>démarches:</w:t>
      </w:r>
      <w:proofErr w:type="gramEnd"/>
      <w:r>
        <w:t xml:space="preserve"> </w:t>
      </w:r>
    </w:p>
    <w:p w:rsidR="00ED3746" w:rsidRPr="00BE70EE" w:rsidRDefault="00ED3746" w:rsidP="00ED3746">
      <w:pPr>
        <w:pStyle w:val="Hlistbullet"/>
      </w:pPr>
      <w:proofErr w:type="gramStart"/>
      <w:r>
        <w:t>dans</w:t>
      </w:r>
      <w:proofErr w:type="gramEnd"/>
      <w:r>
        <w:t xml:space="preserve"> quelle mesure le PDR a-t-il favorisé l’innovation en cultivant le potentiel innovant? (</w:t>
      </w:r>
      <w:proofErr w:type="gramStart"/>
      <w:r>
        <w:t>démarche</w:t>
      </w:r>
      <w:proofErr w:type="gramEnd"/>
      <w:r>
        <w:t> 1);</w:t>
      </w:r>
    </w:p>
    <w:p w:rsidR="00ED3746" w:rsidRPr="00BE70EE" w:rsidRDefault="00ED3746" w:rsidP="00ED3746">
      <w:pPr>
        <w:pStyle w:val="Hlistbullet"/>
      </w:pPr>
      <w:proofErr w:type="gramStart"/>
      <w:r>
        <w:t>dans</w:t>
      </w:r>
      <w:proofErr w:type="gramEnd"/>
      <w:r>
        <w:t xml:space="preserve"> quelle mesure le PDR a-t-il favorisé l’innovation en renforçant la capacité d’innover? (</w:t>
      </w:r>
      <w:proofErr w:type="gramStart"/>
      <w:r>
        <w:t>démarche</w:t>
      </w:r>
      <w:proofErr w:type="gramEnd"/>
      <w:r>
        <w:t> 2);</w:t>
      </w:r>
    </w:p>
    <w:p w:rsidR="00ED3746" w:rsidRPr="00BE70EE" w:rsidRDefault="00ED3746" w:rsidP="00ED3746">
      <w:pPr>
        <w:pStyle w:val="Hlistbullet"/>
      </w:pPr>
      <w:proofErr w:type="gramStart"/>
      <w:r>
        <w:t>dans</w:t>
      </w:r>
      <w:proofErr w:type="gramEnd"/>
      <w:r>
        <w:t xml:space="preserve"> quelle mesure le PDR a-t-il favorisé l’innovation en créant un environnement propice à l’innovation? (</w:t>
      </w:r>
      <w:proofErr w:type="gramStart"/>
      <w:r>
        <w:t>démarche</w:t>
      </w:r>
      <w:proofErr w:type="gramEnd"/>
      <w:r>
        <w:t> 3).</w:t>
      </w:r>
    </w:p>
    <w:p w:rsidR="00ED3746" w:rsidRPr="00E05D08" w:rsidRDefault="00ED3746" w:rsidP="00ED3746">
      <w:pPr>
        <w:spacing w:after="120" w:line="280" w:lineRule="atLeast"/>
        <w:mirrorIndents/>
        <w:rPr>
          <w:rFonts w:eastAsia="Times New Roman" w:cs="Arial"/>
          <w:szCs w:val="20"/>
        </w:rPr>
      </w:pPr>
      <w:r>
        <w:t xml:space="preserve">Les interactions entre les démarches sont aussi importantes. Le processus de développement collaboratif du potentiel innovant (par exemple l’élaboration et l’introduction d’une nouvelle technologie) renforce la capacité d’innover des personnes et des organismes concernés, ainsi que le système d’innovation lui-même. L’interaction entre les démarches doit être abordée au moment de répondre aux trois sous-questions et à la QEC nº 30. </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 xml:space="preserve">Difficultés </w:t>
      </w:r>
      <w:proofErr w:type="gramStart"/>
      <w:r>
        <w:rPr>
          <w:b/>
          <w:color w:val="57825E"/>
        </w:rPr>
        <w:t>particulières:</w:t>
      </w:r>
      <w:proofErr w:type="gramEnd"/>
      <w:r>
        <w:rPr>
          <w:b/>
          <w:color w:val="57825E"/>
        </w:rPr>
        <w:t xml:space="preserve"> </w:t>
      </w:r>
    </w:p>
    <w:p w:rsidR="00ED3746" w:rsidRPr="00241663" w:rsidRDefault="00ED3746" w:rsidP="00ED3746">
      <w:pPr>
        <w:pStyle w:val="Hlistbullet"/>
      </w:pPr>
      <w:proofErr w:type="gramStart"/>
      <w:r>
        <w:rPr>
          <w:b/>
        </w:rPr>
        <w:t>élaborer</w:t>
      </w:r>
      <w:proofErr w:type="gramEnd"/>
      <w:r>
        <w:rPr>
          <w:b/>
        </w:rPr>
        <w:t xml:space="preserve"> des éléments d’évaluation supplémentaires</w:t>
      </w:r>
      <w:r>
        <w:t xml:space="preserve"> pour répondre à la QEC nº 30 (critères de jugement et indicateurs, à la fois qualitatifs et quantitatifs); </w:t>
      </w:r>
    </w:p>
    <w:p w:rsidR="00ED3746" w:rsidRPr="00241663" w:rsidRDefault="00ED3746" w:rsidP="00ED3746">
      <w:pPr>
        <w:pStyle w:val="Hlistbullet"/>
      </w:pPr>
      <w:proofErr w:type="gramStart"/>
      <w:r>
        <w:rPr>
          <w:b/>
        </w:rPr>
        <w:t>appliquer</w:t>
      </w:r>
      <w:proofErr w:type="gramEnd"/>
      <w:r>
        <w:rPr>
          <w:b/>
        </w:rPr>
        <w:t xml:space="preserve"> des méthodes d’évaluation</w:t>
      </w:r>
      <w:r>
        <w:t xml:space="preserve"> qui permettent d’attribuer les changements observés dans </w:t>
      </w:r>
      <w:r>
        <w:rPr>
          <w:u w:val="single"/>
        </w:rPr>
        <w:t>l’ensemble des trois</w:t>
      </w:r>
      <w:r>
        <w:t xml:space="preserve"> démarches du système d’innovation dans les zones rurales aux interventions du PDR; </w:t>
      </w:r>
    </w:p>
    <w:p w:rsidR="00ED3746" w:rsidRPr="00241663" w:rsidRDefault="00ED3746" w:rsidP="00ED3746">
      <w:pPr>
        <w:pStyle w:val="Hlistbullet"/>
      </w:pPr>
      <w:proofErr w:type="gramStart"/>
      <w:r>
        <w:rPr>
          <w:b/>
        </w:rPr>
        <w:t>évaluer</w:t>
      </w:r>
      <w:proofErr w:type="gramEnd"/>
      <w:r>
        <w:rPr>
          <w:b/>
        </w:rPr>
        <w:t xml:space="preserve"> les changements</w:t>
      </w:r>
      <w:r>
        <w:t xml:space="preserve"> survenus en raison des innovations soutenues par le PDR. </w:t>
      </w:r>
    </w:p>
    <w:p w:rsidR="00ED3746" w:rsidRPr="00E05D08" w:rsidRDefault="00ED3746" w:rsidP="00ED3746">
      <w:pPr>
        <w:keepNext/>
        <w:keepLines/>
        <w:tabs>
          <w:tab w:val="left" w:pos="680"/>
        </w:tabs>
        <w:spacing w:before="240" w:after="240" w:line="280" w:lineRule="atLeast"/>
        <w:mirrorIndents/>
        <w:outlineLvl w:val="3"/>
        <w:rPr>
          <w:rFonts w:cs="Times New Roman"/>
          <w:b/>
          <w:color w:val="57825E"/>
          <w:szCs w:val="20"/>
          <w:shd w:val="clear" w:color="000000" w:fill="auto"/>
        </w:rPr>
      </w:pPr>
      <w:r>
        <w:rPr>
          <w:b/>
          <w:color w:val="57825E"/>
        </w:rPr>
        <w:t>Approche proposée pour répondre à la QEC nº 30</w:t>
      </w:r>
    </w:p>
    <w:p w:rsidR="00ED3746" w:rsidRPr="00237EDF" w:rsidRDefault="00ED3746" w:rsidP="00ED3746">
      <w:pPr>
        <w:numPr>
          <w:ilvl w:val="0"/>
          <w:numId w:val="62"/>
        </w:numPr>
        <w:spacing w:before="120" w:after="120" w:line="280" w:lineRule="atLeast"/>
        <w:ind w:left="567" w:hanging="567"/>
        <w:mirrorIndents/>
        <w:rPr>
          <w:rFonts w:cs="Times New Roman"/>
          <w:b/>
          <w:szCs w:val="20"/>
        </w:rPr>
      </w:pPr>
      <w:r>
        <w:rPr>
          <w:b/>
        </w:rPr>
        <w:t xml:space="preserve">Logique d’intervention </w:t>
      </w:r>
    </w:p>
    <w:p w:rsidR="00ED3746" w:rsidRDefault="00ED3746" w:rsidP="00ED3746">
      <w:pPr>
        <w:spacing w:after="120" w:line="280" w:lineRule="atLeast"/>
        <w:mirrorIndents/>
        <w:rPr>
          <w:rFonts w:eastAsia="Times New Roman" w:cs="Arial"/>
          <w:szCs w:val="20"/>
        </w:rPr>
      </w:pPr>
      <w:r>
        <w:t>L’approche du PDR à l’égard de l’innovation est établie au moment de la conception du programme</w:t>
      </w:r>
      <w:r>
        <w:rPr>
          <w:vertAlign w:val="superscript"/>
        </w:rPr>
        <w:footnoteReference w:id="76"/>
      </w:r>
      <w:r>
        <w:t xml:space="preserve">. Lors de l’analyse du potentiel d’innovation des mesures/sous-mesures du PDR au cours de la phase de préparation de l’évaluation, toutes les mesures/sous-mesures (pas seulement les mesures M1, M2, M16 et M19 et l’AT) sont analysées et testées afin de déterminer dans quelle mesure elles peuvent </w:t>
      </w:r>
      <w:r>
        <w:lastRenderedPageBreak/>
        <w:t xml:space="preserve">permettre de faire mûrir des idées, de renforcer les capacités et de créer un environnement propice. En conséquence, </w:t>
      </w:r>
      <w:r>
        <w:rPr>
          <w:b/>
        </w:rPr>
        <w:t>toutes les mesures et sous-mesures du PDR qui ont montré un potentiel d’innovation significatif</w:t>
      </w:r>
      <w:r>
        <w:t xml:space="preserve"> devraient faire partie de la logique d’intervention du PDR en matière d’innovation qui oriente la mise en œuvre du PDR en ce sens. L’évaluateur utilise cette logique pour démontrer comment le PDR a contribué à l’innovation (voir la </w:t>
      </w:r>
      <w:hyperlink w:anchor="Example_IL" w:history="1">
        <w:r>
          <w:rPr>
            <w:rStyle w:val="Hyperlink"/>
            <w:sz w:val="20"/>
          </w:rPr>
          <w:t>figure 11</w:t>
        </w:r>
      </w:hyperlink>
      <w:r>
        <w:t>).</w:t>
      </w:r>
    </w:p>
    <w:p w:rsidR="00ED3746" w:rsidRPr="00916AB5" w:rsidRDefault="00ED3746" w:rsidP="00ED3746">
      <w:pPr>
        <w:pStyle w:val="HHeadingfigures"/>
      </w:pPr>
      <w:bookmarkStart w:id="167" w:name="Example_IL"/>
      <w:bookmarkStart w:id="168" w:name="_Toc503284764"/>
      <w:bookmarkStart w:id="169" w:name="_Toc508894556"/>
      <w:bookmarkEnd w:id="167"/>
      <w:r>
        <w:t>Exemple de logique d’intervention pour la QEC nº 30</w:t>
      </w:r>
      <w:bookmarkEnd w:id="168"/>
      <w:bookmarkEnd w:id="169"/>
    </w:p>
    <w:p w:rsidR="00ED3746" w:rsidRPr="00E05D08" w:rsidRDefault="00F204F1" w:rsidP="00ED3746">
      <w:pPr>
        <w:suppressAutoHyphens/>
        <w:spacing w:before="60" w:after="140" w:line="240" w:lineRule="auto"/>
        <w:mirrorIndents/>
        <w:jc w:val="center"/>
        <w:rPr>
          <w:rFonts w:eastAsia="Times New Roman" w:cs="Times New Roman"/>
          <w:i/>
          <w:sz w:val="16"/>
          <w:szCs w:val="20"/>
        </w:rPr>
      </w:pPr>
      <w:r w:rsidRPr="00230BFD">
        <w:rPr>
          <w:noProof/>
        </w:rPr>
        <w:drawing>
          <wp:inline distT="0" distB="0" distL="0" distR="0">
            <wp:extent cx="5732780" cy="32200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2780" cy="3220085"/>
                    </a:xfrm>
                    <a:prstGeom prst="rect">
                      <a:avLst/>
                    </a:prstGeom>
                    <a:noFill/>
                    <a:ln>
                      <a:noFill/>
                    </a:ln>
                  </pic:spPr>
                </pic:pic>
              </a:graphicData>
            </a:graphic>
          </wp:inline>
        </w:drawing>
      </w:r>
    </w:p>
    <w:p w:rsidR="00ED3746" w:rsidRPr="00E05D08" w:rsidRDefault="00ED3746" w:rsidP="00ED3746">
      <w:pPr>
        <w:suppressAutoHyphens/>
        <w:spacing w:before="60" w:after="140" w:line="240" w:lineRule="auto"/>
        <w:mirrorIndents/>
        <w:jc w:val="center"/>
        <w:rPr>
          <w:rFonts w:eastAsia="Times New Roman" w:cs="Times New Roman"/>
          <w:i/>
          <w:sz w:val="16"/>
          <w:szCs w:val="20"/>
        </w:rPr>
      </w:pPr>
      <w:proofErr w:type="gramStart"/>
      <w:r>
        <w:rPr>
          <w:i/>
          <w:sz w:val="16"/>
        </w:rPr>
        <w:t>Source:</w:t>
      </w:r>
      <w:proofErr w:type="gramEnd"/>
      <w:r>
        <w:rPr>
          <w:i/>
          <w:sz w:val="16"/>
        </w:rPr>
        <w:t xml:space="preserve"> Helpdesk Évaluation européen pour le développement rural, 2017.</w:t>
      </w:r>
    </w:p>
    <w:p w:rsidR="00ED3746" w:rsidRPr="00E05D08" w:rsidRDefault="00F204F1" w:rsidP="00ED3746">
      <w:pPr>
        <w:spacing w:after="120" w:line="280" w:lineRule="atLeast"/>
        <w:mirrorIndents/>
        <w:rPr>
          <w:rFonts w:eastAsia="Times New Roman" w:cs="Arial"/>
          <w:szCs w:val="20"/>
        </w:rPr>
      </w:pPr>
      <w:r>
        <w:rPr>
          <w:noProof/>
        </w:rPr>
        <mc:AlternateContent>
          <mc:Choice Requires="wps">
            <w:drawing>
              <wp:inline distT="0" distB="0" distL="0" distR="0">
                <wp:extent cx="5732145" cy="2450592"/>
                <wp:effectExtent l="0" t="0" r="20955" b="26035"/>
                <wp:docPr id="560" name="Rectangle: Diagonal Corners Rounded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145" cy="2450592"/>
                        </a:xfrm>
                        <a:prstGeom prst="round2DiagRect">
                          <a:avLst>
                            <a:gd name="adj1" fmla="val 11556"/>
                            <a:gd name="adj2" fmla="val 0"/>
                          </a:avLst>
                        </a:prstGeom>
                        <a:noFill/>
                        <a:ln w="25400" cap="flat" cmpd="sng" algn="ctr">
                          <a:solidFill>
                            <a:srgbClr val="F07E31"/>
                          </a:solidFill>
                          <a:prstDash val="solid"/>
                        </a:ln>
                        <a:effectLst/>
                      </wps:spPr>
                      <wps:txbx>
                        <w:txbxContent>
                          <w:p w:rsidR="00260B0F" w:rsidRPr="0079762F" w:rsidRDefault="00260B0F" w:rsidP="00ED3746">
                            <w:pPr>
                              <w:pStyle w:val="HStandard"/>
                              <w:rPr>
                                <w:rFonts w:cs="Arial"/>
                                <w:sz w:val="18"/>
                              </w:rPr>
                            </w:pPr>
                            <w:r>
                              <w:rPr>
                                <w:noProof/>
                                <w:sz w:val="18"/>
                              </w:rPr>
                              <w:drawing>
                                <wp:inline distT="0" distB="0" distL="0" distR="0">
                                  <wp:extent cx="349885" cy="357505"/>
                                  <wp:effectExtent l="0" t="0" r="0" b="0"/>
                                  <wp:docPr id="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sz w:val="18"/>
                              </w:rPr>
                              <w:t xml:space="preserve"> Dans cet exemple, les mesures (cercles) au titre des DP (rectangles) sont censées favoriser l’innovation, seules ou en combinaison avec d’autres mesures, de différentes manières (les trois démarches sont décrites sous la forme de pictogrammes). Par exemple, les mesures M16 et M2 programmées au titre du DP 3A (intégration des producteurs primaires dans la chaîne alimentaire) et du DP 5A (efficacité hydrique) sont censées favoriser conjointement l’innovation via l’ensemble des trois démarches. Dans un autre cas (DP 5B), les deux mesures combinées à la mesure M4 sont censées favoriser l’innovation en renforçant les capacités de manière collaborative.  </w:t>
                            </w:r>
                          </w:p>
                          <w:p w:rsidR="00260B0F" w:rsidRPr="00ED3BAD" w:rsidRDefault="00260B0F" w:rsidP="00ED3746">
                            <w:pPr>
                              <w:pStyle w:val="HStandard"/>
                              <w:rPr>
                                <w:sz w:val="18"/>
                                <w:szCs w:val="18"/>
                              </w:rPr>
                            </w:pPr>
                            <w:r>
                              <w:rPr>
                                <w:sz w:val="18"/>
                              </w:rPr>
                              <w:t>Les mesures qui affichent un potentiel d’innovation sont censées générer des réalisations, qui donnent des résultats en favorisant l’innovation via les trois démarches, et influencent finalement la réalisation des objectifs stratégiques.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560" o:spid="_x0000_s1054" style="width:451.35pt;height:192.95pt;visibility:visible;mso-wrap-style:square;mso-left-percent:-10001;mso-top-percent:-10001;mso-position-horizontal:absolute;mso-position-horizontal-relative:char;mso-position-vertical:absolute;mso-position-vertical-relative:line;mso-left-percent:-10001;mso-top-percent:-10001;v-text-anchor:middle" coordsize="5732145,24505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" adj="-11796480,,5400" path="m283190,l5732145,r,l5732145,2167402v,156402,-126788,283190,-283190,283190l,2450592r,l,283190c,126788,126788,,283190,xe" filled="f" strokecolor="#f07e31" strokeweight="2pt">
                <v:stroke joinstyle="miter"/>
                <v:formulas/>
                <v:path arrowok="t" o:connecttype="custom" o:connectlocs="283190,0;5732145,0;5732145,0;5732145,2167402;5448955,2450592;0,2450592;0,2450592;0,283190;283190,0" o:connectangles="0,0,0,0,0,0,0,0,0" textboxrect="0,0,5732145,2450592"/>
                <v:textbox>
                  <w:txbxContent>
                    <w:p w:rsidR="00260B0F" w:rsidRPr="0079762F" w:rsidRDefault="00260B0F" w:rsidP="00ED3746">
                      <w:pPr>
                        <w:pStyle w:val="HStandard"/>
                        <w:rPr>
                          <w:rFonts w:cs="Arial"/>
                          <w:sz w:val="18"/>
                        </w:rPr>
                      </w:pPr>
                      <w:r>
                        <w:rPr>
                          <w:noProof/>
                          <w:sz w:val="18"/>
                        </w:rPr>
                        <w:drawing>
                          <wp:inline distT="0" distB="0" distL="0" distR="0">
                            <wp:extent cx="349885" cy="357505"/>
                            <wp:effectExtent l="0" t="0" r="0" b="0"/>
                            <wp:docPr id="1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sz w:val="18"/>
                        </w:rPr>
                        <w:t xml:space="preserve"> Dans cet exemple, les mesures (cercles) au titre des DP (rectangles) sont censées favoriser l’innovation, seules ou en combinaison avec d’autres mesures, de différentes manières (les trois démarches sont décrites sous la forme de pictogrammes). Par exemple, les mesures M16 et M2 programmées au titre du DP 3A (intégration des producteurs primaires dans la chaîne alimentaire) et du DP 5A (efficacité hydrique) sont censées favoriser conjointement l’innovation via l’ensemble des trois démarches. Dans un autre cas (DP 5B), les deux mesures combinées à la mesure M4 sont censées favoriser l’innovation en renforçant les capacités de manière collaborative.  </w:t>
                      </w:r>
                    </w:p>
                    <w:p w:rsidR="00260B0F" w:rsidRPr="00ED3BAD" w:rsidRDefault="00260B0F" w:rsidP="00ED3746">
                      <w:pPr>
                        <w:pStyle w:val="HStandard"/>
                        <w:rPr>
                          <w:sz w:val="18"/>
                          <w:szCs w:val="18"/>
                        </w:rPr>
                      </w:pPr>
                      <w:r>
                        <w:rPr>
                          <w:sz w:val="18"/>
                        </w:rPr>
                        <w:t>Les mesures qui affichent un potentiel d’innovation sont censées générer des réalisations, qui donnent des résultats en favorisant l’innovation via les trois démarches, et influencent finalement la réalisation des objectifs stratégiques.</w:t>
                      </w:r>
                    </w:p>
                  </w:txbxContent>
                </v:textbox>
                <w10:anchorlock/>
              </v:shape>
            </w:pict>
          </mc:Fallback>
        </mc:AlternateContent>
      </w:r>
    </w:p>
    <w:p w:rsidR="00ED3746" w:rsidRDefault="00ED3746" w:rsidP="00ED3746">
      <w:pPr>
        <w:spacing w:after="120" w:line="280" w:lineRule="atLeast"/>
        <w:mirrorIndents/>
        <w:sectPr w:rsidR="00ED3746" w:rsidSect="00ED3746">
          <w:headerReference w:type="first" r:id="rId66"/>
          <w:endnotePr>
            <w:numFmt w:val="decimal"/>
          </w:endnotePr>
          <w:pgSz w:w="11907" w:h="16840" w:code="9"/>
          <w:pgMar w:top="1134" w:right="1440" w:bottom="1440" w:left="1440" w:header="567" w:footer="1020" w:gutter="0"/>
          <w:cols w:space="708"/>
          <w:noEndnote/>
          <w:titlePg/>
          <w:docGrid w:linePitch="435"/>
        </w:sectPr>
      </w:pPr>
    </w:p>
    <w:p w:rsidR="00ED3746" w:rsidRPr="00E05D08" w:rsidRDefault="00ED3746" w:rsidP="00ED3746">
      <w:pPr>
        <w:spacing w:after="120" w:line="280" w:lineRule="atLeast"/>
        <w:mirrorIndents/>
        <w:rPr>
          <w:rFonts w:eastAsia="Times New Roman" w:cs="Arial"/>
          <w:szCs w:val="20"/>
        </w:rPr>
      </w:pPr>
      <w:r>
        <w:t>Étant donné la nature complexe et émergente de l’innovation, on part du principe que le potentiel d’innovation prévu et les interventions du PDR qui ont fait une différence ne correspondront pas parfaitement. Par conséquent, au moment de l’évaluation, la tâche de l’évaluateur consiste à comparer le potentiel d’innovation du PDR prévu aux contributions réelles au changement.</w:t>
      </w:r>
    </w:p>
    <w:p w:rsidR="00ED3746" w:rsidRPr="00E05D08" w:rsidRDefault="00ED3746" w:rsidP="00ED3746">
      <w:pPr>
        <w:numPr>
          <w:ilvl w:val="0"/>
          <w:numId w:val="62"/>
        </w:numPr>
        <w:spacing w:before="120" w:after="120" w:line="280" w:lineRule="atLeast"/>
        <w:ind w:left="567" w:hanging="567"/>
        <w:mirrorIndents/>
        <w:rPr>
          <w:rFonts w:eastAsia="Times New Roman" w:cs="Times New Roman"/>
          <w:b/>
          <w:szCs w:val="20"/>
        </w:rPr>
      </w:pPr>
      <w:r>
        <w:rPr>
          <w:b/>
        </w:rPr>
        <w:t xml:space="preserve">Éléments d’évaluation </w:t>
      </w:r>
    </w:p>
    <w:p w:rsidR="00ED3746" w:rsidRPr="00E05D08" w:rsidRDefault="00ED3746" w:rsidP="00ED3746">
      <w:pPr>
        <w:spacing w:after="120" w:line="280" w:lineRule="atLeast"/>
        <w:mirrorIndents/>
        <w:rPr>
          <w:rFonts w:eastAsia="Times New Roman" w:cs="Times New Roman"/>
          <w:szCs w:val="20"/>
        </w:rPr>
      </w:pPr>
      <w:r>
        <w:t xml:space="preserve">Le document de travail </w:t>
      </w:r>
      <w:hyperlink r:id="rId67" w:history="1">
        <w:r>
          <w:rPr>
            <w:rStyle w:val="Hyperlink"/>
            <w:sz w:val="20"/>
          </w:rPr>
          <w:t>Questions d’évaluation communes pour les programmes de développement rural 2014-2020</w:t>
        </w:r>
      </w:hyperlink>
      <w:r>
        <w:t xml:space="preserve"> propose un critère de jugement (relatif au renforcement de l’innovation dans les zones rurales et les secteurs ruraux) et un indicateur commun (T1 – dépenses au titre des articles 14, 15 et 35). Il recommande aussi de collecter des informations quantitatives et qualitatives supplémentaires </w:t>
      </w:r>
      <w:r>
        <w:lastRenderedPageBreak/>
        <w:t xml:space="preserve">sur l’innovation pour répondre à la QEC nº 30. Ces éléments ne peuvent cependant pas rendre pleinement compte des contributions du PDR au soutien à l’innovation. </w:t>
      </w:r>
    </w:p>
    <w:p w:rsidR="00ED3746" w:rsidRPr="00E05D08" w:rsidRDefault="00ED3746" w:rsidP="00ED3746">
      <w:pPr>
        <w:spacing w:after="120" w:line="280" w:lineRule="atLeast"/>
        <w:mirrorIndents/>
        <w:rPr>
          <w:rFonts w:eastAsia="Times New Roman" w:cs="Times New Roman"/>
          <w:szCs w:val="20"/>
        </w:rPr>
      </w:pPr>
      <w:r>
        <w:t xml:space="preserve">Les présentes lignes directrices proposent donc d’envisager de recourir à des éléments d’évaluation supplémentaires pour répondre à la QEC nº 30 (voir le </w:t>
      </w:r>
      <w:hyperlink w:anchor="CEQ_fostering" w:history="1">
        <w:r>
          <w:rPr>
            <w:rStyle w:val="Hyperlink"/>
            <w:sz w:val="20"/>
          </w:rPr>
          <w:t>tableau 9</w:t>
        </w:r>
      </w:hyperlink>
      <w:r>
        <w:t xml:space="preserve">). Dans le cas de la QEC nº 30, les éléments d’évaluation sont liés aux trois sous-questions correspondant aux trois démarches du processus d’innovation. Les critères de jugement proposés sont liés aux caractéristiques de chaque démarche. Cela permet de voir si la démarche a été suivie tout au long de la mise en œuvre des mesures du PDR recensées lors de l’analyse du potentiel d’innovation. </w:t>
      </w:r>
    </w:p>
    <w:p w:rsidR="00ED3746" w:rsidRPr="00E05D08" w:rsidRDefault="00ED3746" w:rsidP="00ED3746">
      <w:pPr>
        <w:spacing w:after="120" w:line="280" w:lineRule="atLeast"/>
        <w:mirrorIndents/>
        <w:rPr>
          <w:rFonts w:eastAsia="Times New Roman" w:cs="Times New Roman"/>
          <w:szCs w:val="20"/>
        </w:rPr>
      </w:pPr>
      <w:r>
        <w:t xml:space="preserve">Hormis les indicateurs communs, les éléments proposés ne sont pas contraignants et les parties concernées dans les États membres peuvent élaborer leurs propres critères de jugement et indicateurs supplémentaires. </w:t>
      </w:r>
    </w:p>
    <w:p w:rsidR="00ED3746" w:rsidRDefault="00ED3746" w:rsidP="00ED3746">
      <w:pPr>
        <w:spacing w:after="120" w:line="280" w:lineRule="atLeast"/>
        <w:mirrorIndents/>
        <w:sectPr w:rsidR="00ED3746" w:rsidSect="00ED3746">
          <w:endnotePr>
            <w:numFmt w:val="decimal"/>
          </w:endnotePr>
          <w:type w:val="continuous"/>
          <w:pgSz w:w="11907" w:h="16840" w:code="9"/>
          <w:pgMar w:top="1134" w:right="1440" w:bottom="1440" w:left="1440" w:header="567" w:footer="1020" w:gutter="0"/>
          <w:cols w:space="708"/>
          <w:noEndnote/>
          <w:titlePg/>
          <w:docGrid w:linePitch="435"/>
        </w:sectPr>
      </w:pPr>
    </w:p>
    <w:p w:rsidR="00ED3746" w:rsidRPr="009C734C" w:rsidRDefault="00ED3746" w:rsidP="00ED3746">
      <w:pPr>
        <w:pStyle w:val="HHeadingtables"/>
        <w:rPr>
          <w:color w:val="6F6F6F"/>
          <w:sz w:val="18"/>
          <w:szCs w:val="18"/>
        </w:rPr>
      </w:pPr>
      <w:bookmarkStart w:id="170" w:name="CEQ_fostering"/>
      <w:bookmarkStart w:id="171" w:name="_Toc503284471"/>
      <w:bookmarkStart w:id="172" w:name="_Toc508894482"/>
      <w:bookmarkEnd w:id="170"/>
      <w:r>
        <w:rPr>
          <w:color w:val="6F6F6F"/>
          <w:sz w:val="18"/>
        </w:rPr>
        <w:lastRenderedPageBreak/>
        <w:t>Éléments d’évaluation liés à la QEC nº 30</w:t>
      </w:r>
      <w:bookmarkEnd w:id="171"/>
      <w:bookmarkEnd w:id="172"/>
      <w:r>
        <w:rPr>
          <w:color w:val="6F6F6F"/>
          <w:sz w:val="18"/>
        </w:rPr>
        <w:t xml:space="preserve"> </w:t>
      </w:r>
    </w:p>
    <w:p w:rsidR="00ED3746" w:rsidRPr="00E05D08" w:rsidRDefault="00ED3746" w:rsidP="00ED3746">
      <w:pPr>
        <w:spacing w:after="120" w:line="280" w:lineRule="atLeast"/>
        <w:mirrorIndents/>
        <w:rPr>
          <w:rFonts w:eastAsia="Times New Roman" w:cs="Arial"/>
          <w:i/>
          <w:szCs w:val="20"/>
        </w:rPr>
      </w:pPr>
      <w:r>
        <w:rPr>
          <w:i/>
        </w:rPr>
        <w:t xml:space="preserve">Les éléments d’évaluation (sous-questions, critères de jugement et indicateurs) fournis en plus de ceux copiés du document de travail </w:t>
      </w:r>
      <w:hyperlink r:id="rId68" w:history="1">
        <w:r>
          <w:rPr>
            <w:rStyle w:val="Hyperlink"/>
            <w:sz w:val="20"/>
          </w:rPr>
          <w:t>Questions d’évaluation communes pour les programmes de développement rural 2014-2020</w:t>
        </w:r>
      </w:hyperlink>
      <w:r>
        <w:t xml:space="preserve"> </w:t>
      </w:r>
      <w:r>
        <w:rPr>
          <w:i/>
        </w:rPr>
        <w:t xml:space="preserve">sont en italique. </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298"/>
        <w:gridCol w:w="3302"/>
        <w:gridCol w:w="2715"/>
        <w:gridCol w:w="2715"/>
      </w:tblGrid>
      <w:tr w:rsidR="00ED3746" w:rsidRPr="00B77106" w:rsidTr="00633E23">
        <w:trPr>
          <w:tblHeader/>
          <w:jc w:val="center"/>
        </w:trPr>
        <w:tc>
          <w:tcPr>
            <w:tcW w:w="2988" w:type="dxa"/>
            <w:shd w:val="clear" w:color="auto" w:fill="FF6F0D"/>
          </w:tcPr>
          <w:p w:rsidR="00ED3746" w:rsidRPr="00B77106" w:rsidRDefault="00ED3746" w:rsidP="00ED3746">
            <w:pPr>
              <w:spacing w:after="120" w:line="220" w:lineRule="atLeast"/>
              <w:jc w:val="center"/>
              <w:rPr>
                <w:rFonts w:eastAsia="Times New Roman" w:cs="Arial"/>
                <w:b/>
                <w:color w:val="FFFFFF"/>
                <w:sz w:val="18"/>
                <w:szCs w:val="18"/>
              </w:rPr>
            </w:pPr>
            <w:r>
              <w:rPr>
                <w:b/>
                <w:color w:val="FFFFFF"/>
                <w:sz w:val="18"/>
              </w:rPr>
              <w:t>Sous-questions</w:t>
            </w:r>
          </w:p>
        </w:tc>
        <w:tc>
          <w:tcPr>
            <w:tcW w:w="2127" w:type="dxa"/>
            <w:shd w:val="clear" w:color="auto" w:fill="FF6F0D"/>
          </w:tcPr>
          <w:p w:rsidR="00ED3746" w:rsidRPr="00B77106" w:rsidRDefault="00ED3746" w:rsidP="00ED3746">
            <w:pPr>
              <w:spacing w:after="120" w:line="220" w:lineRule="atLeast"/>
              <w:jc w:val="center"/>
              <w:rPr>
                <w:rFonts w:eastAsia="Times New Roman" w:cs="Arial"/>
                <w:b/>
                <w:color w:val="FFFFFF"/>
                <w:sz w:val="18"/>
                <w:szCs w:val="18"/>
              </w:rPr>
            </w:pPr>
            <w:r>
              <w:rPr>
                <w:b/>
                <w:color w:val="FFFFFF"/>
                <w:sz w:val="18"/>
              </w:rPr>
              <w:t>Critères de jugement</w:t>
            </w:r>
          </w:p>
        </w:tc>
        <w:tc>
          <w:tcPr>
            <w:tcW w:w="3302" w:type="dxa"/>
            <w:shd w:val="clear" w:color="auto" w:fill="FF6F0D"/>
          </w:tcPr>
          <w:p w:rsidR="00ED3746" w:rsidRPr="00B77106" w:rsidRDefault="00ED3746" w:rsidP="00ED3746">
            <w:pPr>
              <w:spacing w:after="120" w:line="220" w:lineRule="atLeast"/>
              <w:jc w:val="center"/>
              <w:rPr>
                <w:rFonts w:eastAsia="Times New Roman" w:cs="Arial"/>
                <w:b/>
                <w:color w:val="FFFFFF"/>
                <w:sz w:val="18"/>
                <w:szCs w:val="18"/>
              </w:rPr>
            </w:pPr>
            <w:r>
              <w:rPr>
                <w:b/>
                <w:color w:val="FFFFFF"/>
                <w:sz w:val="18"/>
              </w:rPr>
              <w:t>Indicateurs de résultat</w:t>
            </w:r>
          </w:p>
        </w:tc>
        <w:tc>
          <w:tcPr>
            <w:tcW w:w="2715" w:type="dxa"/>
            <w:shd w:val="clear" w:color="auto" w:fill="FF6F0D"/>
          </w:tcPr>
          <w:p w:rsidR="00ED3746" w:rsidRPr="00B77106" w:rsidRDefault="00ED3746" w:rsidP="00ED3746">
            <w:pPr>
              <w:spacing w:after="120" w:line="220" w:lineRule="atLeast"/>
              <w:jc w:val="center"/>
              <w:rPr>
                <w:rFonts w:eastAsia="Times New Roman" w:cs="Arial"/>
                <w:b/>
                <w:color w:val="FFFFFF"/>
                <w:sz w:val="18"/>
                <w:szCs w:val="18"/>
              </w:rPr>
            </w:pPr>
            <w:r>
              <w:rPr>
                <w:b/>
                <w:color w:val="FFFFFF"/>
                <w:sz w:val="18"/>
              </w:rPr>
              <w:t>Données et informations requises</w:t>
            </w:r>
          </w:p>
        </w:tc>
        <w:tc>
          <w:tcPr>
            <w:tcW w:w="2715" w:type="dxa"/>
            <w:shd w:val="clear" w:color="auto" w:fill="FF6F0D"/>
          </w:tcPr>
          <w:p w:rsidR="00ED3746" w:rsidRPr="00B77106" w:rsidRDefault="00ED3746" w:rsidP="00ED3746">
            <w:pPr>
              <w:spacing w:after="120" w:line="220" w:lineRule="atLeast"/>
              <w:jc w:val="center"/>
              <w:rPr>
                <w:rFonts w:eastAsia="Times New Roman" w:cs="Arial"/>
                <w:b/>
                <w:color w:val="FFFFFF"/>
                <w:sz w:val="18"/>
                <w:szCs w:val="18"/>
              </w:rPr>
            </w:pPr>
            <w:r>
              <w:rPr>
                <w:b/>
                <w:color w:val="FFFFFF"/>
                <w:sz w:val="18"/>
              </w:rPr>
              <w:t>Sources de données</w:t>
            </w:r>
          </w:p>
        </w:tc>
      </w:tr>
      <w:tr w:rsidR="00ED3746" w:rsidRPr="00B77106" w:rsidTr="00ED3746">
        <w:trPr>
          <w:trHeight w:val="1408"/>
          <w:jc w:val="center"/>
        </w:trPr>
        <w:tc>
          <w:tcPr>
            <w:tcW w:w="2988" w:type="dxa"/>
            <w:shd w:val="clear" w:color="auto" w:fill="auto"/>
          </w:tcPr>
          <w:p w:rsidR="00ED3746" w:rsidRPr="00B77106" w:rsidRDefault="00ED3746" w:rsidP="00ED3746">
            <w:pPr>
              <w:spacing w:after="0" w:line="220" w:lineRule="atLeast"/>
              <w:jc w:val="left"/>
              <w:rPr>
                <w:rFonts w:eastAsia="Times New Roman" w:cs="Arial"/>
                <w:i/>
                <w:sz w:val="18"/>
                <w:szCs w:val="16"/>
              </w:rPr>
            </w:pPr>
            <w:r>
              <w:rPr>
                <w:i/>
                <w:sz w:val="18"/>
              </w:rPr>
              <w:t>Dans quelle mesure le PDR a-t-il favorisé l’innovation en cultivant le potentiel innovant (démarche 1</w:t>
            </w:r>
            <w:proofErr w:type="gramStart"/>
            <w:r>
              <w:rPr>
                <w:i/>
                <w:sz w:val="18"/>
              </w:rPr>
              <w:t>)?</w:t>
            </w:r>
            <w:proofErr w:type="gramEnd"/>
          </w:p>
        </w:tc>
        <w:tc>
          <w:tcPr>
            <w:tcW w:w="2127" w:type="dxa"/>
            <w:shd w:val="clear" w:color="auto" w:fill="auto"/>
          </w:tcPr>
          <w:p w:rsidR="00ED3746" w:rsidRPr="00B77106" w:rsidRDefault="00ED3746" w:rsidP="00ED3746">
            <w:pPr>
              <w:spacing w:after="0" w:line="220" w:lineRule="atLeast"/>
              <w:jc w:val="left"/>
              <w:rPr>
                <w:rFonts w:ascii="Helvetica" w:eastAsia="Times New Roman" w:hAnsi="Helvetica" w:cs="Times New Roman"/>
                <w:sz w:val="18"/>
                <w:szCs w:val="24"/>
              </w:rPr>
            </w:pPr>
            <w:r>
              <w:rPr>
                <w:i/>
                <w:sz w:val="18"/>
              </w:rPr>
              <w:t xml:space="preserve">CJ </w:t>
            </w:r>
            <w:proofErr w:type="gramStart"/>
            <w:r>
              <w:rPr>
                <w:i/>
                <w:sz w:val="18"/>
              </w:rPr>
              <w:t>supplémentaire:</w:t>
            </w:r>
            <w:proofErr w:type="gramEnd"/>
            <w:r>
              <w:rPr>
                <w:i/>
                <w:sz w:val="18"/>
              </w:rPr>
              <w:t xml:space="preserve"> adoption d’idées, de procédés, de modèles ou de technologies innovants introduits par le PDR</w:t>
            </w:r>
          </w:p>
        </w:tc>
        <w:tc>
          <w:tcPr>
            <w:tcW w:w="3302" w:type="dxa"/>
            <w:shd w:val="clear" w:color="auto" w:fill="auto"/>
          </w:tcPr>
          <w:p w:rsidR="00ED3746" w:rsidRPr="00B77106" w:rsidRDefault="00ED3746" w:rsidP="00ED3746">
            <w:pPr>
              <w:spacing w:after="0" w:line="220" w:lineRule="atLeast"/>
              <w:jc w:val="left"/>
              <w:rPr>
                <w:rFonts w:eastAsia="Times New Roman" w:cs="Arial"/>
                <w:sz w:val="18"/>
                <w:szCs w:val="16"/>
              </w:rPr>
            </w:pPr>
            <w:r>
              <w:rPr>
                <w:sz w:val="18"/>
              </w:rPr>
              <w:t>T</w:t>
            </w:r>
            <w:proofErr w:type="gramStart"/>
            <w:r>
              <w:rPr>
                <w:sz w:val="18"/>
              </w:rPr>
              <w:t>1:</w:t>
            </w:r>
            <w:proofErr w:type="gramEnd"/>
            <w:r>
              <w:rPr>
                <w:sz w:val="18"/>
              </w:rPr>
              <w:t xml:space="preserve"> pourcentage des dépenses au titre des articles 14, 15 et 35 du règlement (UE) nº 1305/2013 par rapport au montant total des dépenses pour le PDR </w:t>
            </w: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r>
              <w:rPr>
                <w:sz w:val="18"/>
              </w:rPr>
              <w:t>Nombre d’actions innovantes ayant bénéficié d’une aide, mises en œuvre et diffusées par les GO du PEI</w:t>
            </w: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i/>
                <w:sz w:val="18"/>
                <w:szCs w:val="16"/>
              </w:rPr>
            </w:pPr>
            <w:r>
              <w:rPr>
                <w:i/>
                <w:color w:val="57825E"/>
                <w:sz w:val="18"/>
                <w:u w:val="single"/>
              </w:rPr>
              <w:t xml:space="preserve">Indicateur de résultat </w:t>
            </w:r>
            <w:proofErr w:type="gramStart"/>
            <w:r>
              <w:rPr>
                <w:i/>
                <w:color w:val="57825E"/>
                <w:sz w:val="18"/>
                <w:u w:val="single"/>
              </w:rPr>
              <w:t>supplémentaire</w:t>
            </w:r>
            <w:r>
              <w:rPr>
                <w:i/>
                <w:color w:val="57825E"/>
                <w:sz w:val="18"/>
              </w:rPr>
              <w:t>:</w:t>
            </w:r>
            <w:proofErr w:type="gramEnd"/>
            <w:r>
              <w:rPr>
                <w:i/>
                <w:color w:val="57825E"/>
                <w:sz w:val="18"/>
              </w:rPr>
              <w:t xml:space="preserve"> niveau d’adoption d’idées, de procédés, de technologies et/ou de modèles nouveaux introduits par les parties concernées </w:t>
            </w:r>
          </w:p>
        </w:tc>
        <w:tc>
          <w:tcPr>
            <w:tcW w:w="2715" w:type="dxa"/>
            <w:shd w:val="clear" w:color="auto" w:fill="auto"/>
          </w:tcPr>
          <w:p w:rsidR="00ED3746" w:rsidRPr="00B77106" w:rsidRDefault="00ED3746" w:rsidP="00ED3746">
            <w:pPr>
              <w:spacing w:after="0" w:line="220" w:lineRule="atLeast"/>
              <w:jc w:val="left"/>
              <w:rPr>
                <w:rFonts w:eastAsia="Times New Roman" w:cs="Arial"/>
                <w:sz w:val="18"/>
                <w:szCs w:val="16"/>
              </w:rPr>
            </w:pPr>
            <w:r>
              <w:rPr>
                <w:sz w:val="18"/>
              </w:rPr>
              <w:t>Données sur les dépenses relatives aux opérations mises en œuvre au titre des mesures M1, M2 et M16</w:t>
            </w: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r>
              <w:rPr>
                <w:sz w:val="18"/>
              </w:rPr>
              <w:t xml:space="preserve">Données sur les actions innovantes mises en œuvre par le GO du PEI </w:t>
            </w: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r>
              <w:rPr>
                <w:sz w:val="18"/>
              </w:rPr>
              <w:t xml:space="preserve">Données et informations sur les idées, modèles et technologies innovants générés </w:t>
            </w: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tc>
        <w:tc>
          <w:tcPr>
            <w:tcW w:w="2715" w:type="dxa"/>
            <w:shd w:val="clear" w:color="auto" w:fill="auto"/>
          </w:tcPr>
          <w:p w:rsidR="00ED3746" w:rsidRPr="00B77106" w:rsidRDefault="00ED3746" w:rsidP="00ED3746">
            <w:pPr>
              <w:spacing w:after="0" w:line="220" w:lineRule="atLeast"/>
              <w:jc w:val="left"/>
              <w:rPr>
                <w:rFonts w:eastAsia="Times New Roman" w:cs="Arial"/>
                <w:sz w:val="18"/>
                <w:szCs w:val="16"/>
              </w:rPr>
            </w:pPr>
            <w:r>
              <w:rPr>
                <w:sz w:val="18"/>
              </w:rPr>
              <w:t xml:space="preserve">Système de surveillance du PDR </w:t>
            </w: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r>
              <w:rPr>
                <w:sz w:val="18"/>
              </w:rPr>
              <w:t>Système de surveillance du PDR et entretiens</w:t>
            </w: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p>
          <w:p w:rsidR="00ED3746" w:rsidRPr="00B77106" w:rsidRDefault="00ED3746" w:rsidP="00ED3746">
            <w:pPr>
              <w:spacing w:after="0" w:line="220" w:lineRule="atLeast"/>
              <w:jc w:val="left"/>
              <w:rPr>
                <w:rFonts w:eastAsia="Times New Roman" w:cs="Arial"/>
                <w:sz w:val="18"/>
                <w:szCs w:val="16"/>
              </w:rPr>
            </w:pPr>
            <w:r>
              <w:rPr>
                <w:sz w:val="18"/>
              </w:rPr>
              <w:t>Système de surveillance du PDR et enquêtes, entretiens</w:t>
            </w:r>
          </w:p>
        </w:tc>
      </w:tr>
      <w:tr w:rsidR="00ED3746" w:rsidRPr="00B77106" w:rsidTr="00ED3746">
        <w:trPr>
          <w:jc w:val="center"/>
        </w:trPr>
        <w:tc>
          <w:tcPr>
            <w:tcW w:w="2988" w:type="dxa"/>
            <w:shd w:val="clear" w:color="auto" w:fill="auto"/>
          </w:tcPr>
          <w:p w:rsidR="00ED3746" w:rsidRPr="00B77106" w:rsidRDefault="00ED3746" w:rsidP="00ED3746">
            <w:pPr>
              <w:spacing w:after="0" w:line="220" w:lineRule="atLeast"/>
              <w:jc w:val="left"/>
              <w:rPr>
                <w:rFonts w:eastAsia="Times New Roman" w:cs="Arial"/>
                <w:i/>
                <w:sz w:val="18"/>
                <w:szCs w:val="16"/>
              </w:rPr>
            </w:pPr>
            <w:r>
              <w:rPr>
                <w:i/>
                <w:sz w:val="18"/>
              </w:rPr>
              <w:t>Dans quelle mesure le PDR a-t-il favorisé l’innovation en renforçant la capacité d’innover (démarche 2</w:t>
            </w:r>
            <w:proofErr w:type="gramStart"/>
            <w:r>
              <w:rPr>
                <w:i/>
                <w:sz w:val="18"/>
              </w:rPr>
              <w:t>)?</w:t>
            </w:r>
            <w:proofErr w:type="gramEnd"/>
          </w:p>
        </w:tc>
        <w:tc>
          <w:tcPr>
            <w:tcW w:w="2127" w:type="dxa"/>
            <w:shd w:val="clear" w:color="auto" w:fill="auto"/>
          </w:tcPr>
          <w:p w:rsidR="00ED3746" w:rsidRPr="00B77106" w:rsidRDefault="00ED3746" w:rsidP="00ED3746">
            <w:pPr>
              <w:spacing w:after="0" w:line="220" w:lineRule="atLeast"/>
              <w:jc w:val="left"/>
              <w:rPr>
                <w:rFonts w:cs="Arial"/>
                <w:i/>
                <w:sz w:val="18"/>
                <w:szCs w:val="16"/>
              </w:rPr>
            </w:pPr>
            <w:r>
              <w:rPr>
                <w:i/>
                <w:sz w:val="18"/>
              </w:rPr>
              <w:t xml:space="preserve">CJ </w:t>
            </w:r>
            <w:proofErr w:type="gramStart"/>
            <w:r>
              <w:rPr>
                <w:i/>
                <w:sz w:val="18"/>
              </w:rPr>
              <w:t>supplémentaire:</w:t>
            </w:r>
            <w:proofErr w:type="gramEnd"/>
            <w:r>
              <w:rPr>
                <w:i/>
                <w:sz w:val="18"/>
              </w:rPr>
              <w:t xml:space="preserve"> le PDR a renforcé les liens fonctionnels entre les différents types d’acteurs. </w:t>
            </w: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cs="Arial"/>
                <w:i/>
                <w:sz w:val="18"/>
                <w:szCs w:val="16"/>
              </w:rPr>
            </w:pPr>
            <w:r>
              <w:rPr>
                <w:i/>
                <w:sz w:val="18"/>
              </w:rPr>
              <w:t xml:space="preserve">CJ </w:t>
            </w:r>
            <w:proofErr w:type="gramStart"/>
            <w:r>
              <w:rPr>
                <w:i/>
                <w:sz w:val="18"/>
              </w:rPr>
              <w:t>supplémentaire:</w:t>
            </w:r>
            <w:proofErr w:type="gramEnd"/>
            <w:r>
              <w:rPr>
                <w:i/>
                <w:sz w:val="18"/>
              </w:rPr>
              <w:t xml:space="preserve"> des plateformes d’apprentissage et d’autres types d’espaces </w:t>
            </w:r>
            <w:r>
              <w:rPr>
                <w:i/>
                <w:sz w:val="18"/>
              </w:rPr>
              <w:lastRenderedPageBreak/>
              <w:t>institutionnels qui permettent d’échanger, de réfléchir et d’apprendre ont été créés et renforcés.</w:t>
            </w: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eastAsia="Times New Roman" w:cs="Arial"/>
                <w:sz w:val="18"/>
                <w:szCs w:val="16"/>
              </w:rPr>
            </w:pPr>
            <w:r>
              <w:rPr>
                <w:i/>
                <w:sz w:val="18"/>
              </w:rPr>
              <w:t xml:space="preserve">CJ </w:t>
            </w:r>
            <w:proofErr w:type="gramStart"/>
            <w:r>
              <w:rPr>
                <w:i/>
                <w:sz w:val="18"/>
              </w:rPr>
              <w:t>supplémentaire:</w:t>
            </w:r>
            <w:proofErr w:type="gramEnd"/>
            <w:r>
              <w:rPr>
                <w:i/>
                <w:sz w:val="18"/>
              </w:rPr>
              <w:t xml:space="preserve"> le flux d’informations entre les différents acteurs du système d’innovation dans lequel le changement est intervenu s’est amélioré. </w:t>
            </w:r>
          </w:p>
        </w:tc>
        <w:tc>
          <w:tcPr>
            <w:tcW w:w="3302" w:type="dxa"/>
            <w:shd w:val="clear" w:color="auto" w:fill="auto"/>
          </w:tcPr>
          <w:p w:rsidR="00ED3746" w:rsidRPr="00B77106" w:rsidRDefault="00ED3746" w:rsidP="00ED3746">
            <w:pPr>
              <w:spacing w:after="0" w:line="220" w:lineRule="atLeast"/>
              <w:jc w:val="left"/>
              <w:rPr>
                <w:rFonts w:cs="Arial"/>
                <w:i/>
                <w:color w:val="57825E"/>
                <w:sz w:val="18"/>
                <w:szCs w:val="16"/>
              </w:rPr>
            </w:pPr>
            <w:r>
              <w:rPr>
                <w:i/>
                <w:color w:val="57825E"/>
                <w:sz w:val="18"/>
                <w:u w:val="single"/>
              </w:rPr>
              <w:lastRenderedPageBreak/>
              <w:t xml:space="preserve">Indicateur de résultat </w:t>
            </w:r>
            <w:proofErr w:type="gramStart"/>
            <w:r>
              <w:rPr>
                <w:i/>
                <w:color w:val="57825E"/>
                <w:sz w:val="18"/>
                <w:u w:val="single"/>
              </w:rPr>
              <w:t>supplémentaire:</w:t>
            </w:r>
            <w:proofErr w:type="gramEnd"/>
            <w:r>
              <w:rPr>
                <w:i/>
                <w:color w:val="57825E"/>
                <w:sz w:val="18"/>
              </w:rPr>
              <w:t xml:space="preserve"> nombre de partenariats formels facilités par le PDR, liés aux changements dans les priorités de développement rural auquel le PDR a contribué </w:t>
            </w:r>
          </w:p>
          <w:p w:rsidR="00ED3746" w:rsidRPr="00B77106" w:rsidRDefault="00ED3746" w:rsidP="00ED3746">
            <w:pPr>
              <w:spacing w:after="0" w:line="220" w:lineRule="atLeast"/>
              <w:jc w:val="left"/>
              <w:rPr>
                <w:rFonts w:cs="Arial"/>
                <w:i/>
                <w:color w:val="57825E"/>
                <w:sz w:val="18"/>
                <w:szCs w:val="16"/>
              </w:rPr>
            </w:pPr>
          </w:p>
          <w:p w:rsidR="00ED3746" w:rsidRPr="00B77106" w:rsidRDefault="00ED3746" w:rsidP="00ED3746">
            <w:pPr>
              <w:spacing w:after="0" w:line="220" w:lineRule="atLeast"/>
              <w:jc w:val="left"/>
              <w:rPr>
                <w:rFonts w:eastAsia="Times New Roman" w:cs="Arial"/>
                <w:sz w:val="18"/>
                <w:szCs w:val="16"/>
              </w:rPr>
            </w:pPr>
            <w:r>
              <w:rPr>
                <w:sz w:val="18"/>
              </w:rPr>
              <w:t xml:space="preserve">Taux d’augmentation du nombre et du type de partenaires participant aux projets de coopération (document de travail sur les QEC pour les PDR 2014-2020) </w:t>
            </w:r>
          </w:p>
          <w:p w:rsidR="00ED3746" w:rsidRPr="00B77106" w:rsidRDefault="00ED3746" w:rsidP="00ED3746">
            <w:pPr>
              <w:spacing w:after="0" w:line="220" w:lineRule="atLeast"/>
              <w:jc w:val="left"/>
              <w:rPr>
                <w:rFonts w:eastAsia="Times New Roman" w:cs="Arial"/>
                <w:color w:val="57825E"/>
                <w:sz w:val="18"/>
                <w:szCs w:val="16"/>
              </w:rPr>
            </w:pPr>
          </w:p>
          <w:p w:rsidR="00ED3746" w:rsidRPr="00B77106" w:rsidRDefault="00ED3746" w:rsidP="00ED3746">
            <w:pPr>
              <w:spacing w:after="0" w:line="220" w:lineRule="atLeast"/>
              <w:jc w:val="left"/>
              <w:rPr>
                <w:rFonts w:cs="Arial"/>
                <w:color w:val="57825E"/>
                <w:sz w:val="18"/>
                <w:szCs w:val="16"/>
              </w:rPr>
            </w:pPr>
            <w:r>
              <w:rPr>
                <w:i/>
                <w:color w:val="57825E"/>
                <w:sz w:val="18"/>
                <w:u w:val="single"/>
              </w:rPr>
              <w:lastRenderedPageBreak/>
              <w:t xml:space="preserve">Indicateur de résultat </w:t>
            </w:r>
            <w:proofErr w:type="gramStart"/>
            <w:r>
              <w:rPr>
                <w:i/>
                <w:color w:val="57825E"/>
                <w:sz w:val="18"/>
                <w:u w:val="single"/>
              </w:rPr>
              <w:t>supplémentaire:</w:t>
            </w:r>
            <w:proofErr w:type="gramEnd"/>
            <w:r>
              <w:rPr>
                <w:i/>
                <w:color w:val="57825E"/>
                <w:sz w:val="18"/>
              </w:rPr>
              <w:t xml:space="preserve"> nombre et qualité des plateformes et «espaces» soutenant l’innovation que le PDR a mis en place ou renforcés, par exemple les communautés de pratique, les plateformes d’innovation, les événements de réflexion et d’apprentissage </w:t>
            </w:r>
          </w:p>
          <w:p w:rsidR="00ED3746" w:rsidRPr="00B77106" w:rsidRDefault="00ED3746" w:rsidP="00ED3746">
            <w:pPr>
              <w:spacing w:after="0" w:line="220" w:lineRule="atLeast"/>
              <w:jc w:val="left"/>
              <w:rPr>
                <w:rFonts w:cs="Arial"/>
                <w:color w:val="57825E"/>
                <w:sz w:val="18"/>
                <w:szCs w:val="16"/>
              </w:rPr>
            </w:pPr>
          </w:p>
          <w:p w:rsidR="00ED3746" w:rsidRPr="00B77106" w:rsidRDefault="00ED3746" w:rsidP="00ED3746">
            <w:pPr>
              <w:spacing w:after="0" w:line="220" w:lineRule="atLeast"/>
              <w:jc w:val="left"/>
              <w:rPr>
                <w:rFonts w:cs="Arial"/>
                <w:color w:val="57825E"/>
                <w:sz w:val="18"/>
                <w:szCs w:val="16"/>
              </w:rPr>
            </w:pPr>
          </w:p>
          <w:p w:rsidR="00ED3746" w:rsidRPr="00B77106" w:rsidRDefault="00ED3746" w:rsidP="00ED3746">
            <w:pPr>
              <w:spacing w:after="0" w:line="220" w:lineRule="atLeast"/>
              <w:jc w:val="left"/>
              <w:rPr>
                <w:rFonts w:cs="Arial"/>
                <w:color w:val="57825E"/>
                <w:sz w:val="18"/>
                <w:szCs w:val="16"/>
              </w:rPr>
            </w:pPr>
          </w:p>
          <w:p w:rsidR="00ED3746" w:rsidRPr="00B77106" w:rsidRDefault="00ED3746" w:rsidP="00ED3746">
            <w:pPr>
              <w:spacing w:after="0" w:line="220" w:lineRule="atLeast"/>
              <w:jc w:val="left"/>
              <w:rPr>
                <w:rFonts w:cs="Arial"/>
                <w:i/>
                <w:color w:val="57825E"/>
                <w:sz w:val="18"/>
                <w:szCs w:val="16"/>
              </w:rPr>
            </w:pPr>
            <w:r>
              <w:rPr>
                <w:i/>
                <w:color w:val="57825E"/>
                <w:sz w:val="18"/>
                <w:u w:val="single"/>
              </w:rPr>
              <w:t xml:space="preserve">Indicateur de résultat </w:t>
            </w:r>
            <w:proofErr w:type="gramStart"/>
            <w:r>
              <w:rPr>
                <w:i/>
                <w:color w:val="57825E"/>
                <w:sz w:val="18"/>
                <w:u w:val="single"/>
              </w:rPr>
              <w:t>supplémentaire:</w:t>
            </w:r>
            <w:proofErr w:type="gramEnd"/>
            <w:r>
              <w:rPr>
                <w:i/>
                <w:color w:val="57825E"/>
                <w:sz w:val="18"/>
                <w:u w:val="single"/>
              </w:rPr>
              <w:t xml:space="preserve"> </w:t>
            </w:r>
            <w:r>
              <w:rPr>
                <w:i/>
                <w:color w:val="57825E"/>
                <w:sz w:val="18"/>
              </w:rPr>
              <w:t xml:space="preserve">diminution de la longueur moyenne du chemin réseau et de la diversité du réseau (mesures de l’analyse des réseaux sociaux) </w:t>
            </w:r>
          </w:p>
        </w:tc>
        <w:tc>
          <w:tcPr>
            <w:tcW w:w="2715" w:type="dxa"/>
            <w:shd w:val="clear" w:color="auto" w:fill="auto"/>
          </w:tcPr>
          <w:p w:rsidR="00ED3746" w:rsidRPr="00B77106" w:rsidRDefault="00ED3746" w:rsidP="00ED3746">
            <w:pPr>
              <w:spacing w:after="0" w:line="220" w:lineRule="atLeast"/>
              <w:jc w:val="left"/>
              <w:rPr>
                <w:rFonts w:cs="Arial"/>
                <w:sz w:val="18"/>
                <w:szCs w:val="16"/>
              </w:rPr>
            </w:pPr>
            <w:r>
              <w:rPr>
                <w:sz w:val="18"/>
              </w:rPr>
              <w:lastRenderedPageBreak/>
              <w:t>Informations sur les relations formelles</w:t>
            </w: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r>
              <w:rPr>
                <w:sz w:val="18"/>
              </w:rPr>
              <w:t xml:space="preserve">Données sur le nombre et le type de partenaires dans les projets de coopération </w:t>
            </w: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r>
              <w:rPr>
                <w:sz w:val="18"/>
              </w:rPr>
              <w:t>Informations sur les plateformes mises en place par le PDR</w:t>
            </w: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r>
              <w:rPr>
                <w:sz w:val="18"/>
              </w:rPr>
              <w:t xml:space="preserve">Informations sur les réseaux </w:t>
            </w:r>
          </w:p>
        </w:tc>
        <w:tc>
          <w:tcPr>
            <w:tcW w:w="2715" w:type="dxa"/>
            <w:shd w:val="clear" w:color="auto" w:fill="auto"/>
          </w:tcPr>
          <w:p w:rsidR="00ED3746" w:rsidRPr="00B77106" w:rsidRDefault="00ED3746" w:rsidP="00ED3746">
            <w:pPr>
              <w:spacing w:after="0" w:line="220" w:lineRule="atLeast"/>
              <w:jc w:val="left"/>
              <w:rPr>
                <w:rFonts w:cs="Arial"/>
                <w:sz w:val="18"/>
                <w:szCs w:val="16"/>
              </w:rPr>
            </w:pPr>
            <w:r>
              <w:rPr>
                <w:sz w:val="18"/>
              </w:rPr>
              <w:lastRenderedPageBreak/>
              <w:t xml:space="preserve">Entretiens et groupes de discussion </w:t>
            </w: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r>
              <w:rPr>
                <w:sz w:val="18"/>
              </w:rPr>
              <w:t>Système de surveillance du PDR</w:t>
            </w: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r>
              <w:rPr>
                <w:sz w:val="18"/>
              </w:rPr>
              <w:lastRenderedPageBreak/>
              <w:t xml:space="preserve">Entretiens et groupes de discussion </w:t>
            </w: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r>
              <w:rPr>
                <w:sz w:val="18"/>
              </w:rPr>
              <w:t>Informations de l’ARS</w:t>
            </w:r>
          </w:p>
        </w:tc>
      </w:tr>
      <w:tr w:rsidR="00ED3746" w:rsidRPr="00B77106" w:rsidTr="00633E23">
        <w:trPr>
          <w:trHeight w:val="849"/>
          <w:jc w:val="center"/>
        </w:trPr>
        <w:tc>
          <w:tcPr>
            <w:tcW w:w="2988" w:type="dxa"/>
            <w:shd w:val="clear" w:color="auto" w:fill="auto"/>
          </w:tcPr>
          <w:p w:rsidR="00ED3746" w:rsidRPr="00B77106" w:rsidRDefault="00ED3746" w:rsidP="00ED3746">
            <w:pPr>
              <w:spacing w:after="0" w:line="220" w:lineRule="atLeast"/>
              <w:jc w:val="left"/>
              <w:rPr>
                <w:rFonts w:eastAsia="Times New Roman" w:cs="Arial"/>
                <w:i/>
                <w:sz w:val="18"/>
                <w:szCs w:val="16"/>
              </w:rPr>
            </w:pPr>
            <w:r>
              <w:rPr>
                <w:i/>
                <w:sz w:val="18"/>
              </w:rPr>
              <w:t>Dans quelle mesure le PDR a-t-il favorisé l’innovation en créant un environnement propice à l’innovation (démarche 3</w:t>
            </w:r>
            <w:proofErr w:type="gramStart"/>
            <w:r>
              <w:rPr>
                <w:i/>
                <w:sz w:val="18"/>
              </w:rPr>
              <w:t>)?</w:t>
            </w:r>
            <w:proofErr w:type="gramEnd"/>
          </w:p>
        </w:tc>
        <w:tc>
          <w:tcPr>
            <w:tcW w:w="2127" w:type="dxa"/>
            <w:shd w:val="clear" w:color="auto" w:fill="auto"/>
          </w:tcPr>
          <w:p w:rsidR="00ED3746" w:rsidRPr="00B77106" w:rsidRDefault="00ED3746" w:rsidP="00ED3746">
            <w:pPr>
              <w:spacing w:after="0" w:line="220" w:lineRule="atLeast"/>
              <w:jc w:val="left"/>
              <w:rPr>
                <w:rFonts w:cs="Arial"/>
                <w:i/>
                <w:sz w:val="18"/>
                <w:szCs w:val="16"/>
              </w:rPr>
            </w:pPr>
            <w:r>
              <w:rPr>
                <w:i/>
                <w:sz w:val="18"/>
              </w:rPr>
              <w:t xml:space="preserve">CJ </w:t>
            </w:r>
            <w:proofErr w:type="gramStart"/>
            <w:r>
              <w:rPr>
                <w:i/>
                <w:sz w:val="18"/>
              </w:rPr>
              <w:t>supplémentaire:</w:t>
            </w:r>
            <w:proofErr w:type="gramEnd"/>
            <w:r>
              <w:rPr>
                <w:i/>
                <w:sz w:val="18"/>
              </w:rPr>
              <w:t xml:space="preserve"> le PDR a guidé les politiques en faveur des changements auxquels le PDR a contribué.</w:t>
            </w: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cs="Arial"/>
                <w:i/>
                <w:sz w:val="18"/>
                <w:szCs w:val="16"/>
              </w:rPr>
            </w:pPr>
            <w:r>
              <w:rPr>
                <w:i/>
                <w:sz w:val="18"/>
              </w:rPr>
              <w:t xml:space="preserve">CJ </w:t>
            </w:r>
            <w:proofErr w:type="gramStart"/>
            <w:r>
              <w:rPr>
                <w:i/>
                <w:sz w:val="18"/>
              </w:rPr>
              <w:t>supplémentaire:</w:t>
            </w:r>
            <w:proofErr w:type="gramEnd"/>
            <w:r>
              <w:rPr>
                <w:i/>
                <w:sz w:val="18"/>
              </w:rPr>
              <w:t xml:space="preserve"> le PDR a favorisé les possibilités de formation et d’échange de pratiques innovantes. </w:t>
            </w: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cs="Arial"/>
                <w:i/>
                <w:sz w:val="18"/>
                <w:szCs w:val="16"/>
              </w:rPr>
            </w:pPr>
            <w:r>
              <w:rPr>
                <w:i/>
                <w:sz w:val="18"/>
              </w:rPr>
              <w:t xml:space="preserve">CJ </w:t>
            </w:r>
            <w:proofErr w:type="gramStart"/>
            <w:r>
              <w:rPr>
                <w:i/>
                <w:sz w:val="18"/>
              </w:rPr>
              <w:t>supplémentaire:</w:t>
            </w:r>
            <w:proofErr w:type="gramEnd"/>
            <w:r>
              <w:rPr>
                <w:i/>
                <w:sz w:val="18"/>
              </w:rPr>
              <w:t xml:space="preserve"> le PDR a favorisé les interactions entre les acteurs (nationaux/internationaux) afin de favoriser les innovations. </w:t>
            </w:r>
          </w:p>
          <w:p w:rsidR="00ED3746" w:rsidRPr="00B77106" w:rsidRDefault="00ED3746" w:rsidP="00ED3746">
            <w:pPr>
              <w:spacing w:after="0" w:line="220" w:lineRule="atLeast"/>
              <w:jc w:val="left"/>
              <w:rPr>
                <w:rFonts w:cs="Arial"/>
                <w:i/>
                <w:sz w:val="18"/>
                <w:szCs w:val="16"/>
              </w:rPr>
            </w:pPr>
          </w:p>
          <w:p w:rsidR="00ED3746" w:rsidRPr="00B77106" w:rsidRDefault="00ED3746" w:rsidP="00ED3746">
            <w:pPr>
              <w:spacing w:after="0" w:line="220" w:lineRule="atLeast"/>
              <w:jc w:val="left"/>
              <w:rPr>
                <w:rFonts w:eastAsia="Times New Roman" w:cs="Arial"/>
                <w:i/>
                <w:sz w:val="18"/>
                <w:szCs w:val="16"/>
              </w:rPr>
            </w:pPr>
            <w:r>
              <w:rPr>
                <w:i/>
                <w:sz w:val="18"/>
              </w:rPr>
              <w:t xml:space="preserve">CJ </w:t>
            </w:r>
            <w:proofErr w:type="gramStart"/>
            <w:r>
              <w:rPr>
                <w:i/>
                <w:sz w:val="18"/>
              </w:rPr>
              <w:t>supplémentaire:</w:t>
            </w:r>
            <w:proofErr w:type="gramEnd"/>
            <w:r>
              <w:rPr>
                <w:i/>
                <w:sz w:val="18"/>
              </w:rPr>
              <w:t xml:space="preserve"> le PDR a soutenu les </w:t>
            </w:r>
            <w:r>
              <w:rPr>
                <w:i/>
                <w:sz w:val="18"/>
              </w:rPr>
              <w:lastRenderedPageBreak/>
              <w:t xml:space="preserve">nouvelles technologies dans les zones rurales. </w:t>
            </w:r>
          </w:p>
        </w:tc>
        <w:tc>
          <w:tcPr>
            <w:tcW w:w="3302" w:type="dxa"/>
            <w:shd w:val="clear" w:color="auto" w:fill="auto"/>
          </w:tcPr>
          <w:p w:rsidR="00ED3746" w:rsidRPr="00B77106" w:rsidRDefault="00ED3746" w:rsidP="00ED3746">
            <w:pPr>
              <w:spacing w:after="0" w:line="220" w:lineRule="atLeast"/>
              <w:jc w:val="left"/>
              <w:rPr>
                <w:rFonts w:cs="Arial"/>
                <w:i/>
                <w:color w:val="57825E"/>
                <w:sz w:val="18"/>
                <w:szCs w:val="16"/>
              </w:rPr>
            </w:pPr>
            <w:r>
              <w:rPr>
                <w:i/>
                <w:color w:val="57825E"/>
                <w:sz w:val="18"/>
                <w:u w:val="single"/>
              </w:rPr>
              <w:lastRenderedPageBreak/>
              <w:t xml:space="preserve">Indicateur de résultat </w:t>
            </w:r>
            <w:proofErr w:type="gramStart"/>
            <w:r>
              <w:rPr>
                <w:i/>
                <w:color w:val="57825E"/>
                <w:sz w:val="18"/>
                <w:u w:val="single"/>
              </w:rPr>
              <w:t>supplémentaire:</w:t>
            </w:r>
            <w:proofErr w:type="gramEnd"/>
            <w:r>
              <w:rPr>
                <w:i/>
                <w:color w:val="57825E"/>
                <w:sz w:val="18"/>
              </w:rPr>
              <w:t xml:space="preserve"> nombre et type de politiques que le PDR a influencées au niveau des organisations participantes et de l’environnement propice plus vaste </w:t>
            </w:r>
          </w:p>
          <w:p w:rsidR="00ED3746" w:rsidRPr="00B77106" w:rsidRDefault="00ED3746" w:rsidP="00ED3746">
            <w:pPr>
              <w:spacing w:after="0" w:line="220" w:lineRule="atLeast"/>
              <w:jc w:val="left"/>
              <w:rPr>
                <w:rFonts w:cs="Arial"/>
                <w:i/>
                <w:color w:val="57825E"/>
                <w:sz w:val="18"/>
                <w:szCs w:val="16"/>
              </w:rPr>
            </w:pPr>
          </w:p>
          <w:p w:rsidR="00ED3746" w:rsidRPr="00B77106" w:rsidRDefault="00ED3746" w:rsidP="00ED3746">
            <w:pPr>
              <w:spacing w:after="0" w:line="220" w:lineRule="atLeast"/>
              <w:jc w:val="left"/>
              <w:rPr>
                <w:rFonts w:cs="Arial"/>
                <w:i/>
                <w:color w:val="57825E"/>
                <w:sz w:val="18"/>
                <w:szCs w:val="16"/>
              </w:rPr>
            </w:pPr>
            <w:r>
              <w:rPr>
                <w:i/>
                <w:color w:val="57825E"/>
                <w:sz w:val="18"/>
                <w:u w:val="single"/>
              </w:rPr>
              <w:t xml:space="preserve">Indicateur de résultat </w:t>
            </w:r>
            <w:proofErr w:type="gramStart"/>
            <w:r>
              <w:rPr>
                <w:i/>
                <w:color w:val="57825E"/>
                <w:sz w:val="18"/>
                <w:u w:val="single"/>
              </w:rPr>
              <w:t>supplémentaire:</w:t>
            </w:r>
            <w:proofErr w:type="gramEnd"/>
            <w:r>
              <w:rPr>
                <w:i/>
                <w:color w:val="57825E"/>
                <w:sz w:val="18"/>
              </w:rPr>
              <w:t xml:space="preserve"> nombre de formations et d’événements d’échange de pratiques innovantes, et leur part dans le nombre total de formations/d’événements soutenus par le PDR </w:t>
            </w:r>
          </w:p>
          <w:p w:rsidR="00ED3746" w:rsidRPr="00B77106" w:rsidRDefault="00ED3746" w:rsidP="00ED3746">
            <w:pPr>
              <w:spacing w:after="0" w:line="220" w:lineRule="atLeast"/>
              <w:jc w:val="left"/>
              <w:rPr>
                <w:rFonts w:cs="Arial"/>
                <w:i/>
                <w:color w:val="57825E"/>
                <w:sz w:val="18"/>
                <w:szCs w:val="16"/>
              </w:rPr>
            </w:pPr>
          </w:p>
          <w:p w:rsidR="00ED3746" w:rsidRPr="00B77106" w:rsidRDefault="00ED3746" w:rsidP="00ED3746">
            <w:pPr>
              <w:spacing w:after="0" w:line="220" w:lineRule="atLeast"/>
              <w:jc w:val="left"/>
              <w:rPr>
                <w:rFonts w:cs="Arial"/>
                <w:i/>
                <w:color w:val="57825E"/>
                <w:sz w:val="18"/>
                <w:szCs w:val="16"/>
              </w:rPr>
            </w:pPr>
            <w:r>
              <w:rPr>
                <w:i/>
                <w:color w:val="57825E"/>
                <w:sz w:val="18"/>
                <w:u w:val="single"/>
              </w:rPr>
              <w:t xml:space="preserve">Indicateur de résultat </w:t>
            </w:r>
            <w:proofErr w:type="gramStart"/>
            <w:r>
              <w:rPr>
                <w:i/>
                <w:color w:val="57825E"/>
                <w:sz w:val="18"/>
                <w:u w:val="single"/>
              </w:rPr>
              <w:t>supplémentaire:</w:t>
            </w:r>
            <w:proofErr w:type="gramEnd"/>
            <w:r>
              <w:rPr>
                <w:i/>
                <w:color w:val="57825E"/>
                <w:sz w:val="18"/>
              </w:rPr>
              <w:t xml:space="preserve"> nombre d’événements axés sur l’établissement de contacts entre les acteurs de l’innovation soutenus par le PDR </w:t>
            </w:r>
          </w:p>
          <w:p w:rsidR="00ED3746" w:rsidRPr="00B77106" w:rsidRDefault="00ED3746" w:rsidP="00ED3746">
            <w:pPr>
              <w:spacing w:after="0" w:line="220" w:lineRule="atLeast"/>
              <w:jc w:val="left"/>
              <w:rPr>
                <w:rFonts w:cs="Arial"/>
                <w:i/>
                <w:color w:val="57825E"/>
                <w:sz w:val="18"/>
                <w:szCs w:val="16"/>
              </w:rPr>
            </w:pPr>
          </w:p>
          <w:p w:rsidR="00ED3746" w:rsidRPr="00B77106" w:rsidRDefault="00ED3746" w:rsidP="00ED3746">
            <w:pPr>
              <w:spacing w:after="0" w:line="220" w:lineRule="atLeast"/>
              <w:jc w:val="left"/>
              <w:rPr>
                <w:rFonts w:cs="Arial"/>
                <w:i/>
                <w:color w:val="57825E"/>
                <w:sz w:val="18"/>
                <w:szCs w:val="16"/>
              </w:rPr>
            </w:pPr>
          </w:p>
          <w:p w:rsidR="00ED3746" w:rsidRPr="00B77106" w:rsidRDefault="00ED3746" w:rsidP="00ED3746">
            <w:pPr>
              <w:spacing w:after="0" w:line="220" w:lineRule="atLeast"/>
              <w:jc w:val="left"/>
              <w:rPr>
                <w:rFonts w:cs="Arial"/>
                <w:i/>
                <w:color w:val="57825E"/>
                <w:sz w:val="18"/>
                <w:szCs w:val="16"/>
              </w:rPr>
            </w:pPr>
          </w:p>
          <w:p w:rsidR="00ED3746" w:rsidRPr="00B77106" w:rsidRDefault="00ED3746" w:rsidP="00ED3746">
            <w:pPr>
              <w:spacing w:after="0" w:line="220" w:lineRule="atLeast"/>
              <w:jc w:val="left"/>
              <w:rPr>
                <w:rFonts w:cs="Arial"/>
                <w:color w:val="57825E"/>
                <w:sz w:val="18"/>
                <w:szCs w:val="16"/>
              </w:rPr>
            </w:pPr>
            <w:r>
              <w:rPr>
                <w:i/>
                <w:color w:val="57825E"/>
                <w:sz w:val="18"/>
                <w:u w:val="single"/>
              </w:rPr>
              <w:lastRenderedPageBreak/>
              <w:t xml:space="preserve">Indicateur de résultat </w:t>
            </w:r>
            <w:proofErr w:type="gramStart"/>
            <w:r>
              <w:rPr>
                <w:i/>
                <w:color w:val="57825E"/>
                <w:sz w:val="18"/>
                <w:u w:val="single"/>
              </w:rPr>
              <w:t>supplémentaire:</w:t>
            </w:r>
            <w:proofErr w:type="gramEnd"/>
            <w:r>
              <w:rPr>
                <w:i/>
                <w:color w:val="57825E"/>
                <w:sz w:val="18"/>
              </w:rPr>
              <w:t xml:space="preserve"> nombre de nouvelles technologies dans les zones rurales soutenues par le PDR, ventilées par type </w:t>
            </w:r>
          </w:p>
        </w:tc>
        <w:tc>
          <w:tcPr>
            <w:tcW w:w="2715" w:type="dxa"/>
            <w:shd w:val="clear" w:color="auto" w:fill="auto"/>
          </w:tcPr>
          <w:p w:rsidR="00ED3746" w:rsidRPr="00B77106" w:rsidRDefault="00ED3746" w:rsidP="00ED3746">
            <w:pPr>
              <w:spacing w:after="0" w:line="220" w:lineRule="atLeast"/>
              <w:jc w:val="left"/>
              <w:rPr>
                <w:rFonts w:cs="Arial"/>
                <w:sz w:val="18"/>
                <w:szCs w:val="16"/>
              </w:rPr>
            </w:pPr>
            <w:r>
              <w:rPr>
                <w:sz w:val="18"/>
              </w:rPr>
              <w:lastRenderedPageBreak/>
              <w:t xml:space="preserve">Informations sur les politiques </w:t>
            </w: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r>
              <w:rPr>
                <w:sz w:val="18"/>
              </w:rPr>
              <w:t>Informations sur les formations et les événements</w:t>
            </w: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p>
          <w:p w:rsidR="00ED3746" w:rsidRPr="00B77106" w:rsidRDefault="00ED3746" w:rsidP="00ED3746">
            <w:pPr>
              <w:spacing w:after="0" w:line="220" w:lineRule="atLeast"/>
              <w:jc w:val="left"/>
              <w:rPr>
                <w:rFonts w:cs="Arial"/>
                <w:sz w:val="18"/>
                <w:szCs w:val="16"/>
              </w:rPr>
            </w:pPr>
            <w:r>
              <w:rPr>
                <w:sz w:val="18"/>
              </w:rPr>
              <w:t xml:space="preserve">Informations sur les nouvelles technologies </w:t>
            </w:r>
          </w:p>
        </w:tc>
        <w:tc>
          <w:tcPr>
            <w:tcW w:w="2715" w:type="dxa"/>
            <w:shd w:val="clear" w:color="auto" w:fill="auto"/>
          </w:tcPr>
          <w:p w:rsidR="00ED3746" w:rsidRPr="00B77106" w:rsidRDefault="00ED3746" w:rsidP="00ED3746">
            <w:pPr>
              <w:spacing w:after="0" w:line="220" w:lineRule="atLeast"/>
              <w:jc w:val="left"/>
              <w:rPr>
                <w:rFonts w:cs="Arial"/>
                <w:sz w:val="18"/>
                <w:szCs w:val="16"/>
              </w:rPr>
            </w:pPr>
            <w:r>
              <w:rPr>
                <w:sz w:val="18"/>
              </w:rPr>
              <w:t xml:space="preserve">Entretiens et groupes de discussion (par exemple, collecte des résultats) </w:t>
            </w:r>
          </w:p>
          <w:p w:rsidR="00ED3746" w:rsidRPr="00B77106" w:rsidRDefault="00ED3746" w:rsidP="00ED3746">
            <w:pPr>
              <w:spacing w:after="0" w:line="220" w:lineRule="atLeast"/>
              <w:jc w:val="left"/>
              <w:rPr>
                <w:rFonts w:cs="Arial"/>
                <w:sz w:val="18"/>
                <w:szCs w:val="18"/>
              </w:rPr>
            </w:pPr>
          </w:p>
          <w:p w:rsidR="00ED3746" w:rsidRPr="00B77106" w:rsidRDefault="00ED3746" w:rsidP="00ED3746">
            <w:pPr>
              <w:spacing w:after="0" w:line="220" w:lineRule="atLeast"/>
              <w:jc w:val="left"/>
              <w:rPr>
                <w:rFonts w:cs="Arial"/>
                <w:sz w:val="18"/>
                <w:szCs w:val="18"/>
              </w:rPr>
            </w:pPr>
          </w:p>
          <w:p w:rsidR="00ED3746" w:rsidRPr="00B77106" w:rsidRDefault="00ED3746" w:rsidP="00ED3746">
            <w:pPr>
              <w:spacing w:after="0" w:line="220" w:lineRule="atLeast"/>
              <w:jc w:val="left"/>
              <w:rPr>
                <w:rFonts w:cs="Arial"/>
                <w:sz w:val="18"/>
                <w:szCs w:val="18"/>
              </w:rPr>
            </w:pPr>
          </w:p>
          <w:p w:rsidR="00ED3746" w:rsidRPr="00B77106" w:rsidRDefault="00ED3746" w:rsidP="00ED3746">
            <w:pPr>
              <w:spacing w:after="0" w:line="220" w:lineRule="atLeast"/>
              <w:jc w:val="left"/>
              <w:rPr>
                <w:rFonts w:cs="Arial"/>
                <w:sz w:val="18"/>
                <w:szCs w:val="18"/>
              </w:rPr>
            </w:pPr>
          </w:p>
          <w:p w:rsidR="00ED3746" w:rsidRPr="00B77106" w:rsidRDefault="00ED3746" w:rsidP="00ED3746">
            <w:pPr>
              <w:spacing w:after="0" w:line="220" w:lineRule="atLeast"/>
              <w:jc w:val="left"/>
              <w:rPr>
                <w:rFonts w:cs="Arial"/>
                <w:sz w:val="18"/>
                <w:szCs w:val="18"/>
              </w:rPr>
            </w:pPr>
            <w:r>
              <w:rPr>
                <w:sz w:val="18"/>
              </w:rPr>
              <w:t>Système de surveillance du PDR</w:t>
            </w:r>
          </w:p>
        </w:tc>
      </w:tr>
    </w:tbl>
    <w:p w:rsidR="00ED3746" w:rsidRPr="00E05D08" w:rsidRDefault="00ED3746" w:rsidP="00ED3746">
      <w:pPr>
        <w:spacing w:before="240" w:after="120" w:line="280" w:lineRule="atLeast"/>
        <w:ind w:left="720"/>
        <w:mirrorIndents/>
        <w:rPr>
          <w:rFonts w:eastAsia="Times New Roman" w:cs="Arial"/>
          <w:b/>
          <w:szCs w:val="18"/>
        </w:rPr>
      </w:pPr>
    </w:p>
    <w:p w:rsidR="00ED3746" w:rsidRPr="00E05D08" w:rsidRDefault="00ED3746" w:rsidP="00ED3746">
      <w:pPr>
        <w:spacing w:before="240" w:after="120" w:line="280" w:lineRule="atLeast"/>
        <w:ind w:left="720"/>
        <w:mirrorIndents/>
        <w:rPr>
          <w:rFonts w:eastAsia="Times New Roman" w:cs="Arial"/>
          <w:b/>
          <w:szCs w:val="18"/>
        </w:rPr>
      </w:pPr>
    </w:p>
    <w:p w:rsidR="00ED3746" w:rsidRDefault="00ED3746" w:rsidP="00ED3746">
      <w:pPr>
        <w:numPr>
          <w:ilvl w:val="0"/>
          <w:numId w:val="46"/>
        </w:numPr>
        <w:spacing w:before="240" w:after="120" w:line="280" w:lineRule="atLeast"/>
        <w:sectPr w:rsidR="00ED3746" w:rsidSect="00ED3746">
          <w:endnotePr>
            <w:numFmt w:val="decimal"/>
          </w:endnotePr>
          <w:pgSz w:w="16840" w:h="11907" w:orient="landscape" w:code="9"/>
          <w:pgMar w:top="1440" w:right="1134" w:bottom="1440" w:left="1440" w:header="567" w:footer="1020" w:gutter="0"/>
          <w:cols w:space="708"/>
          <w:noEndnote/>
          <w:docGrid w:linePitch="435"/>
        </w:sectPr>
      </w:pPr>
    </w:p>
    <w:p w:rsidR="00ED3746" w:rsidRPr="00E05D08" w:rsidRDefault="00ED3746" w:rsidP="00ED3746">
      <w:pPr>
        <w:numPr>
          <w:ilvl w:val="0"/>
          <w:numId w:val="62"/>
        </w:numPr>
        <w:spacing w:before="120" w:after="120" w:line="280" w:lineRule="atLeast"/>
        <w:ind w:left="709" w:hanging="709"/>
        <w:mirrorIndents/>
        <w:rPr>
          <w:rFonts w:eastAsia="Times New Roman" w:cs="Times New Roman"/>
          <w:b/>
          <w:szCs w:val="20"/>
        </w:rPr>
      </w:pPr>
      <w:r>
        <w:rPr>
          <w:b/>
        </w:rPr>
        <w:lastRenderedPageBreak/>
        <w:t>Méthode d’évaluation proposée</w:t>
      </w:r>
    </w:p>
    <w:p w:rsidR="00ED3746" w:rsidRPr="00E05D08" w:rsidRDefault="00ED3746" w:rsidP="00ED3746">
      <w:pPr>
        <w:spacing w:after="120" w:line="280" w:lineRule="atLeast"/>
        <w:mirrorIndents/>
        <w:rPr>
          <w:rFonts w:eastAsia="Times New Roman" w:cs="Arial"/>
          <w:szCs w:val="20"/>
        </w:rPr>
      </w:pPr>
      <w:r>
        <w:t xml:space="preserve">La méthode d’évaluation proposée pour répondre à la QEC nº 30 est la </w:t>
      </w:r>
      <w:r>
        <w:rPr>
          <w:b/>
        </w:rPr>
        <w:t>méthode de l’étude de cas</w:t>
      </w:r>
      <w:r>
        <w:t xml:space="preserve">. Les étapes suivantes sont recommandées pour permettre aux évaluateurs de mener </w:t>
      </w:r>
      <w:proofErr w:type="gramStart"/>
      <w:r>
        <w:t>l’évaluation:</w:t>
      </w:r>
      <w:proofErr w:type="gramEnd"/>
    </w:p>
    <w:p w:rsidR="00ED3746" w:rsidRDefault="00ED3746" w:rsidP="00ED3746">
      <w:pPr>
        <w:pStyle w:val="Hlistbullet"/>
      </w:pPr>
      <w:r>
        <w:rPr>
          <w:b/>
        </w:rPr>
        <w:t>ÉTAPE </w:t>
      </w:r>
      <w:proofErr w:type="gramStart"/>
      <w:r>
        <w:rPr>
          <w:b/>
        </w:rPr>
        <w:t>1:</w:t>
      </w:r>
      <w:proofErr w:type="gramEnd"/>
      <w:r>
        <w:t xml:space="preserve"> </w:t>
      </w:r>
      <w:r>
        <w:rPr>
          <w:b/>
        </w:rPr>
        <w:t>déterminer le ou les changements significatifs auxquels le PDR peut affirmer avoir contribué en favorisant l’innovation via une ou plusieurs des trois démarches</w:t>
      </w:r>
      <w:r>
        <w:t>. Cela peut se faire sur la base des réponses aux QEC n</w:t>
      </w:r>
      <w:r>
        <w:rPr>
          <w:vertAlign w:val="superscript"/>
        </w:rPr>
        <w:t>os</w:t>
      </w:r>
      <w:r>
        <w:t> 22 à 29 (QEC relative aux objectifs généraux d’Europe 2020 et de la PAC), en interrogeant le personnel ou au moyen d’une analyse de la documentation des projets. Par exemple, le PDR peut affirmer qu’il a contribué à un changement significatif dans la rentabilité des exploitations agricoles en mettant au point une nouvelle machine agricole qui a ensuite été largement adoptée et utilisée par les agriculteurs. La recherche de changements significatifs devrait prendre en considération la probabilité d’adoption prévue lorsque le potentiel d’innovation a été établi au début du programme.</w:t>
      </w:r>
    </w:p>
    <w:p w:rsidR="00ED3746" w:rsidRPr="00F74623" w:rsidRDefault="00F204F1" w:rsidP="00ED3746">
      <w:pPr>
        <w:pStyle w:val="Hlistbullet"/>
        <w:numPr>
          <w:ilvl w:val="0"/>
          <w:numId w:val="0"/>
        </w:numPr>
        <w:ind w:left="567"/>
      </w:pPr>
      <w:r>
        <w:rPr>
          <w:noProof/>
        </w:rPr>
        <mc:AlternateContent>
          <mc:Choice Requires="wps">
            <w:drawing>
              <wp:inline distT="0" distB="0" distL="0" distR="0">
                <wp:extent cx="5374005" cy="3449955"/>
                <wp:effectExtent l="0" t="0" r="0" b="0"/>
                <wp:docPr id="719" name="Rectangle: Diagonal Corners Rounded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4005" cy="3449955"/>
                        </a:xfrm>
                        <a:prstGeom prst="round2DiagRect">
                          <a:avLst>
                            <a:gd name="adj1" fmla="val 3961"/>
                            <a:gd name="adj2" fmla="val 0"/>
                          </a:avLst>
                        </a:prstGeom>
                        <a:noFill/>
                        <a:ln w="25400" cap="flat" cmpd="sng" algn="ctr">
                          <a:solidFill>
                            <a:srgbClr val="F07E31"/>
                          </a:solidFill>
                          <a:prstDash val="solid"/>
                        </a:ln>
                        <a:effectLst/>
                      </wps:spPr>
                      <wps:txbx>
                        <w:txbxContent>
                          <w:p w:rsidR="00260B0F" w:rsidRPr="00253803" w:rsidRDefault="00260B0F" w:rsidP="00ED3746">
                            <w:pPr>
                              <w:ind w:left="567" w:hanging="567"/>
                              <w:rPr>
                                <w:rFonts w:cs="Arial"/>
                                <w:color w:val="F07E31"/>
                                <w:sz w:val="18"/>
                                <w:szCs w:val="18"/>
                              </w:rPr>
                            </w:pPr>
                            <w:r>
                              <w:rPr>
                                <w:noProof/>
                              </w:rPr>
                              <w:drawing>
                                <wp:inline distT="0" distB="0" distL="0" distR="0">
                                  <wp:extent cx="349885" cy="357505"/>
                                  <wp:effectExtent l="0" t="0" r="0" b="0"/>
                                  <wp:docPr id="1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8"/>
                              </w:rPr>
                              <w:t>Un réseau thématique sur l’agriculture à haute valeur naturelle</w:t>
                            </w:r>
                            <w:r>
                              <w:rPr>
                                <w:color w:val="F07E31"/>
                                <w:sz w:val="18"/>
                              </w:rPr>
                              <w:t xml:space="preserve"> </w:t>
                            </w:r>
                          </w:p>
                          <w:p w:rsidR="00260B0F" w:rsidRPr="00253803" w:rsidRDefault="00260B0F" w:rsidP="00ED3746">
                            <w:pPr>
                              <w:spacing w:line="280" w:lineRule="atLeast"/>
                              <w:rPr>
                                <w:rFonts w:cs="Arial"/>
                                <w:sz w:val="18"/>
                                <w:szCs w:val="18"/>
                              </w:rPr>
                            </w:pPr>
                            <w:r>
                              <w:rPr>
                                <w:sz w:val="18"/>
                              </w:rPr>
                              <w:t>Dans le cadre du projet de recherche Horizon </w:t>
                            </w:r>
                            <w:proofErr w:type="gramStart"/>
                            <w:r>
                              <w:rPr>
                                <w:sz w:val="18"/>
                              </w:rPr>
                              <w:t>2020:</w:t>
                            </w:r>
                            <w:proofErr w:type="gramEnd"/>
                            <w:r>
                              <w:rPr>
                                <w:sz w:val="18"/>
                              </w:rPr>
                              <w:t xml:space="preserve"> </w:t>
                            </w:r>
                            <w:r>
                              <w:t>«</w:t>
                            </w:r>
                            <w:hyperlink r:id="rId69" w:history="1">
                              <w:r>
                                <w:rPr>
                                  <w:rStyle w:val="Hyperlink"/>
                                  <w:sz w:val="18"/>
                                </w:rPr>
                                <w:t xml:space="preserve">HNV </w:t>
                              </w:r>
                              <w:proofErr w:type="spellStart"/>
                              <w:r>
                                <w:rPr>
                                  <w:rStyle w:val="Hyperlink"/>
                                  <w:sz w:val="18"/>
                                </w:rPr>
                                <w:t>link</w:t>
                              </w:r>
                              <w:proofErr w:type="spellEnd"/>
                            </w:hyperlink>
                            <w:r>
                              <w:rPr>
                                <w:rStyle w:val="Hyperlink"/>
                              </w:rPr>
                              <w:t>»</w:t>
                            </w:r>
                            <w:r>
                              <w:rPr>
                                <w:sz w:val="18"/>
                              </w:rPr>
                              <w:t xml:space="preserve">, une équipe de chercheurs a mis au point un cadre d’évaluation afin d’analyser la situation initiale des zones à haute valeur naturelle auxquelles l’innovation peut potentiellement contribuer. Cette évaluation initiale comprend l’analyse de plusieurs attributs </w:t>
                            </w:r>
                            <w:proofErr w:type="gramStart"/>
                            <w:r>
                              <w:rPr>
                                <w:sz w:val="18"/>
                              </w:rPr>
                              <w:t>liés:</w:t>
                            </w:r>
                            <w:proofErr w:type="gramEnd"/>
                            <w:r>
                              <w:rPr>
                                <w:sz w:val="18"/>
                              </w:rPr>
                              <w:t xml:space="preserve"> </w:t>
                            </w:r>
                          </w:p>
                          <w:p w:rsidR="00260B0F" w:rsidRPr="00253803" w:rsidRDefault="00260B0F" w:rsidP="00ED3746">
                            <w:pPr>
                              <w:numPr>
                                <w:ilvl w:val="0"/>
                                <w:numId w:val="63"/>
                              </w:numPr>
                              <w:ind w:left="567" w:hanging="567"/>
                              <w:contextualSpacing/>
                              <w:rPr>
                                <w:rFonts w:cs="Arial"/>
                                <w:sz w:val="18"/>
                                <w:szCs w:val="18"/>
                              </w:rPr>
                            </w:pPr>
                            <w:proofErr w:type="gramStart"/>
                            <w:r>
                              <w:rPr>
                                <w:sz w:val="18"/>
                              </w:rPr>
                              <w:t>à</w:t>
                            </w:r>
                            <w:proofErr w:type="gramEnd"/>
                            <w:r>
                              <w:rPr>
                                <w:sz w:val="18"/>
                              </w:rPr>
                              <w:t xml:space="preserve"> l’agroécosystème (conditions du sol, du climat et du relief);</w:t>
                            </w:r>
                          </w:p>
                          <w:p w:rsidR="00260B0F" w:rsidRPr="00253803" w:rsidRDefault="00260B0F" w:rsidP="00ED3746">
                            <w:pPr>
                              <w:numPr>
                                <w:ilvl w:val="0"/>
                                <w:numId w:val="63"/>
                              </w:numPr>
                              <w:ind w:left="567" w:hanging="567"/>
                              <w:contextualSpacing/>
                              <w:rPr>
                                <w:rFonts w:cs="Arial"/>
                                <w:sz w:val="18"/>
                                <w:szCs w:val="18"/>
                              </w:rPr>
                            </w:pPr>
                            <w:proofErr w:type="gramStart"/>
                            <w:r>
                              <w:rPr>
                                <w:sz w:val="18"/>
                              </w:rPr>
                              <w:t>aux</w:t>
                            </w:r>
                            <w:proofErr w:type="gramEnd"/>
                            <w:r>
                              <w:rPr>
                                <w:sz w:val="18"/>
                              </w:rPr>
                              <w:t xml:space="preserve"> systèmes agricoles et à leur dynamique dans les systèmes agraires;</w:t>
                            </w:r>
                          </w:p>
                          <w:p w:rsidR="00260B0F" w:rsidRPr="00253803" w:rsidRDefault="00260B0F" w:rsidP="00ED3746">
                            <w:pPr>
                              <w:numPr>
                                <w:ilvl w:val="0"/>
                                <w:numId w:val="63"/>
                              </w:numPr>
                              <w:ind w:left="567" w:hanging="567"/>
                              <w:contextualSpacing/>
                              <w:rPr>
                                <w:rFonts w:cs="Arial"/>
                                <w:sz w:val="18"/>
                                <w:szCs w:val="18"/>
                              </w:rPr>
                            </w:pPr>
                            <w:proofErr w:type="gramStart"/>
                            <w:r>
                              <w:rPr>
                                <w:sz w:val="18"/>
                              </w:rPr>
                              <w:t>au</w:t>
                            </w:r>
                            <w:proofErr w:type="gramEnd"/>
                            <w:r>
                              <w:rPr>
                                <w:sz w:val="18"/>
                              </w:rPr>
                              <w:t xml:space="preserve"> contexte rural et aux forces motrices plus vastes (politiques, technologies, changements sociétaux); </w:t>
                            </w:r>
                          </w:p>
                          <w:p w:rsidR="00260B0F" w:rsidRPr="00253803" w:rsidRDefault="00260B0F" w:rsidP="00ED3746">
                            <w:pPr>
                              <w:numPr>
                                <w:ilvl w:val="0"/>
                                <w:numId w:val="63"/>
                              </w:numPr>
                              <w:ind w:left="567" w:hanging="567"/>
                              <w:contextualSpacing/>
                              <w:rPr>
                                <w:rFonts w:cs="Arial"/>
                                <w:sz w:val="18"/>
                                <w:szCs w:val="18"/>
                              </w:rPr>
                            </w:pPr>
                            <w:proofErr w:type="gramStart"/>
                            <w:r>
                              <w:rPr>
                                <w:sz w:val="18"/>
                              </w:rPr>
                              <w:t>aux</w:t>
                            </w:r>
                            <w:proofErr w:type="gramEnd"/>
                            <w:r>
                              <w:rPr>
                                <w:sz w:val="18"/>
                              </w:rPr>
                              <w:t xml:space="preserve"> questions transversales (acteurs et organisation sociale).</w:t>
                            </w:r>
                          </w:p>
                          <w:p w:rsidR="00260B0F" w:rsidRPr="000E5745" w:rsidRDefault="00260B0F" w:rsidP="00ED3746">
                            <w:pPr>
                              <w:pStyle w:val="Hlistbullet"/>
                              <w:numPr>
                                <w:ilvl w:val="0"/>
                                <w:numId w:val="0"/>
                              </w:numPr>
                              <w:rPr>
                                <w:sz w:val="18"/>
                                <w:szCs w:val="18"/>
                              </w:rPr>
                            </w:pPr>
                            <w:r>
                              <w:rPr>
                                <w:sz w:val="18"/>
                              </w:rPr>
                              <w:t xml:space="preserve">Différentes méthodes ont été combinées pour établir une situation </w:t>
                            </w:r>
                            <w:proofErr w:type="gramStart"/>
                            <w:r>
                              <w:rPr>
                                <w:sz w:val="18"/>
                              </w:rPr>
                              <w:t>initiale:</w:t>
                            </w:r>
                            <w:proofErr w:type="gramEnd"/>
                            <w:r>
                              <w:rPr>
                                <w:sz w:val="18"/>
                              </w:rPr>
                              <w:t xml:space="preserve"> 1) l’évaluation de l’agroécosystème, 2) l’analyse du système agricole et agraire, 3) l’analyse rurale, 4) l’analyse des acteurs concernés. La méthode aide à établir une situation contrefactuelle permettant d’évaluer à la fois le processus et les effets des innovations qui ont lieu dans les zones à haute valeur naturelle. Un exemple de l’application de cette méthode est disponible </w:t>
                            </w:r>
                            <w:proofErr w:type="gramStart"/>
                            <w:r>
                              <w:rPr>
                                <w:sz w:val="18"/>
                              </w:rPr>
                              <w:t>ici:</w:t>
                            </w:r>
                            <w:proofErr w:type="gramEnd"/>
                            <w:r>
                              <w:rPr>
                                <w:sz w:val="18"/>
                              </w:rPr>
                              <w:t xml:space="preserve"> </w:t>
                            </w:r>
                            <w:hyperlink r:id="rId70" w:history="1">
                              <w:r>
                                <w:rPr>
                                  <w:rStyle w:val="Hyperlink"/>
                                  <w:sz w:val="18"/>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id="Rectangle: Diagonal Corners Rounded 719" o:spid="_x0000_s1055" style="width:423.15pt;height:271.65pt;visibility:visible;mso-wrap-style:square;mso-left-percent:-10001;mso-top-percent:-10001;mso-position-horizontal:absolute;mso-position-horizontal-relative:char;mso-position-vertical:absolute;mso-position-vertical-relative:line;mso-left-percent:-10001;mso-top-percent:-10001;v-text-anchor:middle" coordsize="5374005,34499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" adj="-11796480,,5400" path="m136653,l5374005,r,l5374005,3313302v,75471,-61182,136653,-136653,136653l,3449955r,l,136653c,61182,61182,,136653,xe" filled="f" strokecolor="#f07e31" strokeweight="2pt">
                <v:stroke joinstyle="miter"/>
                <v:formulas/>
                <v:path arrowok="t" o:connecttype="custom" o:connectlocs="136653,0;5374005,0;5374005,0;5374005,3313302;5237352,3449955;0,3449955;0,3449955;0,136653;136653,0" o:connectangles="0,0,0,0,0,0,0,0,0" textboxrect="0,0,5374005,3449955"/>
                <v:textbox>
                  <w:txbxContent>
                    <w:p w:rsidR="00260B0F" w:rsidRPr="00253803" w:rsidRDefault="00260B0F" w:rsidP="00ED3746">
                      <w:pPr>
                        <w:ind w:left="567" w:hanging="567"/>
                        <w:rPr>
                          <w:rFonts w:cs="Arial"/>
                          <w:color w:val="F07E31"/>
                          <w:sz w:val="18"/>
                          <w:szCs w:val="18"/>
                        </w:rPr>
                      </w:pPr>
                      <w:r>
                        <w:rPr>
                          <w:noProof/>
                        </w:rPr>
                        <w:drawing>
                          <wp:inline distT="0" distB="0" distL="0" distR="0">
                            <wp:extent cx="349885" cy="357505"/>
                            <wp:effectExtent l="0" t="0" r="0" b="0"/>
                            <wp:docPr id="1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885" cy="357505"/>
                                    </a:xfrm>
                                    <a:prstGeom prst="rect">
                                      <a:avLst/>
                                    </a:prstGeom>
                                    <a:noFill/>
                                    <a:ln>
                                      <a:noFill/>
                                    </a:ln>
                                  </pic:spPr>
                                </pic:pic>
                              </a:graphicData>
                            </a:graphic>
                          </wp:inline>
                        </w:drawing>
                      </w:r>
                      <w:r>
                        <w:rPr>
                          <w:b/>
                          <w:color w:val="F07E31"/>
                          <w:sz w:val="18"/>
                        </w:rPr>
                        <w:t>Un réseau thématique sur l’agriculture à haute valeur naturelle</w:t>
                      </w:r>
                      <w:r>
                        <w:rPr>
                          <w:color w:val="F07E31"/>
                          <w:sz w:val="18"/>
                        </w:rPr>
                        <w:t xml:space="preserve"> </w:t>
                      </w:r>
                    </w:p>
                    <w:p w:rsidR="00260B0F" w:rsidRPr="00253803" w:rsidRDefault="00260B0F" w:rsidP="00ED3746">
                      <w:pPr>
                        <w:spacing w:line="280" w:lineRule="atLeast"/>
                        <w:rPr>
                          <w:rFonts w:cs="Arial"/>
                          <w:sz w:val="18"/>
                          <w:szCs w:val="18"/>
                        </w:rPr>
                      </w:pPr>
                      <w:r>
                        <w:rPr>
                          <w:sz w:val="18"/>
                        </w:rPr>
                        <w:t>Dans le cadre du projet de recherche Horizon </w:t>
                      </w:r>
                      <w:proofErr w:type="gramStart"/>
                      <w:r>
                        <w:rPr>
                          <w:sz w:val="18"/>
                        </w:rPr>
                        <w:t>2020:</w:t>
                      </w:r>
                      <w:proofErr w:type="gramEnd"/>
                      <w:r>
                        <w:rPr>
                          <w:sz w:val="18"/>
                        </w:rPr>
                        <w:t xml:space="preserve"> </w:t>
                      </w:r>
                      <w:r>
                        <w:t>«</w:t>
                      </w:r>
                      <w:hyperlink r:id="rId71" w:history="1">
                        <w:r>
                          <w:rPr>
                            <w:rStyle w:val="Hyperlink"/>
                            <w:sz w:val="18"/>
                          </w:rPr>
                          <w:t xml:space="preserve">HNV </w:t>
                        </w:r>
                        <w:proofErr w:type="spellStart"/>
                        <w:r>
                          <w:rPr>
                            <w:rStyle w:val="Hyperlink"/>
                            <w:sz w:val="18"/>
                          </w:rPr>
                          <w:t>link</w:t>
                        </w:r>
                        <w:proofErr w:type="spellEnd"/>
                      </w:hyperlink>
                      <w:r>
                        <w:rPr>
                          <w:rStyle w:val="Hyperlink"/>
                        </w:rPr>
                        <w:t>»</w:t>
                      </w:r>
                      <w:r>
                        <w:rPr>
                          <w:sz w:val="18"/>
                        </w:rPr>
                        <w:t xml:space="preserve">, une équipe de chercheurs a mis au point un cadre d’évaluation afin d’analyser la situation initiale des zones à haute valeur naturelle auxquelles l’innovation peut potentiellement contribuer. Cette évaluation initiale comprend l’analyse de plusieurs attributs </w:t>
                      </w:r>
                      <w:proofErr w:type="gramStart"/>
                      <w:r>
                        <w:rPr>
                          <w:sz w:val="18"/>
                        </w:rPr>
                        <w:t>liés:</w:t>
                      </w:r>
                      <w:proofErr w:type="gramEnd"/>
                      <w:r>
                        <w:rPr>
                          <w:sz w:val="18"/>
                        </w:rPr>
                        <w:t xml:space="preserve"> </w:t>
                      </w:r>
                    </w:p>
                    <w:p w:rsidR="00260B0F" w:rsidRPr="00253803" w:rsidRDefault="00260B0F" w:rsidP="00ED3746">
                      <w:pPr>
                        <w:numPr>
                          <w:ilvl w:val="0"/>
                          <w:numId w:val="63"/>
                        </w:numPr>
                        <w:ind w:left="567" w:hanging="567"/>
                        <w:contextualSpacing/>
                        <w:rPr>
                          <w:rFonts w:cs="Arial"/>
                          <w:sz w:val="18"/>
                          <w:szCs w:val="18"/>
                        </w:rPr>
                      </w:pPr>
                      <w:proofErr w:type="gramStart"/>
                      <w:r>
                        <w:rPr>
                          <w:sz w:val="18"/>
                        </w:rPr>
                        <w:t>à</w:t>
                      </w:r>
                      <w:proofErr w:type="gramEnd"/>
                      <w:r>
                        <w:rPr>
                          <w:sz w:val="18"/>
                        </w:rPr>
                        <w:t xml:space="preserve"> l’agroécosystème (conditions du sol, du climat et du relief);</w:t>
                      </w:r>
                    </w:p>
                    <w:p w:rsidR="00260B0F" w:rsidRPr="00253803" w:rsidRDefault="00260B0F" w:rsidP="00ED3746">
                      <w:pPr>
                        <w:numPr>
                          <w:ilvl w:val="0"/>
                          <w:numId w:val="63"/>
                        </w:numPr>
                        <w:ind w:left="567" w:hanging="567"/>
                        <w:contextualSpacing/>
                        <w:rPr>
                          <w:rFonts w:cs="Arial"/>
                          <w:sz w:val="18"/>
                          <w:szCs w:val="18"/>
                        </w:rPr>
                      </w:pPr>
                      <w:proofErr w:type="gramStart"/>
                      <w:r>
                        <w:rPr>
                          <w:sz w:val="18"/>
                        </w:rPr>
                        <w:t>aux</w:t>
                      </w:r>
                      <w:proofErr w:type="gramEnd"/>
                      <w:r>
                        <w:rPr>
                          <w:sz w:val="18"/>
                        </w:rPr>
                        <w:t xml:space="preserve"> systèmes agricoles et à leur dynamique dans les systèmes agraires;</w:t>
                      </w:r>
                    </w:p>
                    <w:p w:rsidR="00260B0F" w:rsidRPr="00253803" w:rsidRDefault="00260B0F" w:rsidP="00ED3746">
                      <w:pPr>
                        <w:numPr>
                          <w:ilvl w:val="0"/>
                          <w:numId w:val="63"/>
                        </w:numPr>
                        <w:ind w:left="567" w:hanging="567"/>
                        <w:contextualSpacing/>
                        <w:rPr>
                          <w:rFonts w:cs="Arial"/>
                          <w:sz w:val="18"/>
                          <w:szCs w:val="18"/>
                        </w:rPr>
                      </w:pPr>
                      <w:proofErr w:type="gramStart"/>
                      <w:r>
                        <w:rPr>
                          <w:sz w:val="18"/>
                        </w:rPr>
                        <w:t>au</w:t>
                      </w:r>
                      <w:proofErr w:type="gramEnd"/>
                      <w:r>
                        <w:rPr>
                          <w:sz w:val="18"/>
                        </w:rPr>
                        <w:t xml:space="preserve"> contexte rural et aux forces motrices plus vastes (politiques, technologies, changements sociétaux); </w:t>
                      </w:r>
                    </w:p>
                    <w:p w:rsidR="00260B0F" w:rsidRPr="00253803" w:rsidRDefault="00260B0F" w:rsidP="00ED3746">
                      <w:pPr>
                        <w:numPr>
                          <w:ilvl w:val="0"/>
                          <w:numId w:val="63"/>
                        </w:numPr>
                        <w:ind w:left="567" w:hanging="567"/>
                        <w:contextualSpacing/>
                        <w:rPr>
                          <w:rFonts w:cs="Arial"/>
                          <w:sz w:val="18"/>
                          <w:szCs w:val="18"/>
                        </w:rPr>
                      </w:pPr>
                      <w:proofErr w:type="gramStart"/>
                      <w:r>
                        <w:rPr>
                          <w:sz w:val="18"/>
                        </w:rPr>
                        <w:t>aux</w:t>
                      </w:r>
                      <w:proofErr w:type="gramEnd"/>
                      <w:r>
                        <w:rPr>
                          <w:sz w:val="18"/>
                        </w:rPr>
                        <w:t xml:space="preserve"> questions transversales (acteurs et organisation sociale).</w:t>
                      </w:r>
                    </w:p>
                    <w:p w:rsidR="00260B0F" w:rsidRPr="000E5745" w:rsidRDefault="00260B0F" w:rsidP="00ED3746">
                      <w:pPr>
                        <w:pStyle w:val="Hlistbullet"/>
                        <w:numPr>
                          <w:ilvl w:val="0"/>
                          <w:numId w:val="0"/>
                        </w:numPr>
                        <w:rPr>
                          <w:sz w:val="18"/>
                          <w:szCs w:val="18"/>
                        </w:rPr>
                      </w:pPr>
                      <w:r>
                        <w:rPr>
                          <w:sz w:val="18"/>
                        </w:rPr>
                        <w:t xml:space="preserve">Différentes méthodes ont été combinées pour établir une situation </w:t>
                      </w:r>
                      <w:proofErr w:type="gramStart"/>
                      <w:r>
                        <w:rPr>
                          <w:sz w:val="18"/>
                        </w:rPr>
                        <w:t>initiale:</w:t>
                      </w:r>
                      <w:proofErr w:type="gramEnd"/>
                      <w:r>
                        <w:rPr>
                          <w:sz w:val="18"/>
                        </w:rPr>
                        <w:t xml:space="preserve"> 1) l’évaluation de l’agroécosystème, 2) l’analyse du système agricole et agraire, 3) l’analyse rurale, 4) l’analyse des acteurs concernés. La méthode aide à établir une situation contrefactuelle permettant d’évaluer à la fois le processus et les effets des innovations qui ont lieu dans les zones à haute valeur naturelle. Un exemple de l’application de cette méthode est disponible </w:t>
                      </w:r>
                      <w:proofErr w:type="gramStart"/>
                      <w:r>
                        <w:rPr>
                          <w:sz w:val="18"/>
                        </w:rPr>
                        <w:t>ici:</w:t>
                      </w:r>
                      <w:proofErr w:type="gramEnd"/>
                      <w:r>
                        <w:rPr>
                          <w:sz w:val="18"/>
                        </w:rPr>
                        <w:t xml:space="preserve"> </w:t>
                      </w:r>
                      <w:hyperlink r:id="rId72" w:history="1">
                        <w:r>
                          <w:rPr>
                            <w:rStyle w:val="Hyperlink"/>
                            <w:sz w:val="18"/>
                          </w:rPr>
                          <w:t>http://www.hnvlink.eu/download/D1.3BAcomplete.pdf.</w:t>
                        </w:r>
                      </w:hyperlink>
                    </w:p>
                  </w:txbxContent>
                </v:textbox>
                <w10:anchorlock/>
              </v:shape>
            </w:pict>
          </mc:Fallback>
        </mc:AlternateContent>
      </w:r>
    </w:p>
    <w:p w:rsidR="00ED3746" w:rsidRPr="00F74623" w:rsidRDefault="00ED3746" w:rsidP="00ED3746">
      <w:pPr>
        <w:pStyle w:val="Hlistbullet"/>
      </w:pPr>
      <w:r>
        <w:rPr>
          <w:b/>
        </w:rPr>
        <w:t>ÉTAPE </w:t>
      </w:r>
      <w:proofErr w:type="gramStart"/>
      <w:r>
        <w:rPr>
          <w:b/>
        </w:rPr>
        <w:t>2:</w:t>
      </w:r>
      <w:proofErr w:type="gramEnd"/>
      <w:r>
        <w:rPr>
          <w:b/>
        </w:rPr>
        <w:t xml:space="preserve"> collecter des informations sur les performances du PDR par rapport aux critères de jugement et aux indicateurs</w:t>
      </w:r>
      <w:r>
        <w:t xml:space="preserve"> (tels que proposés dans le tableau 9 des éléments d’évaluation ci-dessus) pour les trois sous-questions relatives à la mesure dans laquelle le PDR a influencé les trois démarches. </w:t>
      </w:r>
    </w:p>
    <w:p w:rsidR="00ED3746" w:rsidRPr="00717885" w:rsidRDefault="00F204F1" w:rsidP="00ED3746">
      <w:pPr>
        <w:pStyle w:val="Hlistbullet2"/>
      </w:pPr>
      <w:r>
        <w:rPr>
          <w:noProof/>
        </w:rPr>
        <w:lastRenderedPageBreak/>
        <mc:AlternateContent>
          <mc:Choice Requires="wps">
            <w:drawing>
              <wp:anchor distT="0" distB="0" distL="114300" distR="114300" simplePos="0" relativeHeight="251655680" behindDoc="0" locked="0" layoutInCell="1" allowOverlap="1">
                <wp:simplePos x="0" y="0"/>
                <wp:positionH relativeFrom="column">
                  <wp:posOffset>350520</wp:posOffset>
                </wp:positionH>
                <wp:positionV relativeFrom="paragraph">
                  <wp:posOffset>1367485</wp:posOffset>
                </wp:positionV>
                <wp:extent cx="5414645" cy="2625725"/>
                <wp:effectExtent l="0" t="0" r="14605" b="22225"/>
                <wp:wrapSquare wrapText="bothSides"/>
                <wp:docPr id="562" name="Rectangle: Diagonal Corners Rounded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4645" cy="2625725"/>
                        </a:xfrm>
                        <a:prstGeom prst="round2DiagRect">
                          <a:avLst>
                            <a:gd name="adj1" fmla="val 7843"/>
                            <a:gd name="adj2" fmla="val 0"/>
                          </a:avLst>
                        </a:prstGeom>
                        <a:noFill/>
                        <a:ln w="25400" cap="flat" cmpd="sng" algn="ctr">
                          <a:solidFill>
                            <a:srgbClr val="BE4A35"/>
                          </a:solidFill>
                          <a:prstDash val="solid"/>
                        </a:ln>
                        <a:effectLst/>
                      </wps:spPr>
                      <wps:txbx>
                        <w:txbxContent>
                          <w:p w:rsidR="00260B0F" w:rsidRPr="003D7EC4" w:rsidRDefault="00260B0F" w:rsidP="00ED3746">
                            <w:pPr>
                              <w:pStyle w:val="HStandard"/>
                              <w:rPr>
                                <w:rFonts w:cs="Arial"/>
                                <w:sz w:val="18"/>
                              </w:rPr>
                            </w:pPr>
                            <w:r>
                              <w:rPr>
                                <w:noProof/>
                              </w:rPr>
                              <w:drawing>
                                <wp:inline distT="0" distB="0" distL="0" distR="0">
                                  <wp:extent cx="668020" cy="485140"/>
                                  <wp:effectExtent l="0" t="0" r="0" b="0"/>
                                  <wp:docPr id="19"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L’adoption d’idées, de procédés, de modèles ou de technologies innovants introduits par le PDR peut être évaluée à l’aide d’</w:t>
                            </w:r>
                            <w:r>
                              <w:rPr>
                                <w:b/>
                              </w:rPr>
                              <w:t xml:space="preserve">enquêtes </w:t>
                            </w:r>
                            <w:r>
                              <w:t>qui déterminent le niveau et la mesure de l’adoption des nouveautés et établissent la source de la nouveauté.</w:t>
                            </w:r>
                            <w:r>
                              <w:rPr>
                                <w:sz w:val="18"/>
                              </w:rPr>
                              <w:t xml:space="preserve"> Les enquêtes </w:t>
                            </w:r>
                            <w:proofErr w:type="gramStart"/>
                            <w:r>
                              <w:rPr>
                                <w:sz w:val="18"/>
                              </w:rPr>
                              <w:t>doivent:</w:t>
                            </w:r>
                            <w:proofErr w:type="gramEnd"/>
                          </w:p>
                          <w:p w:rsidR="00260B0F" w:rsidRPr="003D7EC4" w:rsidRDefault="00260B0F" w:rsidP="00ED3746">
                            <w:pPr>
                              <w:pStyle w:val="HStandard"/>
                              <w:numPr>
                                <w:ilvl w:val="3"/>
                                <w:numId w:val="43"/>
                              </w:numPr>
                            </w:pPr>
                            <w:proofErr w:type="gramStart"/>
                            <w:r>
                              <w:rPr>
                                <w:sz w:val="18"/>
                              </w:rPr>
                              <w:t>inclure</w:t>
                            </w:r>
                            <w:proofErr w:type="gramEnd"/>
                            <w:r>
                              <w:rPr>
                                <w:sz w:val="18"/>
                              </w:rPr>
                              <w:t xml:space="preserve"> ceux qui ont adopté la nouveauté, mais aussi ceux qui ne l’ont pas adoptée, et s’efforcer de: a) comprendre les raisons pour lesquelles ils ne l’ont pas adoptée et b) déterminer s’il existe d’autres moyens de remédier au problème résolu par la nouveauté;</w:t>
                            </w:r>
                          </w:p>
                          <w:p w:rsidR="00260B0F" w:rsidRPr="000E5745" w:rsidRDefault="00260B0F" w:rsidP="00ED3746">
                            <w:pPr>
                              <w:pStyle w:val="HStandard"/>
                              <w:numPr>
                                <w:ilvl w:val="3"/>
                                <w:numId w:val="43"/>
                              </w:numPr>
                            </w:pPr>
                            <w:proofErr w:type="gramStart"/>
                            <w:r>
                              <w:rPr>
                                <w:sz w:val="18"/>
                              </w:rPr>
                              <w:t>être</w:t>
                            </w:r>
                            <w:proofErr w:type="gramEnd"/>
                            <w:r>
                              <w:rPr>
                                <w:sz w:val="18"/>
                              </w:rPr>
                              <w:t xml:space="preserve"> menées parmi ceux qui ont adopté, mais également ceux qui n’ont pas adopté une idée nouvelle lorsqu’ils en ont eu la possibilité ainsi que dans les secteurs qui ont été désignés comme prometteurs lors de l’analyse du potentiel d’innovation (voir le </w:t>
                            </w:r>
                            <w:hyperlink w:anchor="Screening_Potential" w:history="1">
                              <w:r>
                                <w:rPr>
                                  <w:rStyle w:val="Hyperlink"/>
                                  <w:sz w:val="18"/>
                                </w:rPr>
                                <w:t>chapitre 2.2</w:t>
                              </w:r>
                            </w:hyperlink>
                            <w:r>
                              <w:rPr>
                                <w:sz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562" o:spid="_x0000_s1056" style="position:absolute;left:0;text-align:left;margin-left:27.6pt;margin-top:107.7pt;width:426.35pt;height:20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625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" adj="-11796480,,5400" path="m205936,l5414645,r,l5414645,2419789v,113735,-92201,205936,-205936,205936l,2625725r,l,205936c,92201,92201,,205936,xe" filled="f" strokecolor="#be4a35" strokeweight="2pt">
                <v:stroke joinstyle="miter"/>
                <v:formulas/>
                <v:path arrowok="t" o:connecttype="custom" o:connectlocs="205936,0;5414645,0;5414645,0;5414645,2419789;5208709,2625725;0,2625725;0,2625725;0,205936;205936,0" o:connectangles="0,0,0,0,0,0,0,0,0" textboxrect="0,0,5414645,2625725"/>
                <v:textbox>
                  <w:txbxContent>
                    <w:p w:rsidR="00260B0F" w:rsidRPr="003D7EC4" w:rsidRDefault="00260B0F" w:rsidP="00ED3746">
                      <w:pPr>
                        <w:pStyle w:val="HStandard"/>
                        <w:rPr>
                          <w:rFonts w:cs="Arial"/>
                          <w:sz w:val="18"/>
                        </w:rPr>
                      </w:pPr>
                      <w:r>
                        <w:rPr>
                          <w:noProof/>
                        </w:rPr>
                        <w:drawing>
                          <wp:inline distT="0" distB="0" distL="0" distR="0">
                            <wp:extent cx="668020" cy="485140"/>
                            <wp:effectExtent l="0" t="0" r="0" b="0"/>
                            <wp:docPr id="19"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t>L’adoption d’idées, de procédés, de modèles ou de technologies innovants introduits par le PDR peut être évaluée à l’aide d’</w:t>
                      </w:r>
                      <w:r>
                        <w:rPr>
                          <w:b/>
                        </w:rPr>
                        <w:t xml:space="preserve">enquêtes </w:t>
                      </w:r>
                      <w:r>
                        <w:t>qui déterminent le niveau et la mesure de l’adoption des nouveautés et établissent la source de la nouveauté.</w:t>
                      </w:r>
                      <w:r>
                        <w:rPr>
                          <w:sz w:val="18"/>
                        </w:rPr>
                        <w:t xml:space="preserve"> Les enquêtes </w:t>
                      </w:r>
                      <w:proofErr w:type="gramStart"/>
                      <w:r>
                        <w:rPr>
                          <w:sz w:val="18"/>
                        </w:rPr>
                        <w:t>doivent:</w:t>
                      </w:r>
                      <w:proofErr w:type="gramEnd"/>
                    </w:p>
                    <w:p w:rsidR="00260B0F" w:rsidRPr="003D7EC4" w:rsidRDefault="00260B0F" w:rsidP="00ED3746">
                      <w:pPr>
                        <w:pStyle w:val="HStandard"/>
                        <w:numPr>
                          <w:ilvl w:val="3"/>
                          <w:numId w:val="43"/>
                        </w:numPr>
                      </w:pPr>
                      <w:proofErr w:type="gramStart"/>
                      <w:r>
                        <w:rPr>
                          <w:sz w:val="18"/>
                        </w:rPr>
                        <w:t>inclure</w:t>
                      </w:r>
                      <w:proofErr w:type="gramEnd"/>
                      <w:r>
                        <w:rPr>
                          <w:sz w:val="18"/>
                        </w:rPr>
                        <w:t xml:space="preserve"> ceux qui ont adopté la nouveauté, mais aussi ceux qui ne l’ont pas adoptée, et s’efforcer de: a) comprendre les raisons pour lesquelles ils ne l’ont pas adoptée et b) déterminer s’il existe d’autres moyens de remédier au problème résolu par la nouveauté;</w:t>
                      </w:r>
                    </w:p>
                    <w:p w:rsidR="00260B0F" w:rsidRPr="000E5745" w:rsidRDefault="00260B0F" w:rsidP="00ED3746">
                      <w:pPr>
                        <w:pStyle w:val="HStandard"/>
                        <w:numPr>
                          <w:ilvl w:val="3"/>
                          <w:numId w:val="43"/>
                        </w:numPr>
                      </w:pPr>
                      <w:proofErr w:type="gramStart"/>
                      <w:r>
                        <w:rPr>
                          <w:sz w:val="18"/>
                        </w:rPr>
                        <w:t>être</w:t>
                      </w:r>
                      <w:proofErr w:type="gramEnd"/>
                      <w:r>
                        <w:rPr>
                          <w:sz w:val="18"/>
                        </w:rPr>
                        <w:t xml:space="preserve"> menées parmi ceux qui ont adopté, mais également ceux qui n’ont pas adopté une idée nouvelle lorsqu’ils en ont eu la possibilité ainsi que dans les secteurs qui ont été désignés comme prometteurs lors de l’analyse du potentiel d’innovation (voir le </w:t>
                      </w:r>
                      <w:hyperlink w:anchor="Screening_Potential" w:history="1">
                        <w:r>
                          <w:rPr>
                            <w:rStyle w:val="Hyperlink"/>
                            <w:sz w:val="18"/>
                          </w:rPr>
                          <w:t>chapitre 2.2</w:t>
                        </w:r>
                      </w:hyperlink>
                      <w:r>
                        <w:rPr>
                          <w:sz w:val="18"/>
                        </w:rPr>
                        <w:t xml:space="preserve">). </w:t>
                      </w:r>
                    </w:p>
                  </w:txbxContent>
                </v:textbox>
                <w10:wrap type="square"/>
              </v:shape>
            </w:pict>
          </mc:Fallback>
        </mc:AlternateContent>
      </w:r>
      <w:r w:rsidR="00ED3746">
        <w:t xml:space="preserve">La </w:t>
      </w:r>
      <w:r w:rsidR="00ED3746">
        <w:rPr>
          <w:b/>
        </w:rPr>
        <w:t>démarche 1</w:t>
      </w:r>
      <w:r w:rsidR="00ED3746">
        <w:t xml:space="preserve"> applique un critère de jugement relatif à l</w:t>
      </w:r>
      <w:proofErr w:type="gramStart"/>
      <w:r w:rsidR="00ED3746">
        <w:t>’«adoption</w:t>
      </w:r>
      <w:proofErr w:type="gramEnd"/>
      <w:r w:rsidR="00ED3746">
        <w:t xml:space="preserve"> d’idées, de procédés, de modèles ou de technologies innovants introduits par le PDR». Le respect de ce critère peut être mesuré à l’aide des indicateurs communs et supplémentaires proposés dans le tableau 9. Pour les indicateurs communs, les données peuvent être collectées via les bases de données opérationnelles. Pour les indicateurs supplémentaires, les données et les informations peuvent être collectées via une enquête organisée et menée par l’évaluateur (voir l’exemple ci-après).</w:t>
      </w:r>
    </w:p>
    <w:p w:rsidR="00ED3746" w:rsidRPr="00717885" w:rsidRDefault="00ED3746" w:rsidP="00ED3746">
      <w:pPr>
        <w:pStyle w:val="Hlistbullet2"/>
      </w:pPr>
      <w:r>
        <w:rPr>
          <w:b/>
        </w:rPr>
        <w:t>La démarche 2</w:t>
      </w:r>
      <w:r>
        <w:t xml:space="preserve"> fixe trois critères de jugement, qui sont accompagnés d’indicateurs de </w:t>
      </w:r>
      <w:proofErr w:type="gramStart"/>
      <w:r>
        <w:t>résultat:</w:t>
      </w:r>
      <w:proofErr w:type="gramEnd"/>
      <w:r>
        <w:t xml:space="preserve"> </w:t>
      </w:r>
    </w:p>
    <w:p w:rsidR="00ED3746" w:rsidRPr="00E05D08" w:rsidRDefault="00ED3746" w:rsidP="00ED3746">
      <w:pPr>
        <w:numPr>
          <w:ilvl w:val="3"/>
          <w:numId w:val="44"/>
        </w:numPr>
        <w:spacing w:before="60" w:after="120" w:line="280" w:lineRule="atLeast"/>
        <w:ind w:left="1701" w:hanging="567"/>
        <w:rPr>
          <w:rFonts w:eastAsia="Times New Roman" w:cs="Arial"/>
          <w:szCs w:val="20"/>
        </w:rPr>
      </w:pPr>
      <w:proofErr w:type="gramStart"/>
      <w:r>
        <w:t>le</w:t>
      </w:r>
      <w:proofErr w:type="gramEnd"/>
      <w:r>
        <w:t xml:space="preserve"> premier est la collaboration et le partage accrus entre les acteurs qui suscitent le changement auquel le PDR a contribué. Cela implique de mettre en évidence les accords entre les partenaires que le PDR a facilités à l’aide des indicateurs de résultat supplémentaires: «nombre de partenariats formels facilités par le PDR liés aux changements dans les priorités de développement rural auquel le PDR a contribué» et «taux d’augmentation du nombre et du type de partenaires participant aux projets de coopération» (voir le document de travail </w:t>
      </w:r>
      <w:hyperlink r:id="rId73" w:history="1">
        <w:r>
          <w:rPr>
            <w:color w:val="F07E31"/>
            <w:u w:val="single"/>
          </w:rPr>
          <w:t>Questions d’évaluation communes pour les programmes de développement rural 2014-2020</w:t>
        </w:r>
      </w:hyperlink>
      <w:r>
        <w:t xml:space="preserve">). Les données et les informations pour le premier indicateur supplémentaire peuvent être collectées par les évaluateurs au cours de l’évaluation via les enquêtes et les groupes de discussion avec les partenaires des partenariats établis. Pour le deuxième indicateur supplémentaire, les données peuvent être collectées directement dans les bases de données </w:t>
      </w:r>
      <w:proofErr w:type="gramStart"/>
      <w:r>
        <w:t>opérationnelles;</w:t>
      </w:r>
      <w:proofErr w:type="gramEnd"/>
      <w:r>
        <w:t xml:space="preserve"> </w:t>
      </w:r>
    </w:p>
    <w:p w:rsidR="00ED3746" w:rsidRPr="00E05D08" w:rsidRDefault="00ED3746" w:rsidP="00ED3746">
      <w:pPr>
        <w:numPr>
          <w:ilvl w:val="3"/>
          <w:numId w:val="44"/>
        </w:numPr>
        <w:spacing w:before="60" w:after="120" w:line="280" w:lineRule="atLeast"/>
        <w:ind w:left="1701" w:hanging="567"/>
        <w:rPr>
          <w:rFonts w:eastAsia="Times New Roman" w:cs="Arial"/>
          <w:szCs w:val="20"/>
        </w:rPr>
      </w:pPr>
      <w:proofErr w:type="gramStart"/>
      <w:r>
        <w:t>le</w:t>
      </w:r>
      <w:proofErr w:type="gramEnd"/>
      <w:r>
        <w:t xml:space="preserve"> deuxième concerne la contribution du PDR à l’augmentation de l’apprentissage, de la réflexion et du partage. Cela implique de mettre en évidence les plateformes (par exemple, les communautés de pratique), les groupements et les autres formes d</w:t>
      </w:r>
      <w:proofErr w:type="gramStart"/>
      <w:r>
        <w:t>’«espaces</w:t>
      </w:r>
      <w:proofErr w:type="gramEnd"/>
      <w:r>
        <w:t xml:space="preserve">» institutionnels (par exemple, analyses après actions), tant virtuelles que réelles, qui permettent aux participants au processus d’innovation de partager des expériences, de réfléchir sur leur sens et leur valeur, d’apprendre et de prendre ensuite les mesures qui s’imposent. L’indicateur de résultat </w:t>
      </w:r>
      <w:proofErr w:type="gramStart"/>
      <w:r>
        <w:t>supplémentaire:</w:t>
      </w:r>
      <w:proofErr w:type="gramEnd"/>
      <w:r>
        <w:t xml:space="preserve"> «nombre et qualité des plateformes et “espaces” soutenant l’innovation que le PDR a mis en place ou renforcé» est proposé pour mesurer la réussite conformément à ce critère de jugement.</w:t>
      </w:r>
      <w:r>
        <w:rPr>
          <w:i/>
          <w:sz w:val="18"/>
        </w:rPr>
        <w:t xml:space="preserve"> </w:t>
      </w:r>
      <w:r>
        <w:t xml:space="preserve">Les informations quantitatives et qualitatives seront collectées par les évaluateurs au cours de l’évaluation (par exemple, au moyen </w:t>
      </w:r>
      <w:r>
        <w:lastRenderedPageBreak/>
        <w:t>d’enquêtes ou de groupes de discussion avec les participants des plateformes/espaces en question</w:t>
      </w:r>
      <w:proofErr w:type="gramStart"/>
      <w:r>
        <w:t>);</w:t>
      </w:r>
      <w:proofErr w:type="gramEnd"/>
      <w:r>
        <w:t xml:space="preserve"> </w:t>
      </w:r>
    </w:p>
    <w:p w:rsidR="00ED3746" w:rsidRPr="00253803" w:rsidRDefault="00F204F1" w:rsidP="00ED3746">
      <w:pPr>
        <w:numPr>
          <w:ilvl w:val="3"/>
          <w:numId w:val="44"/>
        </w:numPr>
        <w:spacing w:before="60" w:after="120" w:line="280" w:lineRule="atLeast"/>
        <w:ind w:left="1701" w:hanging="567"/>
        <w:rPr>
          <w:rFonts w:eastAsia="Times New Roman" w:cs="Arial"/>
          <w:szCs w:val="20"/>
        </w:rPr>
      </w:pPr>
      <w:r>
        <w:rPr>
          <w:noProof/>
        </w:rPr>
        <mc:AlternateContent>
          <mc:Choice Requires="wps">
            <w:drawing>
              <wp:anchor distT="0" distB="0" distL="114300" distR="114300" simplePos="0" relativeHeight="251656704" behindDoc="0" locked="0" layoutInCell="1" allowOverlap="1">
                <wp:simplePos x="0" y="0"/>
                <wp:positionH relativeFrom="column">
                  <wp:posOffset>3298825</wp:posOffset>
                </wp:positionH>
                <wp:positionV relativeFrom="paragraph">
                  <wp:posOffset>146050</wp:posOffset>
                </wp:positionV>
                <wp:extent cx="2442210" cy="2362200"/>
                <wp:effectExtent l="0" t="0" r="15240" b="19050"/>
                <wp:wrapSquare wrapText="bothSides"/>
                <wp:docPr id="564" name="Rectangle: Diagonal Corners Rounded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2210" cy="2362200"/>
                        </a:xfrm>
                        <a:prstGeom prst="round2DiagRect">
                          <a:avLst>
                            <a:gd name="adj1" fmla="val 7843"/>
                            <a:gd name="adj2" fmla="val 0"/>
                          </a:avLst>
                        </a:prstGeom>
                        <a:noFill/>
                        <a:ln w="25400" cap="flat" cmpd="sng" algn="ctr">
                          <a:solidFill>
                            <a:srgbClr val="BE4A35"/>
                          </a:solidFill>
                          <a:prstDash val="solid"/>
                        </a:ln>
                        <a:effectLst/>
                      </wps:spPr>
                      <wps:txbx>
                        <w:txbxContent>
                          <w:p w:rsidR="00260B0F" w:rsidRPr="000E5745" w:rsidRDefault="00260B0F" w:rsidP="00ED3746">
                            <w:pPr>
                              <w:pStyle w:val="HStandard"/>
                            </w:pPr>
                            <w:r>
                              <w:rPr>
                                <w:noProof/>
                              </w:rPr>
                              <w:drawing>
                                <wp:inline distT="0" distB="0" distL="0" distR="0">
                                  <wp:extent cx="668020" cy="485140"/>
                                  <wp:effectExtent l="0" t="0" r="0" b="0"/>
                                  <wp:docPr id="20"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rPr>
                                <w:b/>
                                <w:color w:val="BE4A35"/>
                                <w:sz w:val="18"/>
                              </w:rPr>
                              <w:t>La collecte de résultats (</w:t>
                            </w:r>
                            <w:proofErr w:type="spellStart"/>
                            <w:r>
                              <w:rPr>
                                <w:b/>
                                <w:i/>
                                <w:color w:val="BE4A35"/>
                                <w:sz w:val="18"/>
                              </w:rPr>
                              <w:t>outcome</w:t>
                            </w:r>
                            <w:proofErr w:type="spellEnd"/>
                            <w:r>
                              <w:rPr>
                                <w:b/>
                                <w:i/>
                                <w:color w:val="BE4A35"/>
                                <w:sz w:val="18"/>
                              </w:rPr>
                              <w:t xml:space="preserve"> </w:t>
                            </w:r>
                            <w:proofErr w:type="spellStart"/>
                            <w:r>
                              <w:rPr>
                                <w:b/>
                                <w:i/>
                                <w:color w:val="BE4A35"/>
                                <w:sz w:val="18"/>
                              </w:rPr>
                              <w:t>harvesting</w:t>
                            </w:r>
                            <w:proofErr w:type="spellEnd"/>
                            <w:r>
                              <w:rPr>
                                <w:b/>
                                <w:color w:val="BE4A35"/>
                                <w:sz w:val="18"/>
                              </w:rPr>
                              <w:t>)</w:t>
                            </w:r>
                            <w:r>
                              <w:rPr>
                                <w:color w:val="BE4A35"/>
                                <w:sz w:val="18"/>
                              </w:rPr>
                              <w:t xml:space="preserve"> </w:t>
                            </w:r>
                            <w:r>
                              <w:rPr>
                                <w:sz w:val="18"/>
                              </w:rPr>
                              <w:t>est une méthode qui demande aux agents du changement du PDR (ceux concernés par l’engagement politique du PDR) de repérer les changements politiques auxquels le PDR a contribué et demande ensuite à des personnes bien informées mais indépendantes de valider ces affirmations.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564" o:spid="_x0000_s1057" style="position:absolute;left:0;text-align:left;margin-left:259.75pt;margin-top:11.5pt;width:192.3pt;height:18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2210,236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" adj="-11796480,,5400" path="m185267,l2442210,r,l2442210,2176933v,102320,-82947,185267,-185267,185267l,2362200r,l,185267c,82947,82947,,185267,xe" filled="f" strokecolor="#be4a35" strokeweight="2pt">
                <v:stroke joinstyle="miter"/>
                <v:formulas/>
                <v:path arrowok="t" o:connecttype="custom" o:connectlocs="185267,0;2442210,0;2442210,0;2442210,2176933;2256943,2362200;0,2362200;0,2362200;0,185267;185267,0" o:connectangles="0,0,0,0,0,0,0,0,0" textboxrect="0,0,2442210,2362200"/>
                <v:textbox>
                  <w:txbxContent>
                    <w:p w:rsidR="00260B0F" w:rsidRPr="000E5745" w:rsidRDefault="00260B0F" w:rsidP="00ED3746">
                      <w:pPr>
                        <w:pStyle w:val="HStandard"/>
                      </w:pPr>
                      <w:r>
                        <w:rPr>
                          <w:noProof/>
                        </w:rPr>
                        <w:drawing>
                          <wp:inline distT="0" distB="0" distL="0" distR="0">
                            <wp:extent cx="668020" cy="485140"/>
                            <wp:effectExtent l="0" t="0" r="0" b="0"/>
                            <wp:docPr id="20"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rPr>
                          <w:b/>
                          <w:color w:val="BE4A35"/>
                          <w:sz w:val="18"/>
                        </w:rPr>
                        <w:t>La collecte de résultats (</w:t>
                      </w:r>
                      <w:proofErr w:type="spellStart"/>
                      <w:r>
                        <w:rPr>
                          <w:b/>
                          <w:i/>
                          <w:color w:val="BE4A35"/>
                          <w:sz w:val="18"/>
                        </w:rPr>
                        <w:t>outcome</w:t>
                      </w:r>
                      <w:proofErr w:type="spellEnd"/>
                      <w:r>
                        <w:rPr>
                          <w:b/>
                          <w:i/>
                          <w:color w:val="BE4A35"/>
                          <w:sz w:val="18"/>
                        </w:rPr>
                        <w:t xml:space="preserve"> </w:t>
                      </w:r>
                      <w:proofErr w:type="spellStart"/>
                      <w:r>
                        <w:rPr>
                          <w:b/>
                          <w:i/>
                          <w:color w:val="BE4A35"/>
                          <w:sz w:val="18"/>
                        </w:rPr>
                        <w:t>harvesting</w:t>
                      </w:r>
                      <w:proofErr w:type="spellEnd"/>
                      <w:r>
                        <w:rPr>
                          <w:b/>
                          <w:color w:val="BE4A35"/>
                          <w:sz w:val="18"/>
                        </w:rPr>
                        <w:t>)</w:t>
                      </w:r>
                      <w:r>
                        <w:rPr>
                          <w:color w:val="BE4A35"/>
                          <w:sz w:val="18"/>
                        </w:rPr>
                        <w:t xml:space="preserve"> </w:t>
                      </w:r>
                      <w:r>
                        <w:rPr>
                          <w:sz w:val="18"/>
                        </w:rPr>
                        <w:t>est une méthode qui demande aux agents du changement du PDR (ceux concernés par l’engagement politique du PDR) de repérer les changements politiques auxquels le PDR a contribué et demande ensuite à des personnes bien informées mais indépendantes de valider ces affirmations.</w:t>
                      </w:r>
                    </w:p>
                  </w:txbxContent>
                </v:textbox>
                <w10:wrap type="square"/>
              </v:shape>
            </w:pict>
          </mc:Fallback>
        </mc:AlternateContent>
      </w:r>
      <w:proofErr w:type="gramStart"/>
      <w:r w:rsidR="00ED3746">
        <w:t>le</w:t>
      </w:r>
      <w:proofErr w:type="gramEnd"/>
      <w:r w:rsidR="00ED3746">
        <w:t xml:space="preserve"> troisième concerne les améliorations dans le flux d’informations et la diversité des types d’organisations dans le système d’innovation au sein duquel le changement a eu lieu. Des données probantes peuvent être collectées avec l’indicateur de résultat </w:t>
      </w:r>
      <w:proofErr w:type="gramStart"/>
      <w:r w:rsidR="00ED3746">
        <w:t>supplémentaire:</w:t>
      </w:r>
      <w:proofErr w:type="gramEnd"/>
      <w:r w:rsidR="00ED3746">
        <w:t xml:space="preserve"> «diminution de la longueur moyenne du chemin réseau et de la diversité du réseau». Cela peut être mesuré par une analyse des réseaux sociaux (ARS), que l’évaluateur devra mener au moment de l’évaluation.</w:t>
      </w:r>
      <w:r w:rsidR="00ED3746">
        <w:rPr>
          <w:b/>
          <w:i/>
          <w:color w:val="BE4A35"/>
        </w:rPr>
        <w:t xml:space="preserve"> L’analyse des réseaux sociaux</w:t>
      </w:r>
      <w:r w:rsidR="00ED3746">
        <w:rPr>
          <w:b/>
          <w:i/>
          <w:color w:val="BE4A35"/>
          <w:vertAlign w:val="superscript"/>
        </w:rPr>
        <w:footnoteReference w:id="77"/>
      </w:r>
      <w:r w:rsidR="00ED3746">
        <w:t xml:space="preserve"> est la méthode à utiliser pour collecter des données probantes pour les indicateurs concernés à deux moments, afin de calculer les changements dans la longueur moyenne du chemin réseau et le nombre de types d’acteurs concernés différents. Les changements doivent alors être reliés à l’intervention du PDR au moyen d’</w:t>
      </w:r>
      <w:r w:rsidR="00ED3746">
        <w:rPr>
          <w:b/>
        </w:rPr>
        <w:t>entretiens</w:t>
      </w:r>
      <w:r w:rsidR="00ED3746">
        <w:t xml:space="preserve"> avec des témoins privilégiés, des personnes bien informées mais indépendantes qui peuvent confirmer ou infirmer les affirmations causales. Idéalement, la situation initiale doit avoir été établie dans le cadre de l’estimation du potentiel d’innovation au début du PDR.</w:t>
      </w:r>
    </w:p>
    <w:p w:rsidR="00ED3746" w:rsidRPr="00E34FAC" w:rsidRDefault="00ED3746" w:rsidP="00ED3746">
      <w:pPr>
        <w:pStyle w:val="Hlistbullet2"/>
      </w:pPr>
      <w:r>
        <w:t xml:space="preserve">La </w:t>
      </w:r>
      <w:r>
        <w:rPr>
          <w:b/>
        </w:rPr>
        <w:t>démarche 3</w:t>
      </w:r>
      <w:r>
        <w:t xml:space="preserve"> établit plusieurs critères de jugement liés aux différents types d’environnements propices décrits au chapitre 1.1:</w:t>
      </w:r>
    </w:p>
    <w:p w:rsidR="00ED3746" w:rsidRPr="00E05D08" w:rsidRDefault="00ED3746" w:rsidP="00ED3746">
      <w:pPr>
        <w:numPr>
          <w:ilvl w:val="0"/>
          <w:numId w:val="48"/>
        </w:numPr>
        <w:spacing w:before="240" w:after="120" w:line="280" w:lineRule="atLeast"/>
        <w:ind w:left="1701" w:hanging="567"/>
        <w:rPr>
          <w:rFonts w:eastAsia="Times New Roman" w:cs="Arial"/>
          <w:szCs w:val="20"/>
        </w:rPr>
      </w:pPr>
      <w:proofErr w:type="gramStart"/>
      <w:r>
        <w:t>le</w:t>
      </w:r>
      <w:proofErr w:type="gramEnd"/>
      <w:r>
        <w:t xml:space="preserve"> premier concerne la mesure dans laquelle le PDR a guidé les politiques qui ont favorisé le changement auquel le PDR a contribué. Cela nécessite de déterminer les politiques que le PDR peut affirmer avoir influencées et de présenter ensuite des éléments à l’appui de ces affirmations. Ces éléments peuvent être collectés avec l’indicateur de résultat supplémentaire</w:t>
      </w:r>
      <w:proofErr w:type="gramStart"/>
      <w:r>
        <w:t xml:space="preserve"> «nombre</w:t>
      </w:r>
      <w:proofErr w:type="gramEnd"/>
      <w:r>
        <w:t xml:space="preserve"> et type de politiques que le PDR a influencées au niveau des organisations participantes et de l’environnement propice plus vaste» au cours de l’évaluation. La collecte des résultats</w:t>
      </w:r>
      <w:r>
        <w:rPr>
          <w:vertAlign w:val="superscript"/>
        </w:rPr>
        <w:footnoteReference w:id="78"/>
      </w:r>
      <w:r>
        <w:t xml:space="preserve"> est une approche bien adaptée à l’évaluation de l’engagement politique du </w:t>
      </w:r>
      <w:proofErr w:type="gramStart"/>
      <w:r>
        <w:t>PDR;</w:t>
      </w:r>
      <w:proofErr w:type="gramEnd"/>
      <w:r>
        <w:t xml:space="preserve"> </w:t>
      </w:r>
    </w:p>
    <w:p w:rsidR="00ED3746" w:rsidRPr="00E05D08" w:rsidRDefault="00ED3746" w:rsidP="00ED3746">
      <w:pPr>
        <w:numPr>
          <w:ilvl w:val="0"/>
          <w:numId w:val="48"/>
        </w:numPr>
        <w:spacing w:before="240" w:after="120" w:line="280" w:lineRule="atLeast"/>
        <w:ind w:left="1701" w:hanging="567"/>
        <w:rPr>
          <w:rFonts w:eastAsia="Times New Roman" w:cs="Arial"/>
          <w:szCs w:val="20"/>
        </w:rPr>
      </w:pPr>
      <w:proofErr w:type="gramStart"/>
      <w:r>
        <w:t>le</w:t>
      </w:r>
      <w:proofErr w:type="gramEnd"/>
      <w:r>
        <w:t xml:space="preserve"> deuxième critère de jugement concerne les possibilités de formation et d’échange de pratiques innovantes soutenues par le PDR. L’indicateur de résultat supplémentaire proposé pour collecter des données probantes est le</w:t>
      </w:r>
      <w:proofErr w:type="gramStart"/>
      <w:r>
        <w:t xml:space="preserve"> «nombre</w:t>
      </w:r>
      <w:proofErr w:type="gramEnd"/>
      <w:r>
        <w:t xml:space="preserve"> de formations et d’événements d’échange de pratiques innovantes et leur part sur le nombre total de formations/d’événements soutenus par le PDR». Les données pour cet indicateur peuvent être collectées via la base de données des opérations, après avoir lié les informations sur les activités de formation et les événements à </w:t>
      </w:r>
      <w:proofErr w:type="gramStart"/>
      <w:r>
        <w:t>l’innovation;</w:t>
      </w:r>
      <w:proofErr w:type="gramEnd"/>
    </w:p>
    <w:p w:rsidR="00ED3746" w:rsidRPr="00E05D08" w:rsidRDefault="00ED3746" w:rsidP="00ED3746">
      <w:pPr>
        <w:numPr>
          <w:ilvl w:val="0"/>
          <w:numId w:val="48"/>
        </w:numPr>
        <w:spacing w:before="60" w:after="120" w:line="280" w:lineRule="atLeast"/>
        <w:ind w:left="1701" w:hanging="567"/>
        <w:rPr>
          <w:rFonts w:eastAsia="Times New Roman" w:cs="Arial"/>
          <w:szCs w:val="20"/>
        </w:rPr>
      </w:pPr>
      <w:proofErr w:type="gramStart"/>
      <w:r>
        <w:lastRenderedPageBreak/>
        <w:t>le</w:t>
      </w:r>
      <w:proofErr w:type="gramEnd"/>
      <w:r>
        <w:t xml:space="preserve"> troisième critère de jugement concerne les interactions propices à l’innovation entre les acteurs de l’innovation. Pour mesurer la réussite en relation avec ce critère de jugement, il est recommandé d’utiliser l’indicateur de résultat </w:t>
      </w:r>
      <w:proofErr w:type="gramStart"/>
      <w:r>
        <w:t>supplémentaire:</w:t>
      </w:r>
      <w:proofErr w:type="gramEnd"/>
      <w:r>
        <w:t xml:space="preserve"> «nombre d’événements organisés axés sur l’établissement de contacts entre les acteurs de l’innovation soutenus par le PDR». Les données pour cet indicateur peuvent être collectées via la base de données des opérations (par exemple, en ajoutant au suivi des événements des informations sur les acteurs de l’innovation soutenus par le PDR</w:t>
      </w:r>
      <w:proofErr w:type="gramStart"/>
      <w:r>
        <w:t>);</w:t>
      </w:r>
      <w:proofErr w:type="gramEnd"/>
      <w:r>
        <w:t xml:space="preserve"> </w:t>
      </w:r>
    </w:p>
    <w:p w:rsidR="00ED3746" w:rsidRDefault="00ED3746" w:rsidP="00ED3746">
      <w:pPr>
        <w:numPr>
          <w:ilvl w:val="0"/>
          <w:numId w:val="48"/>
        </w:numPr>
        <w:spacing w:before="60" w:after="120" w:line="280" w:lineRule="atLeast"/>
        <w:ind w:left="1701" w:hanging="567"/>
        <w:rPr>
          <w:rFonts w:cs="Arial"/>
          <w:szCs w:val="20"/>
        </w:rPr>
      </w:pPr>
      <w:proofErr w:type="gramStart"/>
      <w:r>
        <w:t>le</w:t>
      </w:r>
      <w:proofErr w:type="gramEnd"/>
      <w:r>
        <w:t xml:space="preserve"> quatrième critère de jugement concerne le PDR comme créateur d’un environnement propice à l’introduction de nouvelles technologies. Cela peut être mesuré à l’aide de l’indicateur de résultat supplémentaire</w:t>
      </w:r>
      <w:proofErr w:type="gramStart"/>
      <w:r>
        <w:t xml:space="preserve"> «nombre</w:t>
      </w:r>
      <w:proofErr w:type="gramEnd"/>
      <w:r>
        <w:t xml:space="preserve"> de nouvelles technologies dans les zones rurales soutenues par le PDR, ventilées par type». Les informations nécessaires pour cet indicateur peuvent être collectées à partir de la base de données des opérations, si elle est adaptée en </w:t>
      </w:r>
      <w:proofErr w:type="gramStart"/>
      <w:r>
        <w:t>conséquence;</w:t>
      </w:r>
      <w:proofErr w:type="gramEnd"/>
      <w:r>
        <w:t xml:space="preserve"> </w:t>
      </w:r>
    </w:p>
    <w:p w:rsidR="00ED3746" w:rsidRPr="00B77106" w:rsidRDefault="00ED3746" w:rsidP="00ED3746">
      <w:pPr>
        <w:pStyle w:val="Hlistbullet"/>
        <w:rPr>
          <w:color w:val="FFFFFF"/>
        </w:rPr>
      </w:pPr>
      <w:r>
        <w:rPr>
          <w:b/>
        </w:rPr>
        <w:t>ÉTAPE </w:t>
      </w:r>
      <w:proofErr w:type="gramStart"/>
      <w:r>
        <w:rPr>
          <w:b/>
        </w:rPr>
        <w:t>3:</w:t>
      </w:r>
      <w:proofErr w:type="gramEnd"/>
      <w:r>
        <w:rPr>
          <w:b/>
        </w:rPr>
        <w:t xml:space="preserve"> élaborer une chronologie causale et une description </w:t>
      </w:r>
      <w:r>
        <w:t xml:space="preserve">de la manière dont le ou les changements recensés à l’étape 1 sont survenus. La description partira du principe que le ou les changements sont survenus via une ou plusieurs des trois démarches et leurs interactions (voir la </w:t>
      </w:r>
      <w:hyperlink w:anchor="Pathways" w:history="1">
        <w:r>
          <w:rPr>
            <w:rStyle w:val="Hyperlink"/>
            <w:sz w:val="20"/>
          </w:rPr>
          <w:t>figure 1</w:t>
        </w:r>
      </w:hyperlink>
      <w:r>
        <w:t>). La chronologie et la description doivent inclure tous les événements et les processus essentiels qui ont mené au changement, pas seulement ceux qui ont découlé de l’activité du PDR. Cette approche est basée sur une méthode d’étude de cas</w:t>
      </w:r>
      <w:r>
        <w:rPr>
          <w:vertAlign w:val="superscript"/>
        </w:rPr>
        <w:footnoteReference w:id="79"/>
      </w:r>
      <w:r>
        <w:t>. Les méthodes particulières susceptibles d’être utiles sont le traçage de processus (établir un tracé théorique de la réalisation jusqu’à ses causes en envisageant plusieurs alternatives)</w:t>
      </w:r>
      <w:r>
        <w:rPr>
          <w:vertAlign w:val="superscript"/>
        </w:rPr>
        <w:footnoteReference w:id="80"/>
      </w:r>
      <w:r>
        <w:t xml:space="preserve"> et l’établissement d’historiques d’innovation (méthode permettant de consigner un processus d’innovation et de réfléchir sur celui-ci)</w:t>
      </w:r>
      <w:r>
        <w:rPr>
          <w:vertAlign w:val="superscript"/>
        </w:rPr>
        <w:footnoteReference w:id="81"/>
      </w:r>
      <w:r>
        <w:t>. Les données proviendront des étapes précédentes, de l’analyse de la documentation du PDR ou d’entretiens avec des témoins privilégiés tels que le personnel du programme et les parties concernées.</w:t>
      </w:r>
    </w:p>
    <w:p w:rsidR="00762026" w:rsidRDefault="00762026">
      <w:pPr>
        <w:spacing w:after="0" w:line="240" w:lineRule="auto"/>
        <w:jc w:val="left"/>
        <w:rPr>
          <w:rFonts w:eastAsia="Times New Roman" w:cs="Times New Roman"/>
          <w:szCs w:val="20"/>
        </w:rPr>
      </w:pPr>
      <w:r>
        <w:br w:type="page"/>
      </w:r>
    </w:p>
    <w:p w:rsidR="00762026" w:rsidRPr="00762026" w:rsidRDefault="00762026" w:rsidP="00762026">
      <w:pPr>
        <w:pStyle w:val="Hlistbullet"/>
        <w:numPr>
          <w:ilvl w:val="0"/>
          <w:numId w:val="0"/>
        </w:numPr>
        <w:spacing w:before="240"/>
        <w:ind w:left="567"/>
      </w:pPr>
      <w:r>
        <w:rPr>
          <w:rStyle w:val="FootnoteReference"/>
          <w:color w:val="FFFFFF"/>
        </w:rPr>
        <w:lastRenderedPageBreak/>
        <w:footnoteReference w:id="82"/>
      </w:r>
      <w:r>
        <w:rPr>
          <w:rStyle w:val="FootnoteReference"/>
          <w:color w:val="FFFFFF"/>
        </w:rPr>
        <w:footnoteReference w:id="83"/>
      </w:r>
      <w:r>
        <w:rPr>
          <w:rStyle w:val="FootnoteReference"/>
          <w:color w:val="FFFFFF"/>
        </w:rPr>
        <w:footnoteReference w:id="84"/>
      </w:r>
      <w:r>
        <w:rPr>
          <w:rStyle w:val="FootnoteReference"/>
          <w:color w:val="FFFFFF"/>
        </w:rPr>
        <w:t xml:space="preserve"> </w:t>
      </w:r>
      <w:r>
        <w:rPr>
          <w:rStyle w:val="FootnoteReference"/>
          <w:color w:val="FFFFFF"/>
        </w:rPr>
        <w:footnoteReference w:id="85"/>
      </w:r>
      <w:r>
        <w:rPr>
          <w:noProof/>
        </w:rPr>
        <mc:AlternateContent>
          <mc:Choice Requires="wps">
            <w:drawing>
              <wp:anchor distT="0" distB="0" distL="114300" distR="114300" simplePos="0" relativeHeight="251667968" behindDoc="0" locked="0" layoutInCell="1" allowOverlap="1" wp14:anchorId="19035E18" wp14:editId="313D8C7F">
                <wp:simplePos x="0" y="0"/>
                <wp:positionH relativeFrom="column">
                  <wp:posOffset>15214</wp:posOffset>
                </wp:positionH>
                <wp:positionV relativeFrom="paragraph">
                  <wp:posOffset>283871</wp:posOffset>
                </wp:positionV>
                <wp:extent cx="5670550" cy="2713940"/>
                <wp:effectExtent l="0" t="0" r="25400" b="10795"/>
                <wp:wrapSquare wrapText="bothSides"/>
                <wp:docPr id="566" name="Rectangle: Diagonal Corners Rounded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0" cy="2713940"/>
                        </a:xfrm>
                        <a:prstGeom prst="round2DiagRect">
                          <a:avLst>
                            <a:gd name="adj1" fmla="val 7843"/>
                            <a:gd name="adj2" fmla="val 0"/>
                          </a:avLst>
                        </a:prstGeom>
                        <a:noFill/>
                        <a:ln w="25400" cap="flat" cmpd="sng" algn="ctr">
                          <a:solidFill>
                            <a:srgbClr val="BE4A35"/>
                          </a:solidFill>
                          <a:prstDash val="solid"/>
                        </a:ln>
                        <a:effectLst/>
                      </wps:spPr>
                      <wps:txbx>
                        <w:txbxContent>
                          <w:p w:rsidR="00762026" w:rsidRPr="00EF653F" w:rsidRDefault="00762026" w:rsidP="00762026">
                            <w:pPr>
                              <w:pStyle w:val="HStandard"/>
                              <w:rPr>
                                <w:rFonts w:cs="Arial"/>
                                <w:b/>
                                <w:sz w:val="18"/>
                                <w:szCs w:val="18"/>
                              </w:rPr>
                            </w:pPr>
                            <w:r>
                              <w:rPr>
                                <w:noProof/>
                              </w:rPr>
                              <w:drawing>
                                <wp:inline distT="0" distB="0" distL="0" distR="0" wp14:anchorId="55094558" wp14:editId="5FB61184">
                                  <wp:extent cx="668020" cy="485140"/>
                                  <wp:effectExtent l="0" t="0" r="0" b="0"/>
                                  <wp:docPr id="21"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rPr>
                                <w:b/>
                                <w:color w:val="BE4A35"/>
                                <w:sz w:val="18"/>
                              </w:rPr>
                              <w:t>Techniques d’élaboration de la description et de notation des résultats</w:t>
                            </w:r>
                          </w:p>
                          <w:p w:rsidR="00762026" w:rsidRPr="00EF653F" w:rsidRDefault="00762026" w:rsidP="00762026">
                            <w:pPr>
                              <w:pStyle w:val="HStandard"/>
                              <w:rPr>
                                <w:rFonts w:cs="Arial"/>
                                <w:sz w:val="18"/>
                                <w:szCs w:val="18"/>
                              </w:rPr>
                            </w:pPr>
                            <w:r>
                              <w:t xml:space="preserve">Pour élaborer la description, l’évaluateur peut recourir à plusieurs </w:t>
                            </w:r>
                            <w:r>
                              <w:rPr>
                                <w:b/>
                              </w:rPr>
                              <w:t>techniques visant à trianguler et à étayer les arguments.</w:t>
                            </w:r>
                            <w:r>
                              <w:rPr>
                                <w:b/>
                                <w:sz w:val="18"/>
                              </w:rPr>
                              <w:t xml:space="preserve"> </w:t>
                            </w:r>
                            <w:r>
                              <w:rPr>
                                <w:sz w:val="18"/>
                              </w:rPr>
                              <w:t xml:space="preserve">Ces techniques </w:t>
                            </w:r>
                            <w:proofErr w:type="gramStart"/>
                            <w:r>
                              <w:rPr>
                                <w:sz w:val="18"/>
                              </w:rPr>
                              <w:t>comprennent:</w:t>
                            </w:r>
                            <w:proofErr w:type="gramEnd"/>
                            <w:r>
                              <w:rPr>
                                <w:sz w:val="18"/>
                              </w:rPr>
                              <w:t xml:space="preserve"> </w:t>
                            </w:r>
                            <w:r>
                              <w:t xml:space="preserve">l’analyse de la </w:t>
                            </w:r>
                            <w:r>
                              <w:rPr>
                                <w:sz w:val="18"/>
                              </w:rPr>
                              <w:t>contribution, dans le cadre de laquelle l’évaluateur met en évidence un paquet causal nécessaire et suffisant pour expliquer le changement</w:t>
                            </w:r>
                            <w:r>
                              <w:rPr>
                                <w:sz w:val="18"/>
                                <w:vertAlign w:val="superscript"/>
                              </w:rPr>
                              <w:t>82</w:t>
                            </w:r>
                            <w:r>
                              <w:rPr>
                                <w:sz w:val="18"/>
                              </w:rPr>
                              <w:t>; l’établissement et l’exclusion d’explications causales alternatives</w:t>
                            </w:r>
                            <w:r>
                              <w:rPr>
                                <w:sz w:val="18"/>
                                <w:vertAlign w:val="superscript"/>
                              </w:rPr>
                              <w:t>83</w:t>
                            </w:r>
                            <w:r>
                              <w:rPr>
                                <w:sz w:val="18"/>
                              </w:rPr>
                              <w:t xml:space="preserve"> ou l’identification et la corroboration de parties cruciales de la chaîne de données probantes assemblée pour établir la contribution du PDR</w:t>
                            </w:r>
                            <w:r>
                              <w:rPr>
                                <w:sz w:val="18"/>
                                <w:vertAlign w:val="superscript"/>
                              </w:rPr>
                              <w:t>84</w:t>
                            </w:r>
                            <w:r>
                              <w:rPr>
                                <w:sz w:val="18"/>
                              </w:rPr>
                              <w:t>.</w:t>
                            </w:r>
                          </w:p>
                          <w:p w:rsidR="00762026" w:rsidRPr="000E5745" w:rsidRDefault="00762026" w:rsidP="00762026">
                            <w:pPr>
                              <w:pStyle w:val="HStandard"/>
                            </w:pPr>
                            <w:r>
                              <w:t>Le degré de contribution du PDR</w:t>
                            </w:r>
                            <w:r>
                              <w:rPr>
                                <w:sz w:val="18"/>
                              </w:rPr>
                              <w:t xml:space="preserve"> doit être jugé sur une échelle de Likert</w:t>
                            </w:r>
                            <w:r>
                              <w:rPr>
                                <w:sz w:val="18"/>
                                <w:vertAlign w:val="superscript"/>
                              </w:rPr>
                              <w:t>85</w:t>
                            </w:r>
                            <w:r>
                              <w:rPr>
                                <w:sz w:val="18"/>
                              </w:rPr>
                              <w:t xml:space="preserve"> (par exemple, facteur de contribution nul, faible, moyen, important ou unique). L’évaluateur doit aussi noter son degré de confiance dans les résultats sur une échelle analogue à cinq niveaux. La note donnée devra être </w:t>
                            </w:r>
                            <w:proofErr w:type="gramStart"/>
                            <w:r>
                              <w:rPr>
                                <w:sz w:val="18"/>
                              </w:rPr>
                              <w:t>justifiée;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35E18" id="Rectangle: Diagonal Corners Rounded 566" o:spid="_x0000_s1058" style="position:absolute;left:0;text-align:left;margin-left:1.2pt;margin-top:22.35pt;width:446.5pt;height:213.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13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" adj="-11796480,,5400" path="m212854,l5670550,r,l5670550,2501086v,117556,-95298,212854,-212854,212854l,2713940r,l,212854c,95298,95298,,212854,xe" filled="f" strokecolor="#be4a35" strokeweight="2pt">
                <v:stroke joinstyle="miter"/>
                <v:formulas/>
                <v:path arrowok="t" o:connecttype="custom" o:connectlocs="212854,0;5670550,0;5670550,0;5670550,2501086;5457696,2713940;0,2713940;0,2713940;0,212854;212854,0" o:connectangles="0,0,0,0,0,0,0,0,0" textboxrect="0,0,5670550,2713940"/>
                <v:textbox>
                  <w:txbxContent>
                    <w:p w:rsidR="00762026" w:rsidRPr="00EF653F" w:rsidRDefault="00762026" w:rsidP="00762026">
                      <w:pPr>
                        <w:pStyle w:val="HStandard"/>
                        <w:rPr>
                          <w:rFonts w:cs="Arial"/>
                          <w:b/>
                          <w:sz w:val="18"/>
                          <w:szCs w:val="18"/>
                        </w:rPr>
                      </w:pPr>
                      <w:r>
                        <w:rPr>
                          <w:noProof/>
                        </w:rPr>
                        <w:drawing>
                          <wp:inline distT="0" distB="0" distL="0" distR="0" wp14:anchorId="55094558" wp14:editId="5FB61184">
                            <wp:extent cx="668020" cy="485140"/>
                            <wp:effectExtent l="0" t="0" r="0" b="0"/>
                            <wp:docPr id="21"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020" cy="485140"/>
                                    </a:xfrm>
                                    <a:prstGeom prst="rect">
                                      <a:avLst/>
                                    </a:prstGeom>
                                    <a:noFill/>
                                    <a:ln>
                                      <a:noFill/>
                                    </a:ln>
                                  </pic:spPr>
                                </pic:pic>
                              </a:graphicData>
                            </a:graphic>
                          </wp:inline>
                        </w:drawing>
                      </w:r>
                      <w:r>
                        <w:rPr>
                          <w:b/>
                          <w:color w:val="BE4A35"/>
                          <w:sz w:val="18"/>
                        </w:rPr>
                        <w:t>Techniques d’élaboration de la description et de notation des résultats</w:t>
                      </w:r>
                    </w:p>
                    <w:p w:rsidR="00762026" w:rsidRPr="00EF653F" w:rsidRDefault="00762026" w:rsidP="00762026">
                      <w:pPr>
                        <w:pStyle w:val="HStandard"/>
                        <w:rPr>
                          <w:rFonts w:cs="Arial"/>
                          <w:sz w:val="18"/>
                          <w:szCs w:val="18"/>
                        </w:rPr>
                      </w:pPr>
                      <w:r>
                        <w:t xml:space="preserve">Pour élaborer la description, l’évaluateur peut recourir à plusieurs </w:t>
                      </w:r>
                      <w:r>
                        <w:rPr>
                          <w:b/>
                        </w:rPr>
                        <w:t>techniques visant à trianguler et à étayer les arguments.</w:t>
                      </w:r>
                      <w:r>
                        <w:rPr>
                          <w:b/>
                          <w:sz w:val="18"/>
                        </w:rPr>
                        <w:t xml:space="preserve"> </w:t>
                      </w:r>
                      <w:r>
                        <w:rPr>
                          <w:sz w:val="18"/>
                        </w:rPr>
                        <w:t xml:space="preserve">Ces techniques </w:t>
                      </w:r>
                      <w:proofErr w:type="gramStart"/>
                      <w:r>
                        <w:rPr>
                          <w:sz w:val="18"/>
                        </w:rPr>
                        <w:t>comprennent:</w:t>
                      </w:r>
                      <w:proofErr w:type="gramEnd"/>
                      <w:r>
                        <w:rPr>
                          <w:sz w:val="18"/>
                        </w:rPr>
                        <w:t xml:space="preserve"> </w:t>
                      </w:r>
                      <w:r>
                        <w:t xml:space="preserve">l’analyse de la </w:t>
                      </w:r>
                      <w:r>
                        <w:rPr>
                          <w:sz w:val="18"/>
                        </w:rPr>
                        <w:t>contribution, dans le cadre de laquelle l’évaluateur met en évidence un paquet causal nécessaire et suffisant pour expliquer le changement</w:t>
                      </w:r>
                      <w:r>
                        <w:rPr>
                          <w:sz w:val="18"/>
                          <w:vertAlign w:val="superscript"/>
                        </w:rPr>
                        <w:t>82</w:t>
                      </w:r>
                      <w:r>
                        <w:rPr>
                          <w:sz w:val="18"/>
                        </w:rPr>
                        <w:t>; l’établissement et l’exclusion d’explications causales alternatives</w:t>
                      </w:r>
                      <w:r>
                        <w:rPr>
                          <w:sz w:val="18"/>
                          <w:vertAlign w:val="superscript"/>
                        </w:rPr>
                        <w:t>83</w:t>
                      </w:r>
                      <w:r>
                        <w:rPr>
                          <w:sz w:val="18"/>
                        </w:rPr>
                        <w:t xml:space="preserve"> ou l’identification et la corroboration de parties cruciales de la chaîne de données probantes assemblée pour établir la contribution du PDR</w:t>
                      </w:r>
                      <w:r>
                        <w:rPr>
                          <w:sz w:val="18"/>
                          <w:vertAlign w:val="superscript"/>
                        </w:rPr>
                        <w:t>84</w:t>
                      </w:r>
                      <w:r>
                        <w:rPr>
                          <w:sz w:val="18"/>
                        </w:rPr>
                        <w:t>.</w:t>
                      </w:r>
                    </w:p>
                    <w:p w:rsidR="00762026" w:rsidRPr="000E5745" w:rsidRDefault="00762026" w:rsidP="00762026">
                      <w:pPr>
                        <w:pStyle w:val="HStandard"/>
                      </w:pPr>
                      <w:r>
                        <w:t>Le degré de contribution du PDR</w:t>
                      </w:r>
                      <w:r>
                        <w:rPr>
                          <w:sz w:val="18"/>
                        </w:rPr>
                        <w:t xml:space="preserve"> doit être jugé sur une échelle de Likert</w:t>
                      </w:r>
                      <w:r>
                        <w:rPr>
                          <w:sz w:val="18"/>
                          <w:vertAlign w:val="superscript"/>
                        </w:rPr>
                        <w:t>85</w:t>
                      </w:r>
                      <w:r>
                        <w:rPr>
                          <w:sz w:val="18"/>
                        </w:rPr>
                        <w:t xml:space="preserve"> (par exemple, facteur de contribution nul, faible, moyen, important ou unique). L’évaluateur doit aussi noter son degré de confiance dans les résultats sur une échelle analogue à cinq niveaux. La note donnée devra être </w:t>
                      </w:r>
                      <w:proofErr w:type="gramStart"/>
                      <w:r>
                        <w:rPr>
                          <w:sz w:val="18"/>
                        </w:rPr>
                        <w:t>justifiée;</w:t>
                      </w:r>
                      <w:proofErr w:type="gramEnd"/>
                    </w:p>
                  </w:txbxContent>
                </v:textbox>
                <w10:wrap type="square"/>
              </v:shape>
            </w:pict>
          </mc:Fallback>
        </mc:AlternateContent>
      </w:r>
    </w:p>
    <w:p w:rsidR="00ED3746" w:rsidRPr="00E30E27" w:rsidRDefault="00ED3746" w:rsidP="00ED3746">
      <w:pPr>
        <w:pStyle w:val="Hlistbullet"/>
        <w:spacing w:before="240"/>
      </w:pPr>
      <w:r>
        <w:rPr>
          <w:b/>
        </w:rPr>
        <w:t>ÉTAPE </w:t>
      </w:r>
      <w:proofErr w:type="gramStart"/>
      <w:r>
        <w:rPr>
          <w:b/>
        </w:rPr>
        <w:t>4:</w:t>
      </w:r>
      <w:proofErr w:type="gramEnd"/>
      <w:r>
        <w:rPr>
          <w:b/>
        </w:rPr>
        <w:t xml:space="preserve"> comparer le potentiel d’innovation mis en évidence avant l’évaluation à la contribution faite par le PDR.</w:t>
      </w:r>
      <w:r>
        <w:t xml:space="preserve"> Notre hypothèse de travail est qu’il y aura des différences qui aideront les parties concernées à mieux comprendre l’innovation en tant que processus émergent et imprévisible qui peut néanmoins être favorisé si des mécanismes d’apprentissage et de gestion adaptative sont en place dans le PDR.</w:t>
      </w:r>
    </w:p>
    <w:p w:rsidR="00ED3746" w:rsidRDefault="00ED3746" w:rsidP="00ED3746">
      <w:pPr>
        <w:numPr>
          <w:ilvl w:val="0"/>
          <w:numId w:val="62"/>
        </w:numPr>
        <w:spacing w:before="120" w:after="120" w:line="280" w:lineRule="atLeast"/>
        <w:ind w:left="567" w:hanging="567"/>
        <w:mirrorIndents/>
        <w:rPr>
          <w:rFonts w:eastAsia="Times New Roman" w:cs="Times New Roman"/>
          <w:b/>
          <w:szCs w:val="20"/>
        </w:rPr>
      </w:pPr>
      <w:r>
        <w:rPr>
          <w:b/>
        </w:rPr>
        <w:t>Risques et solutions</w:t>
      </w:r>
      <w:r>
        <w:t xml:space="preserve"> </w:t>
      </w:r>
    </w:p>
    <w:p w:rsidR="00ED3746" w:rsidRPr="00AB6603" w:rsidRDefault="00ED3746" w:rsidP="00ED3746">
      <w:pPr>
        <w:spacing w:before="120" w:after="120" w:line="280" w:lineRule="atLeast"/>
        <w:mirrorIndents/>
        <w:rPr>
          <w:rFonts w:eastAsia="Times New Roman" w:cs="Times New Roman"/>
          <w:b/>
          <w:szCs w:val="20"/>
        </w:rPr>
      </w:pPr>
      <w:r>
        <w:t>Le principal risque est que l’évaluation de l’étude de cas décrite ci-dessus ne soit pas réalisée selon des normes suffisamment strictes pour aboutir à des conclusions convaincantes.</w:t>
      </w:r>
    </w:p>
    <w:p w:rsidR="00ED3746" w:rsidRDefault="00ED3746" w:rsidP="00ED3746">
      <w:pPr>
        <w:spacing w:after="120" w:line="280" w:lineRule="atLeast"/>
        <w:mirrorIndents/>
        <w:rPr>
          <w:rFonts w:eastAsia="Times New Roman" w:cs="Arial"/>
          <w:szCs w:val="20"/>
        </w:rPr>
      </w:pPr>
      <w:r>
        <w:t xml:space="preserve">D’un autre côté, si une approche par étude de cas n’est pas utilisée, le risque est alors d’évaluer la QEC nº 30 exclusivement sur la base des critères de jugement et des indicateurs, ce qui ne permettra pas d’évaluer l’ampleur des contributions du PDR et n’aidera pas les parties concernées à savoir comment le changement survient dans des systèmes complexes. </w:t>
      </w:r>
    </w:p>
    <w:p w:rsidR="00ED3746" w:rsidRPr="00E05D08" w:rsidRDefault="00ED3746" w:rsidP="00ED3746">
      <w:pPr>
        <w:numPr>
          <w:ilvl w:val="0"/>
          <w:numId w:val="62"/>
        </w:numPr>
        <w:spacing w:before="120" w:after="120" w:line="280" w:lineRule="atLeast"/>
        <w:ind w:left="567" w:hanging="567"/>
        <w:mirrorIndents/>
        <w:rPr>
          <w:rFonts w:eastAsia="Times New Roman" w:cs="Times New Roman"/>
          <w:b/>
          <w:szCs w:val="20"/>
        </w:rPr>
      </w:pPr>
      <w:r>
        <w:rPr>
          <w:b/>
        </w:rPr>
        <w:t>Conclusions et recommandations</w:t>
      </w:r>
    </w:p>
    <w:p w:rsidR="00ED3746" w:rsidRPr="00E05D08" w:rsidRDefault="00ED3746" w:rsidP="00ED3746">
      <w:pPr>
        <w:spacing w:after="120" w:line="280" w:lineRule="atLeast"/>
        <w:mirrorIndents/>
        <w:rPr>
          <w:rFonts w:eastAsia="Times New Roman" w:cs="Arial"/>
          <w:szCs w:val="20"/>
        </w:rPr>
      </w:pPr>
      <w:r>
        <w:t xml:space="preserve">Les conclusions et les recommandations relatives à la QEC nº 30 devraient prendre en considération les aspects </w:t>
      </w:r>
      <w:proofErr w:type="gramStart"/>
      <w:r>
        <w:t>suivants:</w:t>
      </w:r>
      <w:proofErr w:type="gramEnd"/>
    </w:p>
    <w:p w:rsidR="00ED3746" w:rsidRPr="00812586" w:rsidRDefault="00ED3746" w:rsidP="00ED3746">
      <w:pPr>
        <w:pStyle w:val="Hlistbullet"/>
      </w:pPr>
      <w:proofErr w:type="gramStart"/>
      <w:r>
        <w:t>les</w:t>
      </w:r>
      <w:proofErr w:type="gramEnd"/>
      <w:r>
        <w:t xml:space="preserve"> mesures particulières (et leur combinaison) qui ont été les plus efficaces et les plus efficientes pour favoriser l’innovation dans les zones rurales via le PDR; </w:t>
      </w:r>
    </w:p>
    <w:p w:rsidR="00ED3746" w:rsidRPr="00812586" w:rsidRDefault="00ED3746" w:rsidP="00ED3746">
      <w:pPr>
        <w:pStyle w:val="Hlistbullet"/>
      </w:pPr>
      <w:proofErr w:type="gramStart"/>
      <w:r>
        <w:t>les</w:t>
      </w:r>
      <w:proofErr w:type="gramEnd"/>
      <w:r>
        <w:t xml:space="preserve"> façons dont le PDR a favorisé l’innovation en relation avec les trois démarches; </w:t>
      </w:r>
    </w:p>
    <w:p w:rsidR="00ED3746" w:rsidRPr="00812586" w:rsidRDefault="00ED3746" w:rsidP="00ED3746">
      <w:pPr>
        <w:pStyle w:val="Hlistbullet"/>
      </w:pPr>
      <w:proofErr w:type="gramStart"/>
      <w:r>
        <w:t>les</w:t>
      </w:r>
      <w:proofErr w:type="gramEnd"/>
      <w:r>
        <w:t xml:space="preserve"> objectifs politiques auxquels la stimulation de l’innovation a contribué le plus sensiblement; </w:t>
      </w:r>
    </w:p>
    <w:p w:rsidR="00ED3746" w:rsidRDefault="00ED3746" w:rsidP="00ED3746">
      <w:pPr>
        <w:pStyle w:val="Hlistbullet"/>
      </w:pPr>
      <w:proofErr w:type="gramStart"/>
      <w:r>
        <w:t>les</w:t>
      </w:r>
      <w:proofErr w:type="gramEnd"/>
      <w:r>
        <w:t xml:space="preserve"> parties concernées et les bénéficiaires du PDR qui ont été les porteurs d’innovation les plus efficaces. </w:t>
      </w:r>
      <w:r>
        <w:br w:type="page"/>
      </w:r>
    </w:p>
    <w:p w:rsidR="00ED3746" w:rsidRDefault="00ED3746" w:rsidP="00ED3746">
      <w:pPr>
        <w:ind w:left="720"/>
        <w:mirrorIndents/>
        <w:sectPr w:rsidR="00ED3746" w:rsidSect="00ED3746">
          <w:headerReference w:type="even" r:id="rId74"/>
          <w:headerReference w:type="first" r:id="rId75"/>
          <w:pgSz w:w="11907" w:h="16840" w:code="9"/>
          <w:pgMar w:top="1440" w:right="1440" w:bottom="1134" w:left="1440" w:header="567" w:footer="1020" w:gutter="0"/>
          <w:cols w:space="708"/>
          <w:titlePg/>
          <w:docGrid w:linePitch="435"/>
        </w:sectPr>
      </w:pPr>
    </w:p>
    <w:p w:rsidR="00ED3746" w:rsidRPr="00E05D08" w:rsidRDefault="00F204F1" w:rsidP="00ED3746">
      <w:pPr>
        <w:keepNext/>
        <w:keepLines/>
        <w:tabs>
          <w:tab w:val="left" w:pos="680"/>
        </w:tabs>
        <w:spacing w:before="240" w:after="240" w:line="280" w:lineRule="atLeast"/>
        <w:mirrorIndents/>
        <w:outlineLvl w:val="3"/>
        <w:rPr>
          <w:rFonts w:eastAsia="Times New Roman" w:cs="Times New Roman"/>
          <w:b/>
          <w:color w:val="57825E"/>
          <w:szCs w:val="20"/>
        </w:rPr>
      </w:pPr>
      <w:r>
        <w:rPr>
          <w:noProof/>
        </w:rPr>
        <w:lastRenderedPageBreak/>
        <mc:AlternateContent>
          <mc:Choice Requires="wps">
            <w:drawing>
              <wp:anchor distT="0" distB="0" distL="114300" distR="114300" simplePos="0" relativeHeight="251644416" behindDoc="0" locked="0" layoutInCell="1" allowOverlap="1">
                <wp:simplePos x="0" y="0"/>
                <wp:positionH relativeFrom="column">
                  <wp:posOffset>-53975</wp:posOffset>
                </wp:positionH>
                <wp:positionV relativeFrom="paragraph">
                  <wp:posOffset>325755</wp:posOffset>
                </wp:positionV>
                <wp:extent cx="5812155" cy="4083685"/>
                <wp:effectExtent l="0" t="0" r="0" b="0"/>
                <wp:wrapNone/>
                <wp:docPr id="582" name="Rectangle: Diagonal Corners Rounded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2155" cy="4083685"/>
                        </a:xfrm>
                        <a:prstGeom prst="round2DiagRect">
                          <a:avLst>
                            <a:gd name="adj1" fmla="val 6996"/>
                            <a:gd name="adj2" fmla="val 0"/>
                          </a:avLst>
                        </a:prstGeom>
                        <a:noFill/>
                        <a:ln w="25400" cap="flat" cmpd="sng" algn="ctr">
                          <a:solidFill>
                            <a:srgbClr val="59638E"/>
                          </a:solidFill>
                          <a:prstDash val="solid"/>
                        </a:ln>
                        <a:effectLst/>
                      </wps:spPr>
                      <wps:txbx>
                        <w:txbxContent>
                          <w:p w:rsidR="00260B0F" w:rsidRDefault="00260B0F" w:rsidP="00ED3746">
                            <w:pPr>
                              <w:pStyle w:val="HStandard"/>
                              <w:rPr>
                                <w:sz w:val="18"/>
                                <w:szCs w:val="18"/>
                              </w:rPr>
                            </w:pPr>
                            <w:r>
                              <w:rPr>
                                <w:noProof/>
                              </w:rPr>
                              <w:drawing>
                                <wp:inline distT="0" distB="0" distL="0" distR="0">
                                  <wp:extent cx="357505" cy="357505"/>
                                  <wp:effectExtent l="0" t="0" r="0" b="0"/>
                                  <wp:docPr id="22"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260B0F" w:rsidRDefault="00260B0F" w:rsidP="00ED3746">
                            <w:pPr>
                              <w:pStyle w:val="HStandard"/>
                              <w:rPr>
                                <w:sz w:val="18"/>
                                <w:szCs w:val="18"/>
                                <w:lang w:val="en-GB"/>
                              </w:rPr>
                            </w:pPr>
                            <w:r w:rsidRPr="00260B0F">
                              <w:rPr>
                                <w:sz w:val="18"/>
                                <w:lang w:val="en-GB"/>
                              </w:rPr>
                              <w:t xml:space="preserve">Allen, I.E. et Seaman, C.A. (2007), </w:t>
                            </w:r>
                            <w:hyperlink r:id="rId76" w:history="1">
                              <w:r w:rsidRPr="00260B0F">
                                <w:rPr>
                                  <w:rStyle w:val="Hyperlink"/>
                                  <w:sz w:val="18"/>
                                  <w:lang w:val="en-GB"/>
                                </w:rPr>
                                <w:t>Likert scales and data analyses</w:t>
                              </w:r>
                            </w:hyperlink>
                            <w:r w:rsidRPr="00260B0F">
                              <w:rPr>
                                <w:sz w:val="18"/>
                                <w:lang w:val="en-GB"/>
                              </w:rPr>
                              <w:t>, Quality progress, 40(7), p. 64.</w:t>
                            </w:r>
                          </w:p>
                          <w:p w:rsidR="00260B0F" w:rsidRPr="00D97603" w:rsidRDefault="00260B0F" w:rsidP="00ED3746">
                            <w:pPr>
                              <w:pStyle w:val="HStandard"/>
                              <w:jc w:val="left"/>
                              <w:rPr>
                                <w:sz w:val="18"/>
                                <w:szCs w:val="18"/>
                                <w:lang w:val="en-GB"/>
                              </w:rPr>
                            </w:pPr>
                            <w:r w:rsidRPr="00D97603">
                              <w:rPr>
                                <w:sz w:val="18"/>
                                <w:lang w:val="en-GB"/>
                              </w:rPr>
                              <w:t xml:space="preserve">Collier, D., 2011, </w:t>
                            </w:r>
                            <w:r w:rsidRPr="00D97603">
                              <w:rPr>
                                <w:lang w:val="en-GB"/>
                              </w:rPr>
                              <w:t>«</w:t>
                            </w:r>
                            <w:hyperlink r:id="rId77" w:history="1">
                              <w:r w:rsidRPr="00D97603">
                                <w:rPr>
                                  <w:rStyle w:val="Hyperlink"/>
                                  <w:sz w:val="18"/>
                                  <w:lang w:val="en-GB"/>
                                </w:rPr>
                                <w:t>Understanding process tracing.</w:t>
                              </w:r>
                            </w:hyperlink>
                            <w:r w:rsidRPr="00D97603">
                              <w:rPr>
                                <w:lang w:val="en-GB"/>
                              </w:rPr>
                              <w:t>»</w:t>
                            </w:r>
                            <w:r w:rsidRPr="00D97603">
                              <w:rPr>
                                <w:sz w:val="18"/>
                                <w:lang w:val="en-GB"/>
                              </w:rPr>
                              <w:t> PS: Political Science &amp; Politics 44.04: 823-830.</w:t>
                            </w:r>
                          </w:p>
                          <w:p w:rsidR="00260B0F" w:rsidRPr="00BA450C" w:rsidRDefault="00260B0F" w:rsidP="00ED3746">
                            <w:pPr>
                              <w:pStyle w:val="HStandard"/>
                              <w:jc w:val="left"/>
                              <w:rPr>
                                <w:sz w:val="18"/>
                                <w:szCs w:val="18"/>
                              </w:rPr>
                            </w:pPr>
                            <w:r w:rsidRPr="00D97603">
                              <w:rPr>
                                <w:sz w:val="18"/>
                                <w:lang w:val="en-GB"/>
                              </w:rPr>
                              <w:t xml:space="preserve">Douthwaite, B. et Ashby, J., 2005, Innovation histories: a method from learning from experience. </w:t>
                            </w:r>
                            <w:proofErr w:type="spellStart"/>
                            <w:r>
                              <w:rPr>
                                <w:sz w:val="18"/>
                              </w:rPr>
                              <w:t>Institutional</w:t>
                            </w:r>
                            <w:proofErr w:type="spellEnd"/>
                            <w:r>
                              <w:rPr>
                                <w:sz w:val="18"/>
                              </w:rPr>
                              <w:t xml:space="preserve"> Learning and Change Initiative. Consulté le 15 mai à l’adresse </w:t>
                            </w:r>
                            <w:proofErr w:type="gramStart"/>
                            <w:r>
                              <w:rPr>
                                <w:sz w:val="18"/>
                              </w:rPr>
                              <w:t>suivante:</w:t>
                            </w:r>
                            <w:proofErr w:type="gramEnd"/>
                            <w:r>
                              <w:rPr>
                                <w:sz w:val="18"/>
                              </w:rPr>
                              <w:t xml:space="preserve"> </w:t>
                            </w:r>
                            <w:hyperlink r:id="rId78" w:history="1">
                              <w:r>
                                <w:rPr>
                                  <w:rStyle w:val="Hyperlink"/>
                                  <w:sz w:val="18"/>
                                </w:rPr>
                                <w:t>http://ageconsearch.umn.edu/bitstream/52515/2/ILAC_Brief05_Histories.pdf.</w:t>
                              </w:r>
                            </w:hyperlink>
                          </w:p>
                          <w:p w:rsidR="00260B0F" w:rsidRPr="00D97603" w:rsidRDefault="00260B0F" w:rsidP="00ED3746">
                            <w:pPr>
                              <w:pStyle w:val="HStandard"/>
                              <w:jc w:val="left"/>
                              <w:rPr>
                                <w:sz w:val="18"/>
                                <w:szCs w:val="18"/>
                                <w:lang w:val="en-GB"/>
                              </w:rPr>
                            </w:pPr>
                            <w:r w:rsidRPr="00D97603">
                              <w:rPr>
                                <w:sz w:val="18"/>
                                <w:lang w:val="en-GB"/>
                              </w:rPr>
                              <w:t xml:space="preserve">GAO (General Accounts Office) (1987) </w:t>
                            </w:r>
                            <w:hyperlink r:id="rId79" w:history="1">
                              <w:r w:rsidRPr="00D97603">
                                <w:rPr>
                                  <w:rStyle w:val="Hyperlink"/>
                                  <w:sz w:val="18"/>
                                  <w:lang w:val="en-GB"/>
                                </w:rPr>
                                <w:t>Case study evaluation. Program Evaluation and Methodology</w:t>
                              </w:r>
                            </w:hyperlink>
                            <w:r w:rsidRPr="00D97603">
                              <w:rPr>
                                <w:sz w:val="18"/>
                                <w:lang w:val="en-GB"/>
                              </w:rPr>
                              <w:t>. Division, Transfer Paper 9. Washington DC: GAO.</w:t>
                            </w:r>
                          </w:p>
                          <w:p w:rsidR="00260B0F" w:rsidRPr="00D97603" w:rsidRDefault="00260B0F" w:rsidP="00ED3746">
                            <w:pPr>
                              <w:pStyle w:val="HStandard"/>
                              <w:jc w:val="left"/>
                              <w:rPr>
                                <w:sz w:val="18"/>
                                <w:szCs w:val="18"/>
                                <w:lang w:val="en-GB"/>
                              </w:rPr>
                            </w:pPr>
                            <w:r w:rsidRPr="00D97603">
                              <w:rPr>
                                <w:sz w:val="18"/>
                                <w:lang w:val="en-GB"/>
                              </w:rPr>
                              <w:t xml:space="preserve">Hilton, D.J., 1996, </w:t>
                            </w:r>
                            <w:hyperlink r:id="rId80" w:history="1">
                              <w:r w:rsidRPr="00D97603">
                                <w:rPr>
                                  <w:rStyle w:val="Hyperlink"/>
                                  <w:sz w:val="18"/>
                                  <w:lang w:val="en-GB"/>
                                </w:rPr>
                                <w:t>Mental models and causal explanation: Judgments of probable cause and explanatory relevance</w:t>
                              </w:r>
                            </w:hyperlink>
                            <w:r w:rsidRPr="00D97603">
                              <w:rPr>
                                <w:sz w:val="18"/>
                                <w:lang w:val="en-GB"/>
                              </w:rPr>
                              <w:t>, Thinking &amp; Reasoning, 2(4), p. 273-308.</w:t>
                            </w:r>
                          </w:p>
                          <w:p w:rsidR="00260B0F" w:rsidRPr="00D97603" w:rsidRDefault="00260B0F" w:rsidP="00ED3746">
                            <w:pPr>
                              <w:pStyle w:val="HStandard"/>
                              <w:jc w:val="left"/>
                              <w:rPr>
                                <w:sz w:val="18"/>
                                <w:szCs w:val="18"/>
                                <w:lang w:val="en-GB"/>
                              </w:rPr>
                            </w:pPr>
                            <w:r w:rsidRPr="00D97603">
                              <w:rPr>
                                <w:sz w:val="18"/>
                                <w:lang w:val="en-GB"/>
                              </w:rPr>
                              <w:t xml:space="preserve">Mayne, J., 2012, </w:t>
                            </w:r>
                            <w:hyperlink r:id="rId81" w:history="1">
                              <w:r w:rsidRPr="00D97603">
                                <w:rPr>
                                  <w:rStyle w:val="Hyperlink"/>
                                  <w:sz w:val="18"/>
                                  <w:lang w:val="en-GB"/>
                                </w:rPr>
                                <w:t>Contribution analysis: Coming of age? </w:t>
                              </w:r>
                            </w:hyperlink>
                            <w:r w:rsidRPr="00D97603">
                              <w:rPr>
                                <w:sz w:val="18"/>
                                <w:lang w:val="en-GB"/>
                              </w:rPr>
                              <w:t>Evaluation 18.3 (2012): 270-280.</w:t>
                            </w:r>
                          </w:p>
                          <w:p w:rsidR="00260B0F" w:rsidRPr="00D97603" w:rsidRDefault="00260B0F" w:rsidP="00ED3746">
                            <w:pPr>
                              <w:pStyle w:val="HStandard"/>
                              <w:jc w:val="left"/>
                              <w:rPr>
                                <w:sz w:val="18"/>
                                <w:szCs w:val="18"/>
                                <w:lang w:val="en-GB"/>
                              </w:rPr>
                            </w:pPr>
                            <w:r w:rsidRPr="00D97603">
                              <w:rPr>
                                <w:sz w:val="18"/>
                                <w:lang w:val="en-GB"/>
                              </w:rPr>
                              <w:t xml:space="preserve">Pawson, R., Greenhalgh, T., Harvey, G. et Walshe, K., 2005, </w:t>
                            </w:r>
                            <w:hyperlink r:id="rId82" w:history="1">
                              <w:r w:rsidRPr="00D97603">
                                <w:rPr>
                                  <w:rStyle w:val="Hyperlink"/>
                                  <w:sz w:val="18"/>
                                  <w:lang w:val="en-GB"/>
                                </w:rPr>
                                <w:t>Realist review–a new method of systematic review designed for complex policy interventions,</w:t>
                              </w:r>
                            </w:hyperlink>
                            <w:r w:rsidRPr="00D97603">
                              <w:rPr>
                                <w:sz w:val="18"/>
                                <w:lang w:val="en-GB"/>
                              </w:rPr>
                              <w:t> Journal of health services research &amp; policy, 10 (</w:t>
                            </w:r>
                            <w:proofErr w:type="spellStart"/>
                            <w:r w:rsidRPr="00D97603">
                              <w:rPr>
                                <w:sz w:val="18"/>
                                <w:lang w:val="en-GB"/>
                              </w:rPr>
                              <w:t>suppl</w:t>
                            </w:r>
                            <w:proofErr w:type="spellEnd"/>
                            <w:r w:rsidRPr="00D97603">
                              <w:rPr>
                                <w:sz w:val="18"/>
                                <w:lang w:val="en-GB"/>
                              </w:rPr>
                              <w:t xml:space="preserve"> 1), p. 21-34.</w:t>
                            </w:r>
                          </w:p>
                          <w:p w:rsidR="00260B0F" w:rsidRPr="00D97603" w:rsidRDefault="00260B0F" w:rsidP="00ED3746">
                            <w:pPr>
                              <w:pStyle w:val="HStandard"/>
                              <w:jc w:val="left"/>
                              <w:rPr>
                                <w:sz w:val="18"/>
                                <w:szCs w:val="18"/>
                                <w:lang w:val="en-GB"/>
                              </w:rPr>
                            </w:pPr>
                            <w:r w:rsidRPr="00D97603">
                              <w:rPr>
                                <w:sz w:val="18"/>
                                <w:lang w:val="en-GB"/>
                              </w:rPr>
                              <w:t>Wilson-Grau, R. (2015) </w:t>
                            </w:r>
                            <w:r w:rsidRPr="00D97603">
                              <w:rPr>
                                <w:i/>
                                <w:sz w:val="18"/>
                                <w:lang w:val="en-GB"/>
                              </w:rPr>
                              <w:t>Outcome Harvesting</w:t>
                            </w:r>
                            <w:r w:rsidRPr="00D97603">
                              <w:rPr>
                                <w:sz w:val="18"/>
                                <w:lang w:val="en-GB"/>
                              </w:rPr>
                              <w:t xml:space="preserve">. Better Evaluation, </w:t>
                            </w:r>
                            <w:proofErr w:type="spellStart"/>
                            <w:r w:rsidRPr="00D97603">
                              <w:rPr>
                                <w:sz w:val="18"/>
                                <w:lang w:val="en-GB"/>
                              </w:rPr>
                              <w:t>tiré</w:t>
                            </w:r>
                            <w:proofErr w:type="spellEnd"/>
                            <w:r w:rsidRPr="00D97603">
                              <w:rPr>
                                <w:sz w:val="18"/>
                                <w:lang w:val="en-GB"/>
                              </w:rPr>
                              <w:t xml:space="preserve"> de </w:t>
                            </w:r>
                            <w:hyperlink r:id="rId83" w:history="1">
                              <w:r w:rsidRPr="00D97603">
                                <w:rPr>
                                  <w:rStyle w:val="Hyperlink"/>
                                  <w:sz w:val="18"/>
                                  <w:lang w:val="en-GB"/>
                                </w:rPr>
                                <w:t>http://betterevaluation.org/plan/approach/outcome_harvesting</w:t>
                              </w:r>
                            </w:hyperlink>
                            <w:r w:rsidRPr="00D97603">
                              <w:rPr>
                                <w:sz w:val="18"/>
                                <w:lang w:val="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582" o:spid="_x0000_s1059" style="position:absolute;left:0;text-align:left;margin-left:-4.25pt;margin-top:25.65pt;width:457.65pt;height:321.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2155,4083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" adj="-11796480,,5400" path="m285695,l5812155,r,l5812155,3797990v,157785,-127910,285695,-285695,285695l,4083685r,l,285695c,127910,127910,,285695,xe" filled="f" strokecolor="#59638e" strokeweight="2pt">
                <v:stroke joinstyle="miter"/>
                <v:formulas/>
                <v:path arrowok="t" o:connecttype="custom" o:connectlocs="285695,0;5812155,0;5812155,0;5812155,3797990;5526460,4083685;0,4083685;0,4083685;0,285695;285695,0" o:connectangles="0,0,0,0,0,0,0,0,0" textboxrect="0,0,5812155,4083685"/>
                <v:textbox>
                  <w:txbxContent>
                    <w:p w:rsidR="00260B0F" w:rsidRDefault="00260B0F" w:rsidP="00ED3746">
                      <w:pPr>
                        <w:pStyle w:val="HStandard"/>
                        <w:rPr>
                          <w:sz w:val="18"/>
                          <w:szCs w:val="18"/>
                        </w:rPr>
                      </w:pPr>
                      <w:r>
                        <w:rPr>
                          <w:noProof/>
                        </w:rPr>
                        <w:drawing>
                          <wp:inline distT="0" distB="0" distL="0" distR="0">
                            <wp:extent cx="357505" cy="357505"/>
                            <wp:effectExtent l="0" t="0" r="0" b="0"/>
                            <wp:docPr id="22"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505" cy="357505"/>
                                    </a:xfrm>
                                    <a:prstGeom prst="rect">
                                      <a:avLst/>
                                    </a:prstGeom>
                                    <a:noFill/>
                                    <a:ln>
                                      <a:noFill/>
                                    </a:ln>
                                  </pic:spPr>
                                </pic:pic>
                              </a:graphicData>
                            </a:graphic>
                          </wp:inline>
                        </w:drawing>
                      </w:r>
                    </w:p>
                    <w:p w:rsidR="00260B0F" w:rsidRPr="00260B0F" w:rsidRDefault="00260B0F" w:rsidP="00ED3746">
                      <w:pPr>
                        <w:pStyle w:val="HStandard"/>
                        <w:rPr>
                          <w:sz w:val="18"/>
                          <w:szCs w:val="18"/>
                          <w:lang w:val="en-GB"/>
                        </w:rPr>
                      </w:pPr>
                      <w:r w:rsidRPr="00260B0F">
                        <w:rPr>
                          <w:sz w:val="18"/>
                          <w:lang w:val="en-GB"/>
                        </w:rPr>
                        <w:t xml:space="preserve">Allen, I.E. et Seaman, C.A. (2007), </w:t>
                      </w:r>
                      <w:hyperlink r:id="rId84" w:history="1">
                        <w:r w:rsidRPr="00260B0F">
                          <w:rPr>
                            <w:rStyle w:val="Hyperlink"/>
                            <w:sz w:val="18"/>
                            <w:lang w:val="en-GB"/>
                          </w:rPr>
                          <w:t>Likert scales and data analyses</w:t>
                        </w:r>
                      </w:hyperlink>
                      <w:r w:rsidRPr="00260B0F">
                        <w:rPr>
                          <w:sz w:val="18"/>
                          <w:lang w:val="en-GB"/>
                        </w:rPr>
                        <w:t>, Quality progress, 40(7), p. 64.</w:t>
                      </w:r>
                    </w:p>
                    <w:p w:rsidR="00260B0F" w:rsidRPr="00D97603" w:rsidRDefault="00260B0F" w:rsidP="00ED3746">
                      <w:pPr>
                        <w:pStyle w:val="HStandard"/>
                        <w:jc w:val="left"/>
                        <w:rPr>
                          <w:sz w:val="18"/>
                          <w:szCs w:val="18"/>
                          <w:lang w:val="en-GB"/>
                        </w:rPr>
                      </w:pPr>
                      <w:r w:rsidRPr="00D97603">
                        <w:rPr>
                          <w:sz w:val="18"/>
                          <w:lang w:val="en-GB"/>
                        </w:rPr>
                        <w:t xml:space="preserve">Collier, D., 2011, </w:t>
                      </w:r>
                      <w:r w:rsidRPr="00D97603">
                        <w:rPr>
                          <w:lang w:val="en-GB"/>
                        </w:rPr>
                        <w:t>«</w:t>
                      </w:r>
                      <w:hyperlink r:id="rId85" w:history="1">
                        <w:r w:rsidRPr="00D97603">
                          <w:rPr>
                            <w:rStyle w:val="Hyperlink"/>
                            <w:sz w:val="18"/>
                            <w:lang w:val="en-GB"/>
                          </w:rPr>
                          <w:t>Understanding process tracing.</w:t>
                        </w:r>
                      </w:hyperlink>
                      <w:r w:rsidRPr="00D97603">
                        <w:rPr>
                          <w:lang w:val="en-GB"/>
                        </w:rPr>
                        <w:t>»</w:t>
                      </w:r>
                      <w:r w:rsidRPr="00D97603">
                        <w:rPr>
                          <w:sz w:val="18"/>
                          <w:lang w:val="en-GB"/>
                        </w:rPr>
                        <w:t> PS: Political Science &amp; Politics 44.04: 823-830.</w:t>
                      </w:r>
                    </w:p>
                    <w:p w:rsidR="00260B0F" w:rsidRPr="00BA450C" w:rsidRDefault="00260B0F" w:rsidP="00ED3746">
                      <w:pPr>
                        <w:pStyle w:val="HStandard"/>
                        <w:jc w:val="left"/>
                        <w:rPr>
                          <w:sz w:val="18"/>
                          <w:szCs w:val="18"/>
                        </w:rPr>
                      </w:pPr>
                      <w:r w:rsidRPr="00D97603">
                        <w:rPr>
                          <w:sz w:val="18"/>
                          <w:lang w:val="en-GB"/>
                        </w:rPr>
                        <w:t xml:space="preserve">Douthwaite, B. et Ashby, J., 2005, Innovation histories: a method from learning from experience. </w:t>
                      </w:r>
                      <w:proofErr w:type="spellStart"/>
                      <w:r>
                        <w:rPr>
                          <w:sz w:val="18"/>
                        </w:rPr>
                        <w:t>Institutional</w:t>
                      </w:r>
                      <w:proofErr w:type="spellEnd"/>
                      <w:r>
                        <w:rPr>
                          <w:sz w:val="18"/>
                        </w:rPr>
                        <w:t xml:space="preserve"> Learning and Change Initiative. Consulté le 15 mai à l’adresse </w:t>
                      </w:r>
                      <w:proofErr w:type="gramStart"/>
                      <w:r>
                        <w:rPr>
                          <w:sz w:val="18"/>
                        </w:rPr>
                        <w:t>suivante:</w:t>
                      </w:r>
                      <w:proofErr w:type="gramEnd"/>
                      <w:r>
                        <w:rPr>
                          <w:sz w:val="18"/>
                        </w:rPr>
                        <w:t xml:space="preserve"> </w:t>
                      </w:r>
                      <w:hyperlink r:id="rId86" w:history="1">
                        <w:r>
                          <w:rPr>
                            <w:rStyle w:val="Hyperlink"/>
                            <w:sz w:val="18"/>
                          </w:rPr>
                          <w:t>http://ageconsearch.umn.edu/bitstream/52515/2/ILAC_Brief05_Histories.pdf.</w:t>
                        </w:r>
                      </w:hyperlink>
                    </w:p>
                    <w:p w:rsidR="00260B0F" w:rsidRPr="00D97603" w:rsidRDefault="00260B0F" w:rsidP="00ED3746">
                      <w:pPr>
                        <w:pStyle w:val="HStandard"/>
                        <w:jc w:val="left"/>
                        <w:rPr>
                          <w:sz w:val="18"/>
                          <w:szCs w:val="18"/>
                          <w:lang w:val="en-GB"/>
                        </w:rPr>
                      </w:pPr>
                      <w:r w:rsidRPr="00D97603">
                        <w:rPr>
                          <w:sz w:val="18"/>
                          <w:lang w:val="en-GB"/>
                        </w:rPr>
                        <w:t xml:space="preserve">GAO (General Accounts Office) (1987) </w:t>
                      </w:r>
                      <w:hyperlink r:id="rId87" w:history="1">
                        <w:r w:rsidRPr="00D97603">
                          <w:rPr>
                            <w:rStyle w:val="Hyperlink"/>
                            <w:sz w:val="18"/>
                            <w:lang w:val="en-GB"/>
                          </w:rPr>
                          <w:t>Case study evaluation. Program Evaluation and Methodology</w:t>
                        </w:r>
                      </w:hyperlink>
                      <w:r w:rsidRPr="00D97603">
                        <w:rPr>
                          <w:sz w:val="18"/>
                          <w:lang w:val="en-GB"/>
                        </w:rPr>
                        <w:t>. Division, Transfer Paper 9. Washington DC: GAO.</w:t>
                      </w:r>
                    </w:p>
                    <w:p w:rsidR="00260B0F" w:rsidRPr="00D97603" w:rsidRDefault="00260B0F" w:rsidP="00ED3746">
                      <w:pPr>
                        <w:pStyle w:val="HStandard"/>
                        <w:jc w:val="left"/>
                        <w:rPr>
                          <w:sz w:val="18"/>
                          <w:szCs w:val="18"/>
                          <w:lang w:val="en-GB"/>
                        </w:rPr>
                      </w:pPr>
                      <w:r w:rsidRPr="00D97603">
                        <w:rPr>
                          <w:sz w:val="18"/>
                          <w:lang w:val="en-GB"/>
                        </w:rPr>
                        <w:t xml:space="preserve">Hilton, D.J., 1996, </w:t>
                      </w:r>
                      <w:hyperlink r:id="rId88" w:history="1">
                        <w:r w:rsidRPr="00D97603">
                          <w:rPr>
                            <w:rStyle w:val="Hyperlink"/>
                            <w:sz w:val="18"/>
                            <w:lang w:val="en-GB"/>
                          </w:rPr>
                          <w:t>Mental models and causal explanation: Judgments of probable cause and explanatory relevance</w:t>
                        </w:r>
                      </w:hyperlink>
                      <w:r w:rsidRPr="00D97603">
                        <w:rPr>
                          <w:sz w:val="18"/>
                          <w:lang w:val="en-GB"/>
                        </w:rPr>
                        <w:t>, Thinking &amp; Reasoning, 2(4), p. 273-308.</w:t>
                      </w:r>
                    </w:p>
                    <w:p w:rsidR="00260B0F" w:rsidRPr="00D97603" w:rsidRDefault="00260B0F" w:rsidP="00ED3746">
                      <w:pPr>
                        <w:pStyle w:val="HStandard"/>
                        <w:jc w:val="left"/>
                        <w:rPr>
                          <w:sz w:val="18"/>
                          <w:szCs w:val="18"/>
                          <w:lang w:val="en-GB"/>
                        </w:rPr>
                      </w:pPr>
                      <w:r w:rsidRPr="00D97603">
                        <w:rPr>
                          <w:sz w:val="18"/>
                          <w:lang w:val="en-GB"/>
                        </w:rPr>
                        <w:t xml:space="preserve">Mayne, J., 2012, </w:t>
                      </w:r>
                      <w:hyperlink r:id="rId89" w:history="1">
                        <w:r w:rsidRPr="00D97603">
                          <w:rPr>
                            <w:rStyle w:val="Hyperlink"/>
                            <w:sz w:val="18"/>
                            <w:lang w:val="en-GB"/>
                          </w:rPr>
                          <w:t>Contribution analysis: Coming of age? </w:t>
                        </w:r>
                      </w:hyperlink>
                      <w:r w:rsidRPr="00D97603">
                        <w:rPr>
                          <w:sz w:val="18"/>
                          <w:lang w:val="en-GB"/>
                        </w:rPr>
                        <w:t>Evaluation 18.3 (2012): 270-280.</w:t>
                      </w:r>
                    </w:p>
                    <w:p w:rsidR="00260B0F" w:rsidRPr="00D97603" w:rsidRDefault="00260B0F" w:rsidP="00ED3746">
                      <w:pPr>
                        <w:pStyle w:val="HStandard"/>
                        <w:jc w:val="left"/>
                        <w:rPr>
                          <w:sz w:val="18"/>
                          <w:szCs w:val="18"/>
                          <w:lang w:val="en-GB"/>
                        </w:rPr>
                      </w:pPr>
                      <w:r w:rsidRPr="00D97603">
                        <w:rPr>
                          <w:sz w:val="18"/>
                          <w:lang w:val="en-GB"/>
                        </w:rPr>
                        <w:t xml:space="preserve">Pawson, R., Greenhalgh, T., Harvey, G. et Walshe, K., 2005, </w:t>
                      </w:r>
                      <w:hyperlink r:id="rId90" w:history="1">
                        <w:r w:rsidRPr="00D97603">
                          <w:rPr>
                            <w:rStyle w:val="Hyperlink"/>
                            <w:sz w:val="18"/>
                            <w:lang w:val="en-GB"/>
                          </w:rPr>
                          <w:t>Realist review–a new method of systematic review designed for complex policy interventions,</w:t>
                        </w:r>
                      </w:hyperlink>
                      <w:r w:rsidRPr="00D97603">
                        <w:rPr>
                          <w:sz w:val="18"/>
                          <w:lang w:val="en-GB"/>
                        </w:rPr>
                        <w:t> Journal of health services research &amp; policy, 10 (</w:t>
                      </w:r>
                      <w:proofErr w:type="spellStart"/>
                      <w:r w:rsidRPr="00D97603">
                        <w:rPr>
                          <w:sz w:val="18"/>
                          <w:lang w:val="en-GB"/>
                        </w:rPr>
                        <w:t>suppl</w:t>
                      </w:r>
                      <w:proofErr w:type="spellEnd"/>
                      <w:r w:rsidRPr="00D97603">
                        <w:rPr>
                          <w:sz w:val="18"/>
                          <w:lang w:val="en-GB"/>
                        </w:rPr>
                        <w:t xml:space="preserve"> 1), p. 21-34.</w:t>
                      </w:r>
                    </w:p>
                    <w:p w:rsidR="00260B0F" w:rsidRPr="00D97603" w:rsidRDefault="00260B0F" w:rsidP="00ED3746">
                      <w:pPr>
                        <w:pStyle w:val="HStandard"/>
                        <w:jc w:val="left"/>
                        <w:rPr>
                          <w:sz w:val="18"/>
                          <w:szCs w:val="18"/>
                          <w:lang w:val="en-GB"/>
                        </w:rPr>
                      </w:pPr>
                      <w:r w:rsidRPr="00D97603">
                        <w:rPr>
                          <w:sz w:val="18"/>
                          <w:lang w:val="en-GB"/>
                        </w:rPr>
                        <w:t>Wilson-Grau, R. (2015) </w:t>
                      </w:r>
                      <w:r w:rsidRPr="00D97603">
                        <w:rPr>
                          <w:i/>
                          <w:sz w:val="18"/>
                          <w:lang w:val="en-GB"/>
                        </w:rPr>
                        <w:t>Outcome Harvesting</w:t>
                      </w:r>
                      <w:r w:rsidRPr="00D97603">
                        <w:rPr>
                          <w:sz w:val="18"/>
                          <w:lang w:val="en-GB"/>
                        </w:rPr>
                        <w:t xml:space="preserve">. Better Evaluation, </w:t>
                      </w:r>
                      <w:proofErr w:type="spellStart"/>
                      <w:r w:rsidRPr="00D97603">
                        <w:rPr>
                          <w:sz w:val="18"/>
                          <w:lang w:val="en-GB"/>
                        </w:rPr>
                        <w:t>tiré</w:t>
                      </w:r>
                      <w:proofErr w:type="spellEnd"/>
                      <w:r w:rsidRPr="00D97603">
                        <w:rPr>
                          <w:sz w:val="18"/>
                          <w:lang w:val="en-GB"/>
                        </w:rPr>
                        <w:t xml:space="preserve"> de </w:t>
                      </w:r>
                      <w:hyperlink r:id="rId91" w:history="1">
                        <w:r w:rsidRPr="00D97603">
                          <w:rPr>
                            <w:rStyle w:val="Hyperlink"/>
                            <w:sz w:val="18"/>
                            <w:lang w:val="en-GB"/>
                          </w:rPr>
                          <w:t>http://betterevaluation.org/plan/approach/outcome_harvesting</w:t>
                        </w:r>
                      </w:hyperlink>
                      <w:r w:rsidRPr="00D97603">
                        <w:rPr>
                          <w:sz w:val="18"/>
                          <w:lang w:val="en-GB"/>
                        </w:rPr>
                        <w:t>.</w:t>
                      </w:r>
                    </w:p>
                  </w:txbxContent>
                </v:textbox>
              </v:shape>
            </w:pict>
          </mc:Fallback>
        </mc:AlternateContent>
      </w:r>
      <w:r w:rsidR="00ED3746">
        <w:rPr>
          <w:b/>
          <w:color w:val="57825E"/>
        </w:rPr>
        <w:t>Lectures complémentaires</w:t>
      </w:r>
    </w:p>
    <w:p w:rsidR="00ED3746" w:rsidRDefault="00ED3746" w:rsidP="00ED3746">
      <w:pPr>
        <w:spacing w:after="120" w:line="280" w:lineRule="atLeast"/>
        <w:mirrorIndents/>
        <w:rPr>
          <w:rFonts w:eastAsia="Times New Roman" w:cs="Times New Roman"/>
          <w:szCs w:val="20"/>
        </w:rPr>
      </w:pPr>
      <w:bookmarkStart w:id="173" w:name="_Toc493151905"/>
      <w:bookmarkStart w:id="174" w:name="_Toc501382136"/>
      <w:bookmarkStart w:id="175" w:name="_Toc503368730"/>
    </w:p>
    <w:p w:rsidR="00ED3746" w:rsidRDefault="00ED3746" w:rsidP="00ED3746">
      <w:pPr>
        <w:pStyle w:val="HHeading1"/>
        <w:tabs>
          <w:tab w:val="clear" w:pos="567"/>
        </w:tabs>
        <w:sectPr w:rsidR="00ED3746" w:rsidSect="00ED3746">
          <w:type w:val="continuous"/>
          <w:pgSz w:w="11907" w:h="16840" w:code="9"/>
          <w:pgMar w:top="1440" w:right="1440" w:bottom="1134" w:left="1440" w:header="567" w:footer="1020" w:gutter="0"/>
          <w:cols w:space="708"/>
          <w:titlePg/>
          <w:docGrid w:linePitch="435"/>
        </w:sectPr>
      </w:pPr>
    </w:p>
    <w:p w:rsidR="00ED3746" w:rsidRPr="00F5230D" w:rsidRDefault="00ED3746" w:rsidP="00ED3746">
      <w:pPr>
        <w:pStyle w:val="HHeading1"/>
        <w:tabs>
          <w:tab w:val="clear" w:pos="567"/>
        </w:tabs>
      </w:pPr>
      <w:bookmarkStart w:id="176" w:name="_Toc508889641"/>
      <w:r>
        <w:lastRenderedPageBreak/>
        <w:t>ANNEXES</w:t>
      </w:r>
      <w:bookmarkEnd w:id="173"/>
      <w:bookmarkEnd w:id="174"/>
      <w:bookmarkEnd w:id="175"/>
      <w:bookmarkEnd w:id="176"/>
    </w:p>
    <w:p w:rsidR="00ED3746" w:rsidRPr="009414CC" w:rsidRDefault="00ED3746" w:rsidP="00ED3746">
      <w:pPr>
        <w:pStyle w:val="HHeading2"/>
        <w:numPr>
          <w:ilvl w:val="1"/>
          <w:numId w:val="119"/>
        </w:numPr>
        <w:ind w:left="567" w:hanging="567"/>
      </w:pPr>
      <w:bookmarkStart w:id="177" w:name="_Toc476063939"/>
      <w:bookmarkStart w:id="178" w:name="_Toc476064206"/>
      <w:bookmarkStart w:id="179" w:name="_Toc476064501"/>
      <w:bookmarkStart w:id="180" w:name="_Toc476064561"/>
      <w:bookmarkStart w:id="181" w:name="_Toc493151906"/>
      <w:bookmarkStart w:id="182" w:name="_Toc501382137"/>
      <w:bookmarkStart w:id="183" w:name="_Toc503368731"/>
      <w:bookmarkStart w:id="184" w:name="_Toc508889642"/>
      <w:bookmarkEnd w:id="177"/>
      <w:bookmarkEnd w:id="178"/>
      <w:bookmarkEnd w:id="179"/>
      <w:bookmarkEnd w:id="180"/>
      <w:r>
        <w:t>Glossaire</w:t>
      </w:r>
      <w:bookmarkEnd w:id="181"/>
      <w:bookmarkEnd w:id="182"/>
      <w:bookmarkEnd w:id="183"/>
      <w:bookmarkEnd w:id="184"/>
    </w:p>
    <w:p w:rsidR="00ED3746" w:rsidRDefault="00ED3746" w:rsidP="00ED3746">
      <w:pPr>
        <w:rPr>
          <w:rFonts w:eastAsia="Arial" w:cs="Arial"/>
          <w:b/>
          <w:color w:val="57825E"/>
          <w:szCs w:val="20"/>
        </w:rPr>
      </w:pPr>
      <w:r>
        <w:rPr>
          <w:b/>
          <w:color w:val="57825E"/>
        </w:rPr>
        <w:t>Pôle</w:t>
      </w:r>
    </w:p>
    <w:p w:rsidR="00ED3746" w:rsidRPr="00B77106" w:rsidRDefault="00ED3746" w:rsidP="00ED3746">
      <w:pPr>
        <w:rPr>
          <w:rFonts w:cs="Arial"/>
          <w:color w:val="404040"/>
          <w:szCs w:val="20"/>
        </w:rPr>
      </w:pPr>
      <w:r>
        <w:rPr>
          <w:color w:val="404040"/>
        </w:rPr>
        <w:t>Un groupement d’entreprises indépendantes, notamment des jeunes pousses, des petites, moyennes ou grandes entreprises, ainsi que des organes consultatifs ou des organismes de recherche, destiné à stimuler l’activité économique/d’innovation en encourageant les interactions intensives, le partage des équipements et l’échange de connaissances et de savoir-faire, ainsi qu’en contribuant de manière effective au transfert de connaissances, à la mise en réseau et à la diffusion de l’information entre les entreprises qui constituent le pôle.</w:t>
      </w:r>
    </w:p>
    <w:p w:rsidR="00ED3746" w:rsidRPr="00B77106" w:rsidRDefault="00ED3746" w:rsidP="00ED3746">
      <w:pPr>
        <w:jc w:val="left"/>
        <w:rPr>
          <w:rFonts w:eastAsia="Times New Roman" w:cs="Arial"/>
          <w:i/>
          <w:color w:val="404040"/>
          <w:sz w:val="16"/>
          <w:szCs w:val="16"/>
        </w:rPr>
      </w:pPr>
      <w:proofErr w:type="gramStart"/>
      <w:r>
        <w:rPr>
          <w:i/>
          <w:color w:val="404040"/>
          <w:sz w:val="16"/>
          <w:u w:val="single"/>
        </w:rPr>
        <w:t>Référence</w:t>
      </w:r>
      <w:r>
        <w:rPr>
          <w:i/>
          <w:color w:val="404040"/>
          <w:sz w:val="16"/>
        </w:rPr>
        <w:t>:</w:t>
      </w:r>
      <w:proofErr w:type="gramEnd"/>
      <w:r>
        <w:rPr>
          <w:i/>
          <w:color w:val="404040"/>
          <w:sz w:val="16"/>
        </w:rPr>
        <w:t xml:space="preserve"> document d’orientation sur la mesure «Coopération», novembre 2014: </w:t>
      </w:r>
      <w:hyperlink r:id="rId92" w:history="1">
        <w:r>
          <w:rPr>
            <w:rStyle w:val="Hyperlink"/>
            <w:i/>
          </w:rPr>
          <w:t>http://ec.europa.eu/eip/agriculture/sites/agri-eip/files/16_measure_fiche_art_35_co-operation.pdf.</w:t>
        </w:r>
      </w:hyperlink>
    </w:p>
    <w:p w:rsidR="00ED3746" w:rsidRPr="009125CD" w:rsidRDefault="00ED3746" w:rsidP="00ED3746">
      <w:pPr>
        <w:rPr>
          <w:rFonts w:eastAsia="Arial" w:cs="Arial"/>
          <w:b/>
          <w:color w:val="57825E"/>
          <w:szCs w:val="20"/>
        </w:rPr>
      </w:pPr>
      <w:r>
        <w:rPr>
          <w:b/>
          <w:color w:val="57825E"/>
        </w:rPr>
        <w:t>Réalisation favorisant l’innovation</w:t>
      </w:r>
    </w:p>
    <w:p w:rsidR="00ED3746" w:rsidRPr="00B77106" w:rsidRDefault="00ED3746" w:rsidP="00ED3746">
      <w:pPr>
        <w:rPr>
          <w:rFonts w:cs="Arial"/>
          <w:color w:val="404040"/>
          <w:szCs w:val="20"/>
        </w:rPr>
      </w:pPr>
      <w:r>
        <w:rPr>
          <w:color w:val="404040"/>
        </w:rPr>
        <w:t xml:space="preserve">Réalisation liée aux trois démarches d’innovation, telle </w:t>
      </w:r>
      <w:proofErr w:type="gramStart"/>
      <w:r>
        <w:rPr>
          <w:color w:val="404040"/>
        </w:rPr>
        <w:t>que:</w:t>
      </w:r>
      <w:proofErr w:type="gramEnd"/>
      <w:r>
        <w:rPr>
          <w:color w:val="404040"/>
        </w:rPr>
        <w:t xml:space="preserve"> 1) découvrir et cultiver des idées innovantes potentielles; 2) renforcer la capacité d’innover; et 3) créer un environnement propice à l’innovation. Elle peut être exprimée comme les changements dans le taux et la qualité des idées innovantes émergentes, les changements dans la capacité d’innover, et les changements dans l’environnement propice.</w:t>
      </w:r>
    </w:p>
    <w:p w:rsidR="00ED3746" w:rsidRPr="00B77106" w:rsidRDefault="00ED3746" w:rsidP="00ED3746">
      <w:pPr>
        <w:rPr>
          <w:rFonts w:cs="Arial"/>
          <w:i/>
          <w:color w:val="404040"/>
          <w:sz w:val="16"/>
          <w:szCs w:val="16"/>
        </w:rPr>
      </w:pPr>
      <w:proofErr w:type="gramStart"/>
      <w:r>
        <w:rPr>
          <w:i/>
          <w:color w:val="404040"/>
          <w:sz w:val="16"/>
          <w:u w:val="single"/>
        </w:rPr>
        <w:t>Référence</w:t>
      </w:r>
      <w:r>
        <w:rPr>
          <w:i/>
          <w:color w:val="404040"/>
          <w:sz w:val="16"/>
        </w:rPr>
        <w:t>:</w:t>
      </w:r>
      <w:proofErr w:type="gramEnd"/>
      <w:r>
        <w:rPr>
          <w:i/>
          <w:color w:val="404040"/>
          <w:sz w:val="16"/>
        </w:rPr>
        <w:t xml:space="preserve"> GTT-4</w:t>
      </w:r>
    </w:p>
    <w:p w:rsidR="00ED3746" w:rsidRDefault="00ED3746" w:rsidP="00ED3746">
      <w:pPr>
        <w:rPr>
          <w:rFonts w:eastAsia="Arial" w:cs="Arial"/>
          <w:b/>
          <w:color w:val="57825E"/>
          <w:szCs w:val="20"/>
        </w:rPr>
      </w:pPr>
      <w:r>
        <w:rPr>
          <w:b/>
          <w:color w:val="57825E"/>
        </w:rPr>
        <w:t>Partenariat européen d’innovation</w:t>
      </w:r>
    </w:p>
    <w:p w:rsidR="00ED3746" w:rsidRPr="00B77106" w:rsidRDefault="00ED3746" w:rsidP="00ED3746">
      <w:pPr>
        <w:rPr>
          <w:rFonts w:cs="Arial"/>
          <w:color w:val="404040"/>
          <w:szCs w:val="20"/>
        </w:rPr>
      </w:pPr>
      <w:r>
        <w:rPr>
          <w:color w:val="404040"/>
        </w:rPr>
        <w:t>Dans le cadre de l’initiative phare</w:t>
      </w:r>
      <w:proofErr w:type="gramStart"/>
      <w:r>
        <w:rPr>
          <w:color w:val="404040"/>
        </w:rPr>
        <w:t xml:space="preserve"> «Une</w:t>
      </w:r>
      <w:proofErr w:type="gramEnd"/>
      <w:r>
        <w:rPr>
          <w:color w:val="404040"/>
        </w:rPr>
        <w:t xml:space="preserve"> Union de l’innovation», il s’agit d’une approche de la recherche et de l’innovation dans l’Union. Ce partenariat est axé sur les défis à relever, agit tout au long de la chaîne de recherche et d’innovation, et rationalise, simplifie et coordonne mieux les initiatives et instruments existants.</w:t>
      </w:r>
    </w:p>
    <w:p w:rsidR="00ED3746" w:rsidRPr="00B77106" w:rsidRDefault="00ED3746" w:rsidP="00ED3746">
      <w:pPr>
        <w:rPr>
          <w:rFonts w:eastAsia="Times New Roman" w:cs="Arial"/>
          <w:color w:val="404040"/>
          <w:szCs w:val="20"/>
        </w:rPr>
      </w:pPr>
      <w:proofErr w:type="gramStart"/>
      <w:r>
        <w:rPr>
          <w:i/>
          <w:color w:val="404040"/>
          <w:sz w:val="16"/>
          <w:u w:val="single"/>
        </w:rPr>
        <w:t>Référence</w:t>
      </w:r>
      <w:r>
        <w:rPr>
          <w:i/>
          <w:color w:val="404040"/>
          <w:sz w:val="16"/>
        </w:rPr>
        <w:t>:</w:t>
      </w:r>
      <w:proofErr w:type="gramEnd"/>
      <w:r>
        <w:rPr>
          <w:i/>
          <w:color w:val="404040"/>
          <w:sz w:val="16"/>
        </w:rPr>
        <w:t xml:space="preserve"> communication de la Commission au Parlement européen, au Conseil, au Comité économique et social européen et au Comité des régions </w:t>
      </w:r>
      <w:r>
        <w:rPr>
          <w:i/>
        </w:rPr>
        <w:t>Initiative phare Europe 2020 - Une Union de l’innovation</w:t>
      </w:r>
      <w:r>
        <w:rPr>
          <w:i/>
          <w:color w:val="404040"/>
          <w:sz w:val="16"/>
        </w:rPr>
        <w:t xml:space="preserve"> (2010) </w:t>
      </w:r>
      <w:hyperlink r:id="rId93" w:history="1">
        <w:r>
          <w:rPr>
            <w:rStyle w:val="Hyperlink"/>
            <w:i/>
          </w:rPr>
          <w:t>https://ec.europa.eu/research/innovation-union/pdf/innovation-union-communication_fr.pdf</w:t>
        </w:r>
      </w:hyperlink>
      <w:r>
        <w:t>.</w:t>
      </w:r>
    </w:p>
    <w:p w:rsidR="00ED3746" w:rsidRDefault="00ED3746" w:rsidP="00ED3746">
      <w:pPr>
        <w:jc w:val="left"/>
        <w:rPr>
          <w:rFonts w:eastAsia="Arial" w:cs="Arial"/>
          <w:b/>
          <w:color w:val="57825E"/>
          <w:szCs w:val="20"/>
        </w:rPr>
      </w:pPr>
      <w:r>
        <w:rPr>
          <w:b/>
          <w:color w:val="57825E"/>
        </w:rPr>
        <w:t>Partenariat européen d’innovation</w:t>
      </w:r>
      <w:proofErr w:type="gramStart"/>
      <w:r>
        <w:rPr>
          <w:b/>
          <w:color w:val="57825E"/>
        </w:rPr>
        <w:t xml:space="preserve"> «productivité</w:t>
      </w:r>
      <w:proofErr w:type="gramEnd"/>
      <w:r>
        <w:rPr>
          <w:b/>
          <w:color w:val="57825E"/>
        </w:rPr>
        <w:t xml:space="preserve"> et développement durable de l’agriculture» (PEI AGRI)</w:t>
      </w:r>
    </w:p>
    <w:p w:rsidR="00ED3746" w:rsidRDefault="00ED3746" w:rsidP="00ED3746">
      <w:pPr>
        <w:rPr>
          <w:rFonts w:cs="Arial"/>
          <w:szCs w:val="20"/>
        </w:rPr>
      </w:pPr>
      <w:r>
        <w:t xml:space="preserve">Lancé par la Commission européenne en 2012, le PEI AGRI est le partenariat européen d’innovation axé sur les secteurs de l’agriculture et de la foresterie. Le PEI AGRI rassemble les acteurs de l’innovation et crée des synergies entre les politiques existantes. Il a pour objectif global de favoriser la compétitivité et le développement durable dans ces secteurs, et de contribuer ainsi </w:t>
      </w:r>
      <w:proofErr w:type="gramStart"/>
      <w:r>
        <w:t>à:</w:t>
      </w:r>
      <w:proofErr w:type="gramEnd"/>
      <w:r>
        <w:t xml:space="preserve"> garantir un approvisionnement régulier de denrées alimentaires, de fourrage et de biomatériaux, et la gestion durable des ressources naturelles essentielles dont l’agriculture et la foresterie dépendent en travaillant en harmonie avec l’environnement.</w:t>
      </w:r>
    </w:p>
    <w:p w:rsidR="00ED3746" w:rsidRPr="00D97603" w:rsidRDefault="00ED3746" w:rsidP="00ED3746">
      <w:pPr>
        <w:spacing w:after="120" w:line="280" w:lineRule="atLeast"/>
        <w:jc w:val="left"/>
        <w:rPr>
          <w:rFonts w:cs="Arial"/>
          <w:i/>
          <w:color w:val="404040"/>
          <w:sz w:val="16"/>
          <w:szCs w:val="16"/>
          <w:lang w:val="en-GB"/>
        </w:rPr>
      </w:pPr>
      <w:proofErr w:type="spellStart"/>
      <w:r w:rsidRPr="00D97603">
        <w:rPr>
          <w:i/>
          <w:color w:val="404040"/>
          <w:sz w:val="16"/>
          <w:u w:val="single"/>
          <w:lang w:val="en-GB"/>
        </w:rPr>
        <w:t>Référence</w:t>
      </w:r>
      <w:proofErr w:type="spellEnd"/>
      <w:r w:rsidRPr="00D97603">
        <w:rPr>
          <w:i/>
          <w:color w:val="404040"/>
          <w:sz w:val="16"/>
          <w:lang w:val="en-GB"/>
        </w:rPr>
        <w:t xml:space="preserve">: Evaluation study of the implementation of the European Innovation Partnership for Agricultural Productivity and Sustainability </w:t>
      </w:r>
      <w:r w:rsidRPr="00D97603">
        <w:rPr>
          <w:i/>
          <w:color w:val="F07E31"/>
          <w:sz w:val="16"/>
          <w:u w:val="single"/>
          <w:lang w:val="en-GB"/>
        </w:rPr>
        <w:t>https://ec.europa.eu/agriculture/external-studies/2016-eip_en</w:t>
      </w:r>
      <w:r w:rsidRPr="00D97603">
        <w:rPr>
          <w:lang w:val="en-GB"/>
        </w:rPr>
        <w:t>.</w:t>
      </w:r>
    </w:p>
    <w:p w:rsidR="00ED3746" w:rsidRPr="00D5702B" w:rsidRDefault="00ED3746" w:rsidP="00ED3746">
      <w:pPr>
        <w:jc w:val="left"/>
        <w:rPr>
          <w:rFonts w:eastAsia="Times New Roman" w:cs="Arial"/>
          <w:i/>
          <w:szCs w:val="20"/>
        </w:rPr>
      </w:pPr>
      <w:r>
        <w:rPr>
          <w:i/>
          <w:color w:val="404040"/>
          <w:sz w:val="16"/>
        </w:rPr>
        <w:t>Communication de la Commission au Parlement européen et au Conseil sur le partenariat européen d’innovation</w:t>
      </w:r>
      <w:proofErr w:type="gramStart"/>
      <w:r>
        <w:rPr>
          <w:i/>
          <w:color w:val="404040"/>
          <w:sz w:val="16"/>
        </w:rPr>
        <w:t xml:space="preserve"> «Productivité</w:t>
      </w:r>
      <w:proofErr w:type="gramEnd"/>
      <w:r>
        <w:rPr>
          <w:i/>
          <w:color w:val="404040"/>
          <w:sz w:val="16"/>
        </w:rPr>
        <w:t xml:space="preserve"> et développement durable de l’agriculture» (2012) </w:t>
      </w:r>
      <w:hyperlink r:id="rId94" w:history="1">
        <w:r>
          <w:rPr>
            <w:rStyle w:val="Hyperlink"/>
            <w:i/>
          </w:rPr>
          <w:t>https://ec.europa.eu/eip/agriculture/sites/agri-eip/files/communication_on_eip_-_en.pdf</w:t>
        </w:r>
      </w:hyperlink>
      <w:r>
        <w:t>.</w:t>
      </w:r>
    </w:p>
    <w:p w:rsidR="00ED3746" w:rsidRPr="009125CD" w:rsidRDefault="00ED3746" w:rsidP="00ED3746">
      <w:pPr>
        <w:rPr>
          <w:rFonts w:eastAsia="Arial" w:cs="Arial"/>
          <w:b/>
          <w:color w:val="57825E"/>
          <w:szCs w:val="20"/>
        </w:rPr>
      </w:pPr>
      <w:r>
        <w:rPr>
          <w:b/>
          <w:color w:val="57825E"/>
        </w:rPr>
        <w:t>Capacité d’innovation</w:t>
      </w:r>
    </w:p>
    <w:p w:rsidR="00ED3746" w:rsidRPr="005E61D0" w:rsidRDefault="00ED3746" w:rsidP="00ED3746">
      <w:pPr>
        <w:rPr>
          <w:rFonts w:cs="Arial"/>
          <w:szCs w:val="20"/>
        </w:rPr>
      </w:pPr>
      <w:proofErr w:type="gramStart"/>
      <w:r>
        <w:t>«La</w:t>
      </w:r>
      <w:proofErr w:type="gramEnd"/>
      <w:r>
        <w:t xml:space="preserve"> capacité permanente de combiner et d’utiliser différents types de connaissances».</w:t>
      </w:r>
    </w:p>
    <w:p w:rsidR="00ED3746" w:rsidRPr="00D97603" w:rsidRDefault="00ED3746" w:rsidP="00ED3746">
      <w:pPr>
        <w:rPr>
          <w:rFonts w:cs="Arial"/>
          <w:i/>
          <w:color w:val="404040"/>
          <w:sz w:val="16"/>
          <w:szCs w:val="16"/>
          <w:lang w:val="en-GB"/>
        </w:rPr>
      </w:pPr>
      <w:proofErr w:type="spellStart"/>
      <w:r w:rsidRPr="00D97603">
        <w:rPr>
          <w:i/>
          <w:color w:val="404040"/>
          <w:sz w:val="16"/>
          <w:u w:val="single"/>
          <w:lang w:val="en-GB"/>
        </w:rPr>
        <w:t>Référence</w:t>
      </w:r>
      <w:proofErr w:type="spellEnd"/>
      <w:r w:rsidRPr="00D97603">
        <w:rPr>
          <w:i/>
          <w:color w:val="404040"/>
          <w:sz w:val="16"/>
          <w:lang w:val="en-GB"/>
        </w:rPr>
        <w:t xml:space="preserve">: </w:t>
      </w:r>
      <w:proofErr w:type="spellStart"/>
      <w:r w:rsidRPr="00D97603">
        <w:rPr>
          <w:i/>
          <w:color w:val="404040"/>
          <w:sz w:val="16"/>
          <w:lang w:val="en-GB"/>
        </w:rPr>
        <w:t>Chuluunbaatar</w:t>
      </w:r>
      <w:proofErr w:type="spellEnd"/>
      <w:r w:rsidRPr="00D97603">
        <w:rPr>
          <w:i/>
          <w:color w:val="404040"/>
          <w:sz w:val="16"/>
          <w:lang w:val="en-GB"/>
        </w:rPr>
        <w:t xml:space="preserve">, D. et </w:t>
      </w:r>
      <w:proofErr w:type="spellStart"/>
      <w:r w:rsidRPr="00D97603">
        <w:rPr>
          <w:i/>
          <w:color w:val="404040"/>
          <w:sz w:val="16"/>
          <w:lang w:val="en-GB"/>
        </w:rPr>
        <w:t>LeGrand</w:t>
      </w:r>
      <w:proofErr w:type="spellEnd"/>
      <w:r w:rsidRPr="00D97603">
        <w:rPr>
          <w:i/>
          <w:color w:val="404040"/>
          <w:sz w:val="16"/>
          <w:lang w:val="en-GB"/>
        </w:rPr>
        <w:t xml:space="preserve">, S., 2015, Enabling the capacity to innovate with a system-wide assessment process – Occasional Papers in Innovation in Family Farming, FAO, Rome, </w:t>
      </w:r>
      <w:r w:rsidRPr="00D97603">
        <w:rPr>
          <w:rStyle w:val="Hyperlink"/>
          <w:i/>
          <w:lang w:val="en-GB"/>
        </w:rPr>
        <w:t>http://www.fao.org/3/a-i5097e.pdf.</w:t>
      </w:r>
    </w:p>
    <w:p w:rsidR="00ED3746" w:rsidRPr="009125CD" w:rsidRDefault="00ED3746" w:rsidP="00ED3746">
      <w:pPr>
        <w:rPr>
          <w:rFonts w:eastAsia="Arial" w:cs="Arial"/>
          <w:b/>
          <w:color w:val="57825E"/>
          <w:szCs w:val="20"/>
        </w:rPr>
      </w:pPr>
      <w:r>
        <w:rPr>
          <w:b/>
          <w:color w:val="57825E"/>
        </w:rPr>
        <w:t xml:space="preserve">Réalisation innovante </w:t>
      </w:r>
    </w:p>
    <w:p w:rsidR="00ED3746" w:rsidRPr="00B77106" w:rsidRDefault="00ED3746" w:rsidP="00ED3746">
      <w:pPr>
        <w:rPr>
          <w:rFonts w:cs="Arial"/>
          <w:color w:val="404040"/>
          <w:szCs w:val="20"/>
        </w:rPr>
      </w:pPr>
      <w:r>
        <w:rPr>
          <w:color w:val="404040"/>
        </w:rPr>
        <w:t>Les réalisations innovantes découlent des réalisations favorisant l’innovation (par exemple, de nouvelles pratiques, un revenu accru, l’adoption de pratiques agricoles plus durables).</w:t>
      </w:r>
    </w:p>
    <w:p w:rsidR="00ED3746" w:rsidRPr="00B77106" w:rsidRDefault="00ED3746" w:rsidP="00ED3746">
      <w:pPr>
        <w:rPr>
          <w:rFonts w:cs="Arial"/>
          <w:color w:val="404040"/>
          <w:szCs w:val="20"/>
        </w:rPr>
      </w:pPr>
      <w:proofErr w:type="gramStart"/>
      <w:r>
        <w:rPr>
          <w:i/>
          <w:color w:val="404040"/>
          <w:sz w:val="16"/>
          <w:u w:val="single"/>
        </w:rPr>
        <w:t>Référence</w:t>
      </w:r>
      <w:r>
        <w:rPr>
          <w:i/>
          <w:color w:val="404040"/>
          <w:sz w:val="16"/>
        </w:rPr>
        <w:t>:</w:t>
      </w:r>
      <w:proofErr w:type="gramEnd"/>
      <w:r>
        <w:rPr>
          <w:i/>
          <w:color w:val="404040"/>
          <w:sz w:val="16"/>
        </w:rPr>
        <w:t xml:space="preserve"> GTT-4, page 11.</w:t>
      </w:r>
    </w:p>
    <w:p w:rsidR="00ED3746" w:rsidRDefault="00ED3746" w:rsidP="00ED3746">
      <w:pPr>
        <w:rPr>
          <w:rFonts w:eastAsia="Arial" w:cs="Arial"/>
          <w:b/>
          <w:color w:val="57825E"/>
          <w:szCs w:val="20"/>
        </w:rPr>
      </w:pPr>
      <w:r>
        <w:rPr>
          <w:b/>
          <w:color w:val="57825E"/>
        </w:rPr>
        <w:t>Services de soutien à l’innovation</w:t>
      </w:r>
    </w:p>
    <w:p w:rsidR="00ED3746" w:rsidRPr="00B77106" w:rsidRDefault="00ED3746" w:rsidP="00ED3746">
      <w:pPr>
        <w:rPr>
          <w:rFonts w:cs="Arial"/>
          <w:color w:val="404040"/>
          <w:szCs w:val="20"/>
        </w:rPr>
      </w:pPr>
      <w:r>
        <w:rPr>
          <w:color w:val="404040"/>
        </w:rPr>
        <w:t>Les services de soutien à l’innovation font appel à des modèles qui sont adaptés aux conditions locales et sont susceptibles de jouer un rôle important en assignant les bonnes personnes aux différents projets, en mettant les agriculteurs et les conseillers en relation avec les chercheurs et en les aidant à trouver des financements.</w:t>
      </w:r>
    </w:p>
    <w:p w:rsidR="00ED3746" w:rsidRPr="00B77106" w:rsidRDefault="00ED3746" w:rsidP="00ED3746">
      <w:pPr>
        <w:rPr>
          <w:rFonts w:cs="Arial"/>
          <w:color w:val="404040"/>
          <w:szCs w:val="20"/>
        </w:rPr>
      </w:pPr>
      <w:proofErr w:type="gramStart"/>
      <w:r>
        <w:rPr>
          <w:i/>
          <w:color w:val="404040"/>
          <w:sz w:val="16"/>
          <w:u w:val="single"/>
        </w:rPr>
        <w:t>Référence</w:t>
      </w:r>
      <w:r>
        <w:rPr>
          <w:i/>
          <w:color w:val="404040"/>
          <w:sz w:val="16"/>
        </w:rPr>
        <w:t>:</w:t>
      </w:r>
      <w:proofErr w:type="gramEnd"/>
      <w:r>
        <w:rPr>
          <w:i/>
          <w:color w:val="404040"/>
          <w:sz w:val="16"/>
        </w:rPr>
        <w:t xml:space="preserve"> brochure du PEI-AGRI sur les services de soutien à l’innovation: </w:t>
      </w:r>
      <w:hyperlink r:id="rId95" w:history="1">
        <w:r>
          <w:rPr>
            <w:rStyle w:val="Hyperlink"/>
            <w:i/>
          </w:rPr>
          <w:t>https://ec.europa.eu/eip/agriculture/en/content/innovation-support-services</w:t>
        </w:r>
      </w:hyperlink>
      <w:r>
        <w:rPr>
          <w:i/>
          <w:color w:val="404040"/>
          <w:sz w:val="16"/>
        </w:rPr>
        <w:t>.</w:t>
      </w:r>
    </w:p>
    <w:p w:rsidR="00ED3746" w:rsidRPr="009125CD" w:rsidRDefault="00ED3746" w:rsidP="00ED3746">
      <w:pPr>
        <w:rPr>
          <w:rFonts w:eastAsia="Arial" w:cs="Arial"/>
          <w:b/>
          <w:color w:val="57825E"/>
          <w:szCs w:val="20"/>
        </w:rPr>
      </w:pPr>
      <w:r>
        <w:rPr>
          <w:b/>
          <w:color w:val="57825E"/>
        </w:rPr>
        <w:t>Système d’innovation</w:t>
      </w:r>
    </w:p>
    <w:p w:rsidR="00ED3746" w:rsidRPr="00B77106" w:rsidRDefault="00ED3746" w:rsidP="00ED3746">
      <w:pPr>
        <w:rPr>
          <w:rFonts w:cs="Arial"/>
          <w:color w:val="404040"/>
          <w:szCs w:val="20"/>
        </w:rPr>
      </w:pPr>
      <w:proofErr w:type="gramStart"/>
      <w:r>
        <w:rPr>
          <w:color w:val="404040"/>
        </w:rPr>
        <w:t>«Les</w:t>
      </w:r>
      <w:proofErr w:type="gramEnd"/>
      <w:r>
        <w:rPr>
          <w:color w:val="404040"/>
        </w:rPr>
        <w:t xml:space="preserve"> groupements d’organisations et de personnes qui participent à la génération, à la diffusion et à l’adaptation, ainsi qu’à l’utilisation des connaissances d’intérêt socio-économique, et le contexte institutionnel qui régit la manière dont ces interactions et ces processus ont lieu.»</w:t>
      </w:r>
    </w:p>
    <w:p w:rsidR="00ED3746" w:rsidRPr="00D97603" w:rsidRDefault="00ED3746" w:rsidP="00ED3746">
      <w:pPr>
        <w:rPr>
          <w:rFonts w:cs="Arial"/>
          <w:color w:val="404040"/>
          <w:szCs w:val="20"/>
          <w:lang w:val="en-GB"/>
        </w:rPr>
      </w:pPr>
      <w:proofErr w:type="spellStart"/>
      <w:r w:rsidRPr="00D97603">
        <w:rPr>
          <w:i/>
          <w:color w:val="404040"/>
          <w:sz w:val="16"/>
          <w:u w:val="single"/>
          <w:lang w:val="en-GB"/>
        </w:rPr>
        <w:t>Référence</w:t>
      </w:r>
      <w:proofErr w:type="spellEnd"/>
      <w:r w:rsidRPr="00D97603">
        <w:rPr>
          <w:i/>
          <w:color w:val="404040"/>
          <w:sz w:val="16"/>
          <w:lang w:val="en-GB"/>
        </w:rPr>
        <w:t xml:space="preserve">: Hall, A., S. Rasheed, N. Clark, et B. </w:t>
      </w:r>
      <w:proofErr w:type="spellStart"/>
      <w:r w:rsidRPr="00D97603">
        <w:rPr>
          <w:i/>
          <w:color w:val="404040"/>
          <w:sz w:val="16"/>
          <w:lang w:val="en-GB"/>
        </w:rPr>
        <w:t>Yoganand</w:t>
      </w:r>
      <w:proofErr w:type="spellEnd"/>
      <w:r w:rsidRPr="00D97603">
        <w:rPr>
          <w:i/>
          <w:color w:val="404040"/>
          <w:sz w:val="16"/>
          <w:lang w:val="en-GB"/>
        </w:rPr>
        <w:t>, 2003, From measuring impact to learning institutional lessons: an innovation system’s perspective on improving the management of international agricultural research, Agricultural Systems 78: 213-241.</w:t>
      </w:r>
    </w:p>
    <w:p w:rsidR="00ED3746" w:rsidRPr="009125CD" w:rsidRDefault="00ED3746" w:rsidP="00ED3746">
      <w:pPr>
        <w:rPr>
          <w:rFonts w:eastAsia="Arial" w:cs="Arial"/>
          <w:b/>
          <w:color w:val="57825E"/>
          <w:szCs w:val="20"/>
        </w:rPr>
      </w:pPr>
      <w:r>
        <w:rPr>
          <w:b/>
          <w:color w:val="57825E"/>
        </w:rPr>
        <w:t>Démarche d’innovation</w:t>
      </w:r>
    </w:p>
    <w:p w:rsidR="00ED3746" w:rsidRPr="00B77106" w:rsidRDefault="00ED3746" w:rsidP="00ED3746">
      <w:pPr>
        <w:rPr>
          <w:rFonts w:cs="Arial"/>
          <w:color w:val="404040"/>
          <w:szCs w:val="20"/>
        </w:rPr>
      </w:pPr>
      <w:r>
        <w:rPr>
          <w:color w:val="404040"/>
        </w:rPr>
        <w:t>Un processus par lequel les activités du PDR produisent des réalisations, des résultats et des incidences qui contribuent à la réalisation des objectifs du PDR, qui influence et est influencé par le système d’innovation dans lequel il a lieu.</w:t>
      </w:r>
    </w:p>
    <w:p w:rsidR="00ED3746" w:rsidRPr="00B77106" w:rsidRDefault="00ED3746" w:rsidP="00ED3746">
      <w:pPr>
        <w:rPr>
          <w:rFonts w:eastAsia="Arial" w:cs="Arial"/>
          <w:color w:val="404040"/>
          <w:szCs w:val="20"/>
        </w:rPr>
      </w:pPr>
      <w:proofErr w:type="gramStart"/>
      <w:r>
        <w:rPr>
          <w:i/>
          <w:color w:val="404040"/>
          <w:sz w:val="16"/>
          <w:u w:val="single"/>
        </w:rPr>
        <w:t>Référence</w:t>
      </w:r>
      <w:r>
        <w:rPr>
          <w:i/>
          <w:color w:val="404040"/>
          <w:sz w:val="16"/>
        </w:rPr>
        <w:t>:</w:t>
      </w:r>
      <w:proofErr w:type="gramEnd"/>
      <w:r>
        <w:rPr>
          <w:i/>
          <w:color w:val="404040"/>
          <w:sz w:val="16"/>
        </w:rPr>
        <w:t xml:space="preserve"> GTT-4, page 5.</w:t>
      </w:r>
    </w:p>
    <w:p w:rsidR="00ED3746" w:rsidRDefault="00ED3746" w:rsidP="00ED3746">
      <w:pPr>
        <w:rPr>
          <w:rFonts w:eastAsia="Arial" w:cs="Arial"/>
          <w:b/>
          <w:color w:val="57825E"/>
          <w:szCs w:val="20"/>
        </w:rPr>
      </w:pPr>
      <w:r>
        <w:rPr>
          <w:b/>
          <w:color w:val="57825E"/>
        </w:rPr>
        <w:t>Innovation interactive</w:t>
      </w:r>
    </w:p>
    <w:p w:rsidR="00ED3746" w:rsidRPr="00B77106" w:rsidRDefault="00ED3746" w:rsidP="00ED3746">
      <w:pPr>
        <w:rPr>
          <w:rFonts w:cs="Arial"/>
          <w:color w:val="404040"/>
          <w:szCs w:val="20"/>
        </w:rPr>
      </w:pPr>
      <w:r>
        <w:rPr>
          <w:color w:val="404040"/>
        </w:rPr>
        <w:t>Dans une innovation interactive ou un système d’innovation interactif, les éléments constitutifs des innovations sont censés provenir de la science, mais aussi de la pratique et des intermédiaires, notamment les agriculteurs, les services de conseil, les ONG, les chercheurs, etc. en tant qu’acteurs d’un processus ascendant. L’innovation interactive inclut les connaissances existantes (parfois tacites) qui ne sont pas toujours purement scientifiques.</w:t>
      </w:r>
    </w:p>
    <w:p w:rsidR="00ED3746" w:rsidRPr="00B77106" w:rsidRDefault="00ED3746" w:rsidP="00ED3746">
      <w:pPr>
        <w:jc w:val="left"/>
        <w:rPr>
          <w:rFonts w:eastAsia="Times New Roman" w:cs="Arial"/>
          <w:color w:val="404040"/>
          <w:szCs w:val="20"/>
        </w:rPr>
      </w:pPr>
      <w:proofErr w:type="gramStart"/>
      <w:r>
        <w:rPr>
          <w:i/>
          <w:color w:val="404040"/>
          <w:sz w:val="16"/>
          <w:u w:val="single"/>
        </w:rPr>
        <w:t>Référence</w:t>
      </w:r>
      <w:r>
        <w:rPr>
          <w:i/>
          <w:color w:val="404040"/>
          <w:sz w:val="16"/>
        </w:rPr>
        <w:t>:</w:t>
      </w:r>
      <w:proofErr w:type="gramEnd"/>
      <w:r>
        <w:rPr>
          <w:i/>
          <w:color w:val="404040"/>
          <w:sz w:val="16"/>
        </w:rPr>
        <w:t xml:space="preserve"> Lignes directrices pour la programmation en matière d’innovation et la mise en œuvre du PEI pour la productivité et le développement durable de l’agriculture (en anglais): </w:t>
      </w:r>
      <w:hyperlink r:id="rId96" w:history="1">
        <w:r>
          <w:rPr>
            <w:rStyle w:val="Hyperlink"/>
            <w:i/>
          </w:rPr>
          <w:t>http://ec.europa.eu/eip/agriculture/sites/agri-eip/files/eip-guidelines-july-2014_en.pdf</w:t>
        </w:r>
      </w:hyperlink>
      <w:r>
        <w:rPr>
          <w:i/>
          <w:color w:val="404040"/>
          <w:sz w:val="16"/>
        </w:rPr>
        <w:t>.</w:t>
      </w:r>
    </w:p>
    <w:p w:rsidR="00ED3746" w:rsidRDefault="00ED3746" w:rsidP="00ED3746">
      <w:pPr>
        <w:rPr>
          <w:rFonts w:eastAsia="Arial" w:cs="Arial"/>
          <w:b/>
          <w:color w:val="57825E"/>
          <w:szCs w:val="20"/>
        </w:rPr>
      </w:pPr>
      <w:r>
        <w:rPr>
          <w:b/>
          <w:color w:val="57825E"/>
        </w:rPr>
        <w:t>Groupes opérationnels</w:t>
      </w:r>
    </w:p>
    <w:p w:rsidR="00ED3746" w:rsidRPr="00B77106" w:rsidRDefault="00ED3746" w:rsidP="00ED3746">
      <w:pPr>
        <w:rPr>
          <w:rFonts w:cs="Arial"/>
          <w:color w:val="404040"/>
          <w:szCs w:val="20"/>
        </w:rPr>
      </w:pPr>
      <w:r>
        <w:rPr>
          <w:color w:val="404040"/>
        </w:rPr>
        <w:t xml:space="preserve">Groupements de personnes (telles que des agriculteurs, des chercheurs, des conseillers, </w:t>
      </w:r>
      <w:r>
        <w:rPr>
          <w:color w:val="404040"/>
        </w:rPr>
        <w:t>etc.) qui travaillent ensemble sur un projet d’innovation pratique avec des objectifs concrets.</w:t>
      </w:r>
    </w:p>
    <w:p w:rsidR="00ED3746" w:rsidRPr="00B77106" w:rsidRDefault="00ED3746" w:rsidP="00ED3746">
      <w:pPr>
        <w:rPr>
          <w:rFonts w:eastAsia="Times New Roman" w:cs="Arial"/>
          <w:color w:val="404040"/>
          <w:szCs w:val="20"/>
        </w:rPr>
      </w:pPr>
      <w:proofErr w:type="gramStart"/>
      <w:r>
        <w:rPr>
          <w:i/>
          <w:color w:val="404040"/>
          <w:sz w:val="16"/>
          <w:u w:val="single"/>
        </w:rPr>
        <w:t>Référence</w:t>
      </w:r>
      <w:r>
        <w:rPr>
          <w:i/>
          <w:color w:val="404040"/>
          <w:sz w:val="16"/>
        </w:rPr>
        <w:t>:</w:t>
      </w:r>
      <w:proofErr w:type="gramEnd"/>
      <w:r>
        <w:rPr>
          <w:i/>
          <w:color w:val="404040"/>
          <w:sz w:val="16"/>
        </w:rPr>
        <w:t xml:space="preserve"> brochure du PEI-AGRI sur les services de soutien à l’innovation: </w:t>
      </w:r>
      <w:hyperlink r:id="rId97" w:history="1">
        <w:r>
          <w:rPr>
            <w:rStyle w:val="Hyperlink"/>
            <w:i/>
          </w:rPr>
          <w:t>https://ec.europa.eu/eip/agriculture/en/content/innovation-support-services.</w:t>
        </w:r>
      </w:hyperlink>
    </w:p>
    <w:p w:rsidR="00ED3746" w:rsidRPr="009125CD" w:rsidRDefault="00ED3746" w:rsidP="00ED3746">
      <w:pPr>
        <w:rPr>
          <w:rFonts w:eastAsia="Arial" w:cs="Arial"/>
          <w:b/>
          <w:color w:val="57825E"/>
          <w:szCs w:val="20"/>
        </w:rPr>
      </w:pPr>
      <w:r>
        <w:rPr>
          <w:b/>
          <w:color w:val="57825E"/>
        </w:rPr>
        <w:t xml:space="preserve">Potentiel d’innovation du PDR </w:t>
      </w:r>
    </w:p>
    <w:p w:rsidR="00ED3746" w:rsidRPr="00B77106" w:rsidRDefault="00ED3746" w:rsidP="00ED3746">
      <w:pPr>
        <w:rPr>
          <w:rFonts w:cs="Arial"/>
          <w:color w:val="404040"/>
          <w:szCs w:val="20"/>
        </w:rPr>
      </w:pPr>
      <w:r>
        <w:rPr>
          <w:color w:val="404040"/>
        </w:rPr>
        <w:t xml:space="preserve">Le potentiel d’innovation du PDR est la mesure dans laquelle l’approche particulière du PDR à l’égard de l’innovation peut favoriser l’innovation et atteindre les objectifs stratégiques dans les zones rurales, dans un système d’innovation ou un contexte donné. </w:t>
      </w:r>
    </w:p>
    <w:p w:rsidR="00ED3746" w:rsidRPr="00B77106" w:rsidRDefault="00ED3746" w:rsidP="00ED3746">
      <w:pPr>
        <w:rPr>
          <w:rFonts w:eastAsia="Arial" w:cs="Arial"/>
          <w:color w:val="404040"/>
          <w:szCs w:val="20"/>
        </w:rPr>
      </w:pPr>
      <w:proofErr w:type="gramStart"/>
      <w:r>
        <w:rPr>
          <w:i/>
          <w:color w:val="404040"/>
          <w:sz w:val="16"/>
          <w:u w:val="single"/>
        </w:rPr>
        <w:t>Référence</w:t>
      </w:r>
      <w:r>
        <w:rPr>
          <w:i/>
          <w:color w:val="404040"/>
          <w:sz w:val="16"/>
        </w:rPr>
        <w:t>:</w:t>
      </w:r>
      <w:proofErr w:type="gramEnd"/>
      <w:r>
        <w:rPr>
          <w:i/>
          <w:color w:val="404040"/>
          <w:sz w:val="16"/>
        </w:rPr>
        <w:t xml:space="preserve"> GTT-4.</w:t>
      </w:r>
    </w:p>
    <w:p w:rsidR="00ED3746" w:rsidRPr="009125CD" w:rsidRDefault="00ED3746" w:rsidP="00ED3746">
      <w:pPr>
        <w:rPr>
          <w:rFonts w:eastAsia="Arial" w:cs="Arial"/>
          <w:b/>
          <w:color w:val="57825E"/>
          <w:szCs w:val="20"/>
        </w:rPr>
      </w:pPr>
      <w:r>
        <w:rPr>
          <w:b/>
          <w:color w:val="57825E"/>
        </w:rPr>
        <w:t>Innovation sociale</w:t>
      </w:r>
    </w:p>
    <w:p w:rsidR="00ED3746" w:rsidRPr="00B77106" w:rsidRDefault="00ED3746" w:rsidP="00ED3746">
      <w:pPr>
        <w:rPr>
          <w:rFonts w:cs="Arial"/>
          <w:color w:val="404040"/>
          <w:szCs w:val="20"/>
        </w:rPr>
      </w:pPr>
      <w:r>
        <w:rPr>
          <w:color w:val="404040"/>
        </w:rPr>
        <w:t>L’innovation sociale peut être définie comme l’élaboration et la mise en œuvre de nouvelles idées (produits, services et modèles) pour répondre aux besoins sociaux et créer de nouvelles relations ou collaborations sociales.</w:t>
      </w:r>
    </w:p>
    <w:p w:rsidR="00ED3746" w:rsidRPr="00B77106" w:rsidRDefault="00ED3746" w:rsidP="00ED3746">
      <w:pPr>
        <w:rPr>
          <w:rFonts w:eastAsia="Arial" w:cs="Arial"/>
          <w:color w:val="404040"/>
          <w:szCs w:val="20"/>
        </w:rPr>
      </w:pPr>
      <w:proofErr w:type="gramStart"/>
      <w:r>
        <w:rPr>
          <w:i/>
          <w:color w:val="404040"/>
          <w:sz w:val="16"/>
          <w:u w:val="single"/>
        </w:rPr>
        <w:t>Référence</w:t>
      </w:r>
      <w:r>
        <w:rPr>
          <w:i/>
          <w:color w:val="404040"/>
          <w:sz w:val="16"/>
        </w:rPr>
        <w:t>:</w:t>
      </w:r>
      <w:proofErr w:type="gramEnd"/>
      <w:r>
        <w:rPr>
          <w:i/>
          <w:color w:val="404040"/>
          <w:sz w:val="16"/>
        </w:rPr>
        <w:t xml:space="preserve"> DG REGIO, DG EMPL, DG AGRI, etc. (2013) Guide to Social Innovation.</w:t>
      </w:r>
    </w:p>
    <w:p w:rsidR="00ED3746" w:rsidRPr="009125CD" w:rsidRDefault="00ED3746" w:rsidP="00ED3746">
      <w:pPr>
        <w:rPr>
          <w:rFonts w:eastAsia="Arial" w:cs="Arial"/>
          <w:b/>
          <w:color w:val="57825E"/>
          <w:szCs w:val="20"/>
        </w:rPr>
      </w:pPr>
      <w:r>
        <w:rPr>
          <w:b/>
          <w:color w:val="57825E"/>
        </w:rPr>
        <w:t>Échanges thématiques et analytiques</w:t>
      </w:r>
    </w:p>
    <w:p w:rsidR="00ED3746" w:rsidRPr="00B77106" w:rsidRDefault="00ED3746" w:rsidP="00ED3746">
      <w:pPr>
        <w:rPr>
          <w:rFonts w:cs="Arial"/>
          <w:color w:val="404040"/>
          <w:szCs w:val="20"/>
        </w:rPr>
      </w:pPr>
      <w:r>
        <w:rPr>
          <w:color w:val="404040"/>
        </w:rPr>
        <w:t xml:space="preserve">Les échanges peuvent être favorisés par les RRN sous différentes formes. </w:t>
      </w:r>
      <w:r>
        <w:t>La forme la plus courante d’échanges thématiques développés par les RRN sont les groupes de travail thématique (GTT) permanents ou ad hoc.</w:t>
      </w:r>
      <w:r>
        <w:rPr>
          <w:color w:val="404040"/>
        </w:rPr>
        <w:t xml:space="preserve"> Les GTT des RRN rassemblent différentes parties concernées pour discuter, analyser et partager des informations sur des thèmes communs, ce qui donne souvent lieu à des recommandations sur la mise en œuvre et la programmation du PDR.</w:t>
      </w:r>
    </w:p>
    <w:p w:rsidR="00ED3746" w:rsidRPr="00B77106" w:rsidRDefault="00ED3746" w:rsidP="00ED3746">
      <w:pPr>
        <w:jc w:val="left"/>
        <w:rPr>
          <w:rFonts w:eastAsia="Arial" w:cs="Arial"/>
          <w:color w:val="404040"/>
          <w:szCs w:val="20"/>
        </w:rPr>
      </w:pPr>
      <w:r>
        <w:rPr>
          <w:i/>
          <w:color w:val="404040"/>
          <w:sz w:val="16"/>
          <w:u w:val="single"/>
        </w:rPr>
        <w:t xml:space="preserve"> </w:t>
      </w:r>
      <w:proofErr w:type="gramStart"/>
      <w:r>
        <w:rPr>
          <w:i/>
          <w:color w:val="404040"/>
          <w:sz w:val="16"/>
          <w:u w:val="single"/>
        </w:rPr>
        <w:t>Référence</w:t>
      </w:r>
      <w:r>
        <w:rPr>
          <w:i/>
          <w:color w:val="404040"/>
          <w:sz w:val="16"/>
        </w:rPr>
        <w:t>:</w:t>
      </w:r>
      <w:proofErr w:type="gramEnd"/>
      <w:r>
        <w:rPr>
          <w:i/>
          <w:color w:val="404040"/>
          <w:sz w:val="16"/>
        </w:rPr>
        <w:t xml:space="preserve"> NRN </w:t>
      </w:r>
      <w:proofErr w:type="spellStart"/>
      <w:r>
        <w:rPr>
          <w:i/>
          <w:color w:val="404040"/>
          <w:sz w:val="16"/>
        </w:rPr>
        <w:t>guidebook</w:t>
      </w:r>
      <w:proofErr w:type="spellEnd"/>
      <w:r>
        <w:rPr>
          <w:i/>
          <w:color w:val="404040"/>
          <w:sz w:val="16"/>
        </w:rPr>
        <w:t xml:space="preserve">: </w:t>
      </w:r>
      <w:hyperlink r:id="rId98" w:history="1">
        <w:r>
          <w:rPr>
            <w:rStyle w:val="Hyperlink"/>
            <w:i/>
          </w:rPr>
          <w:t>http://enrd.ec.europa.eu/enrd-static/app_templates/enrd_assets/pdf/guidebook/nrn_handbook_webversion.pdf.</w:t>
        </w:r>
      </w:hyperlink>
    </w:p>
    <w:p w:rsidR="00ED3746" w:rsidRDefault="00ED3746" w:rsidP="00ED3746">
      <w:pPr>
        <w:sectPr w:rsidR="00ED3746" w:rsidSect="00ED3746">
          <w:type w:val="continuous"/>
          <w:pgSz w:w="11907" w:h="16840" w:code="9"/>
          <w:pgMar w:top="1440" w:right="1440" w:bottom="1134" w:left="1440" w:header="567" w:footer="1020" w:gutter="0"/>
          <w:cols w:num="2" w:space="708"/>
          <w:titlePg/>
          <w:docGrid w:linePitch="435"/>
        </w:sectPr>
      </w:pPr>
    </w:p>
    <w:p w:rsidR="00ED3746" w:rsidRPr="00BC0813" w:rsidRDefault="00ED3746" w:rsidP="00ED3746">
      <w:pPr>
        <w:pStyle w:val="HStandard"/>
      </w:pPr>
    </w:p>
    <w:p w:rsidR="00ED3746" w:rsidRDefault="00ED3746" w:rsidP="00ED3746">
      <w:pPr>
        <w:spacing w:before="60" w:after="140" w:line="220" w:lineRule="atLeast"/>
        <w:sectPr w:rsidR="00ED3746" w:rsidSect="00ED3746">
          <w:headerReference w:type="first" r:id="rId99"/>
          <w:endnotePr>
            <w:numFmt w:val="decimal"/>
          </w:endnotePr>
          <w:type w:val="continuous"/>
          <w:pgSz w:w="11907" w:h="16840" w:code="9"/>
          <w:pgMar w:top="1440" w:right="1440" w:bottom="1134" w:left="1440" w:header="567" w:footer="709" w:gutter="0"/>
          <w:cols w:space="708"/>
          <w:noEndnote/>
          <w:titlePg/>
          <w:docGrid w:linePitch="360"/>
        </w:sectPr>
      </w:pPr>
    </w:p>
    <w:p w:rsidR="00ED3746" w:rsidRPr="000A14B3" w:rsidRDefault="00ED3746" w:rsidP="00ED3746">
      <w:pPr>
        <w:pStyle w:val="HHeading2"/>
        <w:numPr>
          <w:ilvl w:val="1"/>
          <w:numId w:val="119"/>
        </w:numPr>
        <w:ind w:left="567" w:hanging="567"/>
      </w:pPr>
      <w:bookmarkStart w:id="185" w:name="_Toc493151908"/>
      <w:bookmarkStart w:id="186" w:name="_Toc501382138"/>
      <w:bookmarkStart w:id="187" w:name="_Toc503368732"/>
      <w:bookmarkStart w:id="188" w:name="_Toc508889643"/>
      <w:r>
        <w:lastRenderedPageBreak/>
        <w:t xml:space="preserve">Déterminer le potentiel d’innovation du </w:t>
      </w:r>
      <w:proofErr w:type="gramStart"/>
      <w:r>
        <w:t>PDR:</w:t>
      </w:r>
      <w:proofErr w:type="gramEnd"/>
      <w:r>
        <w:t xml:space="preserve"> étape par étape</w:t>
      </w:r>
      <w:bookmarkEnd w:id="185"/>
      <w:bookmarkEnd w:id="186"/>
      <w:bookmarkEnd w:id="187"/>
      <w:bookmarkEnd w:id="188"/>
    </w:p>
    <w:tbl>
      <w:tblPr>
        <w:tblW w:w="1487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D3746" w:rsidRPr="00B77106" w:rsidTr="006C67E6">
        <w:trPr>
          <w:trHeight w:val="294"/>
          <w:jc w:val="center"/>
        </w:trPr>
        <w:tc>
          <w:tcPr>
            <w:tcW w:w="1980" w:type="dxa"/>
            <w:shd w:val="clear" w:color="auto" w:fill="FF6F0D"/>
          </w:tcPr>
          <w:p w:rsidR="00ED3746" w:rsidRPr="00B77106" w:rsidRDefault="00ED3746" w:rsidP="00ED3746">
            <w:pPr>
              <w:tabs>
                <w:tab w:val="right" w:pos="2885"/>
              </w:tabs>
              <w:spacing w:before="120" w:after="120" w:line="280" w:lineRule="atLeast"/>
              <w:jc w:val="center"/>
              <w:rPr>
                <w:rFonts w:eastAsia="Times New Roman" w:cs="Arial"/>
                <w:b/>
                <w:color w:val="FFFFFF"/>
                <w:sz w:val="18"/>
                <w:szCs w:val="18"/>
              </w:rPr>
            </w:pPr>
            <w:r>
              <w:rPr>
                <w:b/>
                <w:color w:val="FFFFFF"/>
                <w:sz w:val="18"/>
              </w:rPr>
              <w:t>Étapes</w:t>
            </w:r>
          </w:p>
        </w:tc>
        <w:tc>
          <w:tcPr>
            <w:tcW w:w="3260" w:type="dxa"/>
            <w:shd w:val="clear" w:color="auto" w:fill="FF6F0D"/>
          </w:tcPr>
          <w:p w:rsidR="00ED3746" w:rsidRPr="00B77106" w:rsidRDefault="00ED3746" w:rsidP="00ED3746">
            <w:pPr>
              <w:spacing w:before="120" w:after="120" w:line="280" w:lineRule="atLeast"/>
              <w:jc w:val="center"/>
              <w:rPr>
                <w:rFonts w:eastAsia="Times New Roman" w:cs="Arial"/>
                <w:b/>
                <w:color w:val="FFFFFF"/>
                <w:sz w:val="18"/>
                <w:szCs w:val="18"/>
              </w:rPr>
            </w:pPr>
            <w:r>
              <w:rPr>
                <w:b/>
                <w:color w:val="FFFFFF"/>
                <w:sz w:val="18"/>
              </w:rPr>
              <w:t xml:space="preserve">Question essentielle à se poser </w:t>
            </w:r>
          </w:p>
        </w:tc>
        <w:tc>
          <w:tcPr>
            <w:tcW w:w="2268" w:type="dxa"/>
            <w:shd w:val="clear" w:color="auto" w:fill="FF6F0D"/>
          </w:tcPr>
          <w:p w:rsidR="00ED3746" w:rsidRPr="00B77106" w:rsidRDefault="00ED3746" w:rsidP="00ED3746">
            <w:pPr>
              <w:spacing w:before="120" w:after="120" w:line="280" w:lineRule="atLeast"/>
              <w:jc w:val="center"/>
              <w:rPr>
                <w:rFonts w:eastAsia="Times New Roman" w:cs="Arial"/>
                <w:b/>
                <w:color w:val="FFFFFF"/>
                <w:sz w:val="18"/>
                <w:szCs w:val="18"/>
              </w:rPr>
            </w:pPr>
            <w:r>
              <w:rPr>
                <w:b/>
                <w:color w:val="FFFFFF"/>
                <w:sz w:val="18"/>
              </w:rPr>
              <w:t xml:space="preserve">Où dans le </w:t>
            </w:r>
            <w:proofErr w:type="gramStart"/>
            <w:r>
              <w:rPr>
                <w:b/>
                <w:color w:val="FFFFFF"/>
                <w:sz w:val="18"/>
              </w:rPr>
              <w:t>PDR?</w:t>
            </w:r>
            <w:proofErr w:type="gramEnd"/>
          </w:p>
        </w:tc>
        <w:tc>
          <w:tcPr>
            <w:tcW w:w="2693" w:type="dxa"/>
            <w:shd w:val="clear" w:color="auto" w:fill="FF6F0D"/>
          </w:tcPr>
          <w:p w:rsidR="00ED3746" w:rsidRPr="00B77106" w:rsidRDefault="00ED3746" w:rsidP="00ED3746">
            <w:pPr>
              <w:spacing w:before="120" w:after="120" w:line="280" w:lineRule="atLeast"/>
              <w:jc w:val="center"/>
              <w:rPr>
                <w:rFonts w:eastAsia="Times New Roman" w:cs="Arial"/>
                <w:b/>
                <w:color w:val="FFFFFF"/>
                <w:sz w:val="18"/>
                <w:szCs w:val="18"/>
              </w:rPr>
            </w:pPr>
            <w:r>
              <w:rPr>
                <w:b/>
                <w:color w:val="FFFFFF"/>
                <w:sz w:val="18"/>
              </w:rPr>
              <w:t>Exemples</w:t>
            </w:r>
          </w:p>
        </w:tc>
        <w:tc>
          <w:tcPr>
            <w:tcW w:w="2268" w:type="dxa"/>
            <w:shd w:val="clear" w:color="auto" w:fill="FF6F0D"/>
          </w:tcPr>
          <w:p w:rsidR="00ED3746" w:rsidRPr="00B77106" w:rsidRDefault="00ED3746" w:rsidP="00ED3746">
            <w:pPr>
              <w:spacing w:before="120" w:after="120" w:line="280" w:lineRule="atLeast"/>
              <w:jc w:val="center"/>
              <w:rPr>
                <w:rFonts w:eastAsia="Times New Roman" w:cs="Arial"/>
                <w:b/>
                <w:color w:val="FFFFFF"/>
                <w:sz w:val="18"/>
                <w:szCs w:val="18"/>
              </w:rPr>
            </w:pPr>
            <w:r>
              <w:rPr>
                <w:b/>
                <w:color w:val="FFFFFF"/>
                <w:sz w:val="18"/>
              </w:rPr>
              <w:t>Risques liés à l’étape</w:t>
            </w:r>
          </w:p>
        </w:tc>
        <w:tc>
          <w:tcPr>
            <w:tcW w:w="2410" w:type="dxa"/>
            <w:shd w:val="clear" w:color="auto" w:fill="FF6F0D"/>
          </w:tcPr>
          <w:p w:rsidR="00ED3746" w:rsidRPr="00B77106" w:rsidRDefault="00ED3746" w:rsidP="00ED3746">
            <w:pPr>
              <w:spacing w:before="120" w:after="120" w:line="280" w:lineRule="atLeast"/>
              <w:jc w:val="center"/>
              <w:rPr>
                <w:rFonts w:eastAsia="Times New Roman" w:cs="Arial"/>
                <w:b/>
                <w:color w:val="FFFFFF"/>
                <w:sz w:val="18"/>
                <w:szCs w:val="18"/>
              </w:rPr>
            </w:pPr>
            <w:r>
              <w:rPr>
                <w:b/>
                <w:color w:val="FFFFFF"/>
                <w:sz w:val="18"/>
              </w:rPr>
              <w:t>Solutions</w:t>
            </w:r>
          </w:p>
        </w:tc>
      </w:tr>
      <w:tr w:rsidR="00ED3746" w:rsidRPr="00B77106" w:rsidTr="00ED3746">
        <w:trPr>
          <w:jc w:val="center"/>
        </w:trPr>
        <w:tc>
          <w:tcPr>
            <w:tcW w:w="1980" w:type="dxa"/>
            <w:shd w:val="clear" w:color="auto" w:fill="auto"/>
          </w:tcPr>
          <w:p w:rsidR="00ED3746" w:rsidRPr="00B77106" w:rsidRDefault="00ED3746" w:rsidP="00ED3746">
            <w:pPr>
              <w:spacing w:after="0" w:line="240" w:lineRule="auto"/>
              <w:jc w:val="left"/>
              <w:rPr>
                <w:rFonts w:eastAsia="Times New Roman" w:cs="Arial"/>
                <w:color w:val="F07E31"/>
                <w:sz w:val="18"/>
                <w:szCs w:val="18"/>
              </w:rPr>
            </w:pPr>
            <w:r>
              <w:rPr>
                <w:color w:val="F07E31"/>
                <w:sz w:val="18"/>
              </w:rPr>
              <w:t>Étape </w:t>
            </w:r>
            <w:proofErr w:type="gramStart"/>
            <w:r>
              <w:rPr>
                <w:color w:val="F07E31"/>
                <w:sz w:val="18"/>
              </w:rPr>
              <w:t>1:</w:t>
            </w:r>
            <w:proofErr w:type="gramEnd"/>
            <w:r>
              <w:rPr>
                <w:color w:val="F07E31"/>
                <w:sz w:val="18"/>
              </w:rPr>
              <w:t xml:space="preserve"> déterminer les liens entre les besoins en matière d’innovation et la mesure/sous-mesure </w:t>
            </w:r>
          </w:p>
        </w:tc>
        <w:tc>
          <w:tcPr>
            <w:tcW w:w="3260" w:type="dxa"/>
            <w:shd w:val="clear" w:color="auto" w:fill="auto"/>
          </w:tcPr>
          <w:p w:rsidR="00ED3746" w:rsidRPr="00B77106" w:rsidRDefault="00ED3746" w:rsidP="00ED3746">
            <w:pPr>
              <w:spacing w:after="120" w:line="240" w:lineRule="auto"/>
              <w:jc w:val="left"/>
              <w:rPr>
                <w:rFonts w:eastAsia="Times New Roman" w:cs="Arial"/>
                <w:sz w:val="16"/>
                <w:szCs w:val="16"/>
              </w:rPr>
            </w:pPr>
            <w:r>
              <w:rPr>
                <w:sz w:val="16"/>
              </w:rPr>
              <w:t>Quels sont les besoins en matière d’innovation recensés dans l’évaluation des besoins en relation avec la mesure/sous-</w:t>
            </w:r>
            <w:proofErr w:type="gramStart"/>
            <w:r>
              <w:rPr>
                <w:sz w:val="16"/>
              </w:rPr>
              <w:t>mesure?</w:t>
            </w:r>
            <w:proofErr w:type="gramEnd"/>
          </w:p>
          <w:p w:rsidR="00ED3746" w:rsidRPr="00B77106" w:rsidRDefault="00ED3746" w:rsidP="00ED3746">
            <w:pPr>
              <w:spacing w:after="120" w:line="240" w:lineRule="auto"/>
              <w:jc w:val="left"/>
              <w:rPr>
                <w:rFonts w:eastAsia="Times New Roman" w:cs="Arial"/>
                <w:sz w:val="16"/>
                <w:szCs w:val="16"/>
              </w:rPr>
            </w:pPr>
            <w:r>
              <w:rPr>
                <w:sz w:val="16"/>
              </w:rPr>
              <w:t>Comment la mesure/sous-mesure répond-elle à ces besoins, compte tenu des trois </w:t>
            </w:r>
            <w:proofErr w:type="gramStart"/>
            <w:r>
              <w:rPr>
                <w:sz w:val="16"/>
              </w:rPr>
              <w:t>démarches?</w:t>
            </w:r>
            <w:proofErr w:type="gramEnd"/>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Section 4 – analyse SWOT et évaluation des besoins</w:t>
            </w:r>
          </w:p>
          <w:p w:rsidR="00ED3746" w:rsidRPr="00B77106" w:rsidRDefault="00ED3746" w:rsidP="00ED3746">
            <w:pPr>
              <w:spacing w:after="0" w:line="240" w:lineRule="auto"/>
              <w:jc w:val="left"/>
              <w:rPr>
                <w:rFonts w:eastAsia="Times New Roman" w:cs="Arial"/>
                <w:sz w:val="16"/>
                <w:szCs w:val="16"/>
              </w:rPr>
            </w:pPr>
            <w:r>
              <w:rPr>
                <w:sz w:val="16"/>
              </w:rPr>
              <w:t>Section 5 – description de la stratégie</w:t>
            </w:r>
          </w:p>
          <w:p w:rsidR="00ED3746" w:rsidRPr="00B77106" w:rsidRDefault="00ED3746" w:rsidP="00ED3746">
            <w:pPr>
              <w:spacing w:after="0" w:line="240" w:lineRule="auto"/>
              <w:jc w:val="left"/>
              <w:rPr>
                <w:rFonts w:eastAsia="Times New Roman" w:cs="Arial"/>
                <w:sz w:val="16"/>
                <w:szCs w:val="16"/>
              </w:rPr>
            </w:pPr>
            <w:r>
              <w:rPr>
                <w:sz w:val="16"/>
              </w:rPr>
              <w:t>Section 8 – description des mesures et des sous-mesures</w:t>
            </w:r>
          </w:p>
        </w:tc>
        <w:tc>
          <w:tcPr>
            <w:tcW w:w="2693"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Nécessité d’améliorer le système R+D+</w:t>
            </w:r>
            <w:proofErr w:type="gramStart"/>
            <w:r>
              <w:rPr>
                <w:sz w:val="16"/>
              </w:rPr>
              <w:t>I;</w:t>
            </w:r>
            <w:proofErr w:type="gramEnd"/>
            <w:r>
              <w:rPr>
                <w:sz w:val="16"/>
              </w:rPr>
              <w:t xml:space="preserve"> nécessité d’améliorer les mécanismes de transfert des connaissances; nécessité d’encourager la culture de l’innovation parmi les acteurs dans le secteur agroalimentaire.</w:t>
            </w:r>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 xml:space="preserve">Les besoins en matière d’innovation n’ont pas été clairement déterminés dans l’analyse SWOT et dans l’évaluation des besoins. </w:t>
            </w:r>
          </w:p>
        </w:tc>
        <w:tc>
          <w:tcPr>
            <w:tcW w:w="2410"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Réexaminer l’analyse SWOT et l’évaluation des besoins à partir du point consacré aux besoins en matière d’innovation.</w:t>
            </w:r>
          </w:p>
        </w:tc>
      </w:tr>
      <w:tr w:rsidR="00ED3746" w:rsidRPr="00B77106" w:rsidTr="00ED3746">
        <w:trPr>
          <w:jc w:val="center"/>
        </w:trPr>
        <w:tc>
          <w:tcPr>
            <w:tcW w:w="1980" w:type="dxa"/>
            <w:shd w:val="clear" w:color="auto" w:fill="auto"/>
          </w:tcPr>
          <w:p w:rsidR="00ED3746" w:rsidRPr="00B77106" w:rsidRDefault="00ED3746" w:rsidP="00ED3746">
            <w:pPr>
              <w:spacing w:after="120" w:line="240" w:lineRule="auto"/>
              <w:jc w:val="left"/>
              <w:rPr>
                <w:rFonts w:eastAsia="Times New Roman" w:cs="Arial"/>
                <w:color w:val="F07E31"/>
                <w:sz w:val="18"/>
                <w:szCs w:val="18"/>
              </w:rPr>
            </w:pPr>
            <w:r>
              <w:rPr>
                <w:color w:val="F07E31"/>
                <w:sz w:val="18"/>
              </w:rPr>
              <w:t>Étape </w:t>
            </w:r>
            <w:proofErr w:type="gramStart"/>
            <w:r>
              <w:rPr>
                <w:color w:val="F07E31"/>
                <w:sz w:val="18"/>
              </w:rPr>
              <w:t>2:</w:t>
            </w:r>
            <w:proofErr w:type="gramEnd"/>
            <w:r>
              <w:rPr>
                <w:color w:val="F07E31"/>
                <w:sz w:val="18"/>
              </w:rPr>
              <w:t xml:space="preserve"> déterminer les volets des objectifs de la mesure/sous-mesure qui concernent l’innovation</w:t>
            </w:r>
          </w:p>
        </w:tc>
        <w:tc>
          <w:tcPr>
            <w:tcW w:w="3260" w:type="dxa"/>
            <w:shd w:val="clear" w:color="auto" w:fill="auto"/>
          </w:tcPr>
          <w:p w:rsidR="00ED3746" w:rsidRPr="00B77106" w:rsidRDefault="00ED3746" w:rsidP="00ED3746">
            <w:pPr>
              <w:spacing w:after="120" w:line="240" w:lineRule="auto"/>
              <w:jc w:val="left"/>
              <w:rPr>
                <w:rFonts w:eastAsia="Times New Roman" w:cs="Arial"/>
                <w:sz w:val="16"/>
                <w:szCs w:val="16"/>
              </w:rPr>
            </w:pPr>
            <w:r>
              <w:rPr>
                <w:sz w:val="16"/>
              </w:rPr>
              <w:t xml:space="preserve">Dans quelle mesure les objectifs de la mesure/sous-mesure répondent-ils aux besoins en matière </w:t>
            </w:r>
            <w:proofErr w:type="gramStart"/>
            <w:r>
              <w:rPr>
                <w:sz w:val="16"/>
              </w:rPr>
              <w:t>d’innovation?</w:t>
            </w:r>
            <w:proofErr w:type="gramEnd"/>
          </w:p>
          <w:p w:rsidR="00ED3746" w:rsidRPr="00B77106" w:rsidRDefault="00ED3746" w:rsidP="00ED3746">
            <w:pPr>
              <w:spacing w:after="120" w:line="240" w:lineRule="auto"/>
              <w:jc w:val="left"/>
              <w:rPr>
                <w:rFonts w:eastAsia="Times New Roman" w:cs="Arial"/>
                <w:sz w:val="16"/>
                <w:szCs w:val="16"/>
              </w:rPr>
            </w:pPr>
            <w:r>
              <w:rPr>
                <w:sz w:val="16"/>
              </w:rPr>
              <w:t xml:space="preserve">Comment l’objectif ou les objectifs sont-ils formulés en relation avec </w:t>
            </w:r>
            <w:proofErr w:type="gramStart"/>
            <w:r>
              <w:rPr>
                <w:sz w:val="16"/>
              </w:rPr>
              <w:t>l’innovation?</w:t>
            </w:r>
            <w:proofErr w:type="gramEnd"/>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Section 5 – description de la stratégie</w:t>
            </w:r>
          </w:p>
          <w:p w:rsidR="00ED3746" w:rsidRPr="00B77106" w:rsidRDefault="00ED3746" w:rsidP="00ED3746">
            <w:pPr>
              <w:spacing w:after="0" w:line="240" w:lineRule="auto"/>
              <w:jc w:val="left"/>
              <w:rPr>
                <w:rFonts w:eastAsia="Times New Roman" w:cs="Arial"/>
                <w:sz w:val="16"/>
                <w:szCs w:val="16"/>
              </w:rPr>
            </w:pPr>
            <w:r>
              <w:rPr>
                <w:sz w:val="16"/>
              </w:rPr>
              <w:t>Section 8 – description des mesures et des sous-mesures</w:t>
            </w:r>
          </w:p>
        </w:tc>
        <w:tc>
          <w:tcPr>
            <w:tcW w:w="2693"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 xml:space="preserve">Favoriser les nouvelles technologies dans les systèmes </w:t>
            </w:r>
            <w:proofErr w:type="gramStart"/>
            <w:r>
              <w:rPr>
                <w:sz w:val="16"/>
              </w:rPr>
              <w:t>d’irrigation;</w:t>
            </w:r>
            <w:proofErr w:type="gramEnd"/>
            <w:r>
              <w:rPr>
                <w:sz w:val="16"/>
              </w:rPr>
              <w:t xml:space="preserve"> introduire de nouvelles connaissances dans le domaine de la protection et du traitement des cultures; améliorer les résultats économiques des entreprises rurales grâce à l’innovation.</w:t>
            </w:r>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Les objectifs relatifs à l’innovation ne sont pas évidents dans la description générale des mesures et sous mesures.</w:t>
            </w:r>
          </w:p>
        </w:tc>
        <w:tc>
          <w:tcPr>
            <w:tcW w:w="2410"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Réexaminer toutes les sous-mesures et leurs objectifs respectifs afin de déceler les objectifs relatifs à l’innovation.</w:t>
            </w:r>
          </w:p>
        </w:tc>
      </w:tr>
      <w:tr w:rsidR="00ED3746" w:rsidRPr="00B77106" w:rsidTr="00ED3746">
        <w:trPr>
          <w:jc w:val="center"/>
        </w:trPr>
        <w:tc>
          <w:tcPr>
            <w:tcW w:w="1980" w:type="dxa"/>
            <w:shd w:val="clear" w:color="auto" w:fill="auto"/>
          </w:tcPr>
          <w:p w:rsidR="00ED3746" w:rsidRPr="00B77106" w:rsidRDefault="00ED3746" w:rsidP="00ED3746">
            <w:pPr>
              <w:spacing w:after="0" w:line="240" w:lineRule="auto"/>
              <w:jc w:val="left"/>
              <w:rPr>
                <w:rFonts w:eastAsia="Times New Roman" w:cs="Arial"/>
                <w:color w:val="F07E31"/>
                <w:sz w:val="18"/>
                <w:szCs w:val="18"/>
              </w:rPr>
            </w:pPr>
            <w:r>
              <w:rPr>
                <w:color w:val="F07E31"/>
                <w:sz w:val="18"/>
              </w:rPr>
              <w:t>Étape </w:t>
            </w:r>
            <w:proofErr w:type="gramStart"/>
            <w:r>
              <w:rPr>
                <w:color w:val="F07E31"/>
                <w:sz w:val="18"/>
              </w:rPr>
              <w:t>3:</w:t>
            </w:r>
            <w:proofErr w:type="gramEnd"/>
            <w:r>
              <w:rPr>
                <w:color w:val="F07E31"/>
                <w:sz w:val="18"/>
              </w:rPr>
              <w:t xml:space="preserve"> déterminer les critères de sélection relatifs à l’innovation de la mesure/sous-mesure</w:t>
            </w:r>
          </w:p>
        </w:tc>
        <w:tc>
          <w:tcPr>
            <w:tcW w:w="3260" w:type="dxa"/>
            <w:shd w:val="clear" w:color="auto" w:fill="auto"/>
          </w:tcPr>
          <w:p w:rsidR="00ED3746" w:rsidRPr="00B77106" w:rsidRDefault="00ED3746" w:rsidP="00ED3746">
            <w:pPr>
              <w:spacing w:after="120" w:line="240" w:lineRule="auto"/>
              <w:jc w:val="left"/>
              <w:rPr>
                <w:rFonts w:eastAsia="Times New Roman" w:cs="Arial"/>
                <w:sz w:val="16"/>
                <w:szCs w:val="16"/>
              </w:rPr>
            </w:pPr>
            <w:r>
              <w:rPr>
                <w:sz w:val="16"/>
              </w:rPr>
              <w:t>Dans quelle mesure les critères de sélection de projets de la mesure/sous-mesure favorisent-ils le soutien à l’innovation compte tenu des trois </w:t>
            </w:r>
            <w:proofErr w:type="gramStart"/>
            <w:r>
              <w:rPr>
                <w:sz w:val="16"/>
              </w:rPr>
              <w:t>démarches?</w:t>
            </w:r>
            <w:proofErr w:type="gramEnd"/>
            <w:r>
              <w:rPr>
                <w:sz w:val="16"/>
              </w:rPr>
              <w:t xml:space="preserve"> </w:t>
            </w:r>
          </w:p>
          <w:p w:rsidR="00ED3746" w:rsidRPr="00B77106" w:rsidRDefault="00ED3746" w:rsidP="00ED3746">
            <w:pPr>
              <w:spacing w:after="120" w:line="240" w:lineRule="auto"/>
              <w:jc w:val="left"/>
              <w:rPr>
                <w:rFonts w:eastAsia="Times New Roman" w:cs="Arial"/>
                <w:sz w:val="16"/>
                <w:szCs w:val="16"/>
              </w:rPr>
            </w:pPr>
            <w:r>
              <w:rPr>
                <w:sz w:val="16"/>
              </w:rPr>
              <w:t xml:space="preserve">Quels critères de sélection concrets encouragent les projets qui favorisent </w:t>
            </w:r>
            <w:proofErr w:type="gramStart"/>
            <w:r>
              <w:rPr>
                <w:sz w:val="16"/>
              </w:rPr>
              <w:t>l’innovation?</w:t>
            </w:r>
            <w:proofErr w:type="gramEnd"/>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Section 8 – description des mesures et des sous-mesures</w:t>
            </w:r>
          </w:p>
          <w:p w:rsidR="00ED3746" w:rsidRPr="00B77106" w:rsidRDefault="00ED3746" w:rsidP="00ED3746">
            <w:pPr>
              <w:spacing w:after="0" w:line="240" w:lineRule="auto"/>
              <w:jc w:val="left"/>
              <w:rPr>
                <w:rFonts w:eastAsia="Times New Roman" w:cs="Arial"/>
                <w:sz w:val="16"/>
                <w:szCs w:val="16"/>
              </w:rPr>
            </w:pPr>
            <w:r>
              <w:rPr>
                <w:sz w:val="16"/>
              </w:rPr>
              <w:t>Critères de sélection élaborés au cours de la mise en œuvre (</w:t>
            </w:r>
            <w:proofErr w:type="gramStart"/>
            <w:r>
              <w:rPr>
                <w:sz w:val="16"/>
              </w:rPr>
              <w:t>source:</w:t>
            </w:r>
            <w:proofErr w:type="gramEnd"/>
            <w:r>
              <w:rPr>
                <w:sz w:val="16"/>
              </w:rPr>
              <w:t xml:space="preserve"> site web du programme, AG)</w:t>
            </w:r>
          </w:p>
        </w:tc>
        <w:tc>
          <w:tcPr>
            <w:tcW w:w="2693"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 xml:space="preserve">Privilégier les acteurs qui ont de l’expérience dans </w:t>
            </w:r>
            <w:proofErr w:type="gramStart"/>
            <w:r>
              <w:rPr>
                <w:sz w:val="16"/>
              </w:rPr>
              <w:t>l’innovation;</w:t>
            </w:r>
            <w:proofErr w:type="gramEnd"/>
            <w:r>
              <w:rPr>
                <w:sz w:val="16"/>
              </w:rPr>
              <w:t xml:space="preserve"> privilégier les opérations qui lient la recherche et la pratique; mettre l’accent sur la composition de partenariats (dans les opérations de coopération).</w:t>
            </w:r>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La description des mesures ne précise pas les critères de sélection de projets relatifs à l’innovation, ou n’applique qu’une formulation générale, par exemple</w:t>
            </w:r>
            <w:proofErr w:type="gramStart"/>
            <w:r>
              <w:rPr>
                <w:sz w:val="16"/>
              </w:rPr>
              <w:t xml:space="preserve"> «le</w:t>
            </w:r>
            <w:proofErr w:type="gramEnd"/>
            <w:r>
              <w:rPr>
                <w:sz w:val="16"/>
              </w:rPr>
              <w:t xml:space="preserve"> projet sélectionné doit être innovant». </w:t>
            </w:r>
          </w:p>
        </w:tc>
        <w:tc>
          <w:tcPr>
            <w:tcW w:w="2410"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Proposer des critères opérationnels qui précisent dans quelles conditions le projet est sélectionné pour son caractère innovant.</w:t>
            </w:r>
          </w:p>
        </w:tc>
      </w:tr>
      <w:tr w:rsidR="00ED3746" w:rsidRPr="00B77106" w:rsidTr="00ED3746">
        <w:trPr>
          <w:jc w:val="center"/>
        </w:trPr>
        <w:tc>
          <w:tcPr>
            <w:tcW w:w="1980" w:type="dxa"/>
            <w:shd w:val="clear" w:color="auto" w:fill="auto"/>
          </w:tcPr>
          <w:p w:rsidR="00ED3746" w:rsidRPr="00B77106" w:rsidRDefault="00ED3746" w:rsidP="00ED3746">
            <w:pPr>
              <w:spacing w:after="120" w:line="240" w:lineRule="auto"/>
              <w:jc w:val="left"/>
              <w:rPr>
                <w:rFonts w:eastAsia="Times New Roman" w:cs="Arial"/>
                <w:color w:val="F07E31"/>
                <w:sz w:val="18"/>
                <w:szCs w:val="18"/>
              </w:rPr>
            </w:pPr>
            <w:r>
              <w:rPr>
                <w:color w:val="F07E31"/>
                <w:sz w:val="18"/>
              </w:rPr>
              <w:t>Étape </w:t>
            </w:r>
            <w:proofErr w:type="gramStart"/>
            <w:r>
              <w:rPr>
                <w:color w:val="F07E31"/>
                <w:sz w:val="18"/>
              </w:rPr>
              <w:t>4:</w:t>
            </w:r>
            <w:proofErr w:type="gramEnd"/>
            <w:r>
              <w:rPr>
                <w:color w:val="F07E31"/>
                <w:sz w:val="18"/>
              </w:rPr>
              <w:t xml:space="preserve"> identifier les acteurs de l’innovation dans la description de la mesure/sous-mesure</w:t>
            </w:r>
          </w:p>
        </w:tc>
        <w:tc>
          <w:tcPr>
            <w:tcW w:w="3260" w:type="dxa"/>
            <w:shd w:val="clear" w:color="auto" w:fill="auto"/>
          </w:tcPr>
          <w:p w:rsidR="00ED3746" w:rsidRPr="00B77106" w:rsidRDefault="00ED3746" w:rsidP="00ED3746">
            <w:pPr>
              <w:spacing w:after="120" w:line="240" w:lineRule="auto"/>
              <w:jc w:val="left"/>
              <w:rPr>
                <w:rFonts w:eastAsia="Times New Roman" w:cs="Arial"/>
                <w:sz w:val="16"/>
                <w:szCs w:val="16"/>
              </w:rPr>
            </w:pPr>
            <w:r>
              <w:rPr>
                <w:sz w:val="16"/>
              </w:rPr>
              <w:t>Quels bénéficiaires sont envisagés pour favoriser l’innovation via les trois </w:t>
            </w:r>
            <w:proofErr w:type="gramStart"/>
            <w:r>
              <w:rPr>
                <w:sz w:val="16"/>
              </w:rPr>
              <w:t>démarches?</w:t>
            </w:r>
            <w:proofErr w:type="gramEnd"/>
          </w:p>
          <w:p w:rsidR="00ED3746" w:rsidRPr="00B77106" w:rsidRDefault="00ED3746" w:rsidP="00ED3746">
            <w:pPr>
              <w:spacing w:after="120" w:line="240" w:lineRule="auto"/>
              <w:jc w:val="left"/>
              <w:rPr>
                <w:rFonts w:eastAsia="Times New Roman" w:cs="Arial"/>
                <w:sz w:val="16"/>
                <w:szCs w:val="16"/>
              </w:rPr>
            </w:pPr>
            <w:r>
              <w:rPr>
                <w:sz w:val="16"/>
              </w:rPr>
              <w:t xml:space="preserve">Quels autres acteurs de l’innovation participent à la mise en œuvre de la </w:t>
            </w:r>
            <w:proofErr w:type="gramStart"/>
            <w:r>
              <w:rPr>
                <w:sz w:val="16"/>
              </w:rPr>
              <w:t>mesure?</w:t>
            </w:r>
            <w:proofErr w:type="gramEnd"/>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Section 8 – description des mesures et des sous-mesures</w:t>
            </w:r>
          </w:p>
        </w:tc>
        <w:tc>
          <w:tcPr>
            <w:tcW w:w="2693"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Centres de R&amp;D</w:t>
            </w:r>
          </w:p>
          <w:p w:rsidR="00ED3746" w:rsidRPr="00B77106" w:rsidRDefault="00ED3746" w:rsidP="00ED3746">
            <w:pPr>
              <w:spacing w:after="0" w:line="240" w:lineRule="auto"/>
              <w:jc w:val="left"/>
              <w:rPr>
                <w:rFonts w:eastAsia="Times New Roman" w:cs="Arial"/>
                <w:sz w:val="16"/>
                <w:szCs w:val="16"/>
              </w:rPr>
            </w:pPr>
            <w:r>
              <w:rPr>
                <w:sz w:val="16"/>
              </w:rPr>
              <w:t>Instituts technologiques</w:t>
            </w:r>
          </w:p>
          <w:p w:rsidR="00ED3746" w:rsidRPr="00B77106" w:rsidRDefault="00ED3746" w:rsidP="00ED3746">
            <w:pPr>
              <w:spacing w:after="0" w:line="240" w:lineRule="auto"/>
              <w:jc w:val="left"/>
              <w:rPr>
                <w:rFonts w:eastAsia="Times New Roman" w:cs="Arial"/>
                <w:sz w:val="16"/>
                <w:szCs w:val="16"/>
              </w:rPr>
            </w:pPr>
            <w:r>
              <w:rPr>
                <w:sz w:val="16"/>
              </w:rPr>
              <w:t>Départements de l’innovation des institutions publiques</w:t>
            </w:r>
          </w:p>
          <w:p w:rsidR="00ED3746" w:rsidRPr="00B77106" w:rsidRDefault="00ED3746" w:rsidP="00ED3746">
            <w:pPr>
              <w:spacing w:after="0" w:line="240" w:lineRule="auto"/>
              <w:jc w:val="left"/>
              <w:rPr>
                <w:rFonts w:eastAsia="Times New Roman" w:cs="Arial"/>
                <w:sz w:val="16"/>
                <w:szCs w:val="16"/>
              </w:rPr>
            </w:pPr>
          </w:p>
          <w:p w:rsidR="00ED3746" w:rsidRPr="00B77106" w:rsidRDefault="00ED3746" w:rsidP="00ED3746">
            <w:pPr>
              <w:spacing w:after="0" w:line="240" w:lineRule="auto"/>
              <w:jc w:val="left"/>
              <w:rPr>
                <w:rFonts w:eastAsia="Times New Roman" w:cs="Arial"/>
                <w:sz w:val="16"/>
                <w:szCs w:val="16"/>
              </w:rPr>
            </w:pPr>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Les acteurs de l’innovation peuvent ne pas être définis dans la conception de la mesure.</w:t>
            </w:r>
          </w:p>
        </w:tc>
        <w:tc>
          <w:tcPr>
            <w:tcW w:w="2410"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 xml:space="preserve">L’évaluateur doit examiner si les acteurs de l’innovation ont participé à la mise en œuvre de la mesure et des sous-mesures. </w:t>
            </w:r>
          </w:p>
        </w:tc>
      </w:tr>
      <w:tr w:rsidR="00ED3746" w:rsidRPr="00B77106" w:rsidTr="00ED3746">
        <w:trPr>
          <w:jc w:val="center"/>
        </w:trPr>
        <w:tc>
          <w:tcPr>
            <w:tcW w:w="1980" w:type="dxa"/>
            <w:shd w:val="clear" w:color="auto" w:fill="auto"/>
          </w:tcPr>
          <w:p w:rsidR="00ED3746" w:rsidRPr="00B77106" w:rsidRDefault="00ED3746" w:rsidP="00ED3746">
            <w:pPr>
              <w:spacing w:after="120" w:line="240" w:lineRule="auto"/>
              <w:jc w:val="left"/>
              <w:rPr>
                <w:rFonts w:eastAsia="Times New Roman" w:cs="Arial"/>
                <w:color w:val="F07E31"/>
                <w:sz w:val="18"/>
                <w:szCs w:val="18"/>
              </w:rPr>
            </w:pPr>
            <w:r>
              <w:rPr>
                <w:color w:val="F07E31"/>
                <w:sz w:val="18"/>
              </w:rPr>
              <w:t>Étape </w:t>
            </w:r>
            <w:proofErr w:type="gramStart"/>
            <w:r>
              <w:rPr>
                <w:color w:val="F07E31"/>
                <w:sz w:val="18"/>
              </w:rPr>
              <w:t>5:</w:t>
            </w:r>
            <w:proofErr w:type="gramEnd"/>
            <w:r>
              <w:rPr>
                <w:color w:val="F07E31"/>
                <w:sz w:val="18"/>
              </w:rPr>
              <w:t xml:space="preserve"> déterminer les actions, les coûts et les budgets relatifs à l’innovation dans la description de la mesure/sous-mesure</w:t>
            </w:r>
          </w:p>
        </w:tc>
        <w:tc>
          <w:tcPr>
            <w:tcW w:w="3260" w:type="dxa"/>
            <w:shd w:val="clear" w:color="auto" w:fill="auto"/>
          </w:tcPr>
          <w:p w:rsidR="00ED3746" w:rsidRPr="00B77106" w:rsidRDefault="00ED3746" w:rsidP="00ED3746">
            <w:pPr>
              <w:spacing w:after="120" w:line="240" w:lineRule="auto"/>
              <w:jc w:val="left"/>
              <w:rPr>
                <w:rFonts w:eastAsia="Times New Roman" w:cs="Arial"/>
                <w:sz w:val="16"/>
                <w:szCs w:val="16"/>
              </w:rPr>
            </w:pPr>
            <w:r>
              <w:rPr>
                <w:sz w:val="16"/>
              </w:rPr>
              <w:t xml:space="preserve">Quels actions et coûts admissibles soutiendront </w:t>
            </w:r>
            <w:proofErr w:type="gramStart"/>
            <w:r>
              <w:rPr>
                <w:sz w:val="16"/>
              </w:rPr>
              <w:t>l’innovation?</w:t>
            </w:r>
            <w:proofErr w:type="gramEnd"/>
            <w:r>
              <w:rPr>
                <w:sz w:val="16"/>
              </w:rPr>
              <w:t xml:space="preserve"> </w:t>
            </w:r>
          </w:p>
          <w:p w:rsidR="00ED3746" w:rsidRPr="00B77106" w:rsidRDefault="00ED3746" w:rsidP="00ED3746">
            <w:pPr>
              <w:spacing w:after="120" w:line="240" w:lineRule="auto"/>
              <w:jc w:val="left"/>
              <w:rPr>
                <w:rFonts w:eastAsia="Times New Roman" w:cs="Arial"/>
                <w:sz w:val="16"/>
                <w:szCs w:val="16"/>
              </w:rPr>
            </w:pPr>
            <w:r>
              <w:rPr>
                <w:sz w:val="16"/>
              </w:rPr>
              <w:t xml:space="preserve">Quel est le budget des actions, le coût pour soutenir </w:t>
            </w:r>
            <w:proofErr w:type="gramStart"/>
            <w:r>
              <w:rPr>
                <w:sz w:val="16"/>
              </w:rPr>
              <w:t>l’innovation?</w:t>
            </w:r>
            <w:proofErr w:type="gramEnd"/>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Section 8 – description des mesures et des sous-mesures</w:t>
            </w:r>
          </w:p>
          <w:p w:rsidR="00ED3746" w:rsidRPr="00B77106" w:rsidRDefault="00ED3746" w:rsidP="00ED3746">
            <w:pPr>
              <w:spacing w:after="0" w:line="240" w:lineRule="auto"/>
              <w:jc w:val="left"/>
              <w:rPr>
                <w:rFonts w:eastAsia="Times New Roman" w:cs="Arial"/>
                <w:sz w:val="16"/>
                <w:szCs w:val="16"/>
              </w:rPr>
            </w:pPr>
            <w:r>
              <w:rPr>
                <w:sz w:val="16"/>
              </w:rPr>
              <w:t>Systèmes de réalisation élaborés au cours de la mise en œuvre (</w:t>
            </w:r>
            <w:proofErr w:type="gramStart"/>
            <w:r>
              <w:rPr>
                <w:sz w:val="16"/>
              </w:rPr>
              <w:t>source:</w:t>
            </w:r>
            <w:proofErr w:type="gramEnd"/>
            <w:r>
              <w:rPr>
                <w:sz w:val="16"/>
              </w:rPr>
              <w:t xml:space="preserve"> site web du programme, AG)</w:t>
            </w:r>
          </w:p>
          <w:p w:rsidR="00ED3746" w:rsidRPr="00B77106" w:rsidRDefault="00ED3746" w:rsidP="00ED3746">
            <w:pPr>
              <w:spacing w:after="0" w:line="240" w:lineRule="auto"/>
              <w:jc w:val="left"/>
              <w:rPr>
                <w:rFonts w:eastAsia="Times New Roman" w:cs="Arial"/>
                <w:sz w:val="16"/>
                <w:szCs w:val="16"/>
              </w:rPr>
            </w:pPr>
          </w:p>
          <w:p w:rsidR="00ED3746" w:rsidRPr="00B77106" w:rsidRDefault="00ED3746" w:rsidP="00ED3746">
            <w:pPr>
              <w:spacing w:after="0" w:line="240" w:lineRule="auto"/>
              <w:jc w:val="left"/>
              <w:rPr>
                <w:rFonts w:eastAsia="Times New Roman" w:cs="Arial"/>
                <w:sz w:val="16"/>
                <w:szCs w:val="16"/>
              </w:rPr>
            </w:pPr>
            <w:r>
              <w:rPr>
                <w:sz w:val="16"/>
              </w:rPr>
              <w:lastRenderedPageBreak/>
              <w:t xml:space="preserve">Section 10 – plan financier – budget par mesure </w:t>
            </w:r>
          </w:p>
        </w:tc>
        <w:tc>
          <w:tcPr>
            <w:tcW w:w="2693"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lastRenderedPageBreak/>
              <w:t xml:space="preserve">Recours à des courtiers en innovation pour la mise en place de groupes </w:t>
            </w:r>
            <w:proofErr w:type="gramStart"/>
            <w:r>
              <w:rPr>
                <w:sz w:val="16"/>
              </w:rPr>
              <w:t>opérationnels;</w:t>
            </w:r>
            <w:proofErr w:type="gramEnd"/>
            <w:r>
              <w:rPr>
                <w:sz w:val="16"/>
              </w:rPr>
              <w:t xml:space="preserve"> établissement de groupes de pilotage pour suivre l’innovation; aspects administratifs dans les interventions qui favorisent l’innovation; événements de sensibilisation à l’innovation. </w:t>
            </w:r>
          </w:p>
        </w:tc>
        <w:tc>
          <w:tcPr>
            <w:tcW w:w="2268"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Absence de données probantes sur les instruments et le soutien liés à l’innovation.</w:t>
            </w:r>
          </w:p>
        </w:tc>
        <w:tc>
          <w:tcPr>
            <w:tcW w:w="2410" w:type="dxa"/>
            <w:shd w:val="clear" w:color="auto" w:fill="auto"/>
          </w:tcPr>
          <w:p w:rsidR="00ED3746" w:rsidRPr="00B77106" w:rsidRDefault="00ED3746" w:rsidP="00ED3746">
            <w:pPr>
              <w:spacing w:after="0" w:line="240" w:lineRule="auto"/>
              <w:jc w:val="left"/>
              <w:rPr>
                <w:rFonts w:eastAsia="Times New Roman" w:cs="Arial"/>
                <w:sz w:val="16"/>
                <w:szCs w:val="16"/>
              </w:rPr>
            </w:pPr>
            <w:r>
              <w:rPr>
                <w:sz w:val="16"/>
              </w:rPr>
              <w:t>Analyse d’informations complémentaires sur la mise en œuvre de la mesure et des sous-mesures fournies par les RAM ou l’AG.</w:t>
            </w:r>
          </w:p>
        </w:tc>
      </w:tr>
    </w:tbl>
    <w:p w:rsidR="00ED3746" w:rsidRDefault="00ED3746" w:rsidP="00ED3746">
      <w:pPr>
        <w:spacing w:before="120" w:after="120" w:line="280" w:lineRule="atLeast"/>
        <w:mirrorIndents/>
        <w:sectPr w:rsidR="00ED3746" w:rsidSect="00ED3746">
          <w:endnotePr>
            <w:numFmt w:val="decimal"/>
          </w:endnotePr>
          <w:pgSz w:w="16840" w:h="11907" w:orient="landscape" w:code="9"/>
          <w:pgMar w:top="1440" w:right="1440" w:bottom="1440" w:left="1134" w:header="567" w:footer="1020" w:gutter="0"/>
          <w:cols w:space="708"/>
          <w:noEndnote/>
          <w:titlePg/>
          <w:docGrid w:linePitch="435"/>
        </w:sectPr>
      </w:pPr>
    </w:p>
    <w:p w:rsidR="00ED3746" w:rsidRPr="00E05D08" w:rsidRDefault="00ED3746" w:rsidP="00ED3746">
      <w:pPr>
        <w:spacing w:after="0" w:line="240" w:lineRule="auto"/>
        <w:jc w:val="left"/>
        <w:rPr>
          <w:rFonts w:eastAsia="Times New Roman" w:cs="Times New Roman"/>
          <w:szCs w:val="20"/>
        </w:rPr>
      </w:pPr>
    </w:p>
    <w:bookmarkEnd w:id="0"/>
    <w:p w:rsidR="00ED3746" w:rsidRDefault="00ED3746"/>
    <w:sectPr w:rsidR="00ED3746" w:rsidSect="00ED3746">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1226" w:rsidRDefault="00BD1226" w:rsidP="00ED3746">
      <w:pPr>
        <w:spacing w:after="0" w:line="240" w:lineRule="auto"/>
      </w:pPr>
      <w:r>
        <w:separator/>
      </w:r>
    </w:p>
  </w:endnote>
  <w:endnote w:type="continuationSeparator" w:id="0">
    <w:p w:rsidR="00BD1226" w:rsidRDefault="00BD1226" w:rsidP="00ED3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Helvetica LT Pro">
    <w:altName w:val="Segoe Script"/>
    <w:panose1 w:val="020B0704020202030204"/>
    <w:charset w:val="00"/>
    <w:family w:val="swiss"/>
    <w:pitch w:val="variable"/>
    <w:sig w:usb0="A00002AF" w:usb1="5000204A" w:usb2="00000000" w:usb3="00000000" w:csb0="00000097"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Pr="00B77106" w:rsidRDefault="00260B0F" w:rsidP="00ED3746">
    <w:pPr>
      <w:pStyle w:val="Footer"/>
      <w:spacing w:before="240"/>
      <w:rPr>
        <w:rStyle w:val="PageNumber"/>
        <w:color w:val="373737"/>
        <w:szCs w:val="18"/>
      </w:rPr>
    </w:pPr>
    <w:r>
      <w:rPr>
        <w:rStyle w:val="PageNumber"/>
        <w:color w:val="373737"/>
      </w:rPr>
      <w:fldChar w:fldCharType="begin"/>
    </w:r>
    <w:r>
      <w:rPr>
        <w:rStyle w:val="PageNumber"/>
        <w:color w:val="373737"/>
      </w:rPr>
      <w:instrText xml:space="preserve"> PAGE   \* MERGEFORMAT </w:instrText>
    </w:r>
    <w:r>
      <w:rPr>
        <w:rStyle w:val="PageNumber"/>
        <w:color w:val="373737"/>
      </w:rPr>
      <w:fldChar w:fldCharType="separate"/>
    </w:r>
    <w:r w:rsidR="002D3388">
      <w:rPr>
        <w:rStyle w:val="PageNumber"/>
        <w:noProof/>
        <w:color w:val="373737"/>
      </w:rPr>
      <w:t>6</w:t>
    </w:r>
    <w:r>
      <w:rPr>
        <w:rStyle w:val="PageNumber"/>
        <w:color w:val="37373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Default="00260B0F">
    <w:pPr>
      <w:pStyle w:val="Footer"/>
    </w:pPr>
    <w:proofErr w:type="gramStart"/>
    <w:r>
      <w:t>page</w:t>
    </w:r>
    <w:proofErr w:type="gramEnd"/>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4</w:t>
    </w:r>
    <w:r>
      <w:rPr>
        <w:rStyle w:val="PageNumber"/>
      </w:rPr>
      <w:fldChar w:fldCharType="end"/>
    </w:r>
    <w:r>
      <w:rPr>
        <w:rStyle w:val="PageNumber"/>
      </w:rPr>
      <w:tab/>
    </w:r>
    <w:r>
      <w:rPr>
        <w:noProof/>
      </w:rPr>
      <w:drawing>
        <wp:inline distT="0" distB="0" distL="0" distR="0">
          <wp:extent cx="970280" cy="246380"/>
          <wp:effectExtent l="0" t="0" r="0" b="0"/>
          <wp:docPr id="54"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kleinlinksunt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24638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Pr="00611706" w:rsidRDefault="00260B0F" w:rsidP="00ED3746">
    <w:pPr>
      <w:pStyle w:val="Footer"/>
      <w:spacing w:before="240"/>
      <w:rPr>
        <w:sz w:val="18"/>
        <w:szCs w:val="18"/>
      </w:rPr>
    </w:pPr>
    <w:r>
      <w:rPr>
        <w:rStyle w:val="PageNumber"/>
        <w:color w:val="373737"/>
      </w:rPr>
      <w:fldChar w:fldCharType="begin"/>
    </w:r>
    <w:r>
      <w:rPr>
        <w:rStyle w:val="PageNumber"/>
        <w:color w:val="373737"/>
      </w:rPr>
      <w:instrText xml:space="preserve"> PAGE </w:instrText>
    </w:r>
    <w:r>
      <w:rPr>
        <w:rStyle w:val="PageNumber"/>
        <w:color w:val="373737"/>
      </w:rPr>
      <w:fldChar w:fldCharType="separate"/>
    </w:r>
    <w:r w:rsidR="002D3388">
      <w:rPr>
        <w:rStyle w:val="PageNumber"/>
        <w:noProof/>
        <w:color w:val="373737"/>
      </w:rPr>
      <w:t>41</w:t>
    </w:r>
    <w:r>
      <w:rPr>
        <w:rStyle w:val="PageNumber"/>
        <w:color w:val="373737"/>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Pr="001F6F07" w:rsidRDefault="00260B0F" w:rsidP="00ED3746">
    <w:pPr>
      <w:pStyle w:val="Footer"/>
      <w:rPr>
        <w:sz w:val="18"/>
        <w:szCs w:val="18"/>
      </w:rPr>
    </w:pPr>
    <w:r>
      <w:rPr>
        <w:sz w:val="18"/>
      </w:rPr>
      <w:fldChar w:fldCharType="begin"/>
    </w:r>
    <w:r>
      <w:rPr>
        <w:sz w:val="18"/>
      </w:rPr>
      <w:instrText xml:space="preserve"> PAGE   \* MERGEFORMAT </w:instrText>
    </w:r>
    <w:r>
      <w:rPr>
        <w:sz w:val="18"/>
      </w:rPr>
      <w:fldChar w:fldCharType="separate"/>
    </w:r>
    <w:r w:rsidR="002D3388">
      <w:rPr>
        <w:noProof/>
        <w:sz w:val="18"/>
      </w:rPr>
      <w:t>40</w:t>
    </w:r>
    <w:r>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1226" w:rsidRPr="00CE2990" w:rsidRDefault="00BD1226" w:rsidP="00ED3746">
      <w:pPr>
        <w:spacing w:after="0" w:line="240" w:lineRule="auto"/>
        <w:rPr>
          <w:color w:val="F07E31"/>
        </w:rPr>
      </w:pPr>
      <w:r>
        <w:separator/>
      </w:r>
    </w:p>
  </w:footnote>
  <w:footnote w:type="continuationSeparator" w:id="0">
    <w:p w:rsidR="00BD1226" w:rsidRDefault="00BD1226" w:rsidP="00ED3746">
      <w:pPr>
        <w:spacing w:after="0" w:line="240" w:lineRule="auto"/>
      </w:pPr>
      <w:r>
        <w:continuationSeparator/>
      </w:r>
    </w:p>
  </w:footnote>
  <w:footnote w:id="1">
    <w:p w:rsidR="00260B0F" w:rsidRPr="00194986" w:rsidRDefault="00260B0F" w:rsidP="00ED3746">
      <w:pPr>
        <w:pStyle w:val="FootnoteText"/>
      </w:pPr>
      <w:r>
        <w:rPr>
          <w:rStyle w:val="FootnoteReference"/>
        </w:rPr>
        <w:footnoteRef/>
      </w:r>
      <w:r>
        <w:t xml:space="preserve"> Les deux autres objectifs transversaux sont l’environnement et l’atténuation des changements climatiques et l’adaptation à ceux-ci. </w:t>
      </w:r>
    </w:p>
  </w:footnote>
  <w:footnote w:id="2">
    <w:p w:rsidR="00260B0F" w:rsidRPr="00194986" w:rsidRDefault="00260B0F" w:rsidP="00ED3746">
      <w:pPr>
        <w:pStyle w:val="FootnoteText"/>
      </w:pPr>
      <w:r>
        <w:rPr>
          <w:rStyle w:val="FootnoteReference"/>
        </w:rPr>
        <w:footnoteRef/>
      </w:r>
      <w:r>
        <w:t xml:space="preserve">  Règlement (UE) nº 1305/2013, article 8, paragraphe 1, point c) v), et règlement d’exécution (UE) nº 808/2014, annexe I, partie I, point 5. c).</w:t>
      </w:r>
    </w:p>
  </w:footnote>
  <w:footnote w:id="3">
    <w:p w:rsidR="00260B0F" w:rsidRPr="00B97B27" w:rsidRDefault="00260B0F" w:rsidP="00ED3746">
      <w:pPr>
        <w:pStyle w:val="FootnoteText"/>
      </w:pPr>
      <w:r>
        <w:rPr>
          <w:rStyle w:val="FootnoteReference"/>
        </w:rPr>
        <w:footnoteRef/>
      </w:r>
      <w:r>
        <w:t xml:space="preserve">  Règlement (UE) nº 1305/2013, article 68.</w:t>
      </w:r>
    </w:p>
  </w:footnote>
  <w:footnote w:id="4">
    <w:p w:rsidR="00260B0F" w:rsidRDefault="00260B0F" w:rsidP="00ED3746">
      <w:pPr>
        <w:pStyle w:val="FootnoteText"/>
      </w:pPr>
      <w:r>
        <w:rPr>
          <w:rStyle w:val="FootnoteReference"/>
          <w:sz w:val="12"/>
        </w:rPr>
        <w:footnoteRef/>
      </w:r>
      <w:r>
        <w:t xml:space="preserve">  Lignes directrices pour la programmation en matière d’innovation et la mise en œuvre du PEI pour la productivité et le développement durable de l’agriculture (en anglais) </w:t>
      </w:r>
      <w:r>
        <w:rPr>
          <w:rStyle w:val="Hyperlink"/>
        </w:rPr>
        <w:t>https://ec.europa.eu/eip/agriculture/sites/agri-eip/files/pb_guidelines_eip_implementation_2014_en.pdf</w:t>
      </w:r>
      <w:r>
        <w:t>.</w:t>
      </w:r>
      <w:r w:rsidRPr="000E1D4B">
        <w:rPr>
          <w:rFonts w:eastAsia="Calibri"/>
        </w:rPr>
        <w:cr/>
      </w:r>
    </w:p>
  </w:footnote>
  <w:footnote w:id="5">
    <w:p w:rsidR="00260B0F" w:rsidRPr="00DC008D" w:rsidRDefault="00260B0F" w:rsidP="00ED3746">
      <w:pPr>
        <w:pStyle w:val="FootnoteText"/>
        <w:rPr>
          <w:rFonts w:eastAsia="Calibri"/>
        </w:rPr>
      </w:pPr>
      <w:r>
        <w:rPr>
          <w:rStyle w:val="FootnoteReference"/>
        </w:rPr>
        <w:footnoteRef/>
      </w:r>
      <w:r>
        <w:t xml:space="preserve"> Lignes directrices pour la programmation en matière d’innovation et la mise en œuvre du PEI pour la productivité et le développement durable de l’agriculture (en anglais) </w:t>
      </w:r>
      <w:hyperlink r:id="rId1" w:history="1">
        <w:r>
          <w:rPr>
            <w:rStyle w:val="Hyperlink"/>
          </w:rPr>
          <w:t>https://ec.europa.eu/eip/agriculture/sites/agri-eip/files/pb_guidelines_eip_implementation_2014_en.pdf</w:t>
        </w:r>
      </w:hyperlink>
      <w:r>
        <w:t>.</w:t>
      </w:r>
      <w:r w:rsidRPr="00B13D00">
        <w:rPr>
          <w:rFonts w:eastAsia="Calibri"/>
        </w:rPr>
        <w:cr/>
      </w:r>
    </w:p>
  </w:footnote>
  <w:footnote w:id="6">
    <w:p w:rsidR="00260B0F" w:rsidRPr="008F676D" w:rsidRDefault="00260B0F" w:rsidP="00ED3746">
      <w:pPr>
        <w:pStyle w:val="FootnoteText"/>
      </w:pPr>
      <w:r>
        <w:rPr>
          <w:rStyle w:val="FootnoteReference"/>
        </w:rPr>
        <w:footnoteRef/>
      </w:r>
      <w:r>
        <w:t xml:space="preserve"> Horizon 2020 est très favorable au concept d’approche à acteurs multiples pour la recherche, qui permet aux agriculteurs, aux conseillers et à d’autres praticiens en partenariat avec les chercheurs de cocréer des solutions ou de mettre au point des possibilités innovantes en vue d’axer la recherche et les innovations sur les besoins de la pratique agricole. Voir le programme de travail 2018-2020 d’Horizon 2020, pages 8-9, pour les exigences applicables aux projets à acteurs multiples (</w:t>
      </w:r>
      <w:hyperlink r:id="rId2" w:history="1">
        <w:r>
          <w:rPr>
            <w:rStyle w:val="Hyperlink"/>
          </w:rPr>
          <w:t>http://ec.europa.eu/research/participants/data/ref/h2020/wp/2018-2020/main/h2020-wp1820-food_en.pdf</w:t>
        </w:r>
      </w:hyperlink>
      <w:r>
        <w:t>) et la brochure du PEI sur l’approche à acteurs multiples (</w:t>
      </w:r>
      <w:hyperlink r:id="rId3" w:history="1">
        <w:r>
          <w:rPr>
            <w:rStyle w:val="Hyperlink"/>
          </w:rPr>
          <w:t>https://ec.europa.eu/eip/agriculture/sites/agri-eip/files/eip-agri_brochure_multi-actor_projects_2017_en_web.pdf</w:t>
        </w:r>
      </w:hyperlink>
      <w:r>
        <w:t>).</w:t>
      </w:r>
    </w:p>
  </w:footnote>
  <w:footnote w:id="7">
    <w:p w:rsidR="00260B0F" w:rsidRDefault="00260B0F" w:rsidP="00ED3746">
      <w:pPr>
        <w:pStyle w:val="FootnoteText"/>
      </w:pPr>
      <w:r>
        <w:rPr>
          <w:rStyle w:val="FootnoteReference"/>
        </w:rPr>
        <w:footnoteRef/>
      </w:r>
      <w:r>
        <w:t xml:space="preserve"> Rapports du groupe de travail stratégique (SWG) du comité permanent sur la recherche agricole (SCAR) sur les systèmes de connaissance et d’innovation dans l’agriculture (AKIS</w:t>
      </w:r>
      <w:proofErr w:type="gramStart"/>
      <w:r>
        <w:t>):</w:t>
      </w:r>
      <w:proofErr w:type="gramEnd"/>
    </w:p>
    <w:p w:rsidR="00260B0F" w:rsidRPr="00D97603" w:rsidRDefault="00260B0F" w:rsidP="00ED3746">
      <w:pPr>
        <w:pStyle w:val="FootnoteText"/>
        <w:rPr>
          <w:lang w:val="en-GB"/>
        </w:rPr>
      </w:pPr>
      <w:r w:rsidRPr="00D97603">
        <w:rPr>
          <w:lang w:val="en-GB"/>
        </w:rPr>
        <w:t>–</w:t>
      </w:r>
      <w:r w:rsidRPr="00D97603">
        <w:rPr>
          <w:i/>
          <w:lang w:val="en-GB"/>
        </w:rPr>
        <w:t xml:space="preserve"> Agricultural Knowledge and Innovation Systems Towards 2020 – an orientation paper on linking innovation and research</w:t>
      </w:r>
    </w:p>
    <w:p w:rsidR="00260B0F" w:rsidRDefault="00260B0F" w:rsidP="00ED3746">
      <w:pPr>
        <w:pStyle w:val="FootnoteText"/>
      </w:pPr>
      <w:hyperlink r:id="rId4" w:history="1">
        <w:r>
          <w:rPr>
            <w:rStyle w:val="Hyperlink"/>
          </w:rPr>
          <w:t xml:space="preserve">http://www.gppq.fct.pt/h2020/_docs/brochuras/bioeco/agricultural-knowledge-innovation-systems-towards-2020_en.pdf </w:t>
        </w:r>
      </w:hyperlink>
      <w:r>
        <w:t>(sur la création de l’approche à acteurs multiples)</w:t>
      </w:r>
    </w:p>
    <w:p w:rsidR="00260B0F" w:rsidRPr="00D97603" w:rsidRDefault="00260B0F" w:rsidP="00ED3746">
      <w:pPr>
        <w:pStyle w:val="FootnoteText"/>
        <w:rPr>
          <w:lang w:val="en-GB"/>
        </w:rPr>
      </w:pPr>
      <w:r w:rsidRPr="00D97603">
        <w:rPr>
          <w:lang w:val="en-GB"/>
        </w:rPr>
        <w:t xml:space="preserve">– </w:t>
      </w:r>
      <w:r w:rsidRPr="00D97603">
        <w:rPr>
          <w:i/>
          <w:lang w:val="en-GB"/>
        </w:rPr>
        <w:t>Agricultural Knowledge and Innovation Systems towards the Future - A Foresight paper</w:t>
      </w:r>
      <w:r w:rsidRPr="00D97603">
        <w:rPr>
          <w:lang w:val="en-GB"/>
        </w:rPr>
        <w:t xml:space="preserve">, </w:t>
      </w:r>
      <w:hyperlink r:id="rId5" w:anchor="view=fit&amp;pagemode=none" w:history="1">
        <w:r w:rsidRPr="00D97603">
          <w:rPr>
            <w:rStyle w:val="Hyperlink"/>
            <w:lang w:val="en-GB"/>
          </w:rPr>
          <w:t>https://ec.europa.eu/research/scar/pdf/akis-3_end_report.pdf#view=fit&amp;pagemode=none</w:t>
        </w:r>
      </w:hyperlink>
      <w:r w:rsidRPr="00D97603">
        <w:rPr>
          <w:rStyle w:val="Hyperlink"/>
          <w:lang w:val="en-GB"/>
        </w:rPr>
        <w:t xml:space="preserve"> </w:t>
      </w:r>
    </w:p>
  </w:footnote>
  <w:footnote w:id="8">
    <w:p w:rsidR="00260B0F" w:rsidRPr="00B13D00" w:rsidRDefault="00260B0F" w:rsidP="00ED3746">
      <w:pPr>
        <w:pStyle w:val="FootnoteText"/>
      </w:pPr>
      <w:r>
        <w:rPr>
          <w:rStyle w:val="FootnoteReference"/>
          <w:color w:val="373737"/>
        </w:rPr>
        <w:footnoteRef/>
      </w:r>
      <w:r>
        <w:t xml:space="preserve"> </w:t>
      </w:r>
      <w:proofErr w:type="spellStart"/>
      <w:r>
        <w:t>Schot</w:t>
      </w:r>
      <w:proofErr w:type="spellEnd"/>
      <w:r>
        <w:t xml:space="preserve"> et </w:t>
      </w:r>
      <w:proofErr w:type="spellStart"/>
      <w:r>
        <w:t>Geels</w:t>
      </w:r>
      <w:proofErr w:type="spellEnd"/>
      <w:r>
        <w:t xml:space="preserve"> (2008) pour de plus amples informations sur les niches sociotechniques. </w:t>
      </w:r>
    </w:p>
  </w:footnote>
  <w:footnote w:id="9">
    <w:p w:rsidR="00260B0F" w:rsidRPr="00D97603" w:rsidRDefault="00260B0F" w:rsidP="00ED3746">
      <w:pPr>
        <w:pStyle w:val="FootnoteText"/>
        <w:rPr>
          <w:lang w:val="en-GB"/>
        </w:rPr>
      </w:pPr>
      <w:r>
        <w:rPr>
          <w:vertAlign w:val="superscript"/>
        </w:rPr>
        <w:footnoteRef/>
      </w:r>
      <w:r w:rsidRPr="00260B0F">
        <w:rPr>
          <w:lang w:val="en-GB"/>
        </w:rPr>
        <w:t xml:space="preserve"> REDR (2013). </w:t>
      </w:r>
      <w:r w:rsidRPr="00260B0F">
        <w:rPr>
          <w:i/>
          <w:lang w:val="en-GB"/>
        </w:rPr>
        <w:t>Towards Successful Innovation Brokerage:</w:t>
      </w:r>
      <w:r w:rsidRPr="00260B0F">
        <w:rPr>
          <w:lang w:val="en-GB"/>
        </w:rPr>
        <w:t xml:space="preserve"> </w:t>
      </w:r>
      <w:r w:rsidRPr="00260B0F">
        <w:rPr>
          <w:i/>
          <w:lang w:val="en-GB"/>
        </w:rPr>
        <w:t>Insights for the 2007-2013 Rural Development Programmes</w:t>
      </w:r>
      <w:r w:rsidRPr="00260B0F">
        <w:rPr>
          <w:lang w:val="en-GB"/>
        </w:rPr>
        <w:t xml:space="preserve"> et </w:t>
      </w:r>
      <w:proofErr w:type="spellStart"/>
      <w:r w:rsidRPr="00260B0F">
        <w:rPr>
          <w:lang w:val="en-GB"/>
        </w:rPr>
        <w:t>Leeuwis</w:t>
      </w:r>
      <w:proofErr w:type="spellEnd"/>
      <w:r w:rsidRPr="00260B0F">
        <w:rPr>
          <w:lang w:val="en-GB"/>
        </w:rPr>
        <w:t xml:space="preserve"> C, </w:t>
      </w:r>
      <w:proofErr w:type="spellStart"/>
      <w:r w:rsidRPr="00260B0F">
        <w:rPr>
          <w:lang w:val="en-GB"/>
        </w:rPr>
        <w:t>Schut</w:t>
      </w:r>
      <w:proofErr w:type="spellEnd"/>
      <w:r w:rsidRPr="00260B0F">
        <w:rPr>
          <w:lang w:val="en-GB"/>
        </w:rPr>
        <w:t xml:space="preserve"> M, Waters-Bayer A, Mur R, Atta-</w:t>
      </w:r>
      <w:proofErr w:type="spellStart"/>
      <w:r w:rsidRPr="00260B0F">
        <w:rPr>
          <w:lang w:val="en-GB"/>
        </w:rPr>
        <w:t>Krah</w:t>
      </w:r>
      <w:proofErr w:type="spellEnd"/>
      <w:r w:rsidRPr="00260B0F">
        <w:rPr>
          <w:lang w:val="en-GB"/>
        </w:rPr>
        <w:t xml:space="preserve"> K et Douthwaite B. 2014. </w:t>
      </w:r>
      <w:r w:rsidRPr="00D97603">
        <w:rPr>
          <w:i/>
          <w:lang w:val="en-GB"/>
        </w:rPr>
        <w:t>Capacity to innovate from a system CGIAR research program perspective</w:t>
      </w:r>
      <w:r w:rsidRPr="00D97603">
        <w:rPr>
          <w:lang w:val="en-GB"/>
        </w:rPr>
        <w:t xml:space="preserve">. Penang, </w:t>
      </w:r>
      <w:proofErr w:type="spellStart"/>
      <w:r w:rsidRPr="00D97603">
        <w:rPr>
          <w:lang w:val="en-GB"/>
        </w:rPr>
        <w:t>Malaisie</w:t>
      </w:r>
      <w:proofErr w:type="spellEnd"/>
      <w:r w:rsidRPr="00D97603">
        <w:rPr>
          <w:lang w:val="en-GB"/>
        </w:rPr>
        <w:t>: CGIAR Research Program on Aquatic Agricultural Systems. Program Brief: AAS-2014-29.</w:t>
      </w:r>
    </w:p>
  </w:footnote>
  <w:footnote w:id="10">
    <w:p w:rsidR="00260B0F" w:rsidRPr="00F74459" w:rsidRDefault="00260B0F" w:rsidP="00ED3746">
      <w:pPr>
        <w:pStyle w:val="FootnoteText"/>
      </w:pPr>
      <w:r>
        <w:rPr>
          <w:vertAlign w:val="superscript"/>
        </w:rPr>
        <w:footnoteRef/>
      </w:r>
      <w:r>
        <w:t xml:space="preserve"> Le REDR (2013) décrit le courtage en innovation comme une capacité essentielle du système, à savoir la présence (et l’activité) des acteurs qui sont véritablement déterminés à introduire un changement, et qui sont créatifs, proactifs, motivés, impartiaux, transparents et sensibles au contexte de l’innovation.</w:t>
      </w:r>
    </w:p>
  </w:footnote>
  <w:footnote w:id="11">
    <w:p w:rsidR="00260B0F" w:rsidRDefault="00260B0F" w:rsidP="00ED3746">
      <w:pPr>
        <w:pStyle w:val="FootnoteText"/>
      </w:pPr>
      <w:r>
        <w:rPr>
          <w:vertAlign w:val="superscript"/>
        </w:rPr>
        <w:footnoteRef/>
      </w:r>
      <w:r>
        <w:t xml:space="preserve"> Douthwaite et </w:t>
      </w:r>
      <w:proofErr w:type="spellStart"/>
      <w:r>
        <w:t>Hoffecker</w:t>
      </w:r>
      <w:proofErr w:type="spellEnd"/>
      <w:r>
        <w:t xml:space="preserve"> (à venir) et </w:t>
      </w:r>
      <w:proofErr w:type="spellStart"/>
      <w:r>
        <w:t>Nemes</w:t>
      </w:r>
      <w:proofErr w:type="spellEnd"/>
      <w:r>
        <w:t xml:space="preserve"> et Augustyn (2017).</w:t>
      </w:r>
    </w:p>
  </w:footnote>
  <w:footnote w:id="12">
    <w:p w:rsidR="00260B0F" w:rsidRPr="00D97603" w:rsidRDefault="00260B0F" w:rsidP="00ED3746">
      <w:pPr>
        <w:pStyle w:val="FootnoteText"/>
        <w:rPr>
          <w:lang w:val="en-GB"/>
        </w:rPr>
      </w:pPr>
      <w:r>
        <w:rPr>
          <w:vertAlign w:val="superscript"/>
        </w:rPr>
        <w:footnoteRef/>
      </w:r>
      <w:r w:rsidRPr="00D97603">
        <w:rPr>
          <w:lang w:val="en-GB"/>
        </w:rPr>
        <w:t xml:space="preserve">  REDR (2013). </w:t>
      </w:r>
      <w:r w:rsidRPr="00D97603">
        <w:rPr>
          <w:i/>
          <w:lang w:val="en-GB"/>
        </w:rPr>
        <w:t>Towards Successful Innovation Brokerage:</w:t>
      </w:r>
      <w:r w:rsidRPr="00D97603">
        <w:rPr>
          <w:lang w:val="en-GB"/>
        </w:rPr>
        <w:t xml:space="preserve"> </w:t>
      </w:r>
      <w:r w:rsidRPr="00D97603">
        <w:rPr>
          <w:i/>
          <w:lang w:val="en-GB"/>
        </w:rPr>
        <w:t>Insights for the 2007-2013 Rural Development Programmes</w:t>
      </w:r>
    </w:p>
  </w:footnote>
  <w:footnote w:id="13">
    <w:p w:rsidR="00260B0F" w:rsidRPr="00690E70" w:rsidRDefault="00260B0F" w:rsidP="00ED3746">
      <w:pPr>
        <w:pStyle w:val="FootnoteText"/>
        <w:rPr>
          <w:rStyle w:val="Hyperlink"/>
        </w:rPr>
      </w:pPr>
      <w:r>
        <w:rPr>
          <w:rStyle w:val="FootnoteReference"/>
        </w:rPr>
        <w:footnoteRef/>
      </w:r>
      <w:r w:rsidRPr="00D97603">
        <w:rPr>
          <w:lang w:val="en-GB"/>
        </w:rPr>
        <w:t xml:space="preserve">  EIP AGRI (2016) </w:t>
      </w:r>
      <w:r w:rsidRPr="00D97603">
        <w:rPr>
          <w:i/>
          <w:lang w:val="en-GB"/>
        </w:rPr>
        <w:t>Workshop on Cities and Food:</w:t>
      </w:r>
      <w:r w:rsidRPr="00D97603">
        <w:rPr>
          <w:lang w:val="en-GB"/>
        </w:rPr>
        <w:t xml:space="preserve"> </w:t>
      </w:r>
      <w:r w:rsidRPr="00D97603">
        <w:rPr>
          <w:i/>
          <w:lang w:val="en-GB"/>
        </w:rPr>
        <w:t>Connecting Consumers and Producers</w:t>
      </w:r>
      <w:r w:rsidRPr="00D97603">
        <w:rPr>
          <w:lang w:val="en-GB"/>
        </w:rPr>
        <w:t xml:space="preserve">. </w:t>
      </w:r>
      <w:r>
        <w:t xml:space="preserve">Disponible à l’adresse </w:t>
      </w:r>
      <w:proofErr w:type="gramStart"/>
      <w:r>
        <w:t>suivante:</w:t>
      </w:r>
      <w:proofErr w:type="gramEnd"/>
      <w:r>
        <w:t xml:space="preserve"> </w:t>
      </w:r>
      <w:hyperlink r:id="rId6" w:history="1">
        <w:r>
          <w:rPr>
            <w:rStyle w:val="Hyperlink"/>
          </w:rPr>
          <w:t>https://ec.europa.eu/eip/agriculture/sites/agri-eip/files/eip-agri_factsheet_cities_and_food_en_web.pdf</w:t>
        </w:r>
      </w:hyperlink>
    </w:p>
  </w:footnote>
  <w:footnote w:id="14">
    <w:p w:rsidR="00260B0F" w:rsidRPr="00D97603" w:rsidRDefault="00260B0F" w:rsidP="00ED3746">
      <w:pPr>
        <w:pStyle w:val="FootnoteText"/>
        <w:rPr>
          <w:lang w:val="en-GB"/>
        </w:rPr>
      </w:pPr>
      <w:r>
        <w:rPr>
          <w:rStyle w:val="FootnoteReference"/>
        </w:rPr>
        <w:footnoteRef/>
      </w:r>
      <w:r w:rsidRPr="00D97603">
        <w:rPr>
          <w:lang w:val="en-GB"/>
        </w:rPr>
        <w:t xml:space="preserve">  Senge, P. M., &amp; </w:t>
      </w:r>
      <w:proofErr w:type="spellStart"/>
      <w:r w:rsidRPr="00D97603">
        <w:rPr>
          <w:lang w:val="en-GB"/>
        </w:rPr>
        <w:t>Sterman</w:t>
      </w:r>
      <w:proofErr w:type="spellEnd"/>
      <w:r w:rsidRPr="00D97603">
        <w:rPr>
          <w:lang w:val="en-GB"/>
        </w:rPr>
        <w:t xml:space="preserve">, J. D. (1992). </w:t>
      </w:r>
      <w:r w:rsidRPr="00D97603">
        <w:rPr>
          <w:i/>
          <w:lang w:val="en-GB"/>
        </w:rPr>
        <w:t>Systems thinking and organisational learning:</w:t>
      </w:r>
      <w:r w:rsidRPr="00D97603">
        <w:rPr>
          <w:lang w:val="en-GB"/>
        </w:rPr>
        <w:t xml:space="preserve"> </w:t>
      </w:r>
      <w:r w:rsidRPr="00D97603">
        <w:rPr>
          <w:i/>
          <w:lang w:val="en-GB"/>
        </w:rPr>
        <w:t>Acting locally and thinking globally in the organisation of the future.</w:t>
      </w:r>
      <w:r w:rsidRPr="00D97603">
        <w:rPr>
          <w:lang w:val="en-GB"/>
        </w:rPr>
        <w:t xml:space="preserve"> European journal of operational research, 59(1), 137-150.</w:t>
      </w:r>
    </w:p>
  </w:footnote>
  <w:footnote w:id="15">
    <w:p w:rsidR="00260B0F" w:rsidRPr="00554BBB" w:rsidRDefault="00260B0F" w:rsidP="00ED3746">
      <w:pPr>
        <w:pStyle w:val="FootnoteText"/>
      </w:pPr>
      <w:r>
        <w:rPr>
          <w:rStyle w:val="FootnoteReference"/>
        </w:rPr>
        <w:footnoteRef/>
      </w:r>
      <w:r w:rsidRPr="00D97603">
        <w:rPr>
          <w:rFonts w:ascii="Calibri" w:hAnsi="Calibri"/>
          <w:color w:val="000000"/>
          <w:sz w:val="22"/>
          <w:lang w:val="en-GB"/>
        </w:rPr>
        <w:t xml:space="preserve"> </w:t>
      </w:r>
      <w:r w:rsidRPr="00D97603">
        <w:rPr>
          <w:lang w:val="en-GB"/>
        </w:rPr>
        <w:t xml:space="preserve">Pawson, R. (2013). </w:t>
      </w:r>
      <w:r w:rsidRPr="00D97603">
        <w:rPr>
          <w:i/>
          <w:lang w:val="en-GB"/>
        </w:rPr>
        <w:t>The science of evaluation: A realist manifesto</w:t>
      </w:r>
      <w:r w:rsidRPr="00D97603">
        <w:rPr>
          <w:lang w:val="en-GB"/>
        </w:rPr>
        <w:t xml:space="preserve">. </w:t>
      </w:r>
      <w:r>
        <w:t>Londres, Royaume-</w:t>
      </w:r>
      <w:proofErr w:type="gramStart"/>
      <w:r>
        <w:t>Uni:</w:t>
      </w:r>
      <w:proofErr w:type="gramEnd"/>
      <w:r>
        <w:t xml:space="preserve"> Sage Publications</w:t>
      </w:r>
    </w:p>
  </w:footnote>
  <w:footnote w:id="16">
    <w:p w:rsidR="00260B0F" w:rsidRPr="00B13D00" w:rsidRDefault="00260B0F" w:rsidP="00ED3746">
      <w:pPr>
        <w:pStyle w:val="FootnoteText"/>
      </w:pPr>
      <w:r>
        <w:rPr>
          <w:rStyle w:val="FootnoteReference"/>
        </w:rPr>
        <w:footnoteRef/>
      </w:r>
      <w:r>
        <w:t xml:space="preserve"> Horizon 2020 est le plus grand programme de recherche et d’innovation de l’Union, qui vise à allier la recherche et l’innovation dans tous les secteurs, y compris l’agriculture et la foresterie, comme moyen de parvenir à une croissance intelligente, durable et inclusive et à la création d’emplois. De nombreuses autres politiques de l’Union axées sur l’innovation et le développement des compétences peuvent aussi contribuer à la recherche et à l’innovation agricoles (la politique de cohésion, COSME, Erasmus, Life+, etc.).</w:t>
      </w:r>
    </w:p>
  </w:footnote>
  <w:footnote w:id="17">
    <w:p w:rsidR="00260B0F" w:rsidRPr="00B13D00" w:rsidRDefault="00260B0F" w:rsidP="00ED3746">
      <w:pPr>
        <w:pStyle w:val="FootnoteText"/>
      </w:pPr>
      <w:r>
        <w:rPr>
          <w:rStyle w:val="FootnoteReference"/>
        </w:rPr>
        <w:footnoteRef/>
      </w:r>
      <w:r>
        <w:t xml:space="preserve">  Cette initiative vise à répondre aux grands défis de société tels que le changement climatique et l’efficacité des ressources, et à renforcer les liens dans la chaîne d’innovation (</w:t>
      </w:r>
      <w:hyperlink r:id="rId7" w:history="1">
        <w:r>
          <w:rPr>
            <w:rStyle w:val="Hyperlink"/>
          </w:rPr>
          <w:t>http://ec.europa.eu/europe2020/europe-2020-in-a-nutshell/flagship-initiatives/index_en.htm</w:t>
        </w:r>
      </w:hyperlink>
      <w:r>
        <w:t xml:space="preserve">) </w:t>
      </w:r>
    </w:p>
  </w:footnote>
  <w:footnote w:id="18">
    <w:p w:rsidR="00260B0F" w:rsidRPr="00275EE5" w:rsidRDefault="00260B0F" w:rsidP="00ED3746">
      <w:pPr>
        <w:pStyle w:val="FootnoteText"/>
      </w:pPr>
      <w:r>
        <w:rPr>
          <w:rStyle w:val="FootnoteReference"/>
        </w:rPr>
        <w:footnoteRef/>
      </w:r>
      <w:r>
        <w:t xml:space="preserve"> </w:t>
      </w:r>
      <w:hyperlink r:id="rId8" w:history="1">
        <w:r>
          <w:rPr>
            <w:rStyle w:val="Hyperlink"/>
          </w:rPr>
          <w:t>http://ec.europa.eu/europe2020/europe-2020-in-a-nutshell/targets/index_en.htm</w:t>
        </w:r>
      </w:hyperlink>
      <w:r>
        <w:t xml:space="preserve"> </w:t>
      </w:r>
    </w:p>
  </w:footnote>
  <w:footnote w:id="19">
    <w:p w:rsidR="00260B0F" w:rsidRPr="00B13D00" w:rsidRDefault="00260B0F" w:rsidP="00ED3746">
      <w:pPr>
        <w:pStyle w:val="FootnoteText"/>
      </w:pPr>
      <w:r>
        <w:rPr>
          <w:rStyle w:val="FootnoteReference"/>
        </w:rPr>
        <w:footnoteRef/>
      </w:r>
      <w:r>
        <w:t xml:space="preserve">  Règlement (UE) nº 1305/2013, article 5.</w:t>
      </w:r>
    </w:p>
  </w:footnote>
  <w:footnote w:id="20">
    <w:p w:rsidR="00260B0F" w:rsidRPr="00171202" w:rsidRDefault="00260B0F" w:rsidP="00ED3746">
      <w:pPr>
        <w:pStyle w:val="FootnoteText"/>
      </w:pPr>
      <w:r>
        <w:rPr>
          <w:rStyle w:val="FootnoteReference"/>
        </w:rPr>
        <w:footnoteRef/>
      </w:r>
      <w:r>
        <w:t xml:space="preserve">  Règlement (UE) nº 1305/2013, article 8, paragraphe 1, point c) v).</w:t>
      </w:r>
    </w:p>
  </w:footnote>
  <w:footnote w:id="21">
    <w:p w:rsidR="00260B0F" w:rsidRPr="00171202" w:rsidRDefault="00260B0F" w:rsidP="00ED3746">
      <w:pPr>
        <w:pStyle w:val="FootnoteText"/>
      </w:pPr>
      <w:r>
        <w:rPr>
          <w:rStyle w:val="FootnoteReference"/>
          <w:i/>
        </w:rPr>
        <w:footnoteRef/>
      </w:r>
      <w:r>
        <w:t xml:space="preserve"> Règlement (UE) nº 1305/2013, article 8, paragraphe 1, point b).</w:t>
      </w:r>
    </w:p>
  </w:footnote>
  <w:footnote w:id="22">
    <w:p w:rsidR="00260B0F" w:rsidRPr="00171202" w:rsidRDefault="00260B0F" w:rsidP="00ED3746">
      <w:pPr>
        <w:pStyle w:val="FootnoteText"/>
      </w:pPr>
      <w:r>
        <w:rPr>
          <w:rStyle w:val="FootnoteReference"/>
          <w:i/>
        </w:rPr>
        <w:footnoteRef/>
      </w:r>
      <w:r>
        <w:t xml:space="preserve"> Règlement (UE) nº 1305/2013, article 5.</w:t>
      </w:r>
    </w:p>
  </w:footnote>
  <w:footnote w:id="23">
    <w:p w:rsidR="00260B0F" w:rsidRPr="00D461AB" w:rsidRDefault="00260B0F" w:rsidP="00ED3746">
      <w:pPr>
        <w:pStyle w:val="FootnoteText"/>
      </w:pPr>
      <w:r>
        <w:rPr>
          <w:rStyle w:val="FootnoteReference"/>
        </w:rPr>
        <w:footnoteRef/>
      </w:r>
      <w:r>
        <w:t xml:space="preserve">  Lignes directrices pour la programmation en matière d’innovation et la mise en œuvre du PEI pour la productivité et le développement durable de l’agriculture (en anglais), section 8.2, page 13</w:t>
      </w:r>
    </w:p>
  </w:footnote>
  <w:footnote w:id="24">
    <w:p w:rsidR="00260B0F" w:rsidRPr="00171202" w:rsidRDefault="00260B0F" w:rsidP="00ED3746">
      <w:pPr>
        <w:pStyle w:val="FootnoteText"/>
      </w:pPr>
      <w:r>
        <w:rPr>
          <w:rStyle w:val="FootnoteReference"/>
        </w:rPr>
        <w:footnoteRef/>
      </w:r>
      <w:r>
        <w:t xml:space="preserve">  Règlement (UE) nº 1305/2013, règlement d’exécution (UE) nº 808/2014, annexe 1, partie 5, et lignes directrices sur la programmation pour l’innovation et la mise en œuvre du PEI pour la productivité et le développement durable de l’agriculture (2014, p. 10)</w:t>
      </w:r>
    </w:p>
  </w:footnote>
  <w:footnote w:id="25">
    <w:p w:rsidR="00260B0F" w:rsidRPr="00171202" w:rsidRDefault="00260B0F" w:rsidP="00ED3746">
      <w:pPr>
        <w:pStyle w:val="FootnoteText"/>
      </w:pPr>
      <w:r>
        <w:rPr>
          <w:rStyle w:val="FootnoteReference"/>
        </w:rPr>
        <w:footnoteRef/>
      </w:r>
      <w:r>
        <w:t xml:space="preserve"> Règlement (UE) nº 1303/2013, article 27, règlement d’exécution (UE) nº 808/2014, annexe 1, partie 5.</w:t>
      </w:r>
    </w:p>
  </w:footnote>
  <w:footnote w:id="26">
    <w:p w:rsidR="00260B0F" w:rsidRPr="00171202" w:rsidRDefault="00260B0F" w:rsidP="00ED3746">
      <w:pPr>
        <w:pStyle w:val="FootnoteText"/>
      </w:pPr>
      <w:r>
        <w:rPr>
          <w:rStyle w:val="FootnoteReference"/>
        </w:rPr>
        <w:footnoteRef/>
      </w:r>
      <w:r>
        <w:t xml:space="preserve"> Règlement (UE) nº 1303/2013, articles 32-34, règlement d’exécution (UE) nº 808/2014, annexe 1, partie 5.</w:t>
      </w:r>
    </w:p>
  </w:footnote>
  <w:footnote w:id="27">
    <w:p w:rsidR="00260B0F" w:rsidRPr="00171202" w:rsidRDefault="00260B0F" w:rsidP="00ED3746">
      <w:pPr>
        <w:pStyle w:val="FootnoteText"/>
      </w:pPr>
      <w:r>
        <w:rPr>
          <w:rStyle w:val="FootnoteReference"/>
        </w:rPr>
        <w:footnoteRef/>
      </w:r>
      <w:r>
        <w:t xml:space="preserve">  Règlement (UE) nº 1305/2013, article 53.</w:t>
      </w:r>
    </w:p>
  </w:footnote>
  <w:footnote w:id="28">
    <w:p w:rsidR="00260B0F" w:rsidRPr="00171202" w:rsidRDefault="00260B0F" w:rsidP="00ED3746">
      <w:pPr>
        <w:pStyle w:val="FootnoteText"/>
      </w:pPr>
      <w:r>
        <w:rPr>
          <w:rStyle w:val="FootnoteReference"/>
        </w:rPr>
        <w:footnoteRef/>
      </w:r>
      <w:r>
        <w:t xml:space="preserve"> Règlement (UE) nº 1305/2013, article 54, point d).</w:t>
      </w:r>
    </w:p>
  </w:footnote>
  <w:footnote w:id="29">
    <w:p w:rsidR="00260B0F" w:rsidRPr="00171202" w:rsidRDefault="00260B0F" w:rsidP="00ED3746">
      <w:pPr>
        <w:pStyle w:val="FootnoteText"/>
      </w:pPr>
      <w:r>
        <w:rPr>
          <w:rStyle w:val="FootnoteReference"/>
        </w:rPr>
        <w:footnoteRef/>
      </w:r>
      <w:r>
        <w:t xml:space="preserve"> Lignes directrices pour la programmation en matière d’innovation et la mise en œuvre du PEI pour la productivité et le développement durable de l’agriculture (en anglais) (2014, p. 13)</w:t>
      </w:r>
    </w:p>
  </w:footnote>
  <w:footnote w:id="30">
    <w:p w:rsidR="00260B0F" w:rsidRPr="00171202" w:rsidRDefault="00260B0F" w:rsidP="00ED3746">
      <w:pPr>
        <w:pStyle w:val="FootnoteText"/>
      </w:pPr>
      <w:r>
        <w:rPr>
          <w:rStyle w:val="FootnoteReference"/>
        </w:rPr>
        <w:footnoteRef/>
      </w:r>
      <w:r>
        <w:t xml:space="preserve"> Règlement (UE) nº 1305/2013, article 54, paragraphe 3, point b) iv).</w:t>
      </w:r>
    </w:p>
  </w:footnote>
  <w:footnote w:id="31">
    <w:p w:rsidR="00260B0F" w:rsidRPr="00171202" w:rsidRDefault="00260B0F" w:rsidP="00ED3746">
      <w:pPr>
        <w:pStyle w:val="FootnoteText"/>
      </w:pPr>
      <w:r>
        <w:rPr>
          <w:rStyle w:val="FootnoteReference"/>
        </w:rPr>
        <w:footnoteRef/>
      </w:r>
      <w:r>
        <w:t xml:space="preserve"> Règlement d’exécution (UE) nº 808/2014, annexe I, partie 1, points 9 3) a).</w:t>
      </w:r>
    </w:p>
  </w:footnote>
  <w:footnote w:id="32">
    <w:p w:rsidR="00260B0F" w:rsidRPr="00171202" w:rsidRDefault="00260B0F" w:rsidP="00ED3746">
      <w:pPr>
        <w:pStyle w:val="FootnoteText"/>
      </w:pPr>
      <w:r>
        <w:rPr>
          <w:rStyle w:val="FootnoteReference"/>
        </w:rPr>
        <w:footnoteRef/>
      </w:r>
      <w:r>
        <w:t xml:space="preserve">  Règlement d’exécution (UE) nº 808/2014, annexe VII, point 2.</w:t>
      </w:r>
    </w:p>
  </w:footnote>
  <w:footnote w:id="33">
    <w:p w:rsidR="00260B0F" w:rsidRPr="005F1B3E" w:rsidRDefault="00260B0F" w:rsidP="00ED3746">
      <w:pPr>
        <w:pStyle w:val="FootnoteText"/>
      </w:pPr>
      <w:r>
        <w:rPr>
          <w:rStyle w:val="FootnoteReference"/>
        </w:rPr>
        <w:footnoteRef/>
      </w:r>
      <w:r>
        <w:t xml:space="preserve">  Règlement d’exécution (UE) nº 808/2014, annexe IV.</w:t>
      </w:r>
    </w:p>
  </w:footnote>
  <w:footnote w:id="34">
    <w:p w:rsidR="00260B0F" w:rsidRPr="00E14E11" w:rsidRDefault="00260B0F" w:rsidP="00ED3746">
      <w:pPr>
        <w:pStyle w:val="FootnoteText"/>
      </w:pPr>
      <w:r>
        <w:rPr>
          <w:rStyle w:val="FootnoteReference"/>
        </w:rPr>
        <w:footnoteRef/>
      </w:r>
      <w:r>
        <w:t xml:space="preserve"> Voir le séminaire du PEI sur les systèmes de connaissance et l’innovation interactive:</w:t>
      </w:r>
      <w:r>
        <w:rPr>
          <w:rStyle w:val="Hyperlink"/>
        </w:rPr>
        <w:t xml:space="preserve"> </w:t>
      </w:r>
      <w:hyperlink r:id="rId9" w:history="1">
        <w:r>
          <w:rPr>
            <w:rStyle w:val="Hyperlink"/>
          </w:rPr>
          <w:t>https://ec.europa.eu/eip/agriculture/sites/agri-eip/files/field_event_attachments/sem-knowledge-20151203-pres02-inge_van_oost.pdf</w:t>
        </w:r>
      </w:hyperlink>
    </w:p>
  </w:footnote>
  <w:footnote w:id="35">
    <w:p w:rsidR="00260B0F" w:rsidRPr="008F676D" w:rsidRDefault="00260B0F" w:rsidP="00ED3746">
      <w:pPr>
        <w:pStyle w:val="FootnoteText"/>
      </w:pPr>
      <w:r>
        <w:rPr>
          <w:rStyle w:val="FootnoteReference"/>
        </w:rPr>
        <w:footnoteRef/>
      </w:r>
      <w:r>
        <w:t xml:space="preserve">  Des orientations supplémentaires sont fournies dans les lignes directrices: «Évaluation des résultats du PDR: Comment établir le rapport sur l’évaluation en 2017» (en anglais), </w:t>
      </w:r>
      <w:hyperlink r:id="rId10" w:history="1">
        <w:r>
          <w:rPr>
            <w:rStyle w:val="Hyperlink"/>
          </w:rPr>
          <w:t>https://enrd.ec.europa.eu/evaluation/publications/guidelines-assessment-rdp-results-how-prepare-reporting-evaluation-2017_fr</w:t>
        </w:r>
      </w:hyperlink>
    </w:p>
  </w:footnote>
  <w:footnote w:id="36">
    <w:p w:rsidR="00260B0F" w:rsidRPr="00401F29" w:rsidRDefault="00260B0F" w:rsidP="00ED3746">
      <w:pPr>
        <w:pStyle w:val="FootnoteText"/>
      </w:pPr>
      <w:r>
        <w:rPr>
          <w:rStyle w:val="FootnoteReference"/>
        </w:rPr>
        <w:footnoteRef/>
      </w:r>
      <w:r>
        <w:t xml:space="preserve">  Règlement (UE) nº 1305/2013, article 66 et règlement d’exécution (UE) nº 808/2014, article 15 et annexe VII.</w:t>
      </w:r>
    </w:p>
  </w:footnote>
  <w:footnote w:id="37">
    <w:p w:rsidR="00260B0F" w:rsidRPr="00576A73" w:rsidRDefault="00260B0F" w:rsidP="00ED3746">
      <w:pPr>
        <w:pStyle w:val="FootnoteText"/>
      </w:pPr>
      <w:r>
        <w:rPr>
          <w:rStyle w:val="FootnoteReference"/>
        </w:rPr>
        <w:footnoteRef/>
      </w:r>
      <w:r>
        <w:t xml:space="preserve"> Voir les lignes directrices «Évaluation des résultats du PDR: Comment établir le rapport sur l’évaluation en 2017 (en anglais) </w:t>
      </w:r>
      <w:hyperlink r:id="rId11" w:history="1">
        <w:r>
          <w:rPr>
            <w:rStyle w:val="Hyperlink"/>
          </w:rPr>
          <w:t>https://enrd.ec.europa.eu/evaluation/publications/guidelines-assessment-rdp-results-how-prepare-reporting-evaluation-2017_fr</w:t>
        </w:r>
      </w:hyperlink>
    </w:p>
  </w:footnote>
  <w:footnote w:id="38">
    <w:p w:rsidR="00260B0F" w:rsidRPr="00626C0C" w:rsidRDefault="00260B0F" w:rsidP="00ED3746">
      <w:pPr>
        <w:pStyle w:val="FootnoteText"/>
      </w:pPr>
      <w:r>
        <w:rPr>
          <w:rStyle w:val="FootnoteReference"/>
        </w:rPr>
        <w:footnoteRef/>
      </w:r>
      <w:r>
        <w:t xml:space="preserve">  Lien vers le secrétariat d’évaluation </w:t>
      </w:r>
      <w:proofErr w:type="gramStart"/>
      <w:r>
        <w:t>suédois:</w:t>
      </w:r>
      <w:proofErr w:type="gramEnd"/>
      <w:r>
        <w:t xml:space="preserve"> </w:t>
      </w:r>
      <w:hyperlink r:id="rId12" w:history="1">
        <w:r>
          <w:rPr>
            <w:rStyle w:val="Hyperlink"/>
          </w:rPr>
          <w:t>https://www.jordbruksverket.se/utvardering</w:t>
        </w:r>
      </w:hyperlink>
    </w:p>
  </w:footnote>
  <w:footnote w:id="39">
    <w:p w:rsidR="00260B0F" w:rsidRPr="00171202" w:rsidRDefault="00260B0F" w:rsidP="00ED3746">
      <w:pPr>
        <w:pStyle w:val="FootnoteText"/>
      </w:pPr>
      <w:r>
        <w:rPr>
          <w:rStyle w:val="FootnoteReference"/>
        </w:rPr>
        <w:footnoteRef/>
      </w:r>
      <w:r>
        <w:t xml:space="preserve">  Règlement d’exécution (UE) nº 808/2014, annexe VII, point 7.</w:t>
      </w:r>
    </w:p>
  </w:footnote>
  <w:footnote w:id="40">
    <w:p w:rsidR="00260B0F" w:rsidRPr="00171202" w:rsidRDefault="00260B0F" w:rsidP="00ED3746">
      <w:pPr>
        <w:pStyle w:val="FootnoteText"/>
      </w:pPr>
      <w:r>
        <w:rPr>
          <w:rStyle w:val="FootnoteReference"/>
        </w:rPr>
        <w:footnoteRef/>
      </w:r>
      <w:r>
        <w:t xml:space="preserve"> Règlement d’exécution (UE) nº 808/2014, annexe IV, points 2, 3 et 4.</w:t>
      </w:r>
    </w:p>
  </w:footnote>
  <w:footnote w:id="41">
    <w:p w:rsidR="00260B0F" w:rsidRPr="00171202" w:rsidRDefault="00260B0F" w:rsidP="00ED3746">
      <w:pPr>
        <w:pStyle w:val="FootnoteText"/>
      </w:pPr>
      <w:r>
        <w:rPr>
          <w:rStyle w:val="FootnoteReference"/>
        </w:rPr>
        <w:footnoteRef/>
      </w:r>
      <w:r>
        <w:t xml:space="preserve"> Les critères de jugement tels qu’ils apparaissent dans le document de travail «</w:t>
      </w:r>
      <w:r>
        <w:rPr>
          <w:i/>
        </w:rPr>
        <w:t>Questions d’évaluation communes pour les programmes de développement rural 2014-2020</w:t>
      </w:r>
      <w:r>
        <w:t>» (en anglais),</w:t>
      </w:r>
      <w:r>
        <w:rPr>
          <w:rStyle w:val="Hyperlink"/>
        </w:rPr>
        <w:t xml:space="preserve"> </w:t>
      </w:r>
      <w:hyperlink r:id="rId13" w:history="1">
        <w:r>
          <w:rPr>
            <w:rStyle w:val="Hyperlink"/>
          </w:rPr>
          <w:t>https://enrd.ec.europa.eu/evaluation/publications/working-document-common-evaluation-questions-rural-development-programmes_fr</w:t>
        </w:r>
      </w:hyperlink>
    </w:p>
  </w:footnote>
  <w:footnote w:id="42">
    <w:p w:rsidR="00260B0F" w:rsidRPr="00171202" w:rsidRDefault="00260B0F" w:rsidP="00ED3746">
      <w:pPr>
        <w:pStyle w:val="FootnoteText"/>
      </w:pPr>
      <w:r>
        <w:rPr>
          <w:rStyle w:val="FootnoteReference"/>
        </w:rPr>
        <w:footnoteRef/>
      </w:r>
      <w:r>
        <w:t xml:space="preserve">  Règlement d’exécution (UE) nº 808/2014, annexe IV.</w:t>
      </w:r>
    </w:p>
  </w:footnote>
  <w:footnote w:id="43">
    <w:p w:rsidR="00260B0F" w:rsidRPr="00091F73" w:rsidRDefault="00260B0F" w:rsidP="00ED3746">
      <w:pPr>
        <w:pStyle w:val="FootnoteText"/>
      </w:pPr>
      <w:r>
        <w:rPr>
          <w:rStyle w:val="FootnoteReference"/>
        </w:rPr>
        <w:footnoteRef/>
      </w:r>
      <w:r>
        <w:t xml:space="preserve"> Des critères de jugement supplémentaires sont élaborés par les États membres pour compléter ceux indiqués dans le document de travail</w:t>
      </w:r>
      <w:proofErr w:type="gramStart"/>
      <w:r>
        <w:t xml:space="preserve"> «</w:t>
      </w:r>
      <w:r>
        <w:rPr>
          <w:i/>
        </w:rPr>
        <w:t>Questions</w:t>
      </w:r>
      <w:proofErr w:type="gramEnd"/>
      <w:r>
        <w:rPr>
          <w:i/>
        </w:rPr>
        <w:t xml:space="preserve"> d’évaluation communes pour les programmes de développement rural 2014-2020</w:t>
      </w:r>
      <w:r>
        <w:t xml:space="preserve">» (en anglais). </w:t>
      </w:r>
    </w:p>
  </w:footnote>
  <w:footnote w:id="44">
    <w:p w:rsidR="00260B0F" w:rsidRPr="00091F73" w:rsidRDefault="00260B0F" w:rsidP="00ED3746">
      <w:pPr>
        <w:pStyle w:val="FootnoteText"/>
      </w:pPr>
      <w:r>
        <w:rPr>
          <w:rStyle w:val="FootnoteReference"/>
        </w:rPr>
        <w:footnoteRef/>
      </w:r>
      <w:r>
        <w:t xml:space="preserve"> Les indicateurs supplémentaires sont ceux élaborés par les États membres pour compléter les indicateurs communs si ces derniers ne sont pas suffisants pour répondre aux questions d’évaluation, tel que spécifié pour les critères de jugement. Pour de plus amples informations, voir les lignes directrices «Évaluation des résultats du PDR: Comment établir le rapport sur l’évaluation en 2017» (en anglais), </w:t>
      </w:r>
      <w:hyperlink r:id="rId14" w:history="1">
        <w:r>
          <w:rPr>
            <w:rStyle w:val="Hyperlink"/>
          </w:rPr>
          <w:t>https://enrd.ec.europa.eu/evaluation/publications/guidelines-assessment-rdp-results-how-prepare-reporting-evaluation-2017_fr</w:t>
        </w:r>
      </w:hyperlink>
    </w:p>
    <w:p w:rsidR="00260B0F" w:rsidRPr="00091F73" w:rsidRDefault="00260B0F" w:rsidP="00ED3746">
      <w:pPr>
        <w:pStyle w:val="FootnoteText"/>
      </w:pPr>
    </w:p>
  </w:footnote>
  <w:footnote w:id="45">
    <w:p w:rsidR="00260B0F" w:rsidRPr="00576A73" w:rsidRDefault="00260B0F">
      <w:pPr>
        <w:pStyle w:val="FootnoteText"/>
        <w:rPr>
          <w:sz w:val="12"/>
          <w:szCs w:val="12"/>
        </w:rPr>
      </w:pPr>
      <w:r>
        <w:rPr>
          <w:rStyle w:val="FootnoteReference"/>
        </w:rPr>
        <w:footnoteRef/>
      </w:r>
      <w:r>
        <w:rPr>
          <w:sz w:val="12"/>
        </w:rPr>
        <w:t xml:space="preserve"> </w:t>
      </w:r>
      <w:r>
        <w:t xml:space="preserve">Article 15, paragraphe 4, </w:t>
      </w:r>
      <w:proofErr w:type="gramStart"/>
      <w:r>
        <w:t>points a</w:t>
      </w:r>
      <w:proofErr w:type="gramEnd"/>
      <w:r>
        <w:t>) à g).</w:t>
      </w:r>
    </w:p>
  </w:footnote>
  <w:footnote w:id="46">
    <w:p w:rsidR="00260B0F" w:rsidRPr="00401F29" w:rsidRDefault="00260B0F" w:rsidP="00ED3746">
      <w:pPr>
        <w:pStyle w:val="FootnoteText"/>
        <w:rPr>
          <w:rStyle w:val="Hyperlink"/>
        </w:rPr>
      </w:pPr>
      <w:r>
        <w:rPr>
          <w:rStyle w:val="FootnoteReference"/>
        </w:rPr>
        <w:footnoteRef/>
      </w:r>
      <w:r>
        <w:t xml:space="preserve">  </w:t>
      </w:r>
      <w:proofErr w:type="gramStart"/>
      <w:r>
        <w:t>Voir:</w:t>
      </w:r>
      <w:proofErr w:type="gramEnd"/>
      <w:r>
        <w:rPr>
          <w:rStyle w:val="Hyperlink"/>
        </w:rPr>
        <w:t xml:space="preserve"> </w:t>
      </w:r>
      <w:hyperlink r:id="rId15" w:history="1">
        <w:r>
          <w:rPr>
            <w:rStyle w:val="Hyperlink"/>
          </w:rPr>
          <w:t>http://ec.europa.eu/europe2020/targets/eu-targets/index_en.htm</w:t>
        </w:r>
      </w:hyperlink>
    </w:p>
  </w:footnote>
  <w:footnote w:id="47">
    <w:p w:rsidR="00260B0F" w:rsidRPr="00401F29" w:rsidRDefault="00260B0F" w:rsidP="00ED3746">
      <w:pPr>
        <w:pStyle w:val="FootnoteText"/>
      </w:pPr>
      <w:r>
        <w:rPr>
          <w:vertAlign w:val="superscript"/>
        </w:rPr>
        <w:footnoteRef/>
      </w:r>
      <w:r>
        <w:t xml:space="preserve">  Document de travail «Questions d’évaluation communes pour les programmes de développement rural 2014-2020» (en anglais)</w:t>
      </w:r>
      <w:hyperlink r:id="rId16" w:history="1">
        <w:r>
          <w:rPr>
            <w:rStyle w:val="Hyperlink"/>
          </w:rPr>
          <w:t>, http://enrd.ec.europa.eu/evaluation/publications/working-document-common-evaluation-questions-rural-development-programmes_en</w:t>
        </w:r>
      </w:hyperlink>
    </w:p>
  </w:footnote>
  <w:footnote w:id="48">
    <w:p w:rsidR="00260B0F" w:rsidRPr="00401F29" w:rsidRDefault="00260B0F" w:rsidP="00ED3746">
      <w:pPr>
        <w:pStyle w:val="FootnoteText"/>
      </w:pPr>
      <w:r>
        <w:rPr>
          <w:rStyle w:val="FootnoteReference"/>
        </w:rPr>
        <w:footnoteRef/>
      </w:r>
      <w:r>
        <w:t xml:space="preserve"> Il s’agit d’articles du règlement (UE) nº 1305/2013.</w:t>
      </w:r>
    </w:p>
  </w:footnote>
  <w:footnote w:id="49">
    <w:p w:rsidR="00260B0F" w:rsidRPr="00401F29" w:rsidRDefault="00260B0F" w:rsidP="00ED3746">
      <w:pPr>
        <w:pStyle w:val="FootnoteText"/>
      </w:pPr>
      <w:r>
        <w:rPr>
          <w:rStyle w:val="FootnoteReference"/>
        </w:rPr>
        <w:footnoteRef/>
      </w:r>
      <w:r>
        <w:t xml:space="preserve"> Règlement (UE) nº 1305/2013, article 15, paragraphe 4, point c).</w:t>
      </w:r>
    </w:p>
  </w:footnote>
  <w:footnote w:id="50">
    <w:p w:rsidR="00260B0F" w:rsidRPr="00401F29" w:rsidRDefault="00260B0F" w:rsidP="00ED3746">
      <w:pPr>
        <w:pStyle w:val="FootnoteText"/>
      </w:pPr>
      <w:r>
        <w:rPr>
          <w:rStyle w:val="FootnoteReference"/>
        </w:rPr>
        <w:footnoteRef/>
      </w:r>
      <w:r>
        <w:t xml:space="preserve"> Règlement (UE) nº 1303/2013, article 32.</w:t>
      </w:r>
    </w:p>
  </w:footnote>
  <w:footnote w:id="51">
    <w:p w:rsidR="00EC67D2" w:rsidRPr="00EC67D2" w:rsidRDefault="00EC67D2">
      <w:pPr>
        <w:pStyle w:val="FootnoteText"/>
        <w:rPr>
          <w:lang w:val="fr-BE"/>
        </w:rPr>
      </w:pPr>
      <w:r>
        <w:rPr>
          <w:rStyle w:val="FootnoteReference"/>
        </w:rPr>
        <w:footnoteRef/>
      </w:r>
      <w:r>
        <w:t xml:space="preserve"> </w:t>
      </w:r>
      <w:r>
        <w:t xml:space="preserve">Art. </w:t>
      </w:r>
      <w:r w:rsidRPr="00B13D00">
        <w:t xml:space="preserve">35, (2), (b) </w:t>
      </w:r>
      <w:r>
        <w:t>du Règlement</w:t>
      </w:r>
      <w:r w:rsidRPr="00B13D00">
        <w:t xml:space="preserve"> (EU) 1305/2013</w:t>
      </w:r>
    </w:p>
  </w:footnote>
  <w:footnote w:id="52">
    <w:p w:rsidR="00260B0F" w:rsidRPr="0026694F" w:rsidRDefault="00260B0F" w:rsidP="00ED3746">
      <w:pPr>
        <w:pStyle w:val="FootnoteText"/>
        <w:rPr>
          <w:color w:val="373737"/>
        </w:rPr>
      </w:pPr>
      <w:r>
        <w:rPr>
          <w:rStyle w:val="FootnoteReference"/>
        </w:rPr>
        <w:footnoteRef/>
      </w:r>
      <w:r>
        <w:t xml:space="preserve"> Règlement (UE) nº 1305/2013, article 35. Le document d’orientation</w:t>
      </w:r>
      <w:proofErr w:type="gramStart"/>
      <w:r>
        <w:t xml:space="preserve"> «</w:t>
      </w:r>
      <w:proofErr w:type="spellStart"/>
      <w:r>
        <w:t>Cooperation</w:t>
      </w:r>
      <w:proofErr w:type="spellEnd"/>
      <w:proofErr w:type="gramEnd"/>
      <w:r>
        <w:t xml:space="preserve"> </w:t>
      </w:r>
      <w:proofErr w:type="spellStart"/>
      <w:r>
        <w:t>measure</w:t>
      </w:r>
      <w:proofErr w:type="spellEnd"/>
      <w:r>
        <w:t>» (version de novembre 2014) donne la liste complète des sous-mesures de la mesure de coopération à l’annexe I,</w:t>
      </w:r>
      <w:r>
        <w:rPr>
          <w:color w:val="373737"/>
        </w:rPr>
        <w:t xml:space="preserve"> </w:t>
      </w:r>
      <w:hyperlink r:id="rId17" w:history="1">
        <w:r>
          <w:rPr>
            <w:rStyle w:val="Hyperlink"/>
          </w:rPr>
          <w:t>https://ec.europa.eu/eip/agriculture/sites/agri-eip/files/16_measure_fiche_art_35_co-operation.pdf</w:t>
        </w:r>
      </w:hyperlink>
      <w:r>
        <w:t>.</w:t>
      </w:r>
    </w:p>
  </w:footnote>
  <w:footnote w:id="53">
    <w:p w:rsidR="00260B0F" w:rsidRPr="00401F29" w:rsidRDefault="00260B0F" w:rsidP="00ED3746">
      <w:pPr>
        <w:pStyle w:val="FootnoteText"/>
      </w:pPr>
      <w:r>
        <w:rPr>
          <w:rStyle w:val="FootnoteReference"/>
        </w:rPr>
        <w:footnoteRef/>
      </w:r>
      <w:r>
        <w:t xml:space="preserve"> Règlement (UE) nº 1305/2013, article 35, paragraphe 1.</w:t>
      </w:r>
    </w:p>
  </w:footnote>
  <w:footnote w:id="54">
    <w:p w:rsidR="00260B0F" w:rsidRPr="00AB16BB" w:rsidRDefault="00260B0F">
      <w:pPr>
        <w:pStyle w:val="FootnoteText"/>
        <w:rPr>
          <w:sz w:val="12"/>
          <w:szCs w:val="12"/>
        </w:rPr>
      </w:pPr>
      <w:r>
        <w:rPr>
          <w:rStyle w:val="FootnoteReference"/>
        </w:rPr>
        <w:footnoteRef/>
      </w:r>
      <w:r>
        <w:t xml:space="preserve"> Présentation d’exemples de programmation liés aux priorités P4 et P5 du Feader. Disponible à l’adresse </w:t>
      </w:r>
      <w:proofErr w:type="gramStart"/>
      <w:r>
        <w:t>suivante:</w:t>
      </w:r>
      <w:proofErr w:type="gramEnd"/>
      <w:r>
        <w:t xml:space="preserve"> </w:t>
      </w:r>
      <w:hyperlink r:id="rId18" w:history="1">
        <w:r>
          <w:rPr>
            <w:rStyle w:val="Hyperlink"/>
          </w:rPr>
          <w:t>http://enrd.ec.europa.eu/sites/enrd/files/w10_m16_finland_karlsson.pdf.</w:t>
        </w:r>
      </w:hyperlink>
      <w:r>
        <w:rPr>
          <w:sz w:val="12"/>
        </w:rPr>
        <w:t xml:space="preserve"> </w:t>
      </w:r>
    </w:p>
  </w:footnote>
  <w:footnote w:id="55">
    <w:p w:rsidR="00260B0F" w:rsidRPr="00A45935" w:rsidRDefault="00260B0F">
      <w:pPr>
        <w:pStyle w:val="FootnoteText"/>
        <w:rPr>
          <w:szCs w:val="16"/>
        </w:rPr>
      </w:pPr>
      <w:r>
        <w:rPr>
          <w:rStyle w:val="FootnoteReference"/>
        </w:rPr>
        <w:footnoteRef/>
      </w:r>
      <w:r>
        <w:rPr>
          <w:rStyle w:val="Hyperlink"/>
        </w:rPr>
        <w:t xml:space="preserve"> </w:t>
      </w:r>
      <w:hyperlink r:id="rId19" w:history="1">
        <w:r>
          <w:rPr>
            <w:rStyle w:val="Hyperlink"/>
          </w:rPr>
          <w:t>https://ec.europa.eu/eip/agriculture/en/content/innovative-stable-reducing-ammonia-emissions.</w:t>
        </w:r>
      </w:hyperlink>
    </w:p>
  </w:footnote>
  <w:footnote w:id="56">
    <w:p w:rsidR="00260B0F" w:rsidRDefault="00260B0F">
      <w:pPr>
        <w:pStyle w:val="FootnoteText"/>
      </w:pPr>
      <w:r>
        <w:rPr>
          <w:rStyle w:val="FootnoteReference"/>
        </w:rPr>
        <w:footnoteRef/>
      </w:r>
      <w:r>
        <w:t xml:space="preserve">  Présentation d’exemples de programmation liés aux priorités P4 et P5 du Feader. Disponible à l’adresse </w:t>
      </w:r>
      <w:proofErr w:type="gramStart"/>
      <w:r>
        <w:t>suivante:</w:t>
      </w:r>
      <w:proofErr w:type="gramEnd"/>
      <w:r>
        <w:t xml:space="preserve"> </w:t>
      </w:r>
      <w:hyperlink r:id="rId20" w:history="1">
        <w:r>
          <w:rPr>
            <w:rStyle w:val="Hyperlink"/>
          </w:rPr>
          <w:t>http://enrd.ec.europa.eu/sites/enrd/files/w10_m16.5_hesse_de_vonkutzleben.pdf.</w:t>
        </w:r>
      </w:hyperlink>
    </w:p>
  </w:footnote>
  <w:footnote w:id="57">
    <w:p w:rsidR="00260B0F" w:rsidRPr="00401F29" w:rsidRDefault="00260B0F" w:rsidP="00ED3746">
      <w:pPr>
        <w:pStyle w:val="FootnoteText"/>
      </w:pPr>
      <w:r>
        <w:rPr>
          <w:rStyle w:val="FootnoteReference"/>
        </w:rPr>
        <w:footnoteRef/>
      </w:r>
      <w:r>
        <w:t xml:space="preserve"> Règlement (UE) nº 1305/2013, article 54, paragraphe 2.</w:t>
      </w:r>
    </w:p>
  </w:footnote>
  <w:footnote w:id="58">
    <w:p w:rsidR="00260B0F" w:rsidRPr="002D11C3" w:rsidRDefault="00260B0F" w:rsidP="00ED3746">
      <w:pPr>
        <w:pStyle w:val="FootnoteText"/>
      </w:pPr>
      <w:r>
        <w:rPr>
          <w:rStyle w:val="FootnoteReference"/>
        </w:rPr>
        <w:footnoteRef/>
      </w:r>
      <w:r>
        <w:t xml:space="preserve">  Des orientations sur la manière de répondre à la QEC nº 21 figurent aussi dans les lignes directrices «Évaluation des résultats du PDR: Comment établir le rapport sur l’évaluation en 2017» (en anglais), annexe 11, dans lesquelles tous les objectifs liés au RRN ont été pris en considération en vue de répondre à la QEC, </w:t>
      </w:r>
      <w:hyperlink r:id="rId21" w:history="1">
        <w:r>
          <w:rPr>
            <w:rStyle w:val="Hyperlink"/>
          </w:rPr>
          <w:t>https://enrd.ec.europa.eu/evaluation/publications/guidelines-assessment-rdp-results-how-prepare-reporting-evaluation-2017_fr</w:t>
        </w:r>
      </w:hyperlink>
      <w:r>
        <w:t>.</w:t>
      </w:r>
    </w:p>
  </w:footnote>
  <w:footnote w:id="59">
    <w:p w:rsidR="00260B0F" w:rsidRPr="00401F29" w:rsidRDefault="00260B0F" w:rsidP="00ED3746">
      <w:pPr>
        <w:pStyle w:val="FootnoteText"/>
      </w:pPr>
      <w:r>
        <w:rPr>
          <w:rStyle w:val="FootnoteReference"/>
        </w:rPr>
        <w:footnoteRef/>
      </w:r>
      <w:r>
        <w:t xml:space="preserve">  Règlement (UE) nº 1305/2013, article 54.</w:t>
      </w:r>
    </w:p>
  </w:footnote>
  <w:footnote w:id="60">
    <w:p w:rsidR="00260B0F" w:rsidRPr="00401F29" w:rsidRDefault="00260B0F" w:rsidP="00ED3746">
      <w:pPr>
        <w:pStyle w:val="FootnoteText"/>
      </w:pPr>
      <w:r>
        <w:rPr>
          <w:rStyle w:val="FootnoteReference"/>
        </w:rPr>
        <w:footnoteRef/>
      </w:r>
      <w:r>
        <w:t xml:space="preserve"> Règlement (UE) nº 1305/2013, article 54, paragraphe 3, point b).</w:t>
      </w:r>
    </w:p>
  </w:footnote>
  <w:footnote w:id="61">
    <w:p w:rsidR="00260B0F" w:rsidRPr="00401F29" w:rsidRDefault="00260B0F" w:rsidP="00ED3746">
      <w:pPr>
        <w:pStyle w:val="FootnoteText"/>
      </w:pPr>
      <w:r>
        <w:rPr>
          <w:rStyle w:val="FootnoteReference"/>
        </w:rPr>
        <w:footnoteRef/>
      </w:r>
      <w:r>
        <w:t xml:space="preserve"> Règlement (UE) nº 1305/2013, article 8, paragraphe 1, point c) v), et règlement d’exécution (UE) nº 808/2014, annexe I, partie I, point 5 c) et e).</w:t>
      </w:r>
    </w:p>
  </w:footnote>
  <w:footnote w:id="62">
    <w:p w:rsidR="00260B0F" w:rsidRPr="00401F29" w:rsidRDefault="00260B0F" w:rsidP="00ED3746">
      <w:pPr>
        <w:pStyle w:val="FootnoteText"/>
      </w:pPr>
      <w:r>
        <w:rPr>
          <w:rStyle w:val="FootnoteReference"/>
        </w:rPr>
        <w:footnoteRef/>
      </w:r>
      <w:r>
        <w:t xml:space="preserve"> Règlement (UE) nº 1305/2013, article 54.</w:t>
      </w:r>
    </w:p>
  </w:footnote>
  <w:footnote w:id="63">
    <w:p w:rsidR="00260B0F" w:rsidRPr="00401F29" w:rsidRDefault="00260B0F" w:rsidP="00ED3746">
      <w:pPr>
        <w:pStyle w:val="FootnoteText"/>
        <w:rPr>
          <w:rStyle w:val="Hyperlink"/>
        </w:rPr>
      </w:pPr>
      <w:r>
        <w:rPr>
          <w:rStyle w:val="FootnoteReference"/>
        </w:rPr>
        <w:footnoteRef/>
      </w:r>
      <w:r>
        <w:t xml:space="preserve"> Helpdesk Évaluation, document de travail: «Questions d’évaluation communes pour les programmes de développement rural 2014-2020» (en anglais), disponible à l’adresse suivante: </w:t>
      </w:r>
      <w:hyperlink r:id="rId22" w:history="1">
        <w:r>
          <w:rPr>
            <w:rStyle w:val="Hyperlink"/>
          </w:rPr>
          <w:t>http://enrd.ec.europa.eu/evaluation/publications/working-document-common-evaluation-questions-rural-development-programmes_fr</w:t>
        </w:r>
      </w:hyperlink>
    </w:p>
  </w:footnote>
  <w:footnote w:id="64">
    <w:p w:rsidR="00260B0F" w:rsidRPr="00401F29" w:rsidRDefault="00260B0F" w:rsidP="00ED3746">
      <w:pPr>
        <w:pStyle w:val="FootnoteText"/>
      </w:pPr>
      <w:r>
        <w:rPr>
          <w:rStyle w:val="FootnoteReference"/>
        </w:rPr>
        <w:footnoteRef/>
      </w:r>
      <w:r>
        <w:t xml:space="preserve">  Idem</w:t>
      </w:r>
    </w:p>
  </w:footnote>
  <w:footnote w:id="65">
    <w:p w:rsidR="00260B0F" w:rsidRPr="00401F29" w:rsidRDefault="00260B0F" w:rsidP="00ED3746">
      <w:pPr>
        <w:pStyle w:val="FootnoteText"/>
      </w:pPr>
      <w:r>
        <w:rPr>
          <w:rStyle w:val="FootnoteReference"/>
        </w:rPr>
        <w:footnoteRef/>
      </w:r>
      <w:r>
        <w:t xml:space="preserve"> Allen et </w:t>
      </w:r>
      <w:proofErr w:type="spellStart"/>
      <w:r>
        <w:t>Seaman</w:t>
      </w:r>
      <w:proofErr w:type="spellEnd"/>
      <w:r>
        <w:t xml:space="preserve"> (2007).</w:t>
      </w:r>
    </w:p>
  </w:footnote>
  <w:footnote w:id="66">
    <w:p w:rsidR="00260B0F" w:rsidRPr="00401F29" w:rsidRDefault="00260B0F" w:rsidP="00ED3746">
      <w:pPr>
        <w:pStyle w:val="FootnoteText"/>
      </w:pPr>
      <w:r>
        <w:rPr>
          <w:rStyle w:val="FootnoteReference"/>
        </w:rPr>
        <w:footnoteRef/>
      </w:r>
      <w:r>
        <w:t xml:space="preserve"> Helpdesk Évaluation, lignes directrices «Évaluation des réseaux ruraux nationaux 2014-2020», 2016, chapitre 3.1.3 et partie III, </w:t>
      </w:r>
      <w:r>
        <w:rPr>
          <w:rStyle w:val="Hyperlink"/>
        </w:rPr>
        <w:t>https://enrd.ec.europa.eu/evaluation/publications/guidelines-evaluation-national-rural-networks-</w:t>
      </w:r>
      <w:hyperlink r:id="rId23" w:history="1">
        <w:r>
          <w:rPr>
            <w:rStyle w:val="Hyperlink"/>
          </w:rPr>
          <w:t>2014</w:t>
        </w:r>
      </w:hyperlink>
      <w:r>
        <w:rPr>
          <w:rStyle w:val="Hyperlink"/>
        </w:rPr>
        <w:t>-</w:t>
      </w:r>
      <w:hyperlink r:id="rId24" w:history="1">
        <w:r>
          <w:rPr>
            <w:rStyle w:val="Hyperlink"/>
          </w:rPr>
          <w:t>2020</w:t>
        </w:r>
      </w:hyperlink>
      <w:r>
        <w:rPr>
          <w:rStyle w:val="Hyperlink"/>
        </w:rPr>
        <w:t>_fr</w:t>
      </w:r>
      <w:r>
        <w:t>.</w:t>
      </w:r>
    </w:p>
  </w:footnote>
  <w:footnote w:id="67">
    <w:p w:rsidR="00260B0F" w:rsidRPr="00401F29" w:rsidRDefault="00260B0F" w:rsidP="00ED3746">
      <w:pPr>
        <w:pStyle w:val="FootnoteText"/>
        <w:rPr>
          <w:rStyle w:val="Hyperlink"/>
        </w:rPr>
      </w:pPr>
      <w:r>
        <w:rPr>
          <w:rStyle w:val="FootnoteReference"/>
        </w:rPr>
        <w:footnoteRef/>
      </w:r>
      <w:r>
        <w:t xml:space="preserve"> Exemple du RRN italien.</w:t>
      </w:r>
      <w:r>
        <w:rPr>
          <w:rFonts w:ascii="Helvetica" w:hAnsi="Helvetica"/>
        </w:rPr>
        <w:t xml:space="preserve"> </w:t>
      </w:r>
      <w:hyperlink r:id="rId25" w:history="1">
        <w:r>
          <w:rPr>
            <w:rStyle w:val="Hyperlink"/>
          </w:rPr>
          <w:t>http://www.reterurale.it/flex/cm/pages/ServeBLOB.php/L/IT/IDPagina/16281</w:t>
        </w:r>
      </w:hyperlink>
      <w:r>
        <w:t>.</w:t>
      </w:r>
    </w:p>
    <w:p w:rsidR="00260B0F" w:rsidRPr="00F743D3" w:rsidRDefault="00260B0F" w:rsidP="00ED3746">
      <w:pPr>
        <w:pStyle w:val="FootnoteText"/>
      </w:pPr>
    </w:p>
  </w:footnote>
  <w:footnote w:id="68">
    <w:p w:rsidR="00260B0F" w:rsidRPr="00CE37B0" w:rsidRDefault="00260B0F" w:rsidP="00ED3746">
      <w:pPr>
        <w:pStyle w:val="FootnoteText"/>
      </w:pPr>
      <w:r>
        <w:rPr>
          <w:rStyle w:val="FootnoteReference"/>
        </w:rPr>
        <w:footnoteRef/>
      </w:r>
      <w:r>
        <w:t xml:space="preserve">  Europe </w:t>
      </w:r>
      <w:proofErr w:type="gramStart"/>
      <w:r>
        <w:t>2020:</w:t>
      </w:r>
      <w:proofErr w:type="gramEnd"/>
      <w:r>
        <w:t xml:space="preserve"> une stratégie pour une croissance intelligente, durable et inclusive, </w:t>
      </w:r>
      <w:hyperlink r:id="rId26" w:history="1">
        <w:r>
          <w:rPr>
            <w:rStyle w:val="Hyperlink"/>
          </w:rPr>
          <w:t>http://eur-lex.europa.eu/legal-content/fr/ALL/?uri=CELEX%3A52010DC2020</w:t>
        </w:r>
      </w:hyperlink>
      <w:r>
        <w:t>.</w:t>
      </w:r>
    </w:p>
  </w:footnote>
  <w:footnote w:id="69">
    <w:p w:rsidR="00260B0F" w:rsidRPr="0026694F" w:rsidRDefault="00260B0F" w:rsidP="00ED3746">
      <w:pPr>
        <w:pStyle w:val="FootnoteText"/>
        <w:rPr>
          <w:rFonts w:cs="Helvetica"/>
          <w:color w:val="373737"/>
          <w:szCs w:val="18"/>
        </w:rPr>
      </w:pPr>
      <w:r>
        <w:rPr>
          <w:rStyle w:val="FootnoteReference"/>
        </w:rPr>
        <w:footnoteRef/>
      </w:r>
      <w:r>
        <w:rPr>
          <w:color w:val="373737"/>
        </w:rPr>
        <w:t xml:space="preserve"> </w:t>
      </w:r>
      <w:hyperlink r:id="rId27" w:history="1">
        <w:r>
          <w:rPr>
            <w:rStyle w:val="Hyperlink"/>
          </w:rPr>
          <w:t>http://ec.europa.eu/europe2020/targets/eu-targets/index_en.htm.</w:t>
        </w:r>
      </w:hyperlink>
    </w:p>
  </w:footnote>
  <w:footnote w:id="70">
    <w:p w:rsidR="00260B0F" w:rsidRPr="008F676D" w:rsidRDefault="00260B0F" w:rsidP="00ED3746">
      <w:pPr>
        <w:pStyle w:val="FootnoteText"/>
      </w:pPr>
      <w:r>
        <w:rPr>
          <w:rStyle w:val="FootnoteReference"/>
        </w:rPr>
        <w:footnoteRef/>
      </w:r>
      <w:r>
        <w:t xml:space="preserve"> </w:t>
      </w:r>
      <w:hyperlink r:id="rId28" w:history="1">
        <w:r>
          <w:rPr>
            <w:rStyle w:val="Hyperlink"/>
          </w:rPr>
          <w:t>http://ec.europa.eu/eurostat/statistics-explained/index.php/R_%26_D_expenditure/fr.</w:t>
        </w:r>
      </w:hyperlink>
    </w:p>
  </w:footnote>
  <w:footnote w:id="71">
    <w:p w:rsidR="00260B0F" w:rsidRPr="0026694F" w:rsidRDefault="00260B0F" w:rsidP="00ED3746">
      <w:pPr>
        <w:pStyle w:val="FootnoteText"/>
        <w:rPr>
          <w:rFonts w:cs="Helvetica"/>
          <w:color w:val="373737"/>
          <w:szCs w:val="18"/>
        </w:rPr>
      </w:pPr>
      <w:r>
        <w:rPr>
          <w:rStyle w:val="FootnoteReference"/>
        </w:rPr>
        <w:footnoteRef/>
      </w:r>
      <w:r>
        <w:rPr>
          <w:color w:val="373737"/>
        </w:rPr>
        <w:t xml:space="preserve"> </w:t>
      </w:r>
      <w:hyperlink r:id="rId29" w:history="1">
        <w:r>
          <w:rPr>
            <w:rStyle w:val="Hyperlink"/>
          </w:rPr>
          <w:t>http://www.oecd.org/fr/publications/manuel-de-frascati-2015-9789264257252-fr.htm.</w:t>
        </w:r>
      </w:hyperlink>
    </w:p>
  </w:footnote>
  <w:footnote w:id="72">
    <w:p w:rsidR="00260B0F" w:rsidRPr="00401F29" w:rsidRDefault="00260B0F" w:rsidP="00ED3746">
      <w:pPr>
        <w:pStyle w:val="FootnoteText"/>
      </w:pPr>
      <w:r>
        <w:rPr>
          <w:rStyle w:val="FootnoteReference"/>
        </w:rPr>
        <w:footnoteRef/>
      </w:r>
      <w:r>
        <w:rPr>
          <w:color w:val="373737"/>
        </w:rPr>
        <w:t xml:space="preserve"> </w:t>
      </w:r>
      <w:r>
        <w:t>Décision nº 1608/2003/CE du Parlement européen et du Conseil, règlement (CE) nº 753/2004 et règlement (UE) nº 995/2012.</w:t>
      </w:r>
    </w:p>
  </w:footnote>
  <w:footnote w:id="73">
    <w:p w:rsidR="00260B0F" w:rsidRPr="008F676D" w:rsidRDefault="00260B0F" w:rsidP="00ED3746">
      <w:pPr>
        <w:pStyle w:val="FootnoteText"/>
      </w:pPr>
      <w:r>
        <w:rPr>
          <w:rStyle w:val="FootnoteReference"/>
        </w:rPr>
        <w:footnoteRef/>
      </w:r>
      <w:r>
        <w:t xml:space="preserve"> </w:t>
      </w:r>
      <w:hyperlink r:id="rId30" w:history="1">
        <w:r>
          <w:rPr>
            <w:rStyle w:val="Hyperlink"/>
          </w:rPr>
          <w:t>http://ec.europa.eu/eurostat/statistics-explained/index.php/Glossary:Gross_domestic_expenditure_on_R_%26_D_(GERD)/fr.</w:t>
        </w:r>
      </w:hyperlink>
    </w:p>
  </w:footnote>
  <w:footnote w:id="74">
    <w:p w:rsidR="00260B0F" w:rsidRPr="0026694F" w:rsidRDefault="00260B0F" w:rsidP="00ED3746">
      <w:pPr>
        <w:pStyle w:val="FootnoteText"/>
        <w:rPr>
          <w:rFonts w:ascii="Helvetica" w:hAnsi="Helvetica" w:cs="Helvetica"/>
          <w:szCs w:val="16"/>
        </w:rPr>
      </w:pPr>
      <w:r>
        <w:rPr>
          <w:rStyle w:val="FootnoteReference"/>
        </w:rPr>
        <w:footnoteRef/>
      </w:r>
      <w:bookmarkStart w:id="157" w:name="_Hlk500419553"/>
      <w:r>
        <w:rPr>
          <w:rFonts w:ascii="Helvetica" w:hAnsi="Helvetica"/>
        </w:rPr>
        <w:t xml:space="preserve">En Allemagne, une étude sur les évaluations </w:t>
      </w:r>
      <w:r>
        <w:rPr>
          <w:rFonts w:ascii="Helvetica" w:hAnsi="Helvetica"/>
          <w:i/>
        </w:rPr>
        <w:t>ex ante</w:t>
      </w:r>
      <w:r>
        <w:rPr>
          <w:rFonts w:ascii="Helvetica" w:hAnsi="Helvetica"/>
        </w:rPr>
        <w:t xml:space="preserve">, qui s’est (entre autres) intéressée à la pertinence des PDR pour atteindre les objectifs d’Europe 2020, a montré que la contribution des PDR à l'objectif phare de 3 % était évaluée comme très faible. Les dépenses n’apporteront qu’une contribution mineure à la dépense de R&amp;D dans plusieurs Länder. </w:t>
      </w:r>
    </w:p>
    <w:bookmarkEnd w:id="157"/>
    <w:p w:rsidR="00260B0F" w:rsidRPr="00E05D08" w:rsidRDefault="00260B0F" w:rsidP="00ED3746">
      <w:pPr>
        <w:pStyle w:val="FootnoteText"/>
        <w:rPr>
          <w:rFonts w:ascii="Calibri" w:hAnsi="Calibri"/>
        </w:rPr>
      </w:pPr>
    </w:p>
  </w:footnote>
  <w:footnote w:id="75">
    <w:p w:rsidR="00260B0F" w:rsidRPr="0026694F" w:rsidRDefault="00260B0F" w:rsidP="00ED3746">
      <w:pPr>
        <w:pStyle w:val="FootnoteText"/>
        <w:rPr>
          <w:rFonts w:cs="Helvetica"/>
          <w:color w:val="373737"/>
        </w:rPr>
      </w:pPr>
      <w:r>
        <w:rPr>
          <w:rStyle w:val="FootnoteReference"/>
        </w:rPr>
        <w:footnoteRef/>
      </w:r>
      <w:r>
        <w:t xml:space="preserve">  Document de travail «Questions d’évaluation communes pour les programmes de développement rural 2014-2020» (en anglais), </w:t>
      </w:r>
      <w:hyperlink r:id="rId31" w:history="1">
        <w:r>
          <w:rPr>
            <w:rStyle w:val="Hyperlink"/>
          </w:rPr>
          <w:t>http://enrd.ec.europa.eu/evaluation/publications/working-document-common-evaluation-questions-rural-development-programmes_fr</w:t>
        </w:r>
      </w:hyperlink>
      <w:r>
        <w:t>.</w:t>
      </w:r>
    </w:p>
  </w:footnote>
  <w:footnote w:id="76">
    <w:p w:rsidR="00260B0F" w:rsidRPr="00014A2E" w:rsidRDefault="00260B0F" w:rsidP="00ED3746">
      <w:pPr>
        <w:pStyle w:val="FootnoteText"/>
      </w:pPr>
      <w:r>
        <w:rPr>
          <w:rStyle w:val="FootnoteReference"/>
        </w:rPr>
        <w:footnoteRef/>
      </w:r>
      <w:r>
        <w:t xml:space="preserve">  Règlement (UE) nº 1305/2013, article 8, paragraphe 1, point c) v), et règlement d’exécution (UE) nº 808/2014, annexe I, partie I, point 5 c) et e).</w:t>
      </w:r>
    </w:p>
  </w:footnote>
  <w:footnote w:id="77">
    <w:p w:rsidR="00260B0F" w:rsidRPr="001D68A9" w:rsidRDefault="00260B0F" w:rsidP="00ED3746">
      <w:pPr>
        <w:pStyle w:val="FootnoteText"/>
      </w:pPr>
      <w:r>
        <w:rPr>
          <w:rStyle w:val="FootnoteReference"/>
        </w:rPr>
        <w:footnoteRef/>
      </w:r>
      <w:r>
        <w:t xml:space="preserve"> </w:t>
      </w:r>
      <w:hyperlink r:id="rId32" w:history="1">
        <w:r>
          <w:rPr>
            <w:rStyle w:val="Hyperlink"/>
          </w:rPr>
          <w:t>http://www.analytictech.com/networks/whatis.htm.</w:t>
        </w:r>
      </w:hyperlink>
    </w:p>
  </w:footnote>
  <w:footnote w:id="78">
    <w:p w:rsidR="00260B0F" w:rsidRPr="00401F29" w:rsidRDefault="00260B0F" w:rsidP="00ED3746">
      <w:pPr>
        <w:pStyle w:val="FootnoteText"/>
      </w:pPr>
      <w:r>
        <w:rPr>
          <w:rStyle w:val="FootnoteReference"/>
        </w:rPr>
        <w:footnoteRef/>
      </w:r>
      <w:r>
        <w:t xml:space="preserve">  Wilson-Grau, 2015. </w:t>
      </w:r>
    </w:p>
  </w:footnote>
  <w:footnote w:id="79">
    <w:p w:rsidR="00260B0F" w:rsidRPr="00401F29" w:rsidRDefault="00260B0F" w:rsidP="00ED3746">
      <w:pPr>
        <w:pStyle w:val="FootnoteText"/>
      </w:pPr>
      <w:r>
        <w:rPr>
          <w:rStyle w:val="FootnoteReference"/>
        </w:rPr>
        <w:footnoteRef/>
      </w:r>
      <w:r>
        <w:t xml:space="preserve"> Une étude de cas est une méthode qui permet d’en apprendre davantage sur un cas complexe, sur la base d’une compréhension globale de ce cas obtenue par une description et </w:t>
      </w:r>
      <w:proofErr w:type="gramStart"/>
      <w:r>
        <w:t>une analyse approfondies</w:t>
      </w:r>
      <w:proofErr w:type="gramEnd"/>
      <w:r>
        <w:t xml:space="preserve"> de ce cas pris dans son ensemble et dans son contexte (GAO, 1990, p. 5).</w:t>
      </w:r>
    </w:p>
  </w:footnote>
  <w:footnote w:id="80">
    <w:p w:rsidR="00260B0F" w:rsidRPr="00401F29" w:rsidRDefault="00260B0F" w:rsidP="00ED3746">
      <w:pPr>
        <w:pStyle w:val="FootnoteText"/>
      </w:pPr>
      <w:r>
        <w:rPr>
          <w:rStyle w:val="FootnoteReference"/>
        </w:rPr>
        <w:footnoteRef/>
      </w:r>
      <w:r>
        <w:rPr>
          <w:rStyle w:val="FootnoteReference"/>
        </w:rPr>
        <w:t xml:space="preserve"> </w:t>
      </w:r>
      <w:r>
        <w:t>Le traçage de processus est une approche de l’inférence causale fondée sur les cas qui se concentre sur l’utilisation d’indices dans un cas (observations du processus causal, OPC) pour trancher entre plusieurs explications possibles. Pour en savoir plus, consulter</w:t>
      </w:r>
      <w:hyperlink r:id="rId33" w:history="1">
        <w:r>
          <w:rPr>
            <w:rStyle w:val="Hyperlink"/>
          </w:rPr>
          <w:t xml:space="preserve"> http://www.betterevaluation.org/en/evaluation-options/processtracing</w:t>
        </w:r>
      </w:hyperlink>
      <w:r>
        <w:rPr>
          <w:color w:val="373737"/>
        </w:rPr>
        <w:t>,</w:t>
      </w:r>
      <w:r>
        <w:t xml:space="preserve"> lire aussi Collier 2011, voir les publications.</w:t>
      </w:r>
    </w:p>
  </w:footnote>
  <w:footnote w:id="81">
    <w:p w:rsidR="00260B0F" w:rsidRPr="00401F29" w:rsidRDefault="00260B0F" w:rsidP="00ED3746">
      <w:pPr>
        <w:pStyle w:val="FootnoteText"/>
      </w:pPr>
      <w:r>
        <w:rPr>
          <w:rStyle w:val="FootnoteReference"/>
        </w:rPr>
        <w:footnoteRef/>
      </w:r>
      <w:r>
        <w:t xml:space="preserve"> Préparer un</w:t>
      </w:r>
      <w:proofErr w:type="gramStart"/>
      <w:r>
        <w:t xml:space="preserve"> «historique</w:t>
      </w:r>
      <w:proofErr w:type="gramEnd"/>
      <w:r>
        <w:t xml:space="preserve"> d’innovation» est une méthode qui permet de consigner un processus d’innovation et de réfléchir à celui-ci. Les personnes qui ont participé à l’innovation établissent ensemble un compte rendu écrit détaillé (parfois appelé</w:t>
      </w:r>
      <w:proofErr w:type="gramStart"/>
      <w:r>
        <w:t xml:space="preserve"> «historique</w:t>
      </w:r>
      <w:proofErr w:type="gramEnd"/>
      <w:r>
        <w:t xml:space="preserve"> d’apprentissage») sur la base de leurs souvenirs et des documents disponibles. Pour en savoir plus, consulter </w:t>
      </w:r>
      <w:hyperlink r:id="rId34" w:history="1">
        <w:r>
          <w:rPr>
            <w:rStyle w:val="Hyperlink"/>
          </w:rPr>
          <w:t>http://www.betterevaluation.org/en/resources/tools/innovation_history/innovation_timeline</w:t>
        </w:r>
      </w:hyperlink>
      <w:r>
        <w:t xml:space="preserve">, et lire Douthwaite et </w:t>
      </w:r>
      <w:proofErr w:type="spellStart"/>
      <w:r>
        <w:t>Ashby</w:t>
      </w:r>
      <w:proofErr w:type="spellEnd"/>
      <w:r>
        <w:t xml:space="preserve">, 2005, voir les publications. </w:t>
      </w:r>
    </w:p>
  </w:footnote>
  <w:footnote w:id="82">
    <w:p w:rsidR="00762026" w:rsidRPr="00A847F8" w:rsidRDefault="00762026" w:rsidP="00762026">
      <w:pPr>
        <w:pStyle w:val="FootnoteText"/>
      </w:pPr>
      <w:r>
        <w:rPr>
          <w:rStyle w:val="FootnoteReference"/>
        </w:rPr>
        <w:footnoteRef/>
      </w:r>
      <w:r>
        <w:t xml:space="preserve">  </w:t>
      </w:r>
      <w:proofErr w:type="spellStart"/>
      <w:r>
        <w:t>Mayne</w:t>
      </w:r>
      <w:proofErr w:type="spellEnd"/>
      <w:r>
        <w:t>, 2012, voir les publications.</w:t>
      </w:r>
    </w:p>
  </w:footnote>
  <w:footnote w:id="83">
    <w:p w:rsidR="00762026" w:rsidRPr="00A847F8" w:rsidRDefault="00762026" w:rsidP="00762026">
      <w:pPr>
        <w:pStyle w:val="FootnoteText"/>
      </w:pPr>
      <w:r>
        <w:rPr>
          <w:rStyle w:val="FootnoteReference"/>
        </w:rPr>
        <w:footnoteRef/>
      </w:r>
      <w:r>
        <w:t xml:space="preserve"> Hilton, 1996, voir les publications.</w:t>
      </w:r>
    </w:p>
  </w:footnote>
  <w:footnote w:id="84">
    <w:p w:rsidR="00762026" w:rsidRDefault="00762026" w:rsidP="00762026">
      <w:pPr>
        <w:pStyle w:val="FootnoteText"/>
      </w:pPr>
      <w:r>
        <w:rPr>
          <w:rStyle w:val="FootnoteReference"/>
        </w:rPr>
        <w:footnoteRef/>
      </w:r>
      <w:r>
        <w:t xml:space="preserve"> </w:t>
      </w:r>
      <w:proofErr w:type="spellStart"/>
      <w:r>
        <w:t>Pawson</w:t>
      </w:r>
      <w:proofErr w:type="spellEnd"/>
      <w:r>
        <w:t xml:space="preserve"> et al., 2005, voir les publications.</w:t>
      </w:r>
    </w:p>
  </w:footnote>
  <w:footnote w:id="85">
    <w:p w:rsidR="00762026" w:rsidRDefault="00762026" w:rsidP="00762026">
      <w:pPr>
        <w:pStyle w:val="FootnoteText"/>
      </w:pPr>
      <w:r>
        <w:rPr>
          <w:rStyle w:val="FootnoteReference"/>
        </w:rPr>
        <w:footnoteRef/>
      </w:r>
      <w:r>
        <w:t xml:space="preserve"> </w:t>
      </w:r>
      <w:hyperlink r:id="rId35" w:history="1">
        <w:r>
          <w:rPr>
            <w:rStyle w:val="Hyperlink"/>
          </w:rPr>
          <w:t>http://www.socialresearchmethods.net/kb/scallik.php</w:t>
        </w:r>
      </w:hyperlink>
      <w:r>
        <w:rPr>
          <w:color w:val="373737"/>
        </w:rPr>
        <w:t xml:space="preserve">, </w:t>
      </w:r>
      <w:r>
        <w:t xml:space="preserve">et Allen et </w:t>
      </w:r>
      <w:proofErr w:type="spellStart"/>
      <w:r>
        <w:t>Seaman</w:t>
      </w:r>
      <w:proofErr w:type="spellEnd"/>
      <w:r>
        <w:t xml:space="preserve"> (2007</w:t>
      </w:r>
      <w:r>
        <w:rPr>
          <w:color w:val="373737"/>
        </w:rPr>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Default="00260B0F" w:rsidP="00ED3746">
    <w:pPr>
      <w:pStyle w:val="Header"/>
      <w:tabs>
        <w:tab w:val="clear" w:pos="4513"/>
        <w:tab w:val="clear" w:pos="9026"/>
      </w:tabs>
      <w:jc w:val="right"/>
    </w:pPr>
    <w:r>
      <w:t xml:space="preserve">Lignes </w:t>
    </w:r>
    <w:proofErr w:type="gramStart"/>
    <w:r>
      <w:t>directrices:</w:t>
    </w:r>
    <w:proofErr w:type="gramEnd"/>
    <w:r>
      <w:t xml:space="preserve"> Évaluation de l’innovation dans les programmes de développement rural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Default="00260B0F" w:rsidP="00ED37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Pr="0052778E" w:rsidRDefault="00260B0F" w:rsidP="00ED3746">
    <w:pPr>
      <w:pStyle w:val="Header"/>
      <w:rPr>
        <w:sz w:val="24"/>
      </w:rPr>
    </w:pPr>
    <w:r>
      <w:tab/>
    </w:r>
  </w:p>
  <w:p w:rsidR="00260B0F" w:rsidRPr="0047590C" w:rsidRDefault="00260B0F" w:rsidP="00ED3746">
    <w:pPr>
      <w:pStyle w:val="Header"/>
      <w:rPr>
        <w:color w:val="6F6F6F"/>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Default="00260B0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Pr="00656719" w:rsidRDefault="00260B0F" w:rsidP="00ED3746">
    <w:pPr>
      <w:pStyle w:val="Header"/>
    </w:pPr>
    <w:r>
      <w:tab/>
      <w:t xml:space="preserve">Document de </w:t>
    </w:r>
    <w:proofErr w:type="gramStart"/>
    <w:r>
      <w:t>référence:</w:t>
    </w:r>
    <w:proofErr w:type="gramEnd"/>
    <w:r>
      <w:t xml:space="preserve"> Évaluation de l’innovation dans les programmes de développement rural</w:t>
    </w:r>
  </w:p>
  <w:p w:rsidR="00260B0F" w:rsidRPr="00822076" w:rsidRDefault="00260B0F" w:rsidP="00ED3746">
    <w:pPr>
      <w:pStyle w:val="Header"/>
      <w:rPr>
        <w:sz w:val="24"/>
      </w:rPr>
    </w:pPr>
  </w:p>
  <w:p w:rsidR="00260B0F" w:rsidRPr="0047590C" w:rsidRDefault="00260B0F" w:rsidP="00ED3746">
    <w:pPr>
      <w:pStyle w:val="Header"/>
      <w:rPr>
        <w:color w:val="6F6F6F"/>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B0F" w:rsidRPr="00400064" w:rsidRDefault="00260B0F" w:rsidP="00ED3746">
    <w:pPr>
      <w:jc w:val="right"/>
      <w:rPr>
        <w:color w:val="F07E31"/>
        <w:sz w:val="18"/>
        <w:szCs w:val="18"/>
      </w:rPr>
    </w:pPr>
    <w:r>
      <w:rPr>
        <w:color w:val="F07E31"/>
        <w:sz w:val="18"/>
      </w:rPr>
      <w:t xml:space="preserve">Lignes </w:t>
    </w:r>
    <w:proofErr w:type="gramStart"/>
    <w:r>
      <w:rPr>
        <w:color w:val="F07E31"/>
        <w:sz w:val="18"/>
      </w:rPr>
      <w:t>directrices:</w:t>
    </w:r>
    <w:proofErr w:type="gramEnd"/>
    <w:r>
      <w:rPr>
        <w:color w:val="F07E31"/>
        <w:sz w:val="18"/>
      </w:rPr>
      <w:t xml:space="preserve"> Évaluation de l’innovation dans les programmes de développement rural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4DB44C70">
      <w:start w:val="1"/>
      <w:numFmt w:val="decimal"/>
      <w:pStyle w:val="HHeadingboxes"/>
      <w:lvlText w:val="Box %1."/>
      <w:lvlJc w:val="left"/>
      <w:pPr>
        <w:tabs>
          <w:tab w:val="num" w:pos="964"/>
        </w:tabs>
        <w:ind w:left="964" w:hanging="964"/>
      </w:pPr>
      <w:rPr>
        <w:rFonts w:hint="default"/>
      </w:rPr>
    </w:lvl>
    <w:lvl w:ilvl="1" w:tplc="D242C89C" w:tentative="1">
      <w:start w:val="1"/>
      <w:numFmt w:val="lowerLetter"/>
      <w:lvlText w:val="%2."/>
      <w:lvlJc w:val="left"/>
      <w:pPr>
        <w:ind w:left="1440" w:hanging="360"/>
      </w:pPr>
    </w:lvl>
    <w:lvl w:ilvl="2" w:tplc="BE14B946" w:tentative="1">
      <w:start w:val="1"/>
      <w:numFmt w:val="lowerRoman"/>
      <w:lvlText w:val="%3."/>
      <w:lvlJc w:val="right"/>
      <w:pPr>
        <w:ind w:left="2160" w:hanging="180"/>
      </w:pPr>
    </w:lvl>
    <w:lvl w:ilvl="3" w:tplc="4D2AC3E4" w:tentative="1">
      <w:start w:val="1"/>
      <w:numFmt w:val="decimal"/>
      <w:lvlText w:val="%4."/>
      <w:lvlJc w:val="left"/>
      <w:pPr>
        <w:ind w:left="2880" w:hanging="360"/>
      </w:pPr>
    </w:lvl>
    <w:lvl w:ilvl="4" w:tplc="74623E40" w:tentative="1">
      <w:start w:val="1"/>
      <w:numFmt w:val="lowerLetter"/>
      <w:lvlText w:val="%5."/>
      <w:lvlJc w:val="left"/>
      <w:pPr>
        <w:ind w:left="3600" w:hanging="360"/>
      </w:pPr>
    </w:lvl>
    <w:lvl w:ilvl="5" w:tplc="9106370E" w:tentative="1">
      <w:start w:val="1"/>
      <w:numFmt w:val="lowerRoman"/>
      <w:lvlText w:val="%6."/>
      <w:lvlJc w:val="right"/>
      <w:pPr>
        <w:ind w:left="4320" w:hanging="180"/>
      </w:pPr>
    </w:lvl>
    <w:lvl w:ilvl="6" w:tplc="97C602A2" w:tentative="1">
      <w:start w:val="1"/>
      <w:numFmt w:val="decimal"/>
      <w:lvlText w:val="%7."/>
      <w:lvlJc w:val="left"/>
      <w:pPr>
        <w:ind w:left="5040" w:hanging="360"/>
      </w:pPr>
    </w:lvl>
    <w:lvl w:ilvl="7" w:tplc="754A1FF0" w:tentative="1">
      <w:start w:val="1"/>
      <w:numFmt w:val="lowerLetter"/>
      <w:lvlText w:val="%8."/>
      <w:lvlJc w:val="left"/>
      <w:pPr>
        <w:ind w:left="5760" w:hanging="360"/>
      </w:pPr>
    </w:lvl>
    <w:lvl w:ilvl="8" w:tplc="9118B3BA"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006C66F8"/>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23A02B34">
      <w:start w:val="1"/>
      <w:numFmt w:val="bullet"/>
      <w:lvlText w:val=""/>
      <w:lvlJc w:val="left"/>
      <w:pPr>
        <w:ind w:left="720" w:hanging="360"/>
      </w:pPr>
      <w:rPr>
        <w:rFonts w:ascii="Symbol" w:hAnsi="Symbol" w:hint="default"/>
        <w:color w:val="57825E"/>
      </w:rPr>
    </w:lvl>
    <w:lvl w:ilvl="1" w:tplc="D3806730" w:tentative="1">
      <w:start w:val="1"/>
      <w:numFmt w:val="bullet"/>
      <w:lvlText w:val="o"/>
      <w:lvlJc w:val="left"/>
      <w:pPr>
        <w:ind w:left="1440" w:hanging="360"/>
      </w:pPr>
      <w:rPr>
        <w:rFonts w:ascii="Courier New" w:hAnsi="Courier New" w:cs="Courier New" w:hint="default"/>
      </w:rPr>
    </w:lvl>
    <w:lvl w:ilvl="2" w:tplc="11183466" w:tentative="1">
      <w:start w:val="1"/>
      <w:numFmt w:val="bullet"/>
      <w:lvlText w:val=""/>
      <w:lvlJc w:val="left"/>
      <w:pPr>
        <w:ind w:left="2160" w:hanging="360"/>
      </w:pPr>
      <w:rPr>
        <w:rFonts w:ascii="Wingdings" w:hAnsi="Wingdings" w:hint="default"/>
      </w:rPr>
    </w:lvl>
    <w:lvl w:ilvl="3" w:tplc="A030BDC2" w:tentative="1">
      <w:start w:val="1"/>
      <w:numFmt w:val="bullet"/>
      <w:lvlText w:val=""/>
      <w:lvlJc w:val="left"/>
      <w:pPr>
        <w:ind w:left="2880" w:hanging="360"/>
      </w:pPr>
      <w:rPr>
        <w:rFonts w:ascii="Symbol" w:hAnsi="Symbol" w:hint="default"/>
      </w:rPr>
    </w:lvl>
    <w:lvl w:ilvl="4" w:tplc="4B28C558" w:tentative="1">
      <w:start w:val="1"/>
      <w:numFmt w:val="bullet"/>
      <w:lvlText w:val="o"/>
      <w:lvlJc w:val="left"/>
      <w:pPr>
        <w:ind w:left="3600" w:hanging="360"/>
      </w:pPr>
      <w:rPr>
        <w:rFonts w:ascii="Courier New" w:hAnsi="Courier New" w:cs="Courier New" w:hint="default"/>
      </w:rPr>
    </w:lvl>
    <w:lvl w:ilvl="5" w:tplc="6B18CFCA" w:tentative="1">
      <w:start w:val="1"/>
      <w:numFmt w:val="bullet"/>
      <w:lvlText w:val=""/>
      <w:lvlJc w:val="left"/>
      <w:pPr>
        <w:ind w:left="4320" w:hanging="360"/>
      </w:pPr>
      <w:rPr>
        <w:rFonts w:ascii="Wingdings" w:hAnsi="Wingdings" w:hint="default"/>
      </w:rPr>
    </w:lvl>
    <w:lvl w:ilvl="6" w:tplc="EF16E760" w:tentative="1">
      <w:start w:val="1"/>
      <w:numFmt w:val="bullet"/>
      <w:lvlText w:val=""/>
      <w:lvlJc w:val="left"/>
      <w:pPr>
        <w:ind w:left="5040" w:hanging="360"/>
      </w:pPr>
      <w:rPr>
        <w:rFonts w:ascii="Symbol" w:hAnsi="Symbol" w:hint="default"/>
      </w:rPr>
    </w:lvl>
    <w:lvl w:ilvl="7" w:tplc="FC2CCD04" w:tentative="1">
      <w:start w:val="1"/>
      <w:numFmt w:val="bullet"/>
      <w:lvlText w:val="o"/>
      <w:lvlJc w:val="left"/>
      <w:pPr>
        <w:ind w:left="5760" w:hanging="360"/>
      </w:pPr>
      <w:rPr>
        <w:rFonts w:ascii="Courier New" w:hAnsi="Courier New" w:cs="Courier New" w:hint="default"/>
      </w:rPr>
    </w:lvl>
    <w:lvl w:ilvl="8" w:tplc="C2828B6C"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920095AE">
      <w:start w:val="1"/>
      <w:numFmt w:val="bullet"/>
      <w:lvlText w:val=""/>
      <w:lvlJc w:val="left"/>
      <w:pPr>
        <w:ind w:left="720" w:hanging="360"/>
      </w:pPr>
      <w:rPr>
        <w:rFonts w:ascii="Symbol" w:hAnsi="Symbol" w:hint="default"/>
        <w:color w:val="57825E"/>
      </w:rPr>
    </w:lvl>
    <w:lvl w:ilvl="1" w:tplc="BD284302" w:tentative="1">
      <w:start w:val="1"/>
      <w:numFmt w:val="bullet"/>
      <w:lvlText w:val="o"/>
      <w:lvlJc w:val="left"/>
      <w:pPr>
        <w:ind w:left="1440" w:hanging="360"/>
      </w:pPr>
      <w:rPr>
        <w:rFonts w:ascii="Courier New" w:hAnsi="Courier New" w:cs="Courier New" w:hint="default"/>
      </w:rPr>
    </w:lvl>
    <w:lvl w:ilvl="2" w:tplc="305CBE3A" w:tentative="1">
      <w:start w:val="1"/>
      <w:numFmt w:val="bullet"/>
      <w:lvlText w:val=""/>
      <w:lvlJc w:val="left"/>
      <w:pPr>
        <w:ind w:left="2160" w:hanging="360"/>
      </w:pPr>
      <w:rPr>
        <w:rFonts w:ascii="Wingdings" w:hAnsi="Wingdings" w:hint="default"/>
      </w:rPr>
    </w:lvl>
    <w:lvl w:ilvl="3" w:tplc="70FCD75A" w:tentative="1">
      <w:start w:val="1"/>
      <w:numFmt w:val="bullet"/>
      <w:lvlText w:val=""/>
      <w:lvlJc w:val="left"/>
      <w:pPr>
        <w:ind w:left="2880" w:hanging="360"/>
      </w:pPr>
      <w:rPr>
        <w:rFonts w:ascii="Symbol" w:hAnsi="Symbol" w:hint="default"/>
      </w:rPr>
    </w:lvl>
    <w:lvl w:ilvl="4" w:tplc="34BA27AE" w:tentative="1">
      <w:start w:val="1"/>
      <w:numFmt w:val="bullet"/>
      <w:lvlText w:val="o"/>
      <w:lvlJc w:val="left"/>
      <w:pPr>
        <w:ind w:left="3600" w:hanging="360"/>
      </w:pPr>
      <w:rPr>
        <w:rFonts w:ascii="Courier New" w:hAnsi="Courier New" w:cs="Courier New" w:hint="default"/>
      </w:rPr>
    </w:lvl>
    <w:lvl w:ilvl="5" w:tplc="C7EAF958" w:tentative="1">
      <w:start w:val="1"/>
      <w:numFmt w:val="bullet"/>
      <w:lvlText w:val=""/>
      <w:lvlJc w:val="left"/>
      <w:pPr>
        <w:ind w:left="4320" w:hanging="360"/>
      </w:pPr>
      <w:rPr>
        <w:rFonts w:ascii="Wingdings" w:hAnsi="Wingdings" w:hint="default"/>
      </w:rPr>
    </w:lvl>
    <w:lvl w:ilvl="6" w:tplc="2AD45190" w:tentative="1">
      <w:start w:val="1"/>
      <w:numFmt w:val="bullet"/>
      <w:lvlText w:val=""/>
      <w:lvlJc w:val="left"/>
      <w:pPr>
        <w:ind w:left="5040" w:hanging="360"/>
      </w:pPr>
      <w:rPr>
        <w:rFonts w:ascii="Symbol" w:hAnsi="Symbol" w:hint="default"/>
      </w:rPr>
    </w:lvl>
    <w:lvl w:ilvl="7" w:tplc="77FC6CB0" w:tentative="1">
      <w:start w:val="1"/>
      <w:numFmt w:val="bullet"/>
      <w:lvlText w:val="o"/>
      <w:lvlJc w:val="left"/>
      <w:pPr>
        <w:ind w:left="5760" w:hanging="360"/>
      </w:pPr>
      <w:rPr>
        <w:rFonts w:ascii="Courier New" w:hAnsi="Courier New" w:cs="Courier New" w:hint="default"/>
      </w:rPr>
    </w:lvl>
    <w:lvl w:ilvl="8" w:tplc="286ABBDE"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C6A2D476">
      <w:start w:val="1"/>
      <w:numFmt w:val="bullet"/>
      <w:lvlText w:val=""/>
      <w:lvlJc w:val="left"/>
      <w:pPr>
        <w:ind w:left="720" w:hanging="360"/>
      </w:pPr>
      <w:rPr>
        <w:rFonts w:ascii="Symbol" w:hAnsi="Symbol" w:hint="default"/>
        <w:b w:val="0"/>
        <w:color w:val="57825E"/>
      </w:rPr>
    </w:lvl>
    <w:lvl w:ilvl="1" w:tplc="37342EB6" w:tentative="1">
      <w:start w:val="1"/>
      <w:numFmt w:val="bullet"/>
      <w:lvlText w:val="o"/>
      <w:lvlJc w:val="left"/>
      <w:pPr>
        <w:ind w:left="1440" w:hanging="360"/>
      </w:pPr>
      <w:rPr>
        <w:rFonts w:ascii="Courier New" w:hAnsi="Courier New" w:cs="Courier New" w:hint="default"/>
      </w:rPr>
    </w:lvl>
    <w:lvl w:ilvl="2" w:tplc="73CA96F6" w:tentative="1">
      <w:start w:val="1"/>
      <w:numFmt w:val="bullet"/>
      <w:lvlText w:val=""/>
      <w:lvlJc w:val="left"/>
      <w:pPr>
        <w:ind w:left="2160" w:hanging="360"/>
      </w:pPr>
      <w:rPr>
        <w:rFonts w:ascii="Wingdings" w:hAnsi="Wingdings" w:hint="default"/>
      </w:rPr>
    </w:lvl>
    <w:lvl w:ilvl="3" w:tplc="C5EC7ACA" w:tentative="1">
      <w:start w:val="1"/>
      <w:numFmt w:val="bullet"/>
      <w:lvlText w:val=""/>
      <w:lvlJc w:val="left"/>
      <w:pPr>
        <w:ind w:left="2880" w:hanging="360"/>
      </w:pPr>
      <w:rPr>
        <w:rFonts w:ascii="Symbol" w:hAnsi="Symbol" w:hint="default"/>
      </w:rPr>
    </w:lvl>
    <w:lvl w:ilvl="4" w:tplc="34CCD396" w:tentative="1">
      <w:start w:val="1"/>
      <w:numFmt w:val="bullet"/>
      <w:lvlText w:val="o"/>
      <w:lvlJc w:val="left"/>
      <w:pPr>
        <w:ind w:left="3600" w:hanging="360"/>
      </w:pPr>
      <w:rPr>
        <w:rFonts w:ascii="Courier New" w:hAnsi="Courier New" w:cs="Courier New" w:hint="default"/>
      </w:rPr>
    </w:lvl>
    <w:lvl w:ilvl="5" w:tplc="9DC8A294" w:tentative="1">
      <w:start w:val="1"/>
      <w:numFmt w:val="bullet"/>
      <w:lvlText w:val=""/>
      <w:lvlJc w:val="left"/>
      <w:pPr>
        <w:ind w:left="4320" w:hanging="360"/>
      </w:pPr>
      <w:rPr>
        <w:rFonts w:ascii="Wingdings" w:hAnsi="Wingdings" w:hint="default"/>
      </w:rPr>
    </w:lvl>
    <w:lvl w:ilvl="6" w:tplc="A6CEA3A0" w:tentative="1">
      <w:start w:val="1"/>
      <w:numFmt w:val="bullet"/>
      <w:lvlText w:val=""/>
      <w:lvlJc w:val="left"/>
      <w:pPr>
        <w:ind w:left="5040" w:hanging="360"/>
      </w:pPr>
      <w:rPr>
        <w:rFonts w:ascii="Symbol" w:hAnsi="Symbol" w:hint="default"/>
      </w:rPr>
    </w:lvl>
    <w:lvl w:ilvl="7" w:tplc="A78E6604" w:tentative="1">
      <w:start w:val="1"/>
      <w:numFmt w:val="bullet"/>
      <w:lvlText w:val="o"/>
      <w:lvlJc w:val="left"/>
      <w:pPr>
        <w:ind w:left="5760" w:hanging="360"/>
      </w:pPr>
      <w:rPr>
        <w:rFonts w:ascii="Courier New" w:hAnsi="Courier New" w:cs="Courier New" w:hint="default"/>
      </w:rPr>
    </w:lvl>
    <w:lvl w:ilvl="8" w:tplc="4804335E"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A20EDE6">
      <w:start w:val="1"/>
      <w:numFmt w:val="bullet"/>
      <w:lvlText w:val=""/>
      <w:lvlJc w:val="left"/>
      <w:pPr>
        <w:ind w:left="720" w:hanging="360"/>
      </w:pPr>
      <w:rPr>
        <w:rFonts w:ascii="Symbol" w:hAnsi="Symbol" w:hint="default"/>
        <w:color w:val="57825E"/>
      </w:rPr>
    </w:lvl>
    <w:lvl w:ilvl="1" w:tplc="2E06E0B2" w:tentative="1">
      <w:start w:val="1"/>
      <w:numFmt w:val="bullet"/>
      <w:lvlText w:val="o"/>
      <w:lvlJc w:val="left"/>
      <w:pPr>
        <w:ind w:left="1440" w:hanging="360"/>
      </w:pPr>
      <w:rPr>
        <w:rFonts w:ascii="Courier New" w:hAnsi="Courier New" w:cs="Courier New" w:hint="default"/>
      </w:rPr>
    </w:lvl>
    <w:lvl w:ilvl="2" w:tplc="CA8E33D4" w:tentative="1">
      <w:start w:val="1"/>
      <w:numFmt w:val="bullet"/>
      <w:lvlText w:val=""/>
      <w:lvlJc w:val="left"/>
      <w:pPr>
        <w:ind w:left="2160" w:hanging="360"/>
      </w:pPr>
      <w:rPr>
        <w:rFonts w:ascii="Wingdings" w:hAnsi="Wingdings" w:hint="default"/>
      </w:rPr>
    </w:lvl>
    <w:lvl w:ilvl="3" w:tplc="C1187046" w:tentative="1">
      <w:start w:val="1"/>
      <w:numFmt w:val="bullet"/>
      <w:lvlText w:val=""/>
      <w:lvlJc w:val="left"/>
      <w:pPr>
        <w:ind w:left="2880" w:hanging="360"/>
      </w:pPr>
      <w:rPr>
        <w:rFonts w:ascii="Symbol" w:hAnsi="Symbol" w:hint="default"/>
      </w:rPr>
    </w:lvl>
    <w:lvl w:ilvl="4" w:tplc="8AA6A846" w:tentative="1">
      <w:start w:val="1"/>
      <w:numFmt w:val="bullet"/>
      <w:lvlText w:val="o"/>
      <w:lvlJc w:val="left"/>
      <w:pPr>
        <w:ind w:left="3600" w:hanging="360"/>
      </w:pPr>
      <w:rPr>
        <w:rFonts w:ascii="Courier New" w:hAnsi="Courier New" w:cs="Courier New" w:hint="default"/>
      </w:rPr>
    </w:lvl>
    <w:lvl w:ilvl="5" w:tplc="018E01DE" w:tentative="1">
      <w:start w:val="1"/>
      <w:numFmt w:val="bullet"/>
      <w:lvlText w:val=""/>
      <w:lvlJc w:val="left"/>
      <w:pPr>
        <w:ind w:left="4320" w:hanging="360"/>
      </w:pPr>
      <w:rPr>
        <w:rFonts w:ascii="Wingdings" w:hAnsi="Wingdings" w:hint="default"/>
      </w:rPr>
    </w:lvl>
    <w:lvl w:ilvl="6" w:tplc="EBBAC4FC" w:tentative="1">
      <w:start w:val="1"/>
      <w:numFmt w:val="bullet"/>
      <w:lvlText w:val=""/>
      <w:lvlJc w:val="left"/>
      <w:pPr>
        <w:ind w:left="5040" w:hanging="360"/>
      </w:pPr>
      <w:rPr>
        <w:rFonts w:ascii="Symbol" w:hAnsi="Symbol" w:hint="default"/>
      </w:rPr>
    </w:lvl>
    <w:lvl w:ilvl="7" w:tplc="6F5202F2" w:tentative="1">
      <w:start w:val="1"/>
      <w:numFmt w:val="bullet"/>
      <w:lvlText w:val="o"/>
      <w:lvlJc w:val="left"/>
      <w:pPr>
        <w:ind w:left="5760" w:hanging="360"/>
      </w:pPr>
      <w:rPr>
        <w:rFonts w:ascii="Courier New" w:hAnsi="Courier New" w:cs="Courier New" w:hint="default"/>
      </w:rPr>
    </w:lvl>
    <w:lvl w:ilvl="8" w:tplc="728CF99E"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D1343A94">
      <w:start w:val="1"/>
      <w:numFmt w:val="decimal"/>
      <w:pStyle w:val="HHeadingmaps"/>
      <w:lvlText w:val="Map %1."/>
      <w:lvlJc w:val="left"/>
      <w:pPr>
        <w:tabs>
          <w:tab w:val="num" w:pos="964"/>
        </w:tabs>
        <w:ind w:left="964" w:hanging="964"/>
      </w:pPr>
      <w:rPr>
        <w:rFonts w:hint="default"/>
      </w:rPr>
    </w:lvl>
    <w:lvl w:ilvl="1" w:tplc="B588CB76" w:tentative="1">
      <w:start w:val="1"/>
      <w:numFmt w:val="lowerLetter"/>
      <w:lvlText w:val="%2."/>
      <w:lvlJc w:val="left"/>
      <w:pPr>
        <w:ind w:left="1440" w:hanging="360"/>
      </w:pPr>
    </w:lvl>
    <w:lvl w:ilvl="2" w:tplc="2B744BF4" w:tentative="1">
      <w:start w:val="1"/>
      <w:numFmt w:val="lowerRoman"/>
      <w:lvlText w:val="%3."/>
      <w:lvlJc w:val="right"/>
      <w:pPr>
        <w:ind w:left="2160" w:hanging="180"/>
      </w:pPr>
    </w:lvl>
    <w:lvl w:ilvl="3" w:tplc="30CA2764" w:tentative="1">
      <w:start w:val="1"/>
      <w:numFmt w:val="decimal"/>
      <w:lvlText w:val="%4."/>
      <w:lvlJc w:val="left"/>
      <w:pPr>
        <w:ind w:left="2880" w:hanging="360"/>
      </w:pPr>
    </w:lvl>
    <w:lvl w:ilvl="4" w:tplc="7C9294B0" w:tentative="1">
      <w:start w:val="1"/>
      <w:numFmt w:val="lowerLetter"/>
      <w:lvlText w:val="%5."/>
      <w:lvlJc w:val="left"/>
      <w:pPr>
        <w:ind w:left="3600" w:hanging="360"/>
      </w:pPr>
    </w:lvl>
    <w:lvl w:ilvl="5" w:tplc="C2D852CA" w:tentative="1">
      <w:start w:val="1"/>
      <w:numFmt w:val="lowerRoman"/>
      <w:lvlText w:val="%6."/>
      <w:lvlJc w:val="right"/>
      <w:pPr>
        <w:ind w:left="4320" w:hanging="180"/>
      </w:pPr>
    </w:lvl>
    <w:lvl w:ilvl="6" w:tplc="7D2ECE22" w:tentative="1">
      <w:start w:val="1"/>
      <w:numFmt w:val="decimal"/>
      <w:lvlText w:val="%7."/>
      <w:lvlJc w:val="left"/>
      <w:pPr>
        <w:ind w:left="5040" w:hanging="360"/>
      </w:pPr>
    </w:lvl>
    <w:lvl w:ilvl="7" w:tplc="6CF802D8" w:tentative="1">
      <w:start w:val="1"/>
      <w:numFmt w:val="lowerLetter"/>
      <w:lvlText w:val="%8."/>
      <w:lvlJc w:val="left"/>
      <w:pPr>
        <w:ind w:left="5760" w:hanging="360"/>
      </w:pPr>
    </w:lvl>
    <w:lvl w:ilvl="8" w:tplc="9A86B3D2"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617C54EA">
      <w:start w:val="1"/>
      <w:numFmt w:val="bullet"/>
      <w:lvlText w:val=""/>
      <w:lvlJc w:val="left"/>
      <w:pPr>
        <w:ind w:left="720" w:hanging="360"/>
      </w:pPr>
      <w:rPr>
        <w:rFonts w:ascii="Symbol" w:hAnsi="Symbol" w:hint="default"/>
        <w:color w:val="57825E"/>
      </w:rPr>
    </w:lvl>
    <w:lvl w:ilvl="1" w:tplc="179C0F76" w:tentative="1">
      <w:start w:val="1"/>
      <w:numFmt w:val="bullet"/>
      <w:lvlText w:val="o"/>
      <w:lvlJc w:val="left"/>
      <w:pPr>
        <w:ind w:left="1440" w:hanging="360"/>
      </w:pPr>
      <w:rPr>
        <w:rFonts w:ascii="Courier New" w:hAnsi="Courier New" w:cs="Courier New" w:hint="default"/>
      </w:rPr>
    </w:lvl>
    <w:lvl w:ilvl="2" w:tplc="6B0E9018" w:tentative="1">
      <w:start w:val="1"/>
      <w:numFmt w:val="bullet"/>
      <w:lvlText w:val=""/>
      <w:lvlJc w:val="left"/>
      <w:pPr>
        <w:ind w:left="2160" w:hanging="360"/>
      </w:pPr>
      <w:rPr>
        <w:rFonts w:ascii="Wingdings" w:hAnsi="Wingdings" w:hint="default"/>
      </w:rPr>
    </w:lvl>
    <w:lvl w:ilvl="3" w:tplc="5C7C6B1C" w:tentative="1">
      <w:start w:val="1"/>
      <w:numFmt w:val="bullet"/>
      <w:lvlText w:val=""/>
      <w:lvlJc w:val="left"/>
      <w:pPr>
        <w:ind w:left="2880" w:hanging="360"/>
      </w:pPr>
      <w:rPr>
        <w:rFonts w:ascii="Symbol" w:hAnsi="Symbol" w:hint="default"/>
      </w:rPr>
    </w:lvl>
    <w:lvl w:ilvl="4" w:tplc="8D4E5E28" w:tentative="1">
      <w:start w:val="1"/>
      <w:numFmt w:val="bullet"/>
      <w:lvlText w:val="o"/>
      <w:lvlJc w:val="left"/>
      <w:pPr>
        <w:ind w:left="3600" w:hanging="360"/>
      </w:pPr>
      <w:rPr>
        <w:rFonts w:ascii="Courier New" w:hAnsi="Courier New" w:cs="Courier New" w:hint="default"/>
      </w:rPr>
    </w:lvl>
    <w:lvl w:ilvl="5" w:tplc="9E22FBB6" w:tentative="1">
      <w:start w:val="1"/>
      <w:numFmt w:val="bullet"/>
      <w:lvlText w:val=""/>
      <w:lvlJc w:val="left"/>
      <w:pPr>
        <w:ind w:left="4320" w:hanging="360"/>
      </w:pPr>
      <w:rPr>
        <w:rFonts w:ascii="Wingdings" w:hAnsi="Wingdings" w:hint="default"/>
      </w:rPr>
    </w:lvl>
    <w:lvl w:ilvl="6" w:tplc="2A963174" w:tentative="1">
      <w:start w:val="1"/>
      <w:numFmt w:val="bullet"/>
      <w:lvlText w:val=""/>
      <w:lvlJc w:val="left"/>
      <w:pPr>
        <w:ind w:left="5040" w:hanging="360"/>
      </w:pPr>
      <w:rPr>
        <w:rFonts w:ascii="Symbol" w:hAnsi="Symbol" w:hint="default"/>
      </w:rPr>
    </w:lvl>
    <w:lvl w:ilvl="7" w:tplc="7C0EBA68" w:tentative="1">
      <w:start w:val="1"/>
      <w:numFmt w:val="bullet"/>
      <w:lvlText w:val="o"/>
      <w:lvlJc w:val="left"/>
      <w:pPr>
        <w:ind w:left="5760" w:hanging="360"/>
      </w:pPr>
      <w:rPr>
        <w:rFonts w:ascii="Courier New" w:hAnsi="Courier New" w:cs="Courier New" w:hint="default"/>
      </w:rPr>
    </w:lvl>
    <w:lvl w:ilvl="8" w:tplc="DF7C427C"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C0C6687"/>
    <w:multiLevelType w:val="hybridMultilevel"/>
    <w:tmpl w:val="3A80ADB6"/>
    <w:lvl w:ilvl="0" w:tplc="080C0017">
      <w:start w:val="1"/>
      <w:numFmt w:val="lowerLetter"/>
      <w:lvlText w:val="%1)"/>
      <w:lvlJc w:val="left"/>
      <w:pPr>
        <w:ind w:left="778" w:hanging="360"/>
      </w:pPr>
    </w:lvl>
    <w:lvl w:ilvl="1" w:tplc="08090019" w:tentative="1">
      <w:start w:val="1"/>
      <w:numFmt w:val="lowerLetter"/>
      <w:lvlText w:val="%2."/>
      <w:lvlJc w:val="left"/>
      <w:pPr>
        <w:ind w:left="1498" w:hanging="360"/>
      </w:pPr>
    </w:lvl>
    <w:lvl w:ilvl="2" w:tplc="0809001B" w:tentative="1">
      <w:start w:val="1"/>
      <w:numFmt w:val="lowerRoman"/>
      <w:lvlText w:val="%3."/>
      <w:lvlJc w:val="right"/>
      <w:pPr>
        <w:ind w:left="2218" w:hanging="180"/>
      </w:pPr>
    </w:lvl>
    <w:lvl w:ilvl="3" w:tplc="0809000F" w:tentative="1">
      <w:start w:val="1"/>
      <w:numFmt w:val="decimal"/>
      <w:lvlText w:val="%4."/>
      <w:lvlJc w:val="left"/>
      <w:pPr>
        <w:ind w:left="2938" w:hanging="360"/>
      </w:pPr>
    </w:lvl>
    <w:lvl w:ilvl="4" w:tplc="08090019" w:tentative="1">
      <w:start w:val="1"/>
      <w:numFmt w:val="lowerLetter"/>
      <w:lvlText w:val="%5."/>
      <w:lvlJc w:val="left"/>
      <w:pPr>
        <w:ind w:left="3658" w:hanging="360"/>
      </w:pPr>
    </w:lvl>
    <w:lvl w:ilvl="5" w:tplc="0809001B" w:tentative="1">
      <w:start w:val="1"/>
      <w:numFmt w:val="lowerRoman"/>
      <w:lvlText w:val="%6."/>
      <w:lvlJc w:val="right"/>
      <w:pPr>
        <w:ind w:left="4378" w:hanging="180"/>
      </w:pPr>
    </w:lvl>
    <w:lvl w:ilvl="6" w:tplc="0809000F" w:tentative="1">
      <w:start w:val="1"/>
      <w:numFmt w:val="decimal"/>
      <w:lvlText w:val="%7."/>
      <w:lvlJc w:val="left"/>
      <w:pPr>
        <w:ind w:left="5098" w:hanging="360"/>
      </w:pPr>
    </w:lvl>
    <w:lvl w:ilvl="7" w:tplc="08090019" w:tentative="1">
      <w:start w:val="1"/>
      <w:numFmt w:val="lowerLetter"/>
      <w:lvlText w:val="%8."/>
      <w:lvlJc w:val="left"/>
      <w:pPr>
        <w:ind w:left="5818" w:hanging="360"/>
      </w:pPr>
    </w:lvl>
    <w:lvl w:ilvl="8" w:tplc="0809001B" w:tentative="1">
      <w:start w:val="1"/>
      <w:numFmt w:val="lowerRoman"/>
      <w:lvlText w:val="%9."/>
      <w:lvlJc w:val="right"/>
      <w:pPr>
        <w:ind w:left="6538" w:hanging="180"/>
      </w:pPr>
    </w:lvl>
  </w:abstractNum>
  <w:abstractNum w:abstractNumId="14" w15:restartNumberingAfterBreak="0">
    <w:nsid w:val="0E422253"/>
    <w:multiLevelType w:val="hybridMultilevel"/>
    <w:tmpl w:val="26AE3D98"/>
    <w:lvl w:ilvl="0" w:tplc="186C3B82">
      <w:start w:val="1"/>
      <w:numFmt w:val="bullet"/>
      <w:lvlText w:val=""/>
      <w:lvlJc w:val="left"/>
      <w:pPr>
        <w:ind w:left="720" w:hanging="360"/>
      </w:pPr>
      <w:rPr>
        <w:rFonts w:ascii="Symbol" w:hAnsi="Symbol" w:hint="default"/>
        <w:color w:val="57825E"/>
      </w:rPr>
    </w:lvl>
    <w:lvl w:ilvl="1" w:tplc="7A2C7A0E" w:tentative="1">
      <w:start w:val="1"/>
      <w:numFmt w:val="bullet"/>
      <w:lvlText w:val="o"/>
      <w:lvlJc w:val="left"/>
      <w:pPr>
        <w:ind w:left="1440" w:hanging="360"/>
      </w:pPr>
      <w:rPr>
        <w:rFonts w:ascii="Courier New" w:hAnsi="Courier New" w:cs="Courier New" w:hint="default"/>
      </w:rPr>
    </w:lvl>
    <w:lvl w:ilvl="2" w:tplc="F8DA55A4" w:tentative="1">
      <w:start w:val="1"/>
      <w:numFmt w:val="bullet"/>
      <w:lvlText w:val=""/>
      <w:lvlJc w:val="left"/>
      <w:pPr>
        <w:ind w:left="2160" w:hanging="360"/>
      </w:pPr>
      <w:rPr>
        <w:rFonts w:ascii="Wingdings" w:hAnsi="Wingdings" w:hint="default"/>
      </w:rPr>
    </w:lvl>
    <w:lvl w:ilvl="3" w:tplc="C8C01A82" w:tentative="1">
      <w:start w:val="1"/>
      <w:numFmt w:val="bullet"/>
      <w:lvlText w:val=""/>
      <w:lvlJc w:val="left"/>
      <w:pPr>
        <w:ind w:left="2880" w:hanging="360"/>
      </w:pPr>
      <w:rPr>
        <w:rFonts w:ascii="Symbol" w:hAnsi="Symbol" w:hint="default"/>
      </w:rPr>
    </w:lvl>
    <w:lvl w:ilvl="4" w:tplc="506819C8" w:tentative="1">
      <w:start w:val="1"/>
      <w:numFmt w:val="bullet"/>
      <w:lvlText w:val="o"/>
      <w:lvlJc w:val="left"/>
      <w:pPr>
        <w:ind w:left="3600" w:hanging="360"/>
      </w:pPr>
      <w:rPr>
        <w:rFonts w:ascii="Courier New" w:hAnsi="Courier New" w:cs="Courier New" w:hint="default"/>
      </w:rPr>
    </w:lvl>
    <w:lvl w:ilvl="5" w:tplc="8EBC578C" w:tentative="1">
      <w:start w:val="1"/>
      <w:numFmt w:val="bullet"/>
      <w:lvlText w:val=""/>
      <w:lvlJc w:val="left"/>
      <w:pPr>
        <w:ind w:left="4320" w:hanging="360"/>
      </w:pPr>
      <w:rPr>
        <w:rFonts w:ascii="Wingdings" w:hAnsi="Wingdings" w:hint="default"/>
      </w:rPr>
    </w:lvl>
    <w:lvl w:ilvl="6" w:tplc="F9A0305C" w:tentative="1">
      <w:start w:val="1"/>
      <w:numFmt w:val="bullet"/>
      <w:lvlText w:val=""/>
      <w:lvlJc w:val="left"/>
      <w:pPr>
        <w:ind w:left="5040" w:hanging="360"/>
      </w:pPr>
      <w:rPr>
        <w:rFonts w:ascii="Symbol" w:hAnsi="Symbol" w:hint="default"/>
      </w:rPr>
    </w:lvl>
    <w:lvl w:ilvl="7" w:tplc="85CC51B0" w:tentative="1">
      <w:start w:val="1"/>
      <w:numFmt w:val="bullet"/>
      <w:lvlText w:val="o"/>
      <w:lvlJc w:val="left"/>
      <w:pPr>
        <w:ind w:left="5760" w:hanging="360"/>
      </w:pPr>
      <w:rPr>
        <w:rFonts w:ascii="Courier New" w:hAnsi="Courier New" w:cs="Courier New" w:hint="default"/>
      </w:rPr>
    </w:lvl>
    <w:lvl w:ilvl="8" w:tplc="2BACF03E" w:tentative="1">
      <w:start w:val="1"/>
      <w:numFmt w:val="bullet"/>
      <w:lvlText w:val=""/>
      <w:lvlJc w:val="left"/>
      <w:pPr>
        <w:ind w:left="6480" w:hanging="360"/>
      </w:pPr>
      <w:rPr>
        <w:rFonts w:ascii="Wingdings" w:hAnsi="Wingdings" w:hint="default"/>
      </w:rPr>
    </w:lvl>
  </w:abstractNum>
  <w:abstractNum w:abstractNumId="15"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6" w15:restartNumberingAfterBreak="0">
    <w:nsid w:val="1133744B"/>
    <w:multiLevelType w:val="hybridMultilevel"/>
    <w:tmpl w:val="64385616"/>
    <w:lvl w:ilvl="0" w:tplc="8458CB2C">
      <w:start w:val="1"/>
      <w:numFmt w:val="bullet"/>
      <w:lvlText w:val=""/>
      <w:lvlJc w:val="left"/>
      <w:pPr>
        <w:ind w:left="720" w:hanging="360"/>
      </w:pPr>
      <w:rPr>
        <w:rFonts w:ascii="Symbol" w:hAnsi="Symbol" w:hint="default"/>
        <w:color w:val="57825E"/>
      </w:rPr>
    </w:lvl>
    <w:lvl w:ilvl="1" w:tplc="E3303060" w:tentative="1">
      <w:start w:val="1"/>
      <w:numFmt w:val="bullet"/>
      <w:lvlText w:val="o"/>
      <w:lvlJc w:val="left"/>
      <w:pPr>
        <w:ind w:left="1440" w:hanging="360"/>
      </w:pPr>
      <w:rPr>
        <w:rFonts w:ascii="Courier New" w:hAnsi="Courier New" w:cs="Courier New" w:hint="default"/>
      </w:rPr>
    </w:lvl>
    <w:lvl w:ilvl="2" w:tplc="221AA53C" w:tentative="1">
      <w:start w:val="1"/>
      <w:numFmt w:val="bullet"/>
      <w:lvlText w:val=""/>
      <w:lvlJc w:val="left"/>
      <w:pPr>
        <w:ind w:left="2160" w:hanging="360"/>
      </w:pPr>
      <w:rPr>
        <w:rFonts w:ascii="Wingdings" w:hAnsi="Wingdings" w:hint="default"/>
      </w:rPr>
    </w:lvl>
    <w:lvl w:ilvl="3" w:tplc="83F4B3FA" w:tentative="1">
      <w:start w:val="1"/>
      <w:numFmt w:val="bullet"/>
      <w:lvlText w:val=""/>
      <w:lvlJc w:val="left"/>
      <w:pPr>
        <w:ind w:left="2880" w:hanging="360"/>
      </w:pPr>
      <w:rPr>
        <w:rFonts w:ascii="Symbol" w:hAnsi="Symbol" w:hint="default"/>
      </w:rPr>
    </w:lvl>
    <w:lvl w:ilvl="4" w:tplc="EC868786" w:tentative="1">
      <w:start w:val="1"/>
      <w:numFmt w:val="bullet"/>
      <w:lvlText w:val="o"/>
      <w:lvlJc w:val="left"/>
      <w:pPr>
        <w:ind w:left="3600" w:hanging="360"/>
      </w:pPr>
      <w:rPr>
        <w:rFonts w:ascii="Courier New" w:hAnsi="Courier New" w:cs="Courier New" w:hint="default"/>
      </w:rPr>
    </w:lvl>
    <w:lvl w:ilvl="5" w:tplc="9956FE44" w:tentative="1">
      <w:start w:val="1"/>
      <w:numFmt w:val="bullet"/>
      <w:lvlText w:val=""/>
      <w:lvlJc w:val="left"/>
      <w:pPr>
        <w:ind w:left="4320" w:hanging="360"/>
      </w:pPr>
      <w:rPr>
        <w:rFonts w:ascii="Wingdings" w:hAnsi="Wingdings" w:hint="default"/>
      </w:rPr>
    </w:lvl>
    <w:lvl w:ilvl="6" w:tplc="2A1CF5FA" w:tentative="1">
      <w:start w:val="1"/>
      <w:numFmt w:val="bullet"/>
      <w:lvlText w:val=""/>
      <w:lvlJc w:val="left"/>
      <w:pPr>
        <w:ind w:left="5040" w:hanging="360"/>
      </w:pPr>
      <w:rPr>
        <w:rFonts w:ascii="Symbol" w:hAnsi="Symbol" w:hint="default"/>
      </w:rPr>
    </w:lvl>
    <w:lvl w:ilvl="7" w:tplc="414EDBDE" w:tentative="1">
      <w:start w:val="1"/>
      <w:numFmt w:val="bullet"/>
      <w:lvlText w:val="o"/>
      <w:lvlJc w:val="left"/>
      <w:pPr>
        <w:ind w:left="5760" w:hanging="360"/>
      </w:pPr>
      <w:rPr>
        <w:rFonts w:ascii="Courier New" w:hAnsi="Courier New" w:cs="Courier New" w:hint="default"/>
      </w:rPr>
    </w:lvl>
    <w:lvl w:ilvl="8" w:tplc="5DE6AABC" w:tentative="1">
      <w:start w:val="1"/>
      <w:numFmt w:val="bullet"/>
      <w:lvlText w:val=""/>
      <w:lvlJc w:val="left"/>
      <w:pPr>
        <w:ind w:left="6480" w:hanging="360"/>
      </w:pPr>
      <w:rPr>
        <w:rFonts w:ascii="Wingdings" w:hAnsi="Wingdings" w:hint="default"/>
      </w:rPr>
    </w:lvl>
  </w:abstractNum>
  <w:abstractNum w:abstractNumId="17" w15:restartNumberingAfterBreak="0">
    <w:nsid w:val="11731114"/>
    <w:multiLevelType w:val="hybridMultilevel"/>
    <w:tmpl w:val="B4FCCAE2"/>
    <w:lvl w:ilvl="0" w:tplc="438CA280">
      <w:start w:val="1"/>
      <w:numFmt w:val="bullet"/>
      <w:lvlText w:val=""/>
      <w:lvlJc w:val="left"/>
      <w:pPr>
        <w:ind w:left="720" w:hanging="360"/>
      </w:pPr>
      <w:rPr>
        <w:rFonts w:ascii="Symbol" w:hAnsi="Symbol" w:hint="default"/>
        <w:color w:val="57825E"/>
      </w:rPr>
    </w:lvl>
    <w:lvl w:ilvl="1" w:tplc="9C2E0450" w:tentative="1">
      <w:start w:val="1"/>
      <w:numFmt w:val="bullet"/>
      <w:lvlText w:val="o"/>
      <w:lvlJc w:val="left"/>
      <w:pPr>
        <w:ind w:left="1440" w:hanging="360"/>
      </w:pPr>
      <w:rPr>
        <w:rFonts w:ascii="Courier New" w:hAnsi="Courier New" w:cs="Courier New" w:hint="default"/>
      </w:rPr>
    </w:lvl>
    <w:lvl w:ilvl="2" w:tplc="C480F22E" w:tentative="1">
      <w:start w:val="1"/>
      <w:numFmt w:val="bullet"/>
      <w:lvlText w:val=""/>
      <w:lvlJc w:val="left"/>
      <w:pPr>
        <w:ind w:left="2160" w:hanging="360"/>
      </w:pPr>
      <w:rPr>
        <w:rFonts w:ascii="Wingdings" w:hAnsi="Wingdings" w:hint="default"/>
      </w:rPr>
    </w:lvl>
    <w:lvl w:ilvl="3" w:tplc="6D2A6E34" w:tentative="1">
      <w:start w:val="1"/>
      <w:numFmt w:val="bullet"/>
      <w:lvlText w:val=""/>
      <w:lvlJc w:val="left"/>
      <w:pPr>
        <w:ind w:left="2880" w:hanging="360"/>
      </w:pPr>
      <w:rPr>
        <w:rFonts w:ascii="Symbol" w:hAnsi="Symbol" w:hint="default"/>
      </w:rPr>
    </w:lvl>
    <w:lvl w:ilvl="4" w:tplc="38C8AD32" w:tentative="1">
      <w:start w:val="1"/>
      <w:numFmt w:val="bullet"/>
      <w:lvlText w:val="o"/>
      <w:lvlJc w:val="left"/>
      <w:pPr>
        <w:ind w:left="3600" w:hanging="360"/>
      </w:pPr>
      <w:rPr>
        <w:rFonts w:ascii="Courier New" w:hAnsi="Courier New" w:cs="Courier New" w:hint="default"/>
      </w:rPr>
    </w:lvl>
    <w:lvl w:ilvl="5" w:tplc="019C21B4" w:tentative="1">
      <w:start w:val="1"/>
      <w:numFmt w:val="bullet"/>
      <w:lvlText w:val=""/>
      <w:lvlJc w:val="left"/>
      <w:pPr>
        <w:ind w:left="4320" w:hanging="360"/>
      </w:pPr>
      <w:rPr>
        <w:rFonts w:ascii="Wingdings" w:hAnsi="Wingdings" w:hint="default"/>
      </w:rPr>
    </w:lvl>
    <w:lvl w:ilvl="6" w:tplc="3A7CFD7C" w:tentative="1">
      <w:start w:val="1"/>
      <w:numFmt w:val="bullet"/>
      <w:lvlText w:val=""/>
      <w:lvlJc w:val="left"/>
      <w:pPr>
        <w:ind w:left="5040" w:hanging="360"/>
      </w:pPr>
      <w:rPr>
        <w:rFonts w:ascii="Symbol" w:hAnsi="Symbol" w:hint="default"/>
      </w:rPr>
    </w:lvl>
    <w:lvl w:ilvl="7" w:tplc="2AE271CC" w:tentative="1">
      <w:start w:val="1"/>
      <w:numFmt w:val="bullet"/>
      <w:lvlText w:val="o"/>
      <w:lvlJc w:val="left"/>
      <w:pPr>
        <w:ind w:left="5760" w:hanging="360"/>
      </w:pPr>
      <w:rPr>
        <w:rFonts w:ascii="Courier New" w:hAnsi="Courier New" w:cs="Courier New" w:hint="default"/>
      </w:rPr>
    </w:lvl>
    <w:lvl w:ilvl="8" w:tplc="2226750C" w:tentative="1">
      <w:start w:val="1"/>
      <w:numFmt w:val="bullet"/>
      <w:lvlText w:val=""/>
      <w:lvlJc w:val="left"/>
      <w:pPr>
        <w:ind w:left="6480" w:hanging="360"/>
      </w:pPr>
      <w:rPr>
        <w:rFonts w:ascii="Wingdings" w:hAnsi="Wingdings" w:hint="default"/>
      </w:rPr>
    </w:lvl>
  </w:abstractNum>
  <w:abstractNum w:abstractNumId="18"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1305488C"/>
    <w:multiLevelType w:val="multilevel"/>
    <w:tmpl w:val="0C07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144314C7"/>
    <w:multiLevelType w:val="hybridMultilevel"/>
    <w:tmpl w:val="B2E23566"/>
    <w:lvl w:ilvl="0" w:tplc="4BF4326A">
      <w:start w:val="1"/>
      <w:numFmt w:val="bullet"/>
      <w:lvlText w:val=""/>
      <w:lvlJc w:val="left"/>
      <w:pPr>
        <w:ind w:left="720" w:hanging="360"/>
      </w:pPr>
      <w:rPr>
        <w:rFonts w:ascii="Symbol" w:hAnsi="Symbol" w:hint="default"/>
        <w:color w:val="57825E"/>
      </w:rPr>
    </w:lvl>
    <w:lvl w:ilvl="1" w:tplc="79CC13E8" w:tentative="1">
      <w:start w:val="1"/>
      <w:numFmt w:val="bullet"/>
      <w:lvlText w:val="o"/>
      <w:lvlJc w:val="left"/>
      <w:pPr>
        <w:ind w:left="1440" w:hanging="360"/>
      </w:pPr>
      <w:rPr>
        <w:rFonts w:ascii="Courier New" w:hAnsi="Courier New" w:cs="Courier New" w:hint="default"/>
      </w:rPr>
    </w:lvl>
    <w:lvl w:ilvl="2" w:tplc="231AFA02" w:tentative="1">
      <w:start w:val="1"/>
      <w:numFmt w:val="bullet"/>
      <w:lvlText w:val=""/>
      <w:lvlJc w:val="left"/>
      <w:pPr>
        <w:ind w:left="2160" w:hanging="360"/>
      </w:pPr>
      <w:rPr>
        <w:rFonts w:ascii="Wingdings" w:hAnsi="Wingdings" w:hint="default"/>
      </w:rPr>
    </w:lvl>
    <w:lvl w:ilvl="3" w:tplc="A3A6B400" w:tentative="1">
      <w:start w:val="1"/>
      <w:numFmt w:val="bullet"/>
      <w:lvlText w:val=""/>
      <w:lvlJc w:val="left"/>
      <w:pPr>
        <w:ind w:left="2880" w:hanging="360"/>
      </w:pPr>
      <w:rPr>
        <w:rFonts w:ascii="Symbol" w:hAnsi="Symbol" w:hint="default"/>
      </w:rPr>
    </w:lvl>
    <w:lvl w:ilvl="4" w:tplc="DC5C533A" w:tentative="1">
      <w:start w:val="1"/>
      <w:numFmt w:val="bullet"/>
      <w:lvlText w:val="o"/>
      <w:lvlJc w:val="left"/>
      <w:pPr>
        <w:ind w:left="3600" w:hanging="360"/>
      </w:pPr>
      <w:rPr>
        <w:rFonts w:ascii="Courier New" w:hAnsi="Courier New" w:cs="Courier New" w:hint="default"/>
      </w:rPr>
    </w:lvl>
    <w:lvl w:ilvl="5" w:tplc="46D613F2" w:tentative="1">
      <w:start w:val="1"/>
      <w:numFmt w:val="bullet"/>
      <w:lvlText w:val=""/>
      <w:lvlJc w:val="left"/>
      <w:pPr>
        <w:ind w:left="4320" w:hanging="360"/>
      </w:pPr>
      <w:rPr>
        <w:rFonts w:ascii="Wingdings" w:hAnsi="Wingdings" w:hint="default"/>
      </w:rPr>
    </w:lvl>
    <w:lvl w:ilvl="6" w:tplc="68D6456A" w:tentative="1">
      <w:start w:val="1"/>
      <w:numFmt w:val="bullet"/>
      <w:lvlText w:val=""/>
      <w:lvlJc w:val="left"/>
      <w:pPr>
        <w:ind w:left="5040" w:hanging="360"/>
      </w:pPr>
      <w:rPr>
        <w:rFonts w:ascii="Symbol" w:hAnsi="Symbol" w:hint="default"/>
      </w:rPr>
    </w:lvl>
    <w:lvl w:ilvl="7" w:tplc="5E44D21A" w:tentative="1">
      <w:start w:val="1"/>
      <w:numFmt w:val="bullet"/>
      <w:lvlText w:val="o"/>
      <w:lvlJc w:val="left"/>
      <w:pPr>
        <w:ind w:left="5760" w:hanging="360"/>
      </w:pPr>
      <w:rPr>
        <w:rFonts w:ascii="Courier New" w:hAnsi="Courier New" w:cs="Courier New" w:hint="default"/>
      </w:rPr>
    </w:lvl>
    <w:lvl w:ilvl="8" w:tplc="DFF0AF56" w:tentative="1">
      <w:start w:val="1"/>
      <w:numFmt w:val="bullet"/>
      <w:lvlText w:val=""/>
      <w:lvlJc w:val="left"/>
      <w:pPr>
        <w:ind w:left="6480" w:hanging="360"/>
      </w:pPr>
      <w:rPr>
        <w:rFonts w:ascii="Wingdings" w:hAnsi="Wingdings" w:hint="default"/>
      </w:rPr>
    </w:lvl>
  </w:abstractNum>
  <w:abstractNum w:abstractNumId="21" w15:restartNumberingAfterBreak="0">
    <w:nsid w:val="14967DD2"/>
    <w:multiLevelType w:val="hybridMultilevel"/>
    <w:tmpl w:val="1586027E"/>
    <w:lvl w:ilvl="0" w:tplc="400EA7BA">
      <w:start w:val="1"/>
      <w:numFmt w:val="bullet"/>
      <w:lvlText w:val="o"/>
      <w:lvlJc w:val="left"/>
      <w:pPr>
        <w:ind w:left="720" w:hanging="360"/>
      </w:pPr>
      <w:rPr>
        <w:rFonts w:ascii="Courier New" w:hAnsi="Courier New" w:cs="Courier New" w:hint="default"/>
        <w:color w:val="F07E31"/>
      </w:rPr>
    </w:lvl>
    <w:lvl w:ilvl="1" w:tplc="26423C90" w:tentative="1">
      <w:start w:val="1"/>
      <w:numFmt w:val="bullet"/>
      <w:lvlText w:val="o"/>
      <w:lvlJc w:val="left"/>
      <w:pPr>
        <w:ind w:left="1440" w:hanging="360"/>
      </w:pPr>
      <w:rPr>
        <w:rFonts w:ascii="Courier New" w:hAnsi="Courier New" w:cs="Courier New" w:hint="default"/>
      </w:rPr>
    </w:lvl>
    <w:lvl w:ilvl="2" w:tplc="D7403DF6" w:tentative="1">
      <w:start w:val="1"/>
      <w:numFmt w:val="bullet"/>
      <w:lvlText w:val=""/>
      <w:lvlJc w:val="left"/>
      <w:pPr>
        <w:ind w:left="2160" w:hanging="360"/>
      </w:pPr>
      <w:rPr>
        <w:rFonts w:ascii="Wingdings" w:hAnsi="Wingdings" w:hint="default"/>
      </w:rPr>
    </w:lvl>
    <w:lvl w:ilvl="3" w:tplc="6E7AA6CE" w:tentative="1">
      <w:start w:val="1"/>
      <w:numFmt w:val="bullet"/>
      <w:lvlText w:val=""/>
      <w:lvlJc w:val="left"/>
      <w:pPr>
        <w:ind w:left="2880" w:hanging="360"/>
      </w:pPr>
      <w:rPr>
        <w:rFonts w:ascii="Symbol" w:hAnsi="Symbol" w:hint="default"/>
      </w:rPr>
    </w:lvl>
    <w:lvl w:ilvl="4" w:tplc="A6B4DEE2" w:tentative="1">
      <w:start w:val="1"/>
      <w:numFmt w:val="bullet"/>
      <w:lvlText w:val="o"/>
      <w:lvlJc w:val="left"/>
      <w:pPr>
        <w:ind w:left="3600" w:hanging="360"/>
      </w:pPr>
      <w:rPr>
        <w:rFonts w:ascii="Courier New" w:hAnsi="Courier New" w:cs="Courier New" w:hint="default"/>
      </w:rPr>
    </w:lvl>
    <w:lvl w:ilvl="5" w:tplc="24BA69A4" w:tentative="1">
      <w:start w:val="1"/>
      <w:numFmt w:val="bullet"/>
      <w:lvlText w:val=""/>
      <w:lvlJc w:val="left"/>
      <w:pPr>
        <w:ind w:left="4320" w:hanging="360"/>
      </w:pPr>
      <w:rPr>
        <w:rFonts w:ascii="Wingdings" w:hAnsi="Wingdings" w:hint="default"/>
      </w:rPr>
    </w:lvl>
    <w:lvl w:ilvl="6" w:tplc="4CE2D9EE" w:tentative="1">
      <w:start w:val="1"/>
      <w:numFmt w:val="bullet"/>
      <w:lvlText w:val=""/>
      <w:lvlJc w:val="left"/>
      <w:pPr>
        <w:ind w:left="5040" w:hanging="360"/>
      </w:pPr>
      <w:rPr>
        <w:rFonts w:ascii="Symbol" w:hAnsi="Symbol" w:hint="default"/>
      </w:rPr>
    </w:lvl>
    <w:lvl w:ilvl="7" w:tplc="3BA2036C" w:tentative="1">
      <w:start w:val="1"/>
      <w:numFmt w:val="bullet"/>
      <w:lvlText w:val="o"/>
      <w:lvlJc w:val="left"/>
      <w:pPr>
        <w:ind w:left="5760" w:hanging="360"/>
      </w:pPr>
      <w:rPr>
        <w:rFonts w:ascii="Courier New" w:hAnsi="Courier New" w:cs="Courier New" w:hint="default"/>
      </w:rPr>
    </w:lvl>
    <w:lvl w:ilvl="8" w:tplc="882A591E" w:tentative="1">
      <w:start w:val="1"/>
      <w:numFmt w:val="bullet"/>
      <w:lvlText w:val=""/>
      <w:lvlJc w:val="left"/>
      <w:pPr>
        <w:ind w:left="6480" w:hanging="360"/>
      </w:pPr>
      <w:rPr>
        <w:rFonts w:ascii="Wingdings" w:hAnsi="Wingdings" w:hint="default"/>
      </w:rPr>
    </w:lvl>
  </w:abstractNum>
  <w:abstractNum w:abstractNumId="22"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3" w15:restartNumberingAfterBreak="0">
    <w:nsid w:val="167A77B0"/>
    <w:multiLevelType w:val="hybridMultilevel"/>
    <w:tmpl w:val="0D8AA23A"/>
    <w:lvl w:ilvl="0" w:tplc="FD6A8A9E">
      <w:start w:val="1"/>
      <w:numFmt w:val="bullet"/>
      <w:lvlText w:val=""/>
      <w:lvlJc w:val="left"/>
      <w:pPr>
        <w:ind w:left="720" w:hanging="360"/>
      </w:pPr>
      <w:rPr>
        <w:rFonts w:ascii="Symbol" w:hAnsi="Symbol" w:hint="default"/>
        <w:b w:val="0"/>
        <w:color w:val="57825E"/>
      </w:rPr>
    </w:lvl>
    <w:lvl w:ilvl="1" w:tplc="79F08906" w:tentative="1">
      <w:start w:val="1"/>
      <w:numFmt w:val="bullet"/>
      <w:lvlText w:val="o"/>
      <w:lvlJc w:val="left"/>
      <w:pPr>
        <w:ind w:left="1440" w:hanging="360"/>
      </w:pPr>
      <w:rPr>
        <w:rFonts w:ascii="Courier New" w:hAnsi="Courier New" w:cs="Courier New" w:hint="default"/>
      </w:rPr>
    </w:lvl>
    <w:lvl w:ilvl="2" w:tplc="332ECC8A" w:tentative="1">
      <w:start w:val="1"/>
      <w:numFmt w:val="bullet"/>
      <w:lvlText w:val=""/>
      <w:lvlJc w:val="left"/>
      <w:pPr>
        <w:ind w:left="2160" w:hanging="360"/>
      </w:pPr>
      <w:rPr>
        <w:rFonts w:ascii="Wingdings" w:hAnsi="Wingdings" w:hint="default"/>
      </w:rPr>
    </w:lvl>
    <w:lvl w:ilvl="3" w:tplc="89C27AF4" w:tentative="1">
      <w:start w:val="1"/>
      <w:numFmt w:val="bullet"/>
      <w:lvlText w:val=""/>
      <w:lvlJc w:val="left"/>
      <w:pPr>
        <w:ind w:left="2880" w:hanging="360"/>
      </w:pPr>
      <w:rPr>
        <w:rFonts w:ascii="Symbol" w:hAnsi="Symbol" w:hint="default"/>
      </w:rPr>
    </w:lvl>
    <w:lvl w:ilvl="4" w:tplc="62248D92" w:tentative="1">
      <w:start w:val="1"/>
      <w:numFmt w:val="bullet"/>
      <w:lvlText w:val="o"/>
      <w:lvlJc w:val="left"/>
      <w:pPr>
        <w:ind w:left="3600" w:hanging="360"/>
      </w:pPr>
      <w:rPr>
        <w:rFonts w:ascii="Courier New" w:hAnsi="Courier New" w:cs="Courier New" w:hint="default"/>
      </w:rPr>
    </w:lvl>
    <w:lvl w:ilvl="5" w:tplc="A83CB642" w:tentative="1">
      <w:start w:val="1"/>
      <w:numFmt w:val="bullet"/>
      <w:lvlText w:val=""/>
      <w:lvlJc w:val="left"/>
      <w:pPr>
        <w:ind w:left="4320" w:hanging="360"/>
      </w:pPr>
      <w:rPr>
        <w:rFonts w:ascii="Wingdings" w:hAnsi="Wingdings" w:hint="default"/>
      </w:rPr>
    </w:lvl>
    <w:lvl w:ilvl="6" w:tplc="ADFE6FAA" w:tentative="1">
      <w:start w:val="1"/>
      <w:numFmt w:val="bullet"/>
      <w:lvlText w:val=""/>
      <w:lvlJc w:val="left"/>
      <w:pPr>
        <w:ind w:left="5040" w:hanging="360"/>
      </w:pPr>
      <w:rPr>
        <w:rFonts w:ascii="Symbol" w:hAnsi="Symbol" w:hint="default"/>
      </w:rPr>
    </w:lvl>
    <w:lvl w:ilvl="7" w:tplc="57F6FCAE" w:tentative="1">
      <w:start w:val="1"/>
      <w:numFmt w:val="bullet"/>
      <w:lvlText w:val="o"/>
      <w:lvlJc w:val="left"/>
      <w:pPr>
        <w:ind w:left="5760" w:hanging="360"/>
      </w:pPr>
      <w:rPr>
        <w:rFonts w:ascii="Courier New" w:hAnsi="Courier New" w:cs="Courier New" w:hint="default"/>
      </w:rPr>
    </w:lvl>
    <w:lvl w:ilvl="8" w:tplc="28A83202" w:tentative="1">
      <w:start w:val="1"/>
      <w:numFmt w:val="bullet"/>
      <w:lvlText w:val=""/>
      <w:lvlJc w:val="left"/>
      <w:pPr>
        <w:ind w:left="6480" w:hanging="360"/>
      </w:pPr>
      <w:rPr>
        <w:rFonts w:ascii="Wingdings" w:hAnsi="Wingdings" w:hint="default"/>
      </w:rPr>
    </w:lvl>
  </w:abstractNum>
  <w:abstractNum w:abstractNumId="24" w15:restartNumberingAfterBreak="0">
    <w:nsid w:val="184C4892"/>
    <w:multiLevelType w:val="hybridMultilevel"/>
    <w:tmpl w:val="BBF06EE8"/>
    <w:lvl w:ilvl="0" w:tplc="94D09B6E">
      <w:start w:val="1"/>
      <w:numFmt w:val="lowerLetter"/>
      <w:lvlText w:val="%1."/>
      <w:lvlJc w:val="left"/>
      <w:pPr>
        <w:ind w:left="720" w:hanging="360"/>
      </w:pPr>
    </w:lvl>
    <w:lvl w:ilvl="1" w:tplc="649C2204" w:tentative="1">
      <w:start w:val="1"/>
      <w:numFmt w:val="lowerLetter"/>
      <w:lvlText w:val="%2."/>
      <w:lvlJc w:val="left"/>
      <w:pPr>
        <w:ind w:left="1440" w:hanging="360"/>
      </w:pPr>
    </w:lvl>
    <w:lvl w:ilvl="2" w:tplc="45625498" w:tentative="1">
      <w:start w:val="1"/>
      <w:numFmt w:val="lowerRoman"/>
      <w:lvlText w:val="%3."/>
      <w:lvlJc w:val="right"/>
      <w:pPr>
        <w:ind w:left="2160" w:hanging="180"/>
      </w:pPr>
    </w:lvl>
    <w:lvl w:ilvl="3" w:tplc="C4DA8EA6" w:tentative="1">
      <w:start w:val="1"/>
      <w:numFmt w:val="decimal"/>
      <w:lvlText w:val="%4."/>
      <w:lvlJc w:val="left"/>
      <w:pPr>
        <w:ind w:left="2880" w:hanging="360"/>
      </w:pPr>
    </w:lvl>
    <w:lvl w:ilvl="4" w:tplc="1FD20EA4" w:tentative="1">
      <w:start w:val="1"/>
      <w:numFmt w:val="lowerLetter"/>
      <w:lvlText w:val="%5."/>
      <w:lvlJc w:val="left"/>
      <w:pPr>
        <w:ind w:left="3600" w:hanging="360"/>
      </w:pPr>
    </w:lvl>
    <w:lvl w:ilvl="5" w:tplc="15769B2E" w:tentative="1">
      <w:start w:val="1"/>
      <w:numFmt w:val="lowerRoman"/>
      <w:lvlText w:val="%6."/>
      <w:lvlJc w:val="right"/>
      <w:pPr>
        <w:ind w:left="4320" w:hanging="180"/>
      </w:pPr>
    </w:lvl>
    <w:lvl w:ilvl="6" w:tplc="B734F27A" w:tentative="1">
      <w:start w:val="1"/>
      <w:numFmt w:val="decimal"/>
      <w:lvlText w:val="%7."/>
      <w:lvlJc w:val="left"/>
      <w:pPr>
        <w:ind w:left="5040" w:hanging="360"/>
      </w:pPr>
    </w:lvl>
    <w:lvl w:ilvl="7" w:tplc="E424FFC2" w:tentative="1">
      <w:start w:val="1"/>
      <w:numFmt w:val="lowerLetter"/>
      <w:lvlText w:val="%8."/>
      <w:lvlJc w:val="left"/>
      <w:pPr>
        <w:ind w:left="5760" w:hanging="360"/>
      </w:pPr>
    </w:lvl>
    <w:lvl w:ilvl="8" w:tplc="682E0C4E" w:tentative="1">
      <w:start w:val="1"/>
      <w:numFmt w:val="lowerRoman"/>
      <w:lvlText w:val="%9."/>
      <w:lvlJc w:val="right"/>
      <w:pPr>
        <w:ind w:left="6480" w:hanging="180"/>
      </w:pPr>
    </w:lvl>
  </w:abstractNum>
  <w:abstractNum w:abstractNumId="25" w15:restartNumberingAfterBreak="0">
    <w:nsid w:val="189956A0"/>
    <w:multiLevelType w:val="hybridMultilevel"/>
    <w:tmpl w:val="075CAC38"/>
    <w:lvl w:ilvl="0" w:tplc="4004305C">
      <w:start w:val="1"/>
      <w:numFmt w:val="bullet"/>
      <w:lvlText w:val=""/>
      <w:lvlJc w:val="left"/>
      <w:pPr>
        <w:ind w:left="720" w:hanging="360"/>
      </w:pPr>
      <w:rPr>
        <w:rFonts w:ascii="Symbol" w:hAnsi="Symbol" w:hint="default"/>
        <w:b w:val="0"/>
        <w:color w:val="57825E"/>
      </w:rPr>
    </w:lvl>
    <w:lvl w:ilvl="1" w:tplc="BC5C92DE">
      <w:start w:val="1"/>
      <w:numFmt w:val="bullet"/>
      <w:lvlText w:val="o"/>
      <w:lvlJc w:val="left"/>
      <w:pPr>
        <w:ind w:left="1069" w:hanging="360"/>
      </w:pPr>
      <w:rPr>
        <w:rFonts w:ascii="Courier New" w:hAnsi="Courier New" w:cs="Courier New" w:hint="default"/>
        <w:color w:val="F07E31"/>
      </w:rPr>
    </w:lvl>
    <w:lvl w:ilvl="2" w:tplc="CF14D3E2" w:tentative="1">
      <w:start w:val="1"/>
      <w:numFmt w:val="bullet"/>
      <w:lvlText w:val=""/>
      <w:lvlJc w:val="left"/>
      <w:pPr>
        <w:ind w:left="2160" w:hanging="360"/>
      </w:pPr>
      <w:rPr>
        <w:rFonts w:ascii="Wingdings" w:hAnsi="Wingdings" w:hint="default"/>
      </w:rPr>
    </w:lvl>
    <w:lvl w:ilvl="3" w:tplc="04104F4C" w:tentative="1">
      <w:start w:val="1"/>
      <w:numFmt w:val="bullet"/>
      <w:lvlText w:val=""/>
      <w:lvlJc w:val="left"/>
      <w:pPr>
        <w:ind w:left="2880" w:hanging="360"/>
      </w:pPr>
      <w:rPr>
        <w:rFonts w:ascii="Symbol" w:hAnsi="Symbol" w:hint="default"/>
      </w:rPr>
    </w:lvl>
    <w:lvl w:ilvl="4" w:tplc="A73411CE" w:tentative="1">
      <w:start w:val="1"/>
      <w:numFmt w:val="bullet"/>
      <w:lvlText w:val="o"/>
      <w:lvlJc w:val="left"/>
      <w:pPr>
        <w:ind w:left="3600" w:hanging="360"/>
      </w:pPr>
      <w:rPr>
        <w:rFonts w:ascii="Courier New" w:hAnsi="Courier New" w:cs="Courier New" w:hint="default"/>
      </w:rPr>
    </w:lvl>
    <w:lvl w:ilvl="5" w:tplc="6EB69D26" w:tentative="1">
      <w:start w:val="1"/>
      <w:numFmt w:val="bullet"/>
      <w:lvlText w:val=""/>
      <w:lvlJc w:val="left"/>
      <w:pPr>
        <w:ind w:left="4320" w:hanging="360"/>
      </w:pPr>
      <w:rPr>
        <w:rFonts w:ascii="Wingdings" w:hAnsi="Wingdings" w:hint="default"/>
      </w:rPr>
    </w:lvl>
    <w:lvl w:ilvl="6" w:tplc="4E56BF42" w:tentative="1">
      <w:start w:val="1"/>
      <w:numFmt w:val="bullet"/>
      <w:lvlText w:val=""/>
      <w:lvlJc w:val="left"/>
      <w:pPr>
        <w:ind w:left="5040" w:hanging="360"/>
      </w:pPr>
      <w:rPr>
        <w:rFonts w:ascii="Symbol" w:hAnsi="Symbol" w:hint="default"/>
      </w:rPr>
    </w:lvl>
    <w:lvl w:ilvl="7" w:tplc="FAAADE6C" w:tentative="1">
      <w:start w:val="1"/>
      <w:numFmt w:val="bullet"/>
      <w:lvlText w:val="o"/>
      <w:lvlJc w:val="left"/>
      <w:pPr>
        <w:ind w:left="5760" w:hanging="360"/>
      </w:pPr>
      <w:rPr>
        <w:rFonts w:ascii="Courier New" w:hAnsi="Courier New" w:cs="Courier New" w:hint="default"/>
      </w:rPr>
    </w:lvl>
    <w:lvl w:ilvl="8" w:tplc="50D44AF2" w:tentative="1">
      <w:start w:val="1"/>
      <w:numFmt w:val="bullet"/>
      <w:lvlText w:val=""/>
      <w:lvlJc w:val="left"/>
      <w:pPr>
        <w:ind w:left="6480" w:hanging="360"/>
      </w:pPr>
      <w:rPr>
        <w:rFonts w:ascii="Wingdings" w:hAnsi="Wingdings" w:hint="default"/>
      </w:rPr>
    </w:lvl>
  </w:abstractNum>
  <w:abstractNum w:abstractNumId="26" w15:restartNumberingAfterBreak="0">
    <w:nsid w:val="19A46A7C"/>
    <w:multiLevelType w:val="hybridMultilevel"/>
    <w:tmpl w:val="D2F8EEE4"/>
    <w:lvl w:ilvl="0" w:tplc="8920F404">
      <w:start w:val="1"/>
      <w:numFmt w:val="bullet"/>
      <w:lvlText w:val=""/>
      <w:lvlJc w:val="left"/>
      <w:pPr>
        <w:ind w:left="720" w:hanging="360"/>
      </w:pPr>
      <w:rPr>
        <w:rFonts w:ascii="Symbol" w:hAnsi="Symbol" w:hint="default"/>
        <w:color w:val="57825E"/>
      </w:rPr>
    </w:lvl>
    <w:lvl w:ilvl="1" w:tplc="D0C0F8E4" w:tentative="1">
      <w:start w:val="1"/>
      <w:numFmt w:val="bullet"/>
      <w:lvlText w:val="o"/>
      <w:lvlJc w:val="left"/>
      <w:pPr>
        <w:ind w:left="1440" w:hanging="360"/>
      </w:pPr>
      <w:rPr>
        <w:rFonts w:ascii="Courier New" w:hAnsi="Courier New" w:cs="Courier New" w:hint="default"/>
      </w:rPr>
    </w:lvl>
    <w:lvl w:ilvl="2" w:tplc="09B83EFA" w:tentative="1">
      <w:start w:val="1"/>
      <w:numFmt w:val="bullet"/>
      <w:lvlText w:val=""/>
      <w:lvlJc w:val="left"/>
      <w:pPr>
        <w:ind w:left="2160" w:hanging="360"/>
      </w:pPr>
      <w:rPr>
        <w:rFonts w:ascii="Wingdings" w:hAnsi="Wingdings" w:hint="default"/>
      </w:rPr>
    </w:lvl>
    <w:lvl w:ilvl="3" w:tplc="4732970E" w:tentative="1">
      <w:start w:val="1"/>
      <w:numFmt w:val="bullet"/>
      <w:lvlText w:val=""/>
      <w:lvlJc w:val="left"/>
      <w:pPr>
        <w:ind w:left="2880" w:hanging="360"/>
      </w:pPr>
      <w:rPr>
        <w:rFonts w:ascii="Symbol" w:hAnsi="Symbol" w:hint="default"/>
      </w:rPr>
    </w:lvl>
    <w:lvl w:ilvl="4" w:tplc="89AE5F8C" w:tentative="1">
      <w:start w:val="1"/>
      <w:numFmt w:val="bullet"/>
      <w:lvlText w:val="o"/>
      <w:lvlJc w:val="left"/>
      <w:pPr>
        <w:ind w:left="3600" w:hanging="360"/>
      </w:pPr>
      <w:rPr>
        <w:rFonts w:ascii="Courier New" w:hAnsi="Courier New" w:cs="Courier New" w:hint="default"/>
      </w:rPr>
    </w:lvl>
    <w:lvl w:ilvl="5" w:tplc="F2D69580" w:tentative="1">
      <w:start w:val="1"/>
      <w:numFmt w:val="bullet"/>
      <w:lvlText w:val=""/>
      <w:lvlJc w:val="left"/>
      <w:pPr>
        <w:ind w:left="4320" w:hanging="360"/>
      </w:pPr>
      <w:rPr>
        <w:rFonts w:ascii="Wingdings" w:hAnsi="Wingdings" w:hint="default"/>
      </w:rPr>
    </w:lvl>
    <w:lvl w:ilvl="6" w:tplc="E08E525A" w:tentative="1">
      <w:start w:val="1"/>
      <w:numFmt w:val="bullet"/>
      <w:lvlText w:val=""/>
      <w:lvlJc w:val="left"/>
      <w:pPr>
        <w:ind w:left="5040" w:hanging="360"/>
      </w:pPr>
      <w:rPr>
        <w:rFonts w:ascii="Symbol" w:hAnsi="Symbol" w:hint="default"/>
      </w:rPr>
    </w:lvl>
    <w:lvl w:ilvl="7" w:tplc="D8EC6252" w:tentative="1">
      <w:start w:val="1"/>
      <w:numFmt w:val="bullet"/>
      <w:lvlText w:val="o"/>
      <w:lvlJc w:val="left"/>
      <w:pPr>
        <w:ind w:left="5760" w:hanging="360"/>
      </w:pPr>
      <w:rPr>
        <w:rFonts w:ascii="Courier New" w:hAnsi="Courier New" w:cs="Courier New" w:hint="default"/>
      </w:rPr>
    </w:lvl>
    <w:lvl w:ilvl="8" w:tplc="51EEAA5A" w:tentative="1">
      <w:start w:val="1"/>
      <w:numFmt w:val="bullet"/>
      <w:lvlText w:val=""/>
      <w:lvlJc w:val="left"/>
      <w:pPr>
        <w:ind w:left="6480" w:hanging="360"/>
      </w:pPr>
      <w:rPr>
        <w:rFonts w:ascii="Wingdings" w:hAnsi="Wingdings" w:hint="default"/>
      </w:rPr>
    </w:lvl>
  </w:abstractNum>
  <w:abstractNum w:abstractNumId="27" w15:restartNumberingAfterBreak="0">
    <w:nsid w:val="1A49295C"/>
    <w:multiLevelType w:val="hybridMultilevel"/>
    <w:tmpl w:val="586CBF1C"/>
    <w:lvl w:ilvl="0" w:tplc="1626FEC6">
      <w:start w:val="1"/>
      <w:numFmt w:val="lowerLetter"/>
      <w:lvlText w:val="%1)"/>
      <w:lvlJc w:val="left"/>
      <w:pPr>
        <w:ind w:left="720" w:hanging="360"/>
      </w:pPr>
      <w:rPr>
        <w:rFonts w:ascii="Arial" w:hAnsi="Arial" w:cs="Arial" w:hint="default"/>
      </w:rPr>
    </w:lvl>
    <w:lvl w:ilvl="1" w:tplc="8930894C" w:tentative="1">
      <w:start w:val="1"/>
      <w:numFmt w:val="lowerLetter"/>
      <w:lvlText w:val="%2."/>
      <w:lvlJc w:val="left"/>
      <w:pPr>
        <w:ind w:left="1440" w:hanging="360"/>
      </w:pPr>
    </w:lvl>
    <w:lvl w:ilvl="2" w:tplc="9BFC8192" w:tentative="1">
      <w:start w:val="1"/>
      <w:numFmt w:val="lowerRoman"/>
      <w:lvlText w:val="%3."/>
      <w:lvlJc w:val="right"/>
      <w:pPr>
        <w:ind w:left="2160" w:hanging="180"/>
      </w:pPr>
    </w:lvl>
    <w:lvl w:ilvl="3" w:tplc="5232C2EE" w:tentative="1">
      <w:start w:val="1"/>
      <w:numFmt w:val="decimal"/>
      <w:lvlText w:val="%4."/>
      <w:lvlJc w:val="left"/>
      <w:pPr>
        <w:ind w:left="2880" w:hanging="360"/>
      </w:pPr>
    </w:lvl>
    <w:lvl w:ilvl="4" w:tplc="C8B09364" w:tentative="1">
      <w:start w:val="1"/>
      <w:numFmt w:val="lowerLetter"/>
      <w:lvlText w:val="%5."/>
      <w:lvlJc w:val="left"/>
      <w:pPr>
        <w:ind w:left="3600" w:hanging="360"/>
      </w:pPr>
    </w:lvl>
    <w:lvl w:ilvl="5" w:tplc="07BCF792" w:tentative="1">
      <w:start w:val="1"/>
      <w:numFmt w:val="lowerRoman"/>
      <w:lvlText w:val="%6."/>
      <w:lvlJc w:val="right"/>
      <w:pPr>
        <w:ind w:left="4320" w:hanging="180"/>
      </w:pPr>
    </w:lvl>
    <w:lvl w:ilvl="6" w:tplc="2CC0243E" w:tentative="1">
      <w:start w:val="1"/>
      <w:numFmt w:val="decimal"/>
      <w:lvlText w:val="%7."/>
      <w:lvlJc w:val="left"/>
      <w:pPr>
        <w:ind w:left="5040" w:hanging="360"/>
      </w:pPr>
    </w:lvl>
    <w:lvl w:ilvl="7" w:tplc="B2F84978" w:tentative="1">
      <w:start w:val="1"/>
      <w:numFmt w:val="lowerLetter"/>
      <w:lvlText w:val="%8."/>
      <w:lvlJc w:val="left"/>
      <w:pPr>
        <w:ind w:left="5760" w:hanging="360"/>
      </w:pPr>
    </w:lvl>
    <w:lvl w:ilvl="8" w:tplc="07245D30" w:tentative="1">
      <w:start w:val="1"/>
      <w:numFmt w:val="lowerRoman"/>
      <w:lvlText w:val="%9."/>
      <w:lvlJc w:val="right"/>
      <w:pPr>
        <w:ind w:left="6480" w:hanging="180"/>
      </w:pPr>
    </w:lvl>
  </w:abstractNum>
  <w:abstractNum w:abstractNumId="28" w15:restartNumberingAfterBreak="0">
    <w:nsid w:val="1BC16E8F"/>
    <w:multiLevelType w:val="hybridMultilevel"/>
    <w:tmpl w:val="50BCC1DE"/>
    <w:lvl w:ilvl="0" w:tplc="CE4027AA">
      <w:start w:val="1"/>
      <w:numFmt w:val="bullet"/>
      <w:lvlText w:val=""/>
      <w:lvlJc w:val="left"/>
      <w:pPr>
        <w:ind w:left="360" w:hanging="360"/>
      </w:pPr>
      <w:rPr>
        <w:rFonts w:ascii="Symbol" w:hAnsi="Symbol" w:hint="default"/>
        <w:b w:val="0"/>
        <w:color w:val="57825E"/>
        <w:sz w:val="18"/>
      </w:rPr>
    </w:lvl>
    <w:lvl w:ilvl="1" w:tplc="ECB4721A" w:tentative="1">
      <w:start w:val="1"/>
      <w:numFmt w:val="bullet"/>
      <w:lvlText w:val="o"/>
      <w:lvlJc w:val="left"/>
      <w:pPr>
        <w:ind w:left="1080" w:hanging="360"/>
      </w:pPr>
      <w:rPr>
        <w:rFonts w:ascii="Courier New" w:hAnsi="Courier New" w:cs="Courier New" w:hint="default"/>
      </w:rPr>
    </w:lvl>
    <w:lvl w:ilvl="2" w:tplc="D50CE3FC" w:tentative="1">
      <w:start w:val="1"/>
      <w:numFmt w:val="bullet"/>
      <w:lvlText w:val=""/>
      <w:lvlJc w:val="left"/>
      <w:pPr>
        <w:ind w:left="1800" w:hanging="360"/>
      </w:pPr>
      <w:rPr>
        <w:rFonts w:ascii="Wingdings" w:hAnsi="Wingdings" w:hint="default"/>
      </w:rPr>
    </w:lvl>
    <w:lvl w:ilvl="3" w:tplc="D006F87A" w:tentative="1">
      <w:start w:val="1"/>
      <w:numFmt w:val="bullet"/>
      <w:lvlText w:val=""/>
      <w:lvlJc w:val="left"/>
      <w:pPr>
        <w:ind w:left="2520" w:hanging="360"/>
      </w:pPr>
      <w:rPr>
        <w:rFonts w:ascii="Symbol" w:hAnsi="Symbol" w:hint="default"/>
      </w:rPr>
    </w:lvl>
    <w:lvl w:ilvl="4" w:tplc="2BE0BC46" w:tentative="1">
      <w:start w:val="1"/>
      <w:numFmt w:val="bullet"/>
      <w:lvlText w:val="o"/>
      <w:lvlJc w:val="left"/>
      <w:pPr>
        <w:ind w:left="3240" w:hanging="360"/>
      </w:pPr>
      <w:rPr>
        <w:rFonts w:ascii="Courier New" w:hAnsi="Courier New" w:cs="Courier New" w:hint="default"/>
      </w:rPr>
    </w:lvl>
    <w:lvl w:ilvl="5" w:tplc="73FAC948" w:tentative="1">
      <w:start w:val="1"/>
      <w:numFmt w:val="bullet"/>
      <w:lvlText w:val=""/>
      <w:lvlJc w:val="left"/>
      <w:pPr>
        <w:ind w:left="3960" w:hanging="360"/>
      </w:pPr>
      <w:rPr>
        <w:rFonts w:ascii="Wingdings" w:hAnsi="Wingdings" w:hint="default"/>
      </w:rPr>
    </w:lvl>
    <w:lvl w:ilvl="6" w:tplc="6D640874" w:tentative="1">
      <w:start w:val="1"/>
      <w:numFmt w:val="bullet"/>
      <w:lvlText w:val=""/>
      <w:lvlJc w:val="left"/>
      <w:pPr>
        <w:ind w:left="4680" w:hanging="360"/>
      </w:pPr>
      <w:rPr>
        <w:rFonts w:ascii="Symbol" w:hAnsi="Symbol" w:hint="default"/>
      </w:rPr>
    </w:lvl>
    <w:lvl w:ilvl="7" w:tplc="BF6AC3E4" w:tentative="1">
      <w:start w:val="1"/>
      <w:numFmt w:val="bullet"/>
      <w:lvlText w:val="o"/>
      <w:lvlJc w:val="left"/>
      <w:pPr>
        <w:ind w:left="5400" w:hanging="360"/>
      </w:pPr>
      <w:rPr>
        <w:rFonts w:ascii="Courier New" w:hAnsi="Courier New" w:cs="Courier New" w:hint="default"/>
      </w:rPr>
    </w:lvl>
    <w:lvl w:ilvl="8" w:tplc="BB646DE8" w:tentative="1">
      <w:start w:val="1"/>
      <w:numFmt w:val="bullet"/>
      <w:lvlText w:val=""/>
      <w:lvlJc w:val="left"/>
      <w:pPr>
        <w:ind w:left="6120" w:hanging="360"/>
      </w:pPr>
      <w:rPr>
        <w:rFonts w:ascii="Wingdings" w:hAnsi="Wingdings" w:hint="default"/>
      </w:rPr>
    </w:lvl>
  </w:abstractNum>
  <w:abstractNum w:abstractNumId="29" w15:restartNumberingAfterBreak="0">
    <w:nsid w:val="1C122640"/>
    <w:multiLevelType w:val="hybridMultilevel"/>
    <w:tmpl w:val="D8061F8E"/>
    <w:lvl w:ilvl="0" w:tplc="418631DA">
      <w:start w:val="1"/>
      <w:numFmt w:val="decimal"/>
      <w:lvlText w:val="%1."/>
      <w:lvlJc w:val="left"/>
      <w:pPr>
        <w:ind w:left="1494" w:hanging="360"/>
      </w:pPr>
      <w:rPr>
        <w:rFonts w:hint="default"/>
      </w:rPr>
    </w:lvl>
    <w:lvl w:ilvl="1" w:tplc="CCB6F96A" w:tentative="1">
      <w:start w:val="1"/>
      <w:numFmt w:val="lowerLetter"/>
      <w:lvlText w:val="%2."/>
      <w:lvlJc w:val="left"/>
      <w:pPr>
        <w:ind w:left="2214" w:hanging="360"/>
      </w:pPr>
    </w:lvl>
    <w:lvl w:ilvl="2" w:tplc="ED9E76E2" w:tentative="1">
      <w:start w:val="1"/>
      <w:numFmt w:val="lowerRoman"/>
      <w:lvlText w:val="%3."/>
      <w:lvlJc w:val="right"/>
      <w:pPr>
        <w:ind w:left="2934" w:hanging="180"/>
      </w:pPr>
    </w:lvl>
    <w:lvl w:ilvl="3" w:tplc="3D40530A" w:tentative="1">
      <w:start w:val="1"/>
      <w:numFmt w:val="decimal"/>
      <w:lvlText w:val="%4."/>
      <w:lvlJc w:val="left"/>
      <w:pPr>
        <w:ind w:left="3654" w:hanging="360"/>
      </w:pPr>
    </w:lvl>
    <w:lvl w:ilvl="4" w:tplc="32682414" w:tentative="1">
      <w:start w:val="1"/>
      <w:numFmt w:val="lowerLetter"/>
      <w:lvlText w:val="%5."/>
      <w:lvlJc w:val="left"/>
      <w:pPr>
        <w:ind w:left="4374" w:hanging="360"/>
      </w:pPr>
    </w:lvl>
    <w:lvl w:ilvl="5" w:tplc="7440280A" w:tentative="1">
      <w:start w:val="1"/>
      <w:numFmt w:val="lowerRoman"/>
      <w:lvlText w:val="%6."/>
      <w:lvlJc w:val="right"/>
      <w:pPr>
        <w:ind w:left="5094" w:hanging="180"/>
      </w:pPr>
    </w:lvl>
    <w:lvl w:ilvl="6" w:tplc="5BFC35EC" w:tentative="1">
      <w:start w:val="1"/>
      <w:numFmt w:val="decimal"/>
      <w:lvlText w:val="%7."/>
      <w:lvlJc w:val="left"/>
      <w:pPr>
        <w:ind w:left="5814" w:hanging="360"/>
      </w:pPr>
    </w:lvl>
    <w:lvl w:ilvl="7" w:tplc="EB1E7B14" w:tentative="1">
      <w:start w:val="1"/>
      <w:numFmt w:val="lowerLetter"/>
      <w:lvlText w:val="%8."/>
      <w:lvlJc w:val="left"/>
      <w:pPr>
        <w:ind w:left="6534" w:hanging="360"/>
      </w:pPr>
    </w:lvl>
    <w:lvl w:ilvl="8" w:tplc="44ACED2A" w:tentative="1">
      <w:start w:val="1"/>
      <w:numFmt w:val="lowerRoman"/>
      <w:lvlText w:val="%9."/>
      <w:lvlJc w:val="right"/>
      <w:pPr>
        <w:ind w:left="7254" w:hanging="180"/>
      </w:pPr>
    </w:lvl>
  </w:abstractNum>
  <w:abstractNum w:abstractNumId="30" w15:restartNumberingAfterBreak="0">
    <w:nsid w:val="1D101BF3"/>
    <w:multiLevelType w:val="hybridMultilevel"/>
    <w:tmpl w:val="4AE6BB48"/>
    <w:lvl w:ilvl="0" w:tplc="D03C492E">
      <w:start w:val="1"/>
      <w:numFmt w:val="bullet"/>
      <w:pStyle w:val="HBoxbullet"/>
      <w:lvlText w:val=""/>
      <w:lvlJc w:val="left"/>
      <w:pPr>
        <w:ind w:left="440" w:hanging="360"/>
      </w:pPr>
      <w:rPr>
        <w:rFonts w:ascii="Symbol" w:hAnsi="Symbol" w:hint="default"/>
        <w:color w:val="FFC000"/>
      </w:rPr>
    </w:lvl>
    <w:lvl w:ilvl="1" w:tplc="F9D4C518" w:tentative="1">
      <w:start w:val="1"/>
      <w:numFmt w:val="bullet"/>
      <w:lvlText w:val="o"/>
      <w:lvlJc w:val="left"/>
      <w:pPr>
        <w:ind w:left="1440" w:hanging="360"/>
      </w:pPr>
      <w:rPr>
        <w:rFonts w:ascii="Courier New" w:hAnsi="Courier New" w:cs="Courier New" w:hint="default"/>
      </w:rPr>
    </w:lvl>
    <w:lvl w:ilvl="2" w:tplc="CBD8B5EA" w:tentative="1">
      <w:start w:val="1"/>
      <w:numFmt w:val="bullet"/>
      <w:lvlText w:val=""/>
      <w:lvlJc w:val="left"/>
      <w:pPr>
        <w:ind w:left="2160" w:hanging="360"/>
      </w:pPr>
      <w:rPr>
        <w:rFonts w:ascii="Wingdings" w:hAnsi="Wingdings" w:hint="default"/>
      </w:rPr>
    </w:lvl>
    <w:lvl w:ilvl="3" w:tplc="6CDA881E" w:tentative="1">
      <w:start w:val="1"/>
      <w:numFmt w:val="bullet"/>
      <w:lvlText w:val=""/>
      <w:lvlJc w:val="left"/>
      <w:pPr>
        <w:ind w:left="2880" w:hanging="360"/>
      </w:pPr>
      <w:rPr>
        <w:rFonts w:ascii="Symbol" w:hAnsi="Symbol" w:hint="default"/>
      </w:rPr>
    </w:lvl>
    <w:lvl w:ilvl="4" w:tplc="901627A0" w:tentative="1">
      <w:start w:val="1"/>
      <w:numFmt w:val="bullet"/>
      <w:lvlText w:val="o"/>
      <w:lvlJc w:val="left"/>
      <w:pPr>
        <w:ind w:left="3600" w:hanging="360"/>
      </w:pPr>
      <w:rPr>
        <w:rFonts w:ascii="Courier New" w:hAnsi="Courier New" w:cs="Courier New" w:hint="default"/>
      </w:rPr>
    </w:lvl>
    <w:lvl w:ilvl="5" w:tplc="98BAB9A6" w:tentative="1">
      <w:start w:val="1"/>
      <w:numFmt w:val="bullet"/>
      <w:lvlText w:val=""/>
      <w:lvlJc w:val="left"/>
      <w:pPr>
        <w:ind w:left="4320" w:hanging="360"/>
      </w:pPr>
      <w:rPr>
        <w:rFonts w:ascii="Wingdings" w:hAnsi="Wingdings" w:hint="default"/>
      </w:rPr>
    </w:lvl>
    <w:lvl w:ilvl="6" w:tplc="C9E25F1E" w:tentative="1">
      <w:start w:val="1"/>
      <w:numFmt w:val="bullet"/>
      <w:lvlText w:val=""/>
      <w:lvlJc w:val="left"/>
      <w:pPr>
        <w:ind w:left="5040" w:hanging="360"/>
      </w:pPr>
      <w:rPr>
        <w:rFonts w:ascii="Symbol" w:hAnsi="Symbol" w:hint="default"/>
      </w:rPr>
    </w:lvl>
    <w:lvl w:ilvl="7" w:tplc="905EC7D0" w:tentative="1">
      <w:start w:val="1"/>
      <w:numFmt w:val="bullet"/>
      <w:lvlText w:val="o"/>
      <w:lvlJc w:val="left"/>
      <w:pPr>
        <w:ind w:left="5760" w:hanging="360"/>
      </w:pPr>
      <w:rPr>
        <w:rFonts w:ascii="Courier New" w:hAnsi="Courier New" w:cs="Courier New" w:hint="default"/>
      </w:rPr>
    </w:lvl>
    <w:lvl w:ilvl="8" w:tplc="F1B098CE" w:tentative="1">
      <w:start w:val="1"/>
      <w:numFmt w:val="bullet"/>
      <w:lvlText w:val=""/>
      <w:lvlJc w:val="left"/>
      <w:pPr>
        <w:ind w:left="6480" w:hanging="360"/>
      </w:pPr>
      <w:rPr>
        <w:rFonts w:ascii="Wingdings" w:hAnsi="Wingdings" w:hint="default"/>
      </w:rPr>
    </w:lvl>
  </w:abstractNum>
  <w:abstractNum w:abstractNumId="31"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209659D1"/>
    <w:multiLevelType w:val="hybridMultilevel"/>
    <w:tmpl w:val="065A176A"/>
    <w:lvl w:ilvl="0" w:tplc="C9D6B096">
      <w:numFmt w:val="bullet"/>
      <w:lvlText w:val="-"/>
      <w:lvlJc w:val="left"/>
      <w:pPr>
        <w:ind w:left="360" w:hanging="360"/>
      </w:pPr>
      <w:rPr>
        <w:rFonts w:ascii="Arial" w:eastAsia="Times New Roman" w:hAnsi="Arial" w:cs="Arial" w:hint="default"/>
        <w:color w:val="373737"/>
      </w:rPr>
    </w:lvl>
    <w:lvl w:ilvl="1" w:tplc="F1505124" w:tentative="1">
      <w:start w:val="1"/>
      <w:numFmt w:val="bullet"/>
      <w:lvlText w:val="o"/>
      <w:lvlJc w:val="left"/>
      <w:pPr>
        <w:ind w:left="1080" w:hanging="360"/>
      </w:pPr>
      <w:rPr>
        <w:rFonts w:ascii="Courier New" w:hAnsi="Courier New" w:cs="Courier New" w:hint="default"/>
      </w:rPr>
    </w:lvl>
    <w:lvl w:ilvl="2" w:tplc="2468F788" w:tentative="1">
      <w:start w:val="1"/>
      <w:numFmt w:val="bullet"/>
      <w:lvlText w:val=""/>
      <w:lvlJc w:val="left"/>
      <w:pPr>
        <w:ind w:left="1800" w:hanging="360"/>
      </w:pPr>
      <w:rPr>
        <w:rFonts w:ascii="Wingdings" w:hAnsi="Wingdings" w:hint="default"/>
      </w:rPr>
    </w:lvl>
    <w:lvl w:ilvl="3" w:tplc="CA280684" w:tentative="1">
      <w:start w:val="1"/>
      <w:numFmt w:val="bullet"/>
      <w:lvlText w:val=""/>
      <w:lvlJc w:val="left"/>
      <w:pPr>
        <w:ind w:left="2520" w:hanging="360"/>
      </w:pPr>
      <w:rPr>
        <w:rFonts w:ascii="Symbol" w:hAnsi="Symbol" w:hint="default"/>
      </w:rPr>
    </w:lvl>
    <w:lvl w:ilvl="4" w:tplc="63E6FB28" w:tentative="1">
      <w:start w:val="1"/>
      <w:numFmt w:val="bullet"/>
      <w:lvlText w:val="o"/>
      <w:lvlJc w:val="left"/>
      <w:pPr>
        <w:ind w:left="3240" w:hanging="360"/>
      </w:pPr>
      <w:rPr>
        <w:rFonts w:ascii="Courier New" w:hAnsi="Courier New" w:cs="Courier New" w:hint="default"/>
      </w:rPr>
    </w:lvl>
    <w:lvl w:ilvl="5" w:tplc="E07A387E" w:tentative="1">
      <w:start w:val="1"/>
      <w:numFmt w:val="bullet"/>
      <w:lvlText w:val=""/>
      <w:lvlJc w:val="left"/>
      <w:pPr>
        <w:ind w:left="3960" w:hanging="360"/>
      </w:pPr>
      <w:rPr>
        <w:rFonts w:ascii="Wingdings" w:hAnsi="Wingdings" w:hint="default"/>
      </w:rPr>
    </w:lvl>
    <w:lvl w:ilvl="6" w:tplc="B75A8E16" w:tentative="1">
      <w:start w:val="1"/>
      <w:numFmt w:val="bullet"/>
      <w:lvlText w:val=""/>
      <w:lvlJc w:val="left"/>
      <w:pPr>
        <w:ind w:left="4680" w:hanging="360"/>
      </w:pPr>
      <w:rPr>
        <w:rFonts w:ascii="Symbol" w:hAnsi="Symbol" w:hint="default"/>
      </w:rPr>
    </w:lvl>
    <w:lvl w:ilvl="7" w:tplc="69D6CD40" w:tentative="1">
      <w:start w:val="1"/>
      <w:numFmt w:val="bullet"/>
      <w:lvlText w:val="o"/>
      <w:lvlJc w:val="left"/>
      <w:pPr>
        <w:ind w:left="5400" w:hanging="360"/>
      </w:pPr>
      <w:rPr>
        <w:rFonts w:ascii="Courier New" w:hAnsi="Courier New" w:cs="Courier New" w:hint="default"/>
      </w:rPr>
    </w:lvl>
    <w:lvl w:ilvl="8" w:tplc="87F2F68C" w:tentative="1">
      <w:start w:val="1"/>
      <w:numFmt w:val="bullet"/>
      <w:lvlText w:val=""/>
      <w:lvlJc w:val="left"/>
      <w:pPr>
        <w:ind w:left="6120" w:hanging="360"/>
      </w:pPr>
      <w:rPr>
        <w:rFonts w:ascii="Wingdings" w:hAnsi="Wingdings" w:hint="default"/>
      </w:rPr>
    </w:lvl>
  </w:abstractNum>
  <w:abstractNum w:abstractNumId="33" w15:restartNumberingAfterBreak="0">
    <w:nsid w:val="253E7F11"/>
    <w:multiLevelType w:val="hybridMultilevel"/>
    <w:tmpl w:val="B5588146"/>
    <w:lvl w:ilvl="0" w:tplc="1C74D24E">
      <w:start w:val="1"/>
      <w:numFmt w:val="upperLetter"/>
      <w:lvlText w:val="%1."/>
      <w:lvlJc w:val="left"/>
      <w:pPr>
        <w:ind w:left="360" w:hanging="360"/>
      </w:pPr>
      <w:rPr>
        <w:rFonts w:hint="default"/>
      </w:rPr>
    </w:lvl>
    <w:lvl w:ilvl="1" w:tplc="9B302376" w:tentative="1">
      <w:start w:val="1"/>
      <w:numFmt w:val="lowerLetter"/>
      <w:lvlText w:val="%2."/>
      <w:lvlJc w:val="left"/>
      <w:pPr>
        <w:ind w:left="1080" w:hanging="360"/>
      </w:pPr>
    </w:lvl>
    <w:lvl w:ilvl="2" w:tplc="D862B800" w:tentative="1">
      <w:start w:val="1"/>
      <w:numFmt w:val="lowerRoman"/>
      <w:lvlText w:val="%3."/>
      <w:lvlJc w:val="right"/>
      <w:pPr>
        <w:ind w:left="1800" w:hanging="180"/>
      </w:pPr>
    </w:lvl>
    <w:lvl w:ilvl="3" w:tplc="4E2420A4" w:tentative="1">
      <w:start w:val="1"/>
      <w:numFmt w:val="decimal"/>
      <w:lvlText w:val="%4."/>
      <w:lvlJc w:val="left"/>
      <w:pPr>
        <w:ind w:left="2520" w:hanging="360"/>
      </w:pPr>
    </w:lvl>
    <w:lvl w:ilvl="4" w:tplc="94C24D92" w:tentative="1">
      <w:start w:val="1"/>
      <w:numFmt w:val="lowerLetter"/>
      <w:lvlText w:val="%5."/>
      <w:lvlJc w:val="left"/>
      <w:pPr>
        <w:ind w:left="3240" w:hanging="360"/>
      </w:pPr>
    </w:lvl>
    <w:lvl w:ilvl="5" w:tplc="4AA4015A" w:tentative="1">
      <w:start w:val="1"/>
      <w:numFmt w:val="lowerRoman"/>
      <w:lvlText w:val="%6."/>
      <w:lvlJc w:val="right"/>
      <w:pPr>
        <w:ind w:left="3960" w:hanging="180"/>
      </w:pPr>
    </w:lvl>
    <w:lvl w:ilvl="6" w:tplc="57584354" w:tentative="1">
      <w:start w:val="1"/>
      <w:numFmt w:val="decimal"/>
      <w:lvlText w:val="%7."/>
      <w:lvlJc w:val="left"/>
      <w:pPr>
        <w:ind w:left="4680" w:hanging="360"/>
      </w:pPr>
    </w:lvl>
    <w:lvl w:ilvl="7" w:tplc="59DE27AC" w:tentative="1">
      <w:start w:val="1"/>
      <w:numFmt w:val="lowerLetter"/>
      <w:lvlText w:val="%8."/>
      <w:lvlJc w:val="left"/>
      <w:pPr>
        <w:ind w:left="5400" w:hanging="360"/>
      </w:pPr>
    </w:lvl>
    <w:lvl w:ilvl="8" w:tplc="5860D24C" w:tentative="1">
      <w:start w:val="1"/>
      <w:numFmt w:val="lowerRoman"/>
      <w:lvlText w:val="%9."/>
      <w:lvlJc w:val="right"/>
      <w:pPr>
        <w:ind w:left="6120" w:hanging="180"/>
      </w:pPr>
    </w:lvl>
  </w:abstractNum>
  <w:abstractNum w:abstractNumId="34" w15:restartNumberingAfterBreak="0">
    <w:nsid w:val="25BB2DAE"/>
    <w:multiLevelType w:val="hybridMultilevel"/>
    <w:tmpl w:val="2E5E2F7C"/>
    <w:lvl w:ilvl="0" w:tplc="8BE2BFB0">
      <w:start w:val="1"/>
      <w:numFmt w:val="bullet"/>
      <w:lvlText w:val=""/>
      <w:lvlJc w:val="left"/>
      <w:pPr>
        <w:ind w:left="720" w:hanging="360"/>
      </w:pPr>
      <w:rPr>
        <w:rFonts w:ascii="Symbol" w:hAnsi="Symbol" w:hint="default"/>
        <w:color w:val="57825E"/>
      </w:rPr>
    </w:lvl>
    <w:lvl w:ilvl="1" w:tplc="79C88584" w:tentative="1">
      <w:start w:val="1"/>
      <w:numFmt w:val="bullet"/>
      <w:lvlText w:val="o"/>
      <w:lvlJc w:val="left"/>
      <w:pPr>
        <w:ind w:left="1440" w:hanging="360"/>
      </w:pPr>
      <w:rPr>
        <w:rFonts w:ascii="Courier New" w:hAnsi="Courier New" w:cs="Courier New" w:hint="default"/>
      </w:rPr>
    </w:lvl>
    <w:lvl w:ilvl="2" w:tplc="ADF06430" w:tentative="1">
      <w:start w:val="1"/>
      <w:numFmt w:val="bullet"/>
      <w:lvlText w:val=""/>
      <w:lvlJc w:val="left"/>
      <w:pPr>
        <w:ind w:left="2160" w:hanging="360"/>
      </w:pPr>
      <w:rPr>
        <w:rFonts w:ascii="Wingdings" w:hAnsi="Wingdings" w:hint="default"/>
      </w:rPr>
    </w:lvl>
    <w:lvl w:ilvl="3" w:tplc="E4C2A86A" w:tentative="1">
      <w:start w:val="1"/>
      <w:numFmt w:val="bullet"/>
      <w:lvlText w:val=""/>
      <w:lvlJc w:val="left"/>
      <w:pPr>
        <w:ind w:left="2880" w:hanging="360"/>
      </w:pPr>
      <w:rPr>
        <w:rFonts w:ascii="Symbol" w:hAnsi="Symbol" w:hint="default"/>
      </w:rPr>
    </w:lvl>
    <w:lvl w:ilvl="4" w:tplc="76366326" w:tentative="1">
      <w:start w:val="1"/>
      <w:numFmt w:val="bullet"/>
      <w:lvlText w:val="o"/>
      <w:lvlJc w:val="left"/>
      <w:pPr>
        <w:ind w:left="3600" w:hanging="360"/>
      </w:pPr>
      <w:rPr>
        <w:rFonts w:ascii="Courier New" w:hAnsi="Courier New" w:cs="Courier New" w:hint="default"/>
      </w:rPr>
    </w:lvl>
    <w:lvl w:ilvl="5" w:tplc="35FEC7F6" w:tentative="1">
      <w:start w:val="1"/>
      <w:numFmt w:val="bullet"/>
      <w:lvlText w:val=""/>
      <w:lvlJc w:val="left"/>
      <w:pPr>
        <w:ind w:left="4320" w:hanging="360"/>
      </w:pPr>
      <w:rPr>
        <w:rFonts w:ascii="Wingdings" w:hAnsi="Wingdings" w:hint="default"/>
      </w:rPr>
    </w:lvl>
    <w:lvl w:ilvl="6" w:tplc="E3F4BEC0" w:tentative="1">
      <w:start w:val="1"/>
      <w:numFmt w:val="bullet"/>
      <w:lvlText w:val=""/>
      <w:lvlJc w:val="left"/>
      <w:pPr>
        <w:ind w:left="5040" w:hanging="360"/>
      </w:pPr>
      <w:rPr>
        <w:rFonts w:ascii="Symbol" w:hAnsi="Symbol" w:hint="default"/>
      </w:rPr>
    </w:lvl>
    <w:lvl w:ilvl="7" w:tplc="69C87D2A" w:tentative="1">
      <w:start w:val="1"/>
      <w:numFmt w:val="bullet"/>
      <w:lvlText w:val="o"/>
      <w:lvlJc w:val="left"/>
      <w:pPr>
        <w:ind w:left="5760" w:hanging="360"/>
      </w:pPr>
      <w:rPr>
        <w:rFonts w:ascii="Courier New" w:hAnsi="Courier New" w:cs="Courier New" w:hint="default"/>
      </w:rPr>
    </w:lvl>
    <w:lvl w:ilvl="8" w:tplc="4B7412F6" w:tentative="1">
      <w:start w:val="1"/>
      <w:numFmt w:val="bullet"/>
      <w:lvlText w:val=""/>
      <w:lvlJc w:val="left"/>
      <w:pPr>
        <w:ind w:left="6480" w:hanging="360"/>
      </w:pPr>
      <w:rPr>
        <w:rFonts w:ascii="Wingdings" w:hAnsi="Wingdings" w:hint="default"/>
      </w:rPr>
    </w:lvl>
  </w:abstractNum>
  <w:abstractNum w:abstractNumId="35" w15:restartNumberingAfterBreak="0">
    <w:nsid w:val="26624918"/>
    <w:multiLevelType w:val="hybridMultilevel"/>
    <w:tmpl w:val="28CC8C46"/>
    <w:lvl w:ilvl="0" w:tplc="2BDE297E">
      <w:start w:val="1"/>
      <w:numFmt w:val="bullet"/>
      <w:lvlText w:val="o"/>
      <w:lvlJc w:val="left"/>
      <w:pPr>
        <w:ind w:left="720" w:hanging="360"/>
      </w:pPr>
      <w:rPr>
        <w:rFonts w:ascii="Courier New" w:hAnsi="Courier New" w:cs="Courier New" w:hint="default"/>
        <w:color w:val="F07E31"/>
      </w:rPr>
    </w:lvl>
    <w:lvl w:ilvl="1" w:tplc="15B04464" w:tentative="1">
      <w:start w:val="1"/>
      <w:numFmt w:val="bullet"/>
      <w:lvlText w:val="o"/>
      <w:lvlJc w:val="left"/>
      <w:pPr>
        <w:ind w:left="1440" w:hanging="360"/>
      </w:pPr>
      <w:rPr>
        <w:rFonts w:ascii="Courier New" w:hAnsi="Courier New" w:cs="Courier New" w:hint="default"/>
      </w:rPr>
    </w:lvl>
    <w:lvl w:ilvl="2" w:tplc="40AC6B22" w:tentative="1">
      <w:start w:val="1"/>
      <w:numFmt w:val="bullet"/>
      <w:lvlText w:val=""/>
      <w:lvlJc w:val="left"/>
      <w:pPr>
        <w:ind w:left="2160" w:hanging="360"/>
      </w:pPr>
      <w:rPr>
        <w:rFonts w:ascii="Wingdings" w:hAnsi="Wingdings" w:hint="default"/>
      </w:rPr>
    </w:lvl>
    <w:lvl w:ilvl="3" w:tplc="77C666BE" w:tentative="1">
      <w:start w:val="1"/>
      <w:numFmt w:val="bullet"/>
      <w:lvlText w:val=""/>
      <w:lvlJc w:val="left"/>
      <w:pPr>
        <w:ind w:left="2880" w:hanging="360"/>
      </w:pPr>
      <w:rPr>
        <w:rFonts w:ascii="Symbol" w:hAnsi="Symbol" w:hint="default"/>
      </w:rPr>
    </w:lvl>
    <w:lvl w:ilvl="4" w:tplc="F1C26854" w:tentative="1">
      <w:start w:val="1"/>
      <w:numFmt w:val="bullet"/>
      <w:lvlText w:val="o"/>
      <w:lvlJc w:val="left"/>
      <w:pPr>
        <w:ind w:left="3600" w:hanging="360"/>
      </w:pPr>
      <w:rPr>
        <w:rFonts w:ascii="Courier New" w:hAnsi="Courier New" w:cs="Courier New" w:hint="default"/>
      </w:rPr>
    </w:lvl>
    <w:lvl w:ilvl="5" w:tplc="ED4E7432" w:tentative="1">
      <w:start w:val="1"/>
      <w:numFmt w:val="bullet"/>
      <w:lvlText w:val=""/>
      <w:lvlJc w:val="left"/>
      <w:pPr>
        <w:ind w:left="4320" w:hanging="360"/>
      </w:pPr>
      <w:rPr>
        <w:rFonts w:ascii="Wingdings" w:hAnsi="Wingdings" w:hint="default"/>
      </w:rPr>
    </w:lvl>
    <w:lvl w:ilvl="6" w:tplc="240432E8" w:tentative="1">
      <w:start w:val="1"/>
      <w:numFmt w:val="bullet"/>
      <w:lvlText w:val=""/>
      <w:lvlJc w:val="left"/>
      <w:pPr>
        <w:ind w:left="5040" w:hanging="360"/>
      </w:pPr>
      <w:rPr>
        <w:rFonts w:ascii="Symbol" w:hAnsi="Symbol" w:hint="default"/>
      </w:rPr>
    </w:lvl>
    <w:lvl w:ilvl="7" w:tplc="50A8D76E" w:tentative="1">
      <w:start w:val="1"/>
      <w:numFmt w:val="bullet"/>
      <w:lvlText w:val="o"/>
      <w:lvlJc w:val="left"/>
      <w:pPr>
        <w:ind w:left="5760" w:hanging="360"/>
      </w:pPr>
      <w:rPr>
        <w:rFonts w:ascii="Courier New" w:hAnsi="Courier New" w:cs="Courier New" w:hint="default"/>
      </w:rPr>
    </w:lvl>
    <w:lvl w:ilvl="8" w:tplc="116EE86A" w:tentative="1">
      <w:start w:val="1"/>
      <w:numFmt w:val="bullet"/>
      <w:lvlText w:val=""/>
      <w:lvlJc w:val="left"/>
      <w:pPr>
        <w:ind w:left="6480" w:hanging="360"/>
      </w:pPr>
      <w:rPr>
        <w:rFonts w:ascii="Wingdings" w:hAnsi="Wingdings" w:hint="default"/>
      </w:rPr>
    </w:lvl>
  </w:abstractNum>
  <w:abstractNum w:abstractNumId="36" w15:restartNumberingAfterBreak="0">
    <w:nsid w:val="26704C1E"/>
    <w:multiLevelType w:val="hybridMultilevel"/>
    <w:tmpl w:val="DD103524"/>
    <w:lvl w:ilvl="0" w:tplc="F272A914">
      <w:start w:val="1"/>
      <w:numFmt w:val="bullet"/>
      <w:lvlText w:val=""/>
      <w:lvlJc w:val="left"/>
      <w:pPr>
        <w:ind w:left="720" w:hanging="360"/>
      </w:pPr>
      <w:rPr>
        <w:rFonts w:ascii="Symbol" w:hAnsi="Symbol" w:hint="default"/>
        <w:color w:val="57825E"/>
      </w:rPr>
    </w:lvl>
    <w:lvl w:ilvl="1" w:tplc="CDE2DC54" w:tentative="1">
      <w:start w:val="1"/>
      <w:numFmt w:val="bullet"/>
      <w:lvlText w:val="o"/>
      <w:lvlJc w:val="left"/>
      <w:pPr>
        <w:ind w:left="1440" w:hanging="360"/>
      </w:pPr>
      <w:rPr>
        <w:rFonts w:ascii="Courier New" w:hAnsi="Courier New" w:cs="Courier New" w:hint="default"/>
      </w:rPr>
    </w:lvl>
    <w:lvl w:ilvl="2" w:tplc="34E0D696" w:tentative="1">
      <w:start w:val="1"/>
      <w:numFmt w:val="bullet"/>
      <w:lvlText w:val=""/>
      <w:lvlJc w:val="left"/>
      <w:pPr>
        <w:ind w:left="2160" w:hanging="360"/>
      </w:pPr>
      <w:rPr>
        <w:rFonts w:ascii="Wingdings" w:hAnsi="Wingdings" w:hint="default"/>
      </w:rPr>
    </w:lvl>
    <w:lvl w:ilvl="3" w:tplc="DCE4B3AE" w:tentative="1">
      <w:start w:val="1"/>
      <w:numFmt w:val="bullet"/>
      <w:lvlText w:val=""/>
      <w:lvlJc w:val="left"/>
      <w:pPr>
        <w:ind w:left="2880" w:hanging="360"/>
      </w:pPr>
      <w:rPr>
        <w:rFonts w:ascii="Symbol" w:hAnsi="Symbol" w:hint="default"/>
      </w:rPr>
    </w:lvl>
    <w:lvl w:ilvl="4" w:tplc="C9184F00" w:tentative="1">
      <w:start w:val="1"/>
      <w:numFmt w:val="bullet"/>
      <w:lvlText w:val="o"/>
      <w:lvlJc w:val="left"/>
      <w:pPr>
        <w:ind w:left="3600" w:hanging="360"/>
      </w:pPr>
      <w:rPr>
        <w:rFonts w:ascii="Courier New" w:hAnsi="Courier New" w:cs="Courier New" w:hint="default"/>
      </w:rPr>
    </w:lvl>
    <w:lvl w:ilvl="5" w:tplc="0BF4D3FC" w:tentative="1">
      <w:start w:val="1"/>
      <w:numFmt w:val="bullet"/>
      <w:lvlText w:val=""/>
      <w:lvlJc w:val="left"/>
      <w:pPr>
        <w:ind w:left="4320" w:hanging="360"/>
      </w:pPr>
      <w:rPr>
        <w:rFonts w:ascii="Wingdings" w:hAnsi="Wingdings" w:hint="default"/>
      </w:rPr>
    </w:lvl>
    <w:lvl w:ilvl="6" w:tplc="E3F262E4" w:tentative="1">
      <w:start w:val="1"/>
      <w:numFmt w:val="bullet"/>
      <w:lvlText w:val=""/>
      <w:lvlJc w:val="left"/>
      <w:pPr>
        <w:ind w:left="5040" w:hanging="360"/>
      </w:pPr>
      <w:rPr>
        <w:rFonts w:ascii="Symbol" w:hAnsi="Symbol" w:hint="default"/>
      </w:rPr>
    </w:lvl>
    <w:lvl w:ilvl="7" w:tplc="60C4B5BA" w:tentative="1">
      <w:start w:val="1"/>
      <w:numFmt w:val="bullet"/>
      <w:lvlText w:val="o"/>
      <w:lvlJc w:val="left"/>
      <w:pPr>
        <w:ind w:left="5760" w:hanging="360"/>
      </w:pPr>
      <w:rPr>
        <w:rFonts w:ascii="Courier New" w:hAnsi="Courier New" w:cs="Courier New" w:hint="default"/>
      </w:rPr>
    </w:lvl>
    <w:lvl w:ilvl="8" w:tplc="3B86FFB8" w:tentative="1">
      <w:start w:val="1"/>
      <w:numFmt w:val="bullet"/>
      <w:lvlText w:val=""/>
      <w:lvlJc w:val="left"/>
      <w:pPr>
        <w:ind w:left="6480" w:hanging="360"/>
      </w:pPr>
      <w:rPr>
        <w:rFonts w:ascii="Wingdings" w:hAnsi="Wingdings" w:hint="default"/>
      </w:rPr>
    </w:lvl>
  </w:abstractNum>
  <w:abstractNum w:abstractNumId="37" w15:restartNumberingAfterBreak="0">
    <w:nsid w:val="27006F01"/>
    <w:multiLevelType w:val="hybridMultilevel"/>
    <w:tmpl w:val="DB9808B8"/>
    <w:lvl w:ilvl="0" w:tplc="0D689782">
      <w:start w:val="1"/>
      <w:numFmt w:val="bullet"/>
      <w:pStyle w:val="Hlistline3"/>
      <w:lvlText w:val="-"/>
      <w:lvlJc w:val="left"/>
      <w:pPr>
        <w:ind w:left="644" w:hanging="360"/>
      </w:pPr>
      <w:rPr>
        <w:rFonts w:ascii="Courier New" w:hAnsi="Courier New" w:hint="default"/>
        <w:color w:val="000000"/>
      </w:rPr>
    </w:lvl>
    <w:lvl w:ilvl="1" w:tplc="CD2A3DFA" w:tentative="1">
      <w:start w:val="1"/>
      <w:numFmt w:val="bullet"/>
      <w:lvlText w:val="o"/>
      <w:lvlJc w:val="left"/>
      <w:pPr>
        <w:tabs>
          <w:tab w:val="num" w:pos="1440"/>
        </w:tabs>
        <w:ind w:left="1440" w:hanging="360"/>
      </w:pPr>
      <w:rPr>
        <w:rFonts w:ascii="Courier New" w:hAnsi="Courier New" w:hint="default"/>
      </w:rPr>
    </w:lvl>
    <w:lvl w:ilvl="2" w:tplc="3092A0C6" w:tentative="1">
      <w:start w:val="1"/>
      <w:numFmt w:val="bullet"/>
      <w:lvlText w:val=""/>
      <w:lvlJc w:val="left"/>
      <w:pPr>
        <w:tabs>
          <w:tab w:val="num" w:pos="2160"/>
        </w:tabs>
        <w:ind w:left="2160" w:hanging="360"/>
      </w:pPr>
      <w:rPr>
        <w:rFonts w:ascii="Wingdings" w:hAnsi="Wingdings" w:hint="default"/>
      </w:rPr>
    </w:lvl>
    <w:lvl w:ilvl="3" w:tplc="5D224366" w:tentative="1">
      <w:start w:val="1"/>
      <w:numFmt w:val="bullet"/>
      <w:lvlText w:val=""/>
      <w:lvlJc w:val="left"/>
      <w:pPr>
        <w:tabs>
          <w:tab w:val="num" w:pos="2880"/>
        </w:tabs>
        <w:ind w:left="2880" w:hanging="360"/>
      </w:pPr>
      <w:rPr>
        <w:rFonts w:ascii="Symbol" w:hAnsi="Symbol" w:hint="default"/>
      </w:rPr>
    </w:lvl>
    <w:lvl w:ilvl="4" w:tplc="F634F224" w:tentative="1">
      <w:start w:val="1"/>
      <w:numFmt w:val="bullet"/>
      <w:lvlText w:val="o"/>
      <w:lvlJc w:val="left"/>
      <w:pPr>
        <w:tabs>
          <w:tab w:val="num" w:pos="3600"/>
        </w:tabs>
        <w:ind w:left="3600" w:hanging="360"/>
      </w:pPr>
      <w:rPr>
        <w:rFonts w:ascii="Courier New" w:hAnsi="Courier New" w:hint="default"/>
      </w:rPr>
    </w:lvl>
    <w:lvl w:ilvl="5" w:tplc="035E6EF6" w:tentative="1">
      <w:start w:val="1"/>
      <w:numFmt w:val="bullet"/>
      <w:lvlText w:val=""/>
      <w:lvlJc w:val="left"/>
      <w:pPr>
        <w:tabs>
          <w:tab w:val="num" w:pos="4320"/>
        </w:tabs>
        <w:ind w:left="4320" w:hanging="360"/>
      </w:pPr>
      <w:rPr>
        <w:rFonts w:ascii="Wingdings" w:hAnsi="Wingdings" w:hint="default"/>
      </w:rPr>
    </w:lvl>
    <w:lvl w:ilvl="6" w:tplc="5BCE702A" w:tentative="1">
      <w:start w:val="1"/>
      <w:numFmt w:val="bullet"/>
      <w:lvlText w:val=""/>
      <w:lvlJc w:val="left"/>
      <w:pPr>
        <w:tabs>
          <w:tab w:val="num" w:pos="5040"/>
        </w:tabs>
        <w:ind w:left="5040" w:hanging="360"/>
      </w:pPr>
      <w:rPr>
        <w:rFonts w:ascii="Symbol" w:hAnsi="Symbol" w:hint="default"/>
      </w:rPr>
    </w:lvl>
    <w:lvl w:ilvl="7" w:tplc="72708E30" w:tentative="1">
      <w:start w:val="1"/>
      <w:numFmt w:val="bullet"/>
      <w:lvlText w:val="o"/>
      <w:lvlJc w:val="left"/>
      <w:pPr>
        <w:tabs>
          <w:tab w:val="num" w:pos="5760"/>
        </w:tabs>
        <w:ind w:left="5760" w:hanging="360"/>
      </w:pPr>
      <w:rPr>
        <w:rFonts w:ascii="Courier New" w:hAnsi="Courier New" w:hint="default"/>
      </w:rPr>
    </w:lvl>
    <w:lvl w:ilvl="8" w:tplc="5BF077B8"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465188"/>
    <w:multiLevelType w:val="hybridMultilevel"/>
    <w:tmpl w:val="FFAE6D38"/>
    <w:lvl w:ilvl="0" w:tplc="121ADFD0">
      <w:start w:val="1"/>
      <w:numFmt w:val="bullet"/>
      <w:lvlText w:val=""/>
      <w:lvlJc w:val="left"/>
      <w:pPr>
        <w:ind w:left="360" w:hanging="360"/>
      </w:pPr>
      <w:rPr>
        <w:rFonts w:ascii="Symbol" w:hAnsi="Symbol" w:hint="default"/>
        <w:color w:val="57825E"/>
        <w:sz w:val="18"/>
      </w:rPr>
    </w:lvl>
    <w:lvl w:ilvl="1" w:tplc="B1B04564">
      <w:start w:val="1"/>
      <w:numFmt w:val="bullet"/>
      <w:lvlText w:val="o"/>
      <w:lvlJc w:val="left"/>
      <w:pPr>
        <w:ind w:left="1440" w:hanging="360"/>
      </w:pPr>
      <w:rPr>
        <w:rFonts w:ascii="Courier New" w:hAnsi="Courier New" w:cs="Courier New" w:hint="default"/>
      </w:rPr>
    </w:lvl>
    <w:lvl w:ilvl="2" w:tplc="81C86460" w:tentative="1">
      <w:start w:val="1"/>
      <w:numFmt w:val="bullet"/>
      <w:lvlText w:val=""/>
      <w:lvlJc w:val="left"/>
      <w:pPr>
        <w:ind w:left="2160" w:hanging="360"/>
      </w:pPr>
      <w:rPr>
        <w:rFonts w:ascii="Wingdings" w:hAnsi="Wingdings" w:hint="default"/>
      </w:rPr>
    </w:lvl>
    <w:lvl w:ilvl="3" w:tplc="1924F58E" w:tentative="1">
      <w:start w:val="1"/>
      <w:numFmt w:val="bullet"/>
      <w:lvlText w:val=""/>
      <w:lvlJc w:val="left"/>
      <w:pPr>
        <w:ind w:left="2880" w:hanging="360"/>
      </w:pPr>
      <w:rPr>
        <w:rFonts w:ascii="Symbol" w:hAnsi="Symbol" w:hint="default"/>
      </w:rPr>
    </w:lvl>
    <w:lvl w:ilvl="4" w:tplc="0E94A31A" w:tentative="1">
      <w:start w:val="1"/>
      <w:numFmt w:val="bullet"/>
      <w:lvlText w:val="o"/>
      <w:lvlJc w:val="left"/>
      <w:pPr>
        <w:ind w:left="3600" w:hanging="360"/>
      </w:pPr>
      <w:rPr>
        <w:rFonts w:ascii="Courier New" w:hAnsi="Courier New" w:cs="Courier New" w:hint="default"/>
      </w:rPr>
    </w:lvl>
    <w:lvl w:ilvl="5" w:tplc="99D27990" w:tentative="1">
      <w:start w:val="1"/>
      <w:numFmt w:val="bullet"/>
      <w:lvlText w:val=""/>
      <w:lvlJc w:val="left"/>
      <w:pPr>
        <w:ind w:left="4320" w:hanging="360"/>
      </w:pPr>
      <w:rPr>
        <w:rFonts w:ascii="Wingdings" w:hAnsi="Wingdings" w:hint="default"/>
      </w:rPr>
    </w:lvl>
    <w:lvl w:ilvl="6" w:tplc="20606950" w:tentative="1">
      <w:start w:val="1"/>
      <w:numFmt w:val="bullet"/>
      <w:lvlText w:val=""/>
      <w:lvlJc w:val="left"/>
      <w:pPr>
        <w:ind w:left="5040" w:hanging="360"/>
      </w:pPr>
      <w:rPr>
        <w:rFonts w:ascii="Symbol" w:hAnsi="Symbol" w:hint="default"/>
      </w:rPr>
    </w:lvl>
    <w:lvl w:ilvl="7" w:tplc="AA725C70" w:tentative="1">
      <w:start w:val="1"/>
      <w:numFmt w:val="bullet"/>
      <w:lvlText w:val="o"/>
      <w:lvlJc w:val="left"/>
      <w:pPr>
        <w:ind w:left="5760" w:hanging="360"/>
      </w:pPr>
      <w:rPr>
        <w:rFonts w:ascii="Courier New" w:hAnsi="Courier New" w:cs="Courier New" w:hint="default"/>
      </w:rPr>
    </w:lvl>
    <w:lvl w:ilvl="8" w:tplc="CCF687AA" w:tentative="1">
      <w:start w:val="1"/>
      <w:numFmt w:val="bullet"/>
      <w:lvlText w:val=""/>
      <w:lvlJc w:val="left"/>
      <w:pPr>
        <w:ind w:left="6480" w:hanging="360"/>
      </w:pPr>
      <w:rPr>
        <w:rFonts w:ascii="Wingdings" w:hAnsi="Wingdings" w:hint="default"/>
      </w:rPr>
    </w:lvl>
  </w:abstractNum>
  <w:abstractNum w:abstractNumId="39" w15:restartNumberingAfterBreak="0">
    <w:nsid w:val="283E0DF0"/>
    <w:multiLevelType w:val="multilevel"/>
    <w:tmpl w:val="080C001D"/>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86A11E0"/>
    <w:multiLevelType w:val="hybridMultilevel"/>
    <w:tmpl w:val="A516C7C8"/>
    <w:lvl w:ilvl="0" w:tplc="823237F6">
      <w:start w:val="1"/>
      <w:numFmt w:val="bullet"/>
      <w:lvlText w:val=""/>
      <w:lvlJc w:val="left"/>
      <w:pPr>
        <w:ind w:left="928" w:hanging="360"/>
      </w:pPr>
      <w:rPr>
        <w:rFonts w:ascii="Symbol" w:hAnsi="Symbol" w:hint="default"/>
        <w:b w:val="0"/>
        <w:color w:val="57825E"/>
      </w:rPr>
    </w:lvl>
    <w:lvl w:ilvl="1" w:tplc="4BAC6F26" w:tentative="1">
      <w:start w:val="1"/>
      <w:numFmt w:val="bullet"/>
      <w:lvlText w:val="o"/>
      <w:lvlJc w:val="left"/>
      <w:pPr>
        <w:ind w:left="1648" w:hanging="360"/>
      </w:pPr>
      <w:rPr>
        <w:rFonts w:ascii="Courier New" w:hAnsi="Courier New" w:cs="Courier New" w:hint="default"/>
      </w:rPr>
    </w:lvl>
    <w:lvl w:ilvl="2" w:tplc="A4D04EC0" w:tentative="1">
      <w:start w:val="1"/>
      <w:numFmt w:val="bullet"/>
      <w:lvlText w:val=""/>
      <w:lvlJc w:val="left"/>
      <w:pPr>
        <w:ind w:left="2368" w:hanging="360"/>
      </w:pPr>
      <w:rPr>
        <w:rFonts w:ascii="Wingdings" w:hAnsi="Wingdings" w:hint="default"/>
      </w:rPr>
    </w:lvl>
    <w:lvl w:ilvl="3" w:tplc="A9664D2A" w:tentative="1">
      <w:start w:val="1"/>
      <w:numFmt w:val="bullet"/>
      <w:lvlText w:val=""/>
      <w:lvlJc w:val="left"/>
      <w:pPr>
        <w:ind w:left="3088" w:hanging="360"/>
      </w:pPr>
      <w:rPr>
        <w:rFonts w:ascii="Symbol" w:hAnsi="Symbol" w:hint="default"/>
      </w:rPr>
    </w:lvl>
    <w:lvl w:ilvl="4" w:tplc="AA14658C" w:tentative="1">
      <w:start w:val="1"/>
      <w:numFmt w:val="bullet"/>
      <w:lvlText w:val="o"/>
      <w:lvlJc w:val="left"/>
      <w:pPr>
        <w:ind w:left="3808" w:hanging="360"/>
      </w:pPr>
      <w:rPr>
        <w:rFonts w:ascii="Courier New" w:hAnsi="Courier New" w:cs="Courier New" w:hint="default"/>
      </w:rPr>
    </w:lvl>
    <w:lvl w:ilvl="5" w:tplc="4BD00212" w:tentative="1">
      <w:start w:val="1"/>
      <w:numFmt w:val="bullet"/>
      <w:lvlText w:val=""/>
      <w:lvlJc w:val="left"/>
      <w:pPr>
        <w:ind w:left="4528" w:hanging="360"/>
      </w:pPr>
      <w:rPr>
        <w:rFonts w:ascii="Wingdings" w:hAnsi="Wingdings" w:hint="default"/>
      </w:rPr>
    </w:lvl>
    <w:lvl w:ilvl="6" w:tplc="B896CE5E" w:tentative="1">
      <w:start w:val="1"/>
      <w:numFmt w:val="bullet"/>
      <w:lvlText w:val=""/>
      <w:lvlJc w:val="left"/>
      <w:pPr>
        <w:ind w:left="5248" w:hanging="360"/>
      </w:pPr>
      <w:rPr>
        <w:rFonts w:ascii="Symbol" w:hAnsi="Symbol" w:hint="default"/>
      </w:rPr>
    </w:lvl>
    <w:lvl w:ilvl="7" w:tplc="63423DA8" w:tentative="1">
      <w:start w:val="1"/>
      <w:numFmt w:val="bullet"/>
      <w:lvlText w:val="o"/>
      <w:lvlJc w:val="left"/>
      <w:pPr>
        <w:ind w:left="5968" w:hanging="360"/>
      </w:pPr>
      <w:rPr>
        <w:rFonts w:ascii="Courier New" w:hAnsi="Courier New" w:cs="Courier New" w:hint="default"/>
      </w:rPr>
    </w:lvl>
    <w:lvl w:ilvl="8" w:tplc="A73639E2" w:tentative="1">
      <w:start w:val="1"/>
      <w:numFmt w:val="bullet"/>
      <w:lvlText w:val=""/>
      <w:lvlJc w:val="left"/>
      <w:pPr>
        <w:ind w:left="6688" w:hanging="360"/>
      </w:pPr>
      <w:rPr>
        <w:rFonts w:ascii="Wingdings" w:hAnsi="Wingdings" w:hint="default"/>
      </w:rPr>
    </w:lvl>
  </w:abstractNum>
  <w:abstractNum w:abstractNumId="41" w15:restartNumberingAfterBreak="0">
    <w:nsid w:val="2894707C"/>
    <w:multiLevelType w:val="hybridMultilevel"/>
    <w:tmpl w:val="376ED638"/>
    <w:lvl w:ilvl="0" w:tplc="3F3C5BEA">
      <w:start w:val="1"/>
      <w:numFmt w:val="bullet"/>
      <w:lvlText w:val=""/>
      <w:lvlJc w:val="left"/>
      <w:pPr>
        <w:ind w:left="720" w:hanging="360"/>
      </w:pPr>
      <w:rPr>
        <w:rFonts w:ascii="Symbol" w:hAnsi="Symbol" w:hint="default"/>
        <w:color w:val="57825E"/>
      </w:rPr>
    </w:lvl>
    <w:lvl w:ilvl="1" w:tplc="AC244F8E" w:tentative="1">
      <w:start w:val="1"/>
      <w:numFmt w:val="bullet"/>
      <w:lvlText w:val="o"/>
      <w:lvlJc w:val="left"/>
      <w:pPr>
        <w:ind w:left="1440" w:hanging="360"/>
      </w:pPr>
      <w:rPr>
        <w:rFonts w:ascii="Courier New" w:hAnsi="Courier New" w:cs="Courier New" w:hint="default"/>
      </w:rPr>
    </w:lvl>
    <w:lvl w:ilvl="2" w:tplc="6EC4BFC8" w:tentative="1">
      <w:start w:val="1"/>
      <w:numFmt w:val="bullet"/>
      <w:lvlText w:val=""/>
      <w:lvlJc w:val="left"/>
      <w:pPr>
        <w:ind w:left="2160" w:hanging="360"/>
      </w:pPr>
      <w:rPr>
        <w:rFonts w:ascii="Wingdings" w:hAnsi="Wingdings" w:hint="default"/>
      </w:rPr>
    </w:lvl>
    <w:lvl w:ilvl="3" w:tplc="088E86AA" w:tentative="1">
      <w:start w:val="1"/>
      <w:numFmt w:val="bullet"/>
      <w:lvlText w:val=""/>
      <w:lvlJc w:val="left"/>
      <w:pPr>
        <w:ind w:left="2880" w:hanging="360"/>
      </w:pPr>
      <w:rPr>
        <w:rFonts w:ascii="Symbol" w:hAnsi="Symbol" w:hint="default"/>
      </w:rPr>
    </w:lvl>
    <w:lvl w:ilvl="4" w:tplc="AB6E2C7A" w:tentative="1">
      <w:start w:val="1"/>
      <w:numFmt w:val="bullet"/>
      <w:lvlText w:val="o"/>
      <w:lvlJc w:val="left"/>
      <w:pPr>
        <w:ind w:left="3600" w:hanging="360"/>
      </w:pPr>
      <w:rPr>
        <w:rFonts w:ascii="Courier New" w:hAnsi="Courier New" w:cs="Courier New" w:hint="default"/>
      </w:rPr>
    </w:lvl>
    <w:lvl w:ilvl="5" w:tplc="A29CD762" w:tentative="1">
      <w:start w:val="1"/>
      <w:numFmt w:val="bullet"/>
      <w:lvlText w:val=""/>
      <w:lvlJc w:val="left"/>
      <w:pPr>
        <w:ind w:left="4320" w:hanging="360"/>
      </w:pPr>
      <w:rPr>
        <w:rFonts w:ascii="Wingdings" w:hAnsi="Wingdings" w:hint="default"/>
      </w:rPr>
    </w:lvl>
    <w:lvl w:ilvl="6" w:tplc="467C8B46" w:tentative="1">
      <w:start w:val="1"/>
      <w:numFmt w:val="bullet"/>
      <w:lvlText w:val=""/>
      <w:lvlJc w:val="left"/>
      <w:pPr>
        <w:ind w:left="5040" w:hanging="360"/>
      </w:pPr>
      <w:rPr>
        <w:rFonts w:ascii="Symbol" w:hAnsi="Symbol" w:hint="default"/>
      </w:rPr>
    </w:lvl>
    <w:lvl w:ilvl="7" w:tplc="8318BD1A" w:tentative="1">
      <w:start w:val="1"/>
      <w:numFmt w:val="bullet"/>
      <w:lvlText w:val="o"/>
      <w:lvlJc w:val="left"/>
      <w:pPr>
        <w:ind w:left="5760" w:hanging="360"/>
      </w:pPr>
      <w:rPr>
        <w:rFonts w:ascii="Courier New" w:hAnsi="Courier New" w:cs="Courier New" w:hint="default"/>
      </w:rPr>
    </w:lvl>
    <w:lvl w:ilvl="8" w:tplc="02BE742C" w:tentative="1">
      <w:start w:val="1"/>
      <w:numFmt w:val="bullet"/>
      <w:lvlText w:val=""/>
      <w:lvlJc w:val="left"/>
      <w:pPr>
        <w:ind w:left="6480" w:hanging="360"/>
      </w:pPr>
      <w:rPr>
        <w:rFonts w:ascii="Wingdings" w:hAnsi="Wingdings" w:hint="default"/>
      </w:rPr>
    </w:lvl>
  </w:abstractNum>
  <w:abstractNum w:abstractNumId="42" w15:restartNumberingAfterBreak="0">
    <w:nsid w:val="2B3D77C8"/>
    <w:multiLevelType w:val="hybridMultilevel"/>
    <w:tmpl w:val="5D5AC50E"/>
    <w:lvl w:ilvl="0" w:tplc="39305D00">
      <w:start w:val="1"/>
      <w:numFmt w:val="bullet"/>
      <w:lvlText w:val=""/>
      <w:lvlJc w:val="left"/>
      <w:pPr>
        <w:ind w:left="720" w:hanging="360"/>
      </w:pPr>
      <w:rPr>
        <w:rFonts w:ascii="Symbol" w:hAnsi="Symbol" w:hint="default"/>
        <w:color w:val="006463"/>
        <w:sz w:val="20"/>
      </w:rPr>
    </w:lvl>
    <w:lvl w:ilvl="1" w:tplc="356612F0">
      <w:start w:val="1"/>
      <w:numFmt w:val="bullet"/>
      <w:lvlText w:val="o"/>
      <w:lvlJc w:val="left"/>
      <w:pPr>
        <w:ind w:left="1440" w:hanging="360"/>
      </w:pPr>
      <w:rPr>
        <w:rFonts w:ascii="Courier New" w:hAnsi="Courier New" w:cs="Courier New" w:hint="default"/>
      </w:rPr>
    </w:lvl>
    <w:lvl w:ilvl="2" w:tplc="BDAAC7F0" w:tentative="1">
      <w:start w:val="1"/>
      <w:numFmt w:val="bullet"/>
      <w:lvlText w:val=""/>
      <w:lvlJc w:val="left"/>
      <w:pPr>
        <w:ind w:left="2160" w:hanging="360"/>
      </w:pPr>
      <w:rPr>
        <w:rFonts w:ascii="Wingdings" w:hAnsi="Wingdings" w:hint="default"/>
      </w:rPr>
    </w:lvl>
    <w:lvl w:ilvl="3" w:tplc="E7AAFD20" w:tentative="1">
      <w:start w:val="1"/>
      <w:numFmt w:val="bullet"/>
      <w:lvlText w:val=""/>
      <w:lvlJc w:val="left"/>
      <w:pPr>
        <w:ind w:left="2880" w:hanging="360"/>
      </w:pPr>
      <w:rPr>
        <w:rFonts w:ascii="Symbol" w:hAnsi="Symbol" w:hint="default"/>
      </w:rPr>
    </w:lvl>
    <w:lvl w:ilvl="4" w:tplc="401C0810" w:tentative="1">
      <w:start w:val="1"/>
      <w:numFmt w:val="bullet"/>
      <w:lvlText w:val="o"/>
      <w:lvlJc w:val="left"/>
      <w:pPr>
        <w:ind w:left="3600" w:hanging="360"/>
      </w:pPr>
      <w:rPr>
        <w:rFonts w:ascii="Courier New" w:hAnsi="Courier New" w:cs="Courier New" w:hint="default"/>
      </w:rPr>
    </w:lvl>
    <w:lvl w:ilvl="5" w:tplc="882C633A" w:tentative="1">
      <w:start w:val="1"/>
      <w:numFmt w:val="bullet"/>
      <w:lvlText w:val=""/>
      <w:lvlJc w:val="left"/>
      <w:pPr>
        <w:ind w:left="4320" w:hanging="360"/>
      </w:pPr>
      <w:rPr>
        <w:rFonts w:ascii="Wingdings" w:hAnsi="Wingdings" w:hint="default"/>
      </w:rPr>
    </w:lvl>
    <w:lvl w:ilvl="6" w:tplc="2F1A4110" w:tentative="1">
      <w:start w:val="1"/>
      <w:numFmt w:val="bullet"/>
      <w:lvlText w:val=""/>
      <w:lvlJc w:val="left"/>
      <w:pPr>
        <w:ind w:left="5040" w:hanging="360"/>
      </w:pPr>
      <w:rPr>
        <w:rFonts w:ascii="Symbol" w:hAnsi="Symbol" w:hint="default"/>
      </w:rPr>
    </w:lvl>
    <w:lvl w:ilvl="7" w:tplc="5E2E9A3A" w:tentative="1">
      <w:start w:val="1"/>
      <w:numFmt w:val="bullet"/>
      <w:lvlText w:val="o"/>
      <w:lvlJc w:val="left"/>
      <w:pPr>
        <w:ind w:left="5760" w:hanging="360"/>
      </w:pPr>
      <w:rPr>
        <w:rFonts w:ascii="Courier New" w:hAnsi="Courier New" w:cs="Courier New" w:hint="default"/>
      </w:rPr>
    </w:lvl>
    <w:lvl w:ilvl="8" w:tplc="37700B1E" w:tentative="1">
      <w:start w:val="1"/>
      <w:numFmt w:val="bullet"/>
      <w:lvlText w:val=""/>
      <w:lvlJc w:val="left"/>
      <w:pPr>
        <w:ind w:left="6480" w:hanging="360"/>
      </w:pPr>
      <w:rPr>
        <w:rFonts w:ascii="Wingdings" w:hAnsi="Wingdings" w:hint="default"/>
      </w:rPr>
    </w:lvl>
  </w:abstractNum>
  <w:abstractNum w:abstractNumId="43"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F837949"/>
    <w:multiLevelType w:val="hybridMultilevel"/>
    <w:tmpl w:val="7A5EC86A"/>
    <w:lvl w:ilvl="0" w:tplc="BB3091A8">
      <w:start w:val="1"/>
      <w:numFmt w:val="bullet"/>
      <w:lvlText w:val=""/>
      <w:lvlJc w:val="left"/>
      <w:pPr>
        <w:ind w:left="720" w:hanging="360"/>
      </w:pPr>
      <w:rPr>
        <w:rFonts w:ascii="Wingdings" w:hAnsi="Wingdings" w:hint="default"/>
      </w:rPr>
    </w:lvl>
    <w:lvl w:ilvl="1" w:tplc="7556DBE6" w:tentative="1">
      <w:start w:val="1"/>
      <w:numFmt w:val="bullet"/>
      <w:lvlText w:val="o"/>
      <w:lvlJc w:val="left"/>
      <w:pPr>
        <w:ind w:left="1440" w:hanging="360"/>
      </w:pPr>
      <w:rPr>
        <w:rFonts w:ascii="Courier New" w:hAnsi="Courier New" w:hint="default"/>
      </w:rPr>
    </w:lvl>
    <w:lvl w:ilvl="2" w:tplc="CA2CA170" w:tentative="1">
      <w:start w:val="1"/>
      <w:numFmt w:val="bullet"/>
      <w:lvlText w:val=""/>
      <w:lvlJc w:val="left"/>
      <w:pPr>
        <w:ind w:left="2160" w:hanging="360"/>
      </w:pPr>
      <w:rPr>
        <w:rFonts w:ascii="Wingdings" w:hAnsi="Wingdings" w:hint="default"/>
      </w:rPr>
    </w:lvl>
    <w:lvl w:ilvl="3" w:tplc="E5F6A500" w:tentative="1">
      <w:start w:val="1"/>
      <w:numFmt w:val="bullet"/>
      <w:lvlText w:val=""/>
      <w:lvlJc w:val="left"/>
      <w:pPr>
        <w:ind w:left="2880" w:hanging="360"/>
      </w:pPr>
      <w:rPr>
        <w:rFonts w:ascii="Symbol" w:hAnsi="Symbol" w:hint="default"/>
      </w:rPr>
    </w:lvl>
    <w:lvl w:ilvl="4" w:tplc="8A0ED03A" w:tentative="1">
      <w:start w:val="1"/>
      <w:numFmt w:val="bullet"/>
      <w:lvlText w:val="o"/>
      <w:lvlJc w:val="left"/>
      <w:pPr>
        <w:ind w:left="3600" w:hanging="360"/>
      </w:pPr>
      <w:rPr>
        <w:rFonts w:ascii="Courier New" w:hAnsi="Courier New" w:hint="default"/>
      </w:rPr>
    </w:lvl>
    <w:lvl w:ilvl="5" w:tplc="FED003FE" w:tentative="1">
      <w:start w:val="1"/>
      <w:numFmt w:val="bullet"/>
      <w:lvlText w:val=""/>
      <w:lvlJc w:val="left"/>
      <w:pPr>
        <w:ind w:left="4320" w:hanging="360"/>
      </w:pPr>
      <w:rPr>
        <w:rFonts w:ascii="Wingdings" w:hAnsi="Wingdings" w:hint="default"/>
      </w:rPr>
    </w:lvl>
    <w:lvl w:ilvl="6" w:tplc="74C8BE18" w:tentative="1">
      <w:start w:val="1"/>
      <w:numFmt w:val="bullet"/>
      <w:lvlText w:val=""/>
      <w:lvlJc w:val="left"/>
      <w:pPr>
        <w:ind w:left="5040" w:hanging="360"/>
      </w:pPr>
      <w:rPr>
        <w:rFonts w:ascii="Symbol" w:hAnsi="Symbol" w:hint="default"/>
      </w:rPr>
    </w:lvl>
    <w:lvl w:ilvl="7" w:tplc="2A742340" w:tentative="1">
      <w:start w:val="1"/>
      <w:numFmt w:val="bullet"/>
      <w:lvlText w:val="o"/>
      <w:lvlJc w:val="left"/>
      <w:pPr>
        <w:ind w:left="5760" w:hanging="360"/>
      </w:pPr>
      <w:rPr>
        <w:rFonts w:ascii="Courier New" w:hAnsi="Courier New" w:hint="default"/>
      </w:rPr>
    </w:lvl>
    <w:lvl w:ilvl="8" w:tplc="BAE0C97A" w:tentative="1">
      <w:start w:val="1"/>
      <w:numFmt w:val="bullet"/>
      <w:lvlText w:val=""/>
      <w:lvlJc w:val="left"/>
      <w:pPr>
        <w:ind w:left="6480" w:hanging="360"/>
      </w:pPr>
      <w:rPr>
        <w:rFonts w:ascii="Wingdings" w:hAnsi="Wingdings" w:hint="default"/>
      </w:rPr>
    </w:lvl>
  </w:abstractNum>
  <w:abstractNum w:abstractNumId="45" w15:restartNumberingAfterBreak="0">
    <w:nsid w:val="308C2F18"/>
    <w:multiLevelType w:val="hybridMultilevel"/>
    <w:tmpl w:val="5D4A425A"/>
    <w:lvl w:ilvl="0" w:tplc="9F700F12">
      <w:start w:val="1"/>
      <w:numFmt w:val="bullet"/>
      <w:lvlText w:val="o"/>
      <w:lvlJc w:val="left"/>
      <w:pPr>
        <w:ind w:left="720" w:hanging="360"/>
      </w:pPr>
      <w:rPr>
        <w:rFonts w:ascii="Courier New" w:hAnsi="Courier New" w:cs="Courier New" w:hint="default"/>
        <w:color w:val="F07E31"/>
      </w:rPr>
    </w:lvl>
    <w:lvl w:ilvl="1" w:tplc="7B6EC8C8" w:tentative="1">
      <w:start w:val="1"/>
      <w:numFmt w:val="bullet"/>
      <w:lvlText w:val="o"/>
      <w:lvlJc w:val="left"/>
      <w:pPr>
        <w:ind w:left="1440" w:hanging="360"/>
      </w:pPr>
      <w:rPr>
        <w:rFonts w:ascii="Courier New" w:hAnsi="Courier New" w:cs="Courier New" w:hint="default"/>
      </w:rPr>
    </w:lvl>
    <w:lvl w:ilvl="2" w:tplc="1668F93A" w:tentative="1">
      <w:start w:val="1"/>
      <w:numFmt w:val="bullet"/>
      <w:lvlText w:val=""/>
      <w:lvlJc w:val="left"/>
      <w:pPr>
        <w:ind w:left="2160" w:hanging="360"/>
      </w:pPr>
      <w:rPr>
        <w:rFonts w:ascii="Wingdings" w:hAnsi="Wingdings" w:hint="default"/>
      </w:rPr>
    </w:lvl>
    <w:lvl w:ilvl="3" w:tplc="BB36AB6E" w:tentative="1">
      <w:start w:val="1"/>
      <w:numFmt w:val="bullet"/>
      <w:lvlText w:val=""/>
      <w:lvlJc w:val="left"/>
      <w:pPr>
        <w:ind w:left="2880" w:hanging="360"/>
      </w:pPr>
      <w:rPr>
        <w:rFonts w:ascii="Symbol" w:hAnsi="Symbol" w:hint="default"/>
      </w:rPr>
    </w:lvl>
    <w:lvl w:ilvl="4" w:tplc="45460B08" w:tentative="1">
      <w:start w:val="1"/>
      <w:numFmt w:val="bullet"/>
      <w:lvlText w:val="o"/>
      <w:lvlJc w:val="left"/>
      <w:pPr>
        <w:ind w:left="3600" w:hanging="360"/>
      </w:pPr>
      <w:rPr>
        <w:rFonts w:ascii="Courier New" w:hAnsi="Courier New" w:cs="Courier New" w:hint="default"/>
      </w:rPr>
    </w:lvl>
    <w:lvl w:ilvl="5" w:tplc="8C2E505E" w:tentative="1">
      <w:start w:val="1"/>
      <w:numFmt w:val="bullet"/>
      <w:lvlText w:val=""/>
      <w:lvlJc w:val="left"/>
      <w:pPr>
        <w:ind w:left="4320" w:hanging="360"/>
      </w:pPr>
      <w:rPr>
        <w:rFonts w:ascii="Wingdings" w:hAnsi="Wingdings" w:hint="default"/>
      </w:rPr>
    </w:lvl>
    <w:lvl w:ilvl="6" w:tplc="8B6C2E8C" w:tentative="1">
      <w:start w:val="1"/>
      <w:numFmt w:val="bullet"/>
      <w:lvlText w:val=""/>
      <w:lvlJc w:val="left"/>
      <w:pPr>
        <w:ind w:left="5040" w:hanging="360"/>
      </w:pPr>
      <w:rPr>
        <w:rFonts w:ascii="Symbol" w:hAnsi="Symbol" w:hint="default"/>
      </w:rPr>
    </w:lvl>
    <w:lvl w:ilvl="7" w:tplc="0DFCEC98" w:tentative="1">
      <w:start w:val="1"/>
      <w:numFmt w:val="bullet"/>
      <w:lvlText w:val="o"/>
      <w:lvlJc w:val="left"/>
      <w:pPr>
        <w:ind w:left="5760" w:hanging="360"/>
      </w:pPr>
      <w:rPr>
        <w:rFonts w:ascii="Courier New" w:hAnsi="Courier New" w:cs="Courier New" w:hint="default"/>
      </w:rPr>
    </w:lvl>
    <w:lvl w:ilvl="8" w:tplc="464C400A" w:tentative="1">
      <w:start w:val="1"/>
      <w:numFmt w:val="bullet"/>
      <w:lvlText w:val=""/>
      <w:lvlJc w:val="left"/>
      <w:pPr>
        <w:ind w:left="6480" w:hanging="360"/>
      </w:pPr>
      <w:rPr>
        <w:rFonts w:ascii="Wingdings" w:hAnsi="Wingdings" w:hint="default"/>
      </w:rPr>
    </w:lvl>
  </w:abstractNum>
  <w:abstractNum w:abstractNumId="46" w15:restartNumberingAfterBreak="0">
    <w:nsid w:val="310547BD"/>
    <w:multiLevelType w:val="hybridMultilevel"/>
    <w:tmpl w:val="5628C4EC"/>
    <w:lvl w:ilvl="0" w:tplc="830E2CF4">
      <w:start w:val="1"/>
      <w:numFmt w:val="decimal"/>
      <w:pStyle w:val="HHeadingfigures"/>
      <w:lvlText w:val="Figure %1."/>
      <w:lvlJc w:val="left"/>
      <w:pPr>
        <w:tabs>
          <w:tab w:val="num" w:pos="964"/>
        </w:tabs>
        <w:ind w:left="964" w:hanging="964"/>
      </w:pPr>
      <w:rPr>
        <w:rFonts w:hint="default"/>
      </w:rPr>
    </w:lvl>
    <w:lvl w:ilvl="1" w:tplc="1C508B70">
      <w:start w:val="1"/>
      <w:numFmt w:val="lowerLetter"/>
      <w:lvlText w:val="%2."/>
      <w:lvlJc w:val="left"/>
      <w:pPr>
        <w:ind w:left="1440" w:hanging="360"/>
      </w:pPr>
    </w:lvl>
    <w:lvl w:ilvl="2" w:tplc="AA52B68A" w:tentative="1">
      <w:start w:val="1"/>
      <w:numFmt w:val="lowerRoman"/>
      <w:lvlText w:val="%3."/>
      <w:lvlJc w:val="right"/>
      <w:pPr>
        <w:ind w:left="2160" w:hanging="180"/>
      </w:pPr>
    </w:lvl>
    <w:lvl w:ilvl="3" w:tplc="53F8C592" w:tentative="1">
      <w:start w:val="1"/>
      <w:numFmt w:val="decimal"/>
      <w:lvlText w:val="%4."/>
      <w:lvlJc w:val="left"/>
      <w:pPr>
        <w:ind w:left="2880" w:hanging="360"/>
      </w:pPr>
    </w:lvl>
    <w:lvl w:ilvl="4" w:tplc="E91694D0" w:tentative="1">
      <w:start w:val="1"/>
      <w:numFmt w:val="lowerLetter"/>
      <w:lvlText w:val="%5."/>
      <w:lvlJc w:val="left"/>
      <w:pPr>
        <w:ind w:left="3600" w:hanging="360"/>
      </w:pPr>
    </w:lvl>
    <w:lvl w:ilvl="5" w:tplc="5B067108" w:tentative="1">
      <w:start w:val="1"/>
      <w:numFmt w:val="lowerRoman"/>
      <w:lvlText w:val="%6."/>
      <w:lvlJc w:val="right"/>
      <w:pPr>
        <w:ind w:left="4320" w:hanging="180"/>
      </w:pPr>
    </w:lvl>
    <w:lvl w:ilvl="6" w:tplc="C26412B8" w:tentative="1">
      <w:start w:val="1"/>
      <w:numFmt w:val="decimal"/>
      <w:lvlText w:val="%7."/>
      <w:lvlJc w:val="left"/>
      <w:pPr>
        <w:ind w:left="5040" w:hanging="360"/>
      </w:pPr>
    </w:lvl>
    <w:lvl w:ilvl="7" w:tplc="79BA6390" w:tentative="1">
      <w:start w:val="1"/>
      <w:numFmt w:val="lowerLetter"/>
      <w:lvlText w:val="%8."/>
      <w:lvlJc w:val="left"/>
      <w:pPr>
        <w:ind w:left="5760" w:hanging="360"/>
      </w:pPr>
    </w:lvl>
    <w:lvl w:ilvl="8" w:tplc="FCAAB140" w:tentative="1">
      <w:start w:val="1"/>
      <w:numFmt w:val="lowerRoman"/>
      <w:lvlText w:val="%9."/>
      <w:lvlJc w:val="right"/>
      <w:pPr>
        <w:ind w:left="6480" w:hanging="180"/>
      </w:pPr>
    </w:lvl>
  </w:abstractNum>
  <w:abstractNum w:abstractNumId="47" w15:restartNumberingAfterBreak="0">
    <w:nsid w:val="311C30D7"/>
    <w:multiLevelType w:val="hybridMultilevel"/>
    <w:tmpl w:val="B9940D10"/>
    <w:lvl w:ilvl="0" w:tplc="080C0017">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1AA784A"/>
    <w:multiLevelType w:val="hybridMultilevel"/>
    <w:tmpl w:val="73A04468"/>
    <w:lvl w:ilvl="0" w:tplc="088E8A06">
      <w:start w:val="1"/>
      <w:numFmt w:val="bullet"/>
      <w:lvlText w:val=""/>
      <w:lvlJc w:val="left"/>
      <w:pPr>
        <w:ind w:left="720" w:hanging="360"/>
      </w:pPr>
      <w:rPr>
        <w:rFonts w:ascii="Symbol" w:hAnsi="Symbol" w:hint="default"/>
        <w:color w:val="57825E"/>
      </w:rPr>
    </w:lvl>
    <w:lvl w:ilvl="1" w:tplc="77207204" w:tentative="1">
      <w:start w:val="1"/>
      <w:numFmt w:val="bullet"/>
      <w:lvlText w:val="o"/>
      <w:lvlJc w:val="left"/>
      <w:pPr>
        <w:ind w:left="1440" w:hanging="360"/>
      </w:pPr>
      <w:rPr>
        <w:rFonts w:ascii="Courier New" w:hAnsi="Courier New" w:cs="Courier New" w:hint="default"/>
      </w:rPr>
    </w:lvl>
    <w:lvl w:ilvl="2" w:tplc="A02A178A" w:tentative="1">
      <w:start w:val="1"/>
      <w:numFmt w:val="bullet"/>
      <w:lvlText w:val=""/>
      <w:lvlJc w:val="left"/>
      <w:pPr>
        <w:ind w:left="2160" w:hanging="360"/>
      </w:pPr>
      <w:rPr>
        <w:rFonts w:ascii="Wingdings" w:hAnsi="Wingdings" w:hint="default"/>
      </w:rPr>
    </w:lvl>
    <w:lvl w:ilvl="3" w:tplc="6DCA35D0" w:tentative="1">
      <w:start w:val="1"/>
      <w:numFmt w:val="bullet"/>
      <w:lvlText w:val=""/>
      <w:lvlJc w:val="left"/>
      <w:pPr>
        <w:ind w:left="2880" w:hanging="360"/>
      </w:pPr>
      <w:rPr>
        <w:rFonts w:ascii="Symbol" w:hAnsi="Symbol" w:hint="default"/>
      </w:rPr>
    </w:lvl>
    <w:lvl w:ilvl="4" w:tplc="B84CAD8E" w:tentative="1">
      <w:start w:val="1"/>
      <w:numFmt w:val="bullet"/>
      <w:lvlText w:val="o"/>
      <w:lvlJc w:val="left"/>
      <w:pPr>
        <w:ind w:left="3600" w:hanging="360"/>
      </w:pPr>
      <w:rPr>
        <w:rFonts w:ascii="Courier New" w:hAnsi="Courier New" w:cs="Courier New" w:hint="default"/>
      </w:rPr>
    </w:lvl>
    <w:lvl w:ilvl="5" w:tplc="BF0E3012" w:tentative="1">
      <w:start w:val="1"/>
      <w:numFmt w:val="bullet"/>
      <w:lvlText w:val=""/>
      <w:lvlJc w:val="left"/>
      <w:pPr>
        <w:ind w:left="4320" w:hanging="360"/>
      </w:pPr>
      <w:rPr>
        <w:rFonts w:ascii="Wingdings" w:hAnsi="Wingdings" w:hint="default"/>
      </w:rPr>
    </w:lvl>
    <w:lvl w:ilvl="6" w:tplc="724EB5EC" w:tentative="1">
      <w:start w:val="1"/>
      <w:numFmt w:val="bullet"/>
      <w:lvlText w:val=""/>
      <w:lvlJc w:val="left"/>
      <w:pPr>
        <w:ind w:left="5040" w:hanging="360"/>
      </w:pPr>
      <w:rPr>
        <w:rFonts w:ascii="Symbol" w:hAnsi="Symbol" w:hint="default"/>
      </w:rPr>
    </w:lvl>
    <w:lvl w:ilvl="7" w:tplc="B9581B64" w:tentative="1">
      <w:start w:val="1"/>
      <w:numFmt w:val="bullet"/>
      <w:lvlText w:val="o"/>
      <w:lvlJc w:val="left"/>
      <w:pPr>
        <w:ind w:left="5760" w:hanging="360"/>
      </w:pPr>
      <w:rPr>
        <w:rFonts w:ascii="Courier New" w:hAnsi="Courier New" w:cs="Courier New" w:hint="default"/>
      </w:rPr>
    </w:lvl>
    <w:lvl w:ilvl="8" w:tplc="21C49EC2" w:tentative="1">
      <w:start w:val="1"/>
      <w:numFmt w:val="bullet"/>
      <w:lvlText w:val=""/>
      <w:lvlJc w:val="left"/>
      <w:pPr>
        <w:ind w:left="6480" w:hanging="360"/>
      </w:pPr>
      <w:rPr>
        <w:rFonts w:ascii="Wingdings" w:hAnsi="Wingdings" w:hint="default"/>
      </w:rPr>
    </w:lvl>
  </w:abstractNum>
  <w:abstractNum w:abstractNumId="49" w15:restartNumberingAfterBreak="0">
    <w:nsid w:val="31ED1ACE"/>
    <w:multiLevelType w:val="hybridMultilevel"/>
    <w:tmpl w:val="CD6645CA"/>
    <w:lvl w:ilvl="0" w:tplc="8CD2CF36">
      <w:start w:val="1"/>
      <w:numFmt w:val="lowerLetter"/>
      <w:lvlText w:val="%1."/>
      <w:lvlJc w:val="left"/>
      <w:pPr>
        <w:ind w:left="720" w:hanging="360"/>
      </w:pPr>
    </w:lvl>
    <w:lvl w:ilvl="1" w:tplc="CF347B4C" w:tentative="1">
      <w:start w:val="1"/>
      <w:numFmt w:val="lowerLetter"/>
      <w:lvlText w:val="%2."/>
      <w:lvlJc w:val="left"/>
      <w:pPr>
        <w:ind w:left="1440" w:hanging="360"/>
      </w:pPr>
    </w:lvl>
    <w:lvl w:ilvl="2" w:tplc="A1AE3F4E" w:tentative="1">
      <w:start w:val="1"/>
      <w:numFmt w:val="lowerRoman"/>
      <w:lvlText w:val="%3."/>
      <w:lvlJc w:val="right"/>
      <w:pPr>
        <w:ind w:left="2160" w:hanging="180"/>
      </w:pPr>
    </w:lvl>
    <w:lvl w:ilvl="3" w:tplc="F0488686" w:tentative="1">
      <w:start w:val="1"/>
      <w:numFmt w:val="decimal"/>
      <w:lvlText w:val="%4."/>
      <w:lvlJc w:val="left"/>
      <w:pPr>
        <w:ind w:left="2880" w:hanging="360"/>
      </w:pPr>
    </w:lvl>
    <w:lvl w:ilvl="4" w:tplc="474CB3DE" w:tentative="1">
      <w:start w:val="1"/>
      <w:numFmt w:val="lowerLetter"/>
      <w:lvlText w:val="%5."/>
      <w:lvlJc w:val="left"/>
      <w:pPr>
        <w:ind w:left="3600" w:hanging="360"/>
      </w:pPr>
    </w:lvl>
    <w:lvl w:ilvl="5" w:tplc="D48A3BEC" w:tentative="1">
      <w:start w:val="1"/>
      <w:numFmt w:val="lowerRoman"/>
      <w:lvlText w:val="%6."/>
      <w:lvlJc w:val="right"/>
      <w:pPr>
        <w:ind w:left="4320" w:hanging="180"/>
      </w:pPr>
    </w:lvl>
    <w:lvl w:ilvl="6" w:tplc="31782AF4" w:tentative="1">
      <w:start w:val="1"/>
      <w:numFmt w:val="decimal"/>
      <w:lvlText w:val="%7."/>
      <w:lvlJc w:val="left"/>
      <w:pPr>
        <w:ind w:left="5040" w:hanging="360"/>
      </w:pPr>
    </w:lvl>
    <w:lvl w:ilvl="7" w:tplc="610EB19A" w:tentative="1">
      <w:start w:val="1"/>
      <w:numFmt w:val="lowerLetter"/>
      <w:lvlText w:val="%8."/>
      <w:lvlJc w:val="left"/>
      <w:pPr>
        <w:ind w:left="5760" w:hanging="360"/>
      </w:pPr>
    </w:lvl>
    <w:lvl w:ilvl="8" w:tplc="D9CAD280" w:tentative="1">
      <w:start w:val="1"/>
      <w:numFmt w:val="lowerRoman"/>
      <w:lvlText w:val="%9."/>
      <w:lvlJc w:val="right"/>
      <w:pPr>
        <w:ind w:left="6480" w:hanging="180"/>
      </w:pPr>
    </w:lvl>
  </w:abstractNum>
  <w:abstractNum w:abstractNumId="50" w15:restartNumberingAfterBreak="0">
    <w:nsid w:val="338D68EF"/>
    <w:multiLevelType w:val="hybridMultilevel"/>
    <w:tmpl w:val="D58C00F8"/>
    <w:lvl w:ilvl="0" w:tplc="142AFA2C">
      <w:start w:val="1"/>
      <w:numFmt w:val="bullet"/>
      <w:lvlText w:val=""/>
      <w:lvlJc w:val="left"/>
      <w:pPr>
        <w:ind w:left="720" w:hanging="360"/>
      </w:pPr>
      <w:rPr>
        <w:rFonts w:ascii="Symbol" w:hAnsi="Symbol" w:hint="default"/>
        <w:color w:val="57825E"/>
      </w:rPr>
    </w:lvl>
    <w:lvl w:ilvl="1" w:tplc="00B8090E" w:tentative="1">
      <w:start w:val="1"/>
      <w:numFmt w:val="bullet"/>
      <w:lvlText w:val="o"/>
      <w:lvlJc w:val="left"/>
      <w:pPr>
        <w:ind w:left="1440" w:hanging="360"/>
      </w:pPr>
      <w:rPr>
        <w:rFonts w:ascii="Courier New" w:hAnsi="Courier New" w:cs="Courier New" w:hint="default"/>
      </w:rPr>
    </w:lvl>
    <w:lvl w:ilvl="2" w:tplc="C10EAC50" w:tentative="1">
      <w:start w:val="1"/>
      <w:numFmt w:val="bullet"/>
      <w:lvlText w:val=""/>
      <w:lvlJc w:val="left"/>
      <w:pPr>
        <w:ind w:left="2160" w:hanging="360"/>
      </w:pPr>
      <w:rPr>
        <w:rFonts w:ascii="Wingdings" w:hAnsi="Wingdings" w:hint="default"/>
      </w:rPr>
    </w:lvl>
    <w:lvl w:ilvl="3" w:tplc="0C04531C" w:tentative="1">
      <w:start w:val="1"/>
      <w:numFmt w:val="bullet"/>
      <w:lvlText w:val=""/>
      <w:lvlJc w:val="left"/>
      <w:pPr>
        <w:ind w:left="2880" w:hanging="360"/>
      </w:pPr>
      <w:rPr>
        <w:rFonts w:ascii="Symbol" w:hAnsi="Symbol" w:hint="default"/>
      </w:rPr>
    </w:lvl>
    <w:lvl w:ilvl="4" w:tplc="B7105A4E" w:tentative="1">
      <w:start w:val="1"/>
      <w:numFmt w:val="bullet"/>
      <w:lvlText w:val="o"/>
      <w:lvlJc w:val="left"/>
      <w:pPr>
        <w:ind w:left="3600" w:hanging="360"/>
      </w:pPr>
      <w:rPr>
        <w:rFonts w:ascii="Courier New" w:hAnsi="Courier New" w:cs="Courier New" w:hint="default"/>
      </w:rPr>
    </w:lvl>
    <w:lvl w:ilvl="5" w:tplc="C6AA250E" w:tentative="1">
      <w:start w:val="1"/>
      <w:numFmt w:val="bullet"/>
      <w:lvlText w:val=""/>
      <w:lvlJc w:val="left"/>
      <w:pPr>
        <w:ind w:left="4320" w:hanging="360"/>
      </w:pPr>
      <w:rPr>
        <w:rFonts w:ascii="Wingdings" w:hAnsi="Wingdings" w:hint="default"/>
      </w:rPr>
    </w:lvl>
    <w:lvl w:ilvl="6" w:tplc="EEC4855C" w:tentative="1">
      <w:start w:val="1"/>
      <w:numFmt w:val="bullet"/>
      <w:lvlText w:val=""/>
      <w:lvlJc w:val="left"/>
      <w:pPr>
        <w:ind w:left="5040" w:hanging="360"/>
      </w:pPr>
      <w:rPr>
        <w:rFonts w:ascii="Symbol" w:hAnsi="Symbol" w:hint="default"/>
      </w:rPr>
    </w:lvl>
    <w:lvl w:ilvl="7" w:tplc="9BF0BAF8" w:tentative="1">
      <w:start w:val="1"/>
      <w:numFmt w:val="bullet"/>
      <w:lvlText w:val="o"/>
      <w:lvlJc w:val="left"/>
      <w:pPr>
        <w:ind w:left="5760" w:hanging="360"/>
      </w:pPr>
      <w:rPr>
        <w:rFonts w:ascii="Courier New" w:hAnsi="Courier New" w:cs="Courier New" w:hint="default"/>
      </w:rPr>
    </w:lvl>
    <w:lvl w:ilvl="8" w:tplc="4BF43092" w:tentative="1">
      <w:start w:val="1"/>
      <w:numFmt w:val="bullet"/>
      <w:lvlText w:val=""/>
      <w:lvlJc w:val="left"/>
      <w:pPr>
        <w:ind w:left="6480" w:hanging="360"/>
      </w:pPr>
      <w:rPr>
        <w:rFonts w:ascii="Wingdings" w:hAnsi="Wingdings" w:hint="default"/>
      </w:rPr>
    </w:lvl>
  </w:abstractNum>
  <w:abstractNum w:abstractNumId="51" w15:restartNumberingAfterBreak="0">
    <w:nsid w:val="339508B9"/>
    <w:multiLevelType w:val="hybridMultilevel"/>
    <w:tmpl w:val="93EC56A0"/>
    <w:lvl w:ilvl="0" w:tplc="91B0766A">
      <w:start w:val="1"/>
      <w:numFmt w:val="bullet"/>
      <w:lvlText w:val=""/>
      <w:lvlJc w:val="left"/>
      <w:pPr>
        <w:ind w:left="720" w:hanging="360"/>
      </w:pPr>
      <w:rPr>
        <w:rFonts w:ascii="Symbol" w:hAnsi="Symbol" w:hint="default"/>
        <w:color w:val="57825E"/>
      </w:rPr>
    </w:lvl>
    <w:lvl w:ilvl="1" w:tplc="2214AB58" w:tentative="1">
      <w:start w:val="1"/>
      <w:numFmt w:val="bullet"/>
      <w:lvlText w:val="o"/>
      <w:lvlJc w:val="left"/>
      <w:pPr>
        <w:ind w:left="1440" w:hanging="360"/>
      </w:pPr>
      <w:rPr>
        <w:rFonts w:ascii="Courier New" w:hAnsi="Courier New" w:cs="Courier New" w:hint="default"/>
      </w:rPr>
    </w:lvl>
    <w:lvl w:ilvl="2" w:tplc="FBA0E7E6" w:tentative="1">
      <w:start w:val="1"/>
      <w:numFmt w:val="bullet"/>
      <w:lvlText w:val=""/>
      <w:lvlJc w:val="left"/>
      <w:pPr>
        <w:ind w:left="2160" w:hanging="360"/>
      </w:pPr>
      <w:rPr>
        <w:rFonts w:ascii="Wingdings" w:hAnsi="Wingdings" w:hint="default"/>
      </w:rPr>
    </w:lvl>
    <w:lvl w:ilvl="3" w:tplc="FD1A5E02" w:tentative="1">
      <w:start w:val="1"/>
      <w:numFmt w:val="bullet"/>
      <w:lvlText w:val=""/>
      <w:lvlJc w:val="left"/>
      <w:pPr>
        <w:ind w:left="2880" w:hanging="360"/>
      </w:pPr>
      <w:rPr>
        <w:rFonts w:ascii="Symbol" w:hAnsi="Symbol" w:hint="default"/>
      </w:rPr>
    </w:lvl>
    <w:lvl w:ilvl="4" w:tplc="F3EA0524" w:tentative="1">
      <w:start w:val="1"/>
      <w:numFmt w:val="bullet"/>
      <w:lvlText w:val="o"/>
      <w:lvlJc w:val="left"/>
      <w:pPr>
        <w:ind w:left="3600" w:hanging="360"/>
      </w:pPr>
      <w:rPr>
        <w:rFonts w:ascii="Courier New" w:hAnsi="Courier New" w:cs="Courier New" w:hint="default"/>
      </w:rPr>
    </w:lvl>
    <w:lvl w:ilvl="5" w:tplc="B0C6196E" w:tentative="1">
      <w:start w:val="1"/>
      <w:numFmt w:val="bullet"/>
      <w:lvlText w:val=""/>
      <w:lvlJc w:val="left"/>
      <w:pPr>
        <w:ind w:left="4320" w:hanging="360"/>
      </w:pPr>
      <w:rPr>
        <w:rFonts w:ascii="Wingdings" w:hAnsi="Wingdings" w:hint="default"/>
      </w:rPr>
    </w:lvl>
    <w:lvl w:ilvl="6" w:tplc="01F8C744" w:tentative="1">
      <w:start w:val="1"/>
      <w:numFmt w:val="bullet"/>
      <w:lvlText w:val=""/>
      <w:lvlJc w:val="left"/>
      <w:pPr>
        <w:ind w:left="5040" w:hanging="360"/>
      </w:pPr>
      <w:rPr>
        <w:rFonts w:ascii="Symbol" w:hAnsi="Symbol" w:hint="default"/>
      </w:rPr>
    </w:lvl>
    <w:lvl w:ilvl="7" w:tplc="38903764" w:tentative="1">
      <w:start w:val="1"/>
      <w:numFmt w:val="bullet"/>
      <w:lvlText w:val="o"/>
      <w:lvlJc w:val="left"/>
      <w:pPr>
        <w:ind w:left="5760" w:hanging="360"/>
      </w:pPr>
      <w:rPr>
        <w:rFonts w:ascii="Courier New" w:hAnsi="Courier New" w:cs="Courier New" w:hint="default"/>
      </w:rPr>
    </w:lvl>
    <w:lvl w:ilvl="8" w:tplc="5CCE9DAE" w:tentative="1">
      <w:start w:val="1"/>
      <w:numFmt w:val="bullet"/>
      <w:lvlText w:val=""/>
      <w:lvlJc w:val="left"/>
      <w:pPr>
        <w:ind w:left="6480" w:hanging="360"/>
      </w:pPr>
      <w:rPr>
        <w:rFonts w:ascii="Wingdings" w:hAnsi="Wingdings" w:hint="default"/>
      </w:rPr>
    </w:lvl>
  </w:abstractNum>
  <w:abstractNum w:abstractNumId="52" w15:restartNumberingAfterBreak="0">
    <w:nsid w:val="33E063E2"/>
    <w:multiLevelType w:val="hybridMultilevel"/>
    <w:tmpl w:val="353CA438"/>
    <w:lvl w:ilvl="0" w:tplc="BA248732">
      <w:start w:val="1"/>
      <w:numFmt w:val="bullet"/>
      <w:lvlText w:val=""/>
      <w:lvlJc w:val="left"/>
      <w:pPr>
        <w:ind w:left="720" w:hanging="360"/>
      </w:pPr>
      <w:rPr>
        <w:rFonts w:ascii="Symbol" w:hAnsi="Symbol" w:hint="default"/>
        <w:b w:val="0"/>
        <w:color w:val="57825E"/>
      </w:rPr>
    </w:lvl>
    <w:lvl w:ilvl="1" w:tplc="F368A464" w:tentative="1">
      <w:start w:val="1"/>
      <w:numFmt w:val="lowerLetter"/>
      <w:lvlText w:val="%2."/>
      <w:lvlJc w:val="left"/>
      <w:pPr>
        <w:ind w:left="1440" w:hanging="360"/>
      </w:pPr>
    </w:lvl>
    <w:lvl w:ilvl="2" w:tplc="3D1816FC" w:tentative="1">
      <w:start w:val="1"/>
      <w:numFmt w:val="lowerRoman"/>
      <w:lvlText w:val="%3."/>
      <w:lvlJc w:val="right"/>
      <w:pPr>
        <w:ind w:left="2160" w:hanging="180"/>
      </w:pPr>
    </w:lvl>
    <w:lvl w:ilvl="3" w:tplc="32A2ED30" w:tentative="1">
      <w:start w:val="1"/>
      <w:numFmt w:val="decimal"/>
      <w:lvlText w:val="%4."/>
      <w:lvlJc w:val="left"/>
      <w:pPr>
        <w:ind w:left="2880" w:hanging="360"/>
      </w:pPr>
    </w:lvl>
    <w:lvl w:ilvl="4" w:tplc="F500B738" w:tentative="1">
      <w:start w:val="1"/>
      <w:numFmt w:val="lowerLetter"/>
      <w:lvlText w:val="%5."/>
      <w:lvlJc w:val="left"/>
      <w:pPr>
        <w:ind w:left="3600" w:hanging="360"/>
      </w:pPr>
    </w:lvl>
    <w:lvl w:ilvl="5" w:tplc="5444190C" w:tentative="1">
      <w:start w:val="1"/>
      <w:numFmt w:val="lowerRoman"/>
      <w:lvlText w:val="%6."/>
      <w:lvlJc w:val="right"/>
      <w:pPr>
        <w:ind w:left="4320" w:hanging="180"/>
      </w:pPr>
    </w:lvl>
    <w:lvl w:ilvl="6" w:tplc="31DE92BC" w:tentative="1">
      <w:start w:val="1"/>
      <w:numFmt w:val="decimal"/>
      <w:lvlText w:val="%7."/>
      <w:lvlJc w:val="left"/>
      <w:pPr>
        <w:ind w:left="5040" w:hanging="360"/>
      </w:pPr>
    </w:lvl>
    <w:lvl w:ilvl="7" w:tplc="D108AC00" w:tentative="1">
      <w:start w:val="1"/>
      <w:numFmt w:val="lowerLetter"/>
      <w:lvlText w:val="%8."/>
      <w:lvlJc w:val="left"/>
      <w:pPr>
        <w:ind w:left="5760" w:hanging="360"/>
      </w:pPr>
    </w:lvl>
    <w:lvl w:ilvl="8" w:tplc="09008E7A" w:tentative="1">
      <w:start w:val="1"/>
      <w:numFmt w:val="lowerRoman"/>
      <w:lvlText w:val="%9."/>
      <w:lvlJc w:val="right"/>
      <w:pPr>
        <w:ind w:left="6480" w:hanging="180"/>
      </w:pPr>
    </w:lvl>
  </w:abstractNum>
  <w:abstractNum w:abstractNumId="53" w15:restartNumberingAfterBreak="0">
    <w:nsid w:val="34864613"/>
    <w:multiLevelType w:val="hybridMultilevel"/>
    <w:tmpl w:val="2ABCF642"/>
    <w:lvl w:ilvl="0" w:tplc="846CCBCE">
      <w:start w:val="1"/>
      <w:numFmt w:val="decimal"/>
      <w:pStyle w:val="Subtitle"/>
      <w:lvlText w:val="Table %1"/>
      <w:lvlJc w:val="left"/>
      <w:pPr>
        <w:ind w:left="360" w:hanging="360"/>
      </w:pPr>
      <w:rPr>
        <w:rFonts w:ascii="Arial" w:hAnsi="Arial" w:cs="Times New Roman" w:hint="default"/>
        <w:b/>
        <w:i w:val="0"/>
        <w:color w:val="006364"/>
        <w:sz w:val="28"/>
        <w:szCs w:val="16"/>
      </w:rPr>
    </w:lvl>
    <w:lvl w:ilvl="1" w:tplc="56B4CE5C" w:tentative="1">
      <w:start w:val="1"/>
      <w:numFmt w:val="lowerLetter"/>
      <w:lvlText w:val="%2."/>
      <w:lvlJc w:val="left"/>
      <w:pPr>
        <w:ind w:left="1440" w:hanging="360"/>
      </w:pPr>
    </w:lvl>
    <w:lvl w:ilvl="2" w:tplc="59CA0216" w:tentative="1">
      <w:start w:val="1"/>
      <w:numFmt w:val="lowerRoman"/>
      <w:lvlText w:val="%3."/>
      <w:lvlJc w:val="right"/>
      <w:pPr>
        <w:ind w:left="2160" w:hanging="180"/>
      </w:pPr>
    </w:lvl>
    <w:lvl w:ilvl="3" w:tplc="475268E2" w:tentative="1">
      <w:start w:val="1"/>
      <w:numFmt w:val="decimal"/>
      <w:lvlText w:val="%4."/>
      <w:lvlJc w:val="left"/>
      <w:pPr>
        <w:ind w:left="2880" w:hanging="360"/>
      </w:pPr>
    </w:lvl>
    <w:lvl w:ilvl="4" w:tplc="36F24988" w:tentative="1">
      <w:start w:val="1"/>
      <w:numFmt w:val="lowerLetter"/>
      <w:lvlText w:val="%5."/>
      <w:lvlJc w:val="left"/>
      <w:pPr>
        <w:ind w:left="3600" w:hanging="360"/>
      </w:pPr>
    </w:lvl>
    <w:lvl w:ilvl="5" w:tplc="4C84EF5C" w:tentative="1">
      <w:start w:val="1"/>
      <w:numFmt w:val="lowerRoman"/>
      <w:lvlText w:val="%6."/>
      <w:lvlJc w:val="right"/>
      <w:pPr>
        <w:ind w:left="4320" w:hanging="180"/>
      </w:pPr>
    </w:lvl>
    <w:lvl w:ilvl="6" w:tplc="33940F3E" w:tentative="1">
      <w:start w:val="1"/>
      <w:numFmt w:val="decimal"/>
      <w:lvlText w:val="%7."/>
      <w:lvlJc w:val="left"/>
      <w:pPr>
        <w:ind w:left="5040" w:hanging="360"/>
      </w:pPr>
    </w:lvl>
    <w:lvl w:ilvl="7" w:tplc="325A13D8" w:tentative="1">
      <w:start w:val="1"/>
      <w:numFmt w:val="lowerLetter"/>
      <w:lvlText w:val="%8."/>
      <w:lvlJc w:val="left"/>
      <w:pPr>
        <w:ind w:left="5760" w:hanging="360"/>
      </w:pPr>
    </w:lvl>
    <w:lvl w:ilvl="8" w:tplc="B3CE8DD6" w:tentative="1">
      <w:start w:val="1"/>
      <w:numFmt w:val="lowerRoman"/>
      <w:lvlText w:val="%9."/>
      <w:lvlJc w:val="right"/>
      <w:pPr>
        <w:ind w:left="6480" w:hanging="180"/>
      </w:pPr>
    </w:lvl>
  </w:abstractNum>
  <w:abstractNum w:abstractNumId="54" w15:restartNumberingAfterBreak="0">
    <w:nsid w:val="35820841"/>
    <w:multiLevelType w:val="hybridMultilevel"/>
    <w:tmpl w:val="57B299EE"/>
    <w:lvl w:ilvl="0" w:tplc="9A846358">
      <w:start w:val="1"/>
      <w:numFmt w:val="upperLetter"/>
      <w:lvlText w:val="%1."/>
      <w:lvlJc w:val="left"/>
      <w:pPr>
        <w:ind w:left="720" w:hanging="360"/>
      </w:pPr>
      <w:rPr>
        <w:rFonts w:hint="default"/>
      </w:rPr>
    </w:lvl>
    <w:lvl w:ilvl="1" w:tplc="C11E1328">
      <w:start w:val="1"/>
      <w:numFmt w:val="lowerLetter"/>
      <w:lvlText w:val="%2."/>
      <w:lvlJc w:val="left"/>
      <w:pPr>
        <w:ind w:left="1440" w:hanging="360"/>
      </w:pPr>
    </w:lvl>
    <w:lvl w:ilvl="2" w:tplc="4F8035EA" w:tentative="1">
      <w:start w:val="1"/>
      <w:numFmt w:val="lowerRoman"/>
      <w:lvlText w:val="%3."/>
      <w:lvlJc w:val="right"/>
      <w:pPr>
        <w:ind w:left="2160" w:hanging="180"/>
      </w:pPr>
    </w:lvl>
    <w:lvl w:ilvl="3" w:tplc="A88EFA60" w:tentative="1">
      <w:start w:val="1"/>
      <w:numFmt w:val="decimal"/>
      <w:lvlText w:val="%4."/>
      <w:lvlJc w:val="left"/>
      <w:pPr>
        <w:ind w:left="2880" w:hanging="360"/>
      </w:pPr>
    </w:lvl>
    <w:lvl w:ilvl="4" w:tplc="BBDA494E" w:tentative="1">
      <w:start w:val="1"/>
      <w:numFmt w:val="lowerLetter"/>
      <w:lvlText w:val="%5."/>
      <w:lvlJc w:val="left"/>
      <w:pPr>
        <w:ind w:left="3600" w:hanging="360"/>
      </w:pPr>
    </w:lvl>
    <w:lvl w:ilvl="5" w:tplc="CC42A8A2" w:tentative="1">
      <w:start w:val="1"/>
      <w:numFmt w:val="lowerRoman"/>
      <w:lvlText w:val="%6."/>
      <w:lvlJc w:val="right"/>
      <w:pPr>
        <w:ind w:left="4320" w:hanging="180"/>
      </w:pPr>
    </w:lvl>
    <w:lvl w:ilvl="6" w:tplc="F06AC930" w:tentative="1">
      <w:start w:val="1"/>
      <w:numFmt w:val="decimal"/>
      <w:lvlText w:val="%7."/>
      <w:lvlJc w:val="left"/>
      <w:pPr>
        <w:ind w:left="5040" w:hanging="360"/>
      </w:pPr>
    </w:lvl>
    <w:lvl w:ilvl="7" w:tplc="BB8A18AA" w:tentative="1">
      <w:start w:val="1"/>
      <w:numFmt w:val="lowerLetter"/>
      <w:lvlText w:val="%8."/>
      <w:lvlJc w:val="left"/>
      <w:pPr>
        <w:ind w:left="5760" w:hanging="360"/>
      </w:pPr>
    </w:lvl>
    <w:lvl w:ilvl="8" w:tplc="A42EF87E" w:tentative="1">
      <w:start w:val="1"/>
      <w:numFmt w:val="lowerRoman"/>
      <w:lvlText w:val="%9."/>
      <w:lvlJc w:val="right"/>
      <w:pPr>
        <w:ind w:left="6480" w:hanging="180"/>
      </w:pPr>
    </w:lvl>
  </w:abstractNum>
  <w:abstractNum w:abstractNumId="55" w15:restartNumberingAfterBreak="0">
    <w:nsid w:val="35B17A51"/>
    <w:multiLevelType w:val="hybridMultilevel"/>
    <w:tmpl w:val="B5260C78"/>
    <w:lvl w:ilvl="0" w:tplc="854AE39C">
      <w:start w:val="1"/>
      <w:numFmt w:val="bullet"/>
      <w:lvlText w:val=""/>
      <w:lvlJc w:val="left"/>
      <w:pPr>
        <w:ind w:left="720" w:hanging="360"/>
      </w:pPr>
      <w:rPr>
        <w:rFonts w:ascii="Symbol" w:hAnsi="Symbol" w:hint="default"/>
        <w:color w:val="57825E"/>
      </w:rPr>
    </w:lvl>
    <w:lvl w:ilvl="1" w:tplc="6CC429F6" w:tentative="1">
      <w:start w:val="1"/>
      <w:numFmt w:val="bullet"/>
      <w:lvlText w:val="o"/>
      <w:lvlJc w:val="left"/>
      <w:pPr>
        <w:ind w:left="1440" w:hanging="360"/>
      </w:pPr>
      <w:rPr>
        <w:rFonts w:ascii="Courier New" w:hAnsi="Courier New" w:cs="Courier New" w:hint="default"/>
      </w:rPr>
    </w:lvl>
    <w:lvl w:ilvl="2" w:tplc="27C2966A" w:tentative="1">
      <w:start w:val="1"/>
      <w:numFmt w:val="bullet"/>
      <w:lvlText w:val=""/>
      <w:lvlJc w:val="left"/>
      <w:pPr>
        <w:ind w:left="2160" w:hanging="360"/>
      </w:pPr>
      <w:rPr>
        <w:rFonts w:ascii="Wingdings" w:hAnsi="Wingdings" w:hint="default"/>
      </w:rPr>
    </w:lvl>
    <w:lvl w:ilvl="3" w:tplc="0A080F18" w:tentative="1">
      <w:start w:val="1"/>
      <w:numFmt w:val="bullet"/>
      <w:lvlText w:val=""/>
      <w:lvlJc w:val="left"/>
      <w:pPr>
        <w:ind w:left="2880" w:hanging="360"/>
      </w:pPr>
      <w:rPr>
        <w:rFonts w:ascii="Symbol" w:hAnsi="Symbol" w:hint="default"/>
      </w:rPr>
    </w:lvl>
    <w:lvl w:ilvl="4" w:tplc="6B54F710" w:tentative="1">
      <w:start w:val="1"/>
      <w:numFmt w:val="bullet"/>
      <w:lvlText w:val="o"/>
      <w:lvlJc w:val="left"/>
      <w:pPr>
        <w:ind w:left="3600" w:hanging="360"/>
      </w:pPr>
      <w:rPr>
        <w:rFonts w:ascii="Courier New" w:hAnsi="Courier New" w:cs="Courier New" w:hint="default"/>
      </w:rPr>
    </w:lvl>
    <w:lvl w:ilvl="5" w:tplc="BCC09EF0" w:tentative="1">
      <w:start w:val="1"/>
      <w:numFmt w:val="bullet"/>
      <w:lvlText w:val=""/>
      <w:lvlJc w:val="left"/>
      <w:pPr>
        <w:ind w:left="4320" w:hanging="360"/>
      </w:pPr>
      <w:rPr>
        <w:rFonts w:ascii="Wingdings" w:hAnsi="Wingdings" w:hint="default"/>
      </w:rPr>
    </w:lvl>
    <w:lvl w:ilvl="6" w:tplc="C770AB34" w:tentative="1">
      <w:start w:val="1"/>
      <w:numFmt w:val="bullet"/>
      <w:lvlText w:val=""/>
      <w:lvlJc w:val="left"/>
      <w:pPr>
        <w:ind w:left="5040" w:hanging="360"/>
      </w:pPr>
      <w:rPr>
        <w:rFonts w:ascii="Symbol" w:hAnsi="Symbol" w:hint="default"/>
      </w:rPr>
    </w:lvl>
    <w:lvl w:ilvl="7" w:tplc="9530C534" w:tentative="1">
      <w:start w:val="1"/>
      <w:numFmt w:val="bullet"/>
      <w:lvlText w:val="o"/>
      <w:lvlJc w:val="left"/>
      <w:pPr>
        <w:ind w:left="5760" w:hanging="360"/>
      </w:pPr>
      <w:rPr>
        <w:rFonts w:ascii="Courier New" w:hAnsi="Courier New" w:cs="Courier New" w:hint="default"/>
      </w:rPr>
    </w:lvl>
    <w:lvl w:ilvl="8" w:tplc="0290BC2C" w:tentative="1">
      <w:start w:val="1"/>
      <w:numFmt w:val="bullet"/>
      <w:lvlText w:val=""/>
      <w:lvlJc w:val="left"/>
      <w:pPr>
        <w:ind w:left="6480" w:hanging="360"/>
      </w:pPr>
      <w:rPr>
        <w:rFonts w:ascii="Wingdings" w:hAnsi="Wingdings" w:hint="default"/>
      </w:rPr>
    </w:lvl>
  </w:abstractNum>
  <w:abstractNum w:abstractNumId="56" w15:restartNumberingAfterBreak="0">
    <w:nsid w:val="37B97E50"/>
    <w:multiLevelType w:val="hybridMultilevel"/>
    <w:tmpl w:val="B53AFBDC"/>
    <w:lvl w:ilvl="0" w:tplc="807A26BA">
      <w:start w:val="1"/>
      <w:numFmt w:val="bullet"/>
      <w:lvlText w:val=""/>
      <w:lvlJc w:val="left"/>
      <w:pPr>
        <w:ind w:left="720" w:hanging="360"/>
      </w:pPr>
      <w:rPr>
        <w:rFonts w:ascii="Symbol" w:hAnsi="Symbol" w:hint="default"/>
        <w:color w:val="57825E"/>
        <w:sz w:val="18"/>
      </w:rPr>
    </w:lvl>
    <w:lvl w:ilvl="1" w:tplc="006C9998" w:tentative="1">
      <w:start w:val="1"/>
      <w:numFmt w:val="bullet"/>
      <w:lvlText w:val="o"/>
      <w:lvlJc w:val="left"/>
      <w:pPr>
        <w:ind w:left="1440" w:hanging="360"/>
      </w:pPr>
      <w:rPr>
        <w:rFonts w:ascii="Courier New" w:hAnsi="Courier New" w:cs="Courier New" w:hint="default"/>
      </w:rPr>
    </w:lvl>
    <w:lvl w:ilvl="2" w:tplc="E0E8D050">
      <w:start w:val="1"/>
      <w:numFmt w:val="bullet"/>
      <w:lvlText w:val=""/>
      <w:lvlJc w:val="left"/>
      <w:pPr>
        <w:ind w:left="2160" w:hanging="360"/>
      </w:pPr>
      <w:rPr>
        <w:rFonts w:ascii="Wingdings" w:hAnsi="Wingdings" w:hint="default"/>
      </w:rPr>
    </w:lvl>
    <w:lvl w:ilvl="3" w:tplc="21783F66" w:tentative="1">
      <w:start w:val="1"/>
      <w:numFmt w:val="bullet"/>
      <w:lvlText w:val=""/>
      <w:lvlJc w:val="left"/>
      <w:pPr>
        <w:ind w:left="2880" w:hanging="360"/>
      </w:pPr>
      <w:rPr>
        <w:rFonts w:ascii="Symbol" w:hAnsi="Symbol" w:hint="default"/>
      </w:rPr>
    </w:lvl>
    <w:lvl w:ilvl="4" w:tplc="7526BFCA" w:tentative="1">
      <w:start w:val="1"/>
      <w:numFmt w:val="bullet"/>
      <w:lvlText w:val="o"/>
      <w:lvlJc w:val="left"/>
      <w:pPr>
        <w:ind w:left="3600" w:hanging="360"/>
      </w:pPr>
      <w:rPr>
        <w:rFonts w:ascii="Courier New" w:hAnsi="Courier New" w:cs="Courier New" w:hint="default"/>
      </w:rPr>
    </w:lvl>
    <w:lvl w:ilvl="5" w:tplc="2C4011D0" w:tentative="1">
      <w:start w:val="1"/>
      <w:numFmt w:val="bullet"/>
      <w:lvlText w:val=""/>
      <w:lvlJc w:val="left"/>
      <w:pPr>
        <w:ind w:left="4320" w:hanging="360"/>
      </w:pPr>
      <w:rPr>
        <w:rFonts w:ascii="Wingdings" w:hAnsi="Wingdings" w:hint="default"/>
      </w:rPr>
    </w:lvl>
    <w:lvl w:ilvl="6" w:tplc="AF4C7188" w:tentative="1">
      <w:start w:val="1"/>
      <w:numFmt w:val="bullet"/>
      <w:lvlText w:val=""/>
      <w:lvlJc w:val="left"/>
      <w:pPr>
        <w:ind w:left="5040" w:hanging="360"/>
      </w:pPr>
      <w:rPr>
        <w:rFonts w:ascii="Symbol" w:hAnsi="Symbol" w:hint="default"/>
      </w:rPr>
    </w:lvl>
    <w:lvl w:ilvl="7" w:tplc="0AB63C98" w:tentative="1">
      <w:start w:val="1"/>
      <w:numFmt w:val="bullet"/>
      <w:lvlText w:val="o"/>
      <w:lvlJc w:val="left"/>
      <w:pPr>
        <w:ind w:left="5760" w:hanging="360"/>
      </w:pPr>
      <w:rPr>
        <w:rFonts w:ascii="Courier New" w:hAnsi="Courier New" w:cs="Courier New" w:hint="default"/>
      </w:rPr>
    </w:lvl>
    <w:lvl w:ilvl="8" w:tplc="12E07130" w:tentative="1">
      <w:start w:val="1"/>
      <w:numFmt w:val="bullet"/>
      <w:lvlText w:val=""/>
      <w:lvlJc w:val="left"/>
      <w:pPr>
        <w:ind w:left="6480" w:hanging="360"/>
      </w:pPr>
      <w:rPr>
        <w:rFonts w:ascii="Wingdings" w:hAnsi="Wingdings" w:hint="default"/>
      </w:rPr>
    </w:lvl>
  </w:abstractNum>
  <w:abstractNum w:abstractNumId="57" w15:restartNumberingAfterBreak="0">
    <w:nsid w:val="38F839AF"/>
    <w:multiLevelType w:val="hybridMultilevel"/>
    <w:tmpl w:val="93325672"/>
    <w:lvl w:ilvl="0" w:tplc="275AF7CC">
      <w:start w:val="1"/>
      <w:numFmt w:val="upperLetter"/>
      <w:lvlText w:val="%1."/>
      <w:lvlJc w:val="left"/>
      <w:pPr>
        <w:ind w:left="720" w:hanging="360"/>
      </w:pPr>
      <w:rPr>
        <w:rFonts w:hint="default"/>
      </w:rPr>
    </w:lvl>
    <w:lvl w:ilvl="1" w:tplc="E2D0FFFA" w:tentative="1">
      <w:start w:val="1"/>
      <w:numFmt w:val="lowerLetter"/>
      <w:lvlText w:val="%2."/>
      <w:lvlJc w:val="left"/>
      <w:pPr>
        <w:ind w:left="1440" w:hanging="360"/>
      </w:pPr>
    </w:lvl>
    <w:lvl w:ilvl="2" w:tplc="A6C2F2DC" w:tentative="1">
      <w:start w:val="1"/>
      <w:numFmt w:val="lowerRoman"/>
      <w:lvlText w:val="%3."/>
      <w:lvlJc w:val="right"/>
      <w:pPr>
        <w:ind w:left="2160" w:hanging="180"/>
      </w:pPr>
    </w:lvl>
    <w:lvl w:ilvl="3" w:tplc="92B4A49C" w:tentative="1">
      <w:start w:val="1"/>
      <w:numFmt w:val="decimal"/>
      <w:lvlText w:val="%4."/>
      <w:lvlJc w:val="left"/>
      <w:pPr>
        <w:ind w:left="2880" w:hanging="360"/>
      </w:pPr>
    </w:lvl>
    <w:lvl w:ilvl="4" w:tplc="9FB45AE0" w:tentative="1">
      <w:start w:val="1"/>
      <w:numFmt w:val="lowerLetter"/>
      <w:lvlText w:val="%5."/>
      <w:lvlJc w:val="left"/>
      <w:pPr>
        <w:ind w:left="3600" w:hanging="360"/>
      </w:pPr>
    </w:lvl>
    <w:lvl w:ilvl="5" w:tplc="99863596" w:tentative="1">
      <w:start w:val="1"/>
      <w:numFmt w:val="lowerRoman"/>
      <w:lvlText w:val="%6."/>
      <w:lvlJc w:val="right"/>
      <w:pPr>
        <w:ind w:left="4320" w:hanging="180"/>
      </w:pPr>
    </w:lvl>
    <w:lvl w:ilvl="6" w:tplc="19DA4ABA" w:tentative="1">
      <w:start w:val="1"/>
      <w:numFmt w:val="decimal"/>
      <w:lvlText w:val="%7."/>
      <w:lvlJc w:val="left"/>
      <w:pPr>
        <w:ind w:left="5040" w:hanging="360"/>
      </w:pPr>
    </w:lvl>
    <w:lvl w:ilvl="7" w:tplc="5A38B14A" w:tentative="1">
      <w:start w:val="1"/>
      <w:numFmt w:val="lowerLetter"/>
      <w:lvlText w:val="%8."/>
      <w:lvlJc w:val="left"/>
      <w:pPr>
        <w:ind w:left="5760" w:hanging="360"/>
      </w:pPr>
    </w:lvl>
    <w:lvl w:ilvl="8" w:tplc="E7CC1068" w:tentative="1">
      <w:start w:val="1"/>
      <w:numFmt w:val="lowerRoman"/>
      <w:lvlText w:val="%9."/>
      <w:lvlJc w:val="right"/>
      <w:pPr>
        <w:ind w:left="6480" w:hanging="180"/>
      </w:pPr>
    </w:lvl>
  </w:abstractNum>
  <w:abstractNum w:abstractNumId="58" w15:restartNumberingAfterBreak="0">
    <w:nsid w:val="3B9D32B5"/>
    <w:multiLevelType w:val="hybridMultilevel"/>
    <w:tmpl w:val="55D2D828"/>
    <w:lvl w:ilvl="0" w:tplc="D64E23E4">
      <w:start w:val="1"/>
      <w:numFmt w:val="bullet"/>
      <w:lvlText w:val=""/>
      <w:lvlJc w:val="left"/>
      <w:pPr>
        <w:ind w:left="720" w:hanging="360"/>
      </w:pPr>
      <w:rPr>
        <w:rFonts w:ascii="Symbol" w:hAnsi="Symbol" w:hint="default"/>
      </w:rPr>
    </w:lvl>
    <w:lvl w:ilvl="1" w:tplc="2A9AAD18" w:tentative="1">
      <w:start w:val="1"/>
      <w:numFmt w:val="bullet"/>
      <w:lvlText w:val="o"/>
      <w:lvlJc w:val="left"/>
      <w:pPr>
        <w:ind w:left="1440" w:hanging="360"/>
      </w:pPr>
      <w:rPr>
        <w:rFonts w:ascii="Courier New" w:hAnsi="Courier New" w:cs="Courier New" w:hint="default"/>
      </w:rPr>
    </w:lvl>
    <w:lvl w:ilvl="2" w:tplc="E0A229A4" w:tentative="1">
      <w:start w:val="1"/>
      <w:numFmt w:val="bullet"/>
      <w:lvlText w:val=""/>
      <w:lvlJc w:val="left"/>
      <w:pPr>
        <w:ind w:left="2160" w:hanging="360"/>
      </w:pPr>
      <w:rPr>
        <w:rFonts w:ascii="Wingdings" w:hAnsi="Wingdings" w:hint="default"/>
      </w:rPr>
    </w:lvl>
    <w:lvl w:ilvl="3" w:tplc="BE009DC4">
      <w:start w:val="1"/>
      <w:numFmt w:val="bullet"/>
      <w:lvlText w:val="o"/>
      <w:lvlJc w:val="left"/>
      <w:pPr>
        <w:ind w:left="1211" w:hanging="360"/>
      </w:pPr>
      <w:rPr>
        <w:rFonts w:ascii="Courier New" w:hAnsi="Courier New" w:hint="default"/>
        <w:b w:val="0"/>
        <w:color w:val="6F6F6F"/>
      </w:rPr>
    </w:lvl>
    <w:lvl w:ilvl="4" w:tplc="FD58E34E">
      <w:start w:val="1"/>
      <w:numFmt w:val="bullet"/>
      <w:lvlText w:val="o"/>
      <w:lvlJc w:val="left"/>
      <w:pPr>
        <w:ind w:left="3600" w:hanging="360"/>
      </w:pPr>
      <w:rPr>
        <w:rFonts w:ascii="Courier New" w:hAnsi="Courier New" w:cs="Courier New" w:hint="default"/>
      </w:rPr>
    </w:lvl>
    <w:lvl w:ilvl="5" w:tplc="E7263AD6" w:tentative="1">
      <w:start w:val="1"/>
      <w:numFmt w:val="bullet"/>
      <w:lvlText w:val=""/>
      <w:lvlJc w:val="left"/>
      <w:pPr>
        <w:ind w:left="4320" w:hanging="360"/>
      </w:pPr>
      <w:rPr>
        <w:rFonts w:ascii="Wingdings" w:hAnsi="Wingdings" w:hint="default"/>
      </w:rPr>
    </w:lvl>
    <w:lvl w:ilvl="6" w:tplc="B2806AE4" w:tentative="1">
      <w:start w:val="1"/>
      <w:numFmt w:val="bullet"/>
      <w:lvlText w:val=""/>
      <w:lvlJc w:val="left"/>
      <w:pPr>
        <w:ind w:left="5040" w:hanging="360"/>
      </w:pPr>
      <w:rPr>
        <w:rFonts w:ascii="Symbol" w:hAnsi="Symbol" w:hint="default"/>
      </w:rPr>
    </w:lvl>
    <w:lvl w:ilvl="7" w:tplc="2B302780" w:tentative="1">
      <w:start w:val="1"/>
      <w:numFmt w:val="bullet"/>
      <w:lvlText w:val="o"/>
      <w:lvlJc w:val="left"/>
      <w:pPr>
        <w:ind w:left="5760" w:hanging="360"/>
      </w:pPr>
      <w:rPr>
        <w:rFonts w:ascii="Courier New" w:hAnsi="Courier New" w:cs="Courier New" w:hint="default"/>
      </w:rPr>
    </w:lvl>
    <w:lvl w:ilvl="8" w:tplc="D3ECAC1E" w:tentative="1">
      <w:start w:val="1"/>
      <w:numFmt w:val="bullet"/>
      <w:lvlText w:val=""/>
      <w:lvlJc w:val="left"/>
      <w:pPr>
        <w:ind w:left="6480" w:hanging="360"/>
      </w:pPr>
      <w:rPr>
        <w:rFonts w:ascii="Wingdings" w:hAnsi="Wingdings" w:hint="default"/>
      </w:rPr>
    </w:lvl>
  </w:abstractNum>
  <w:abstractNum w:abstractNumId="59" w15:restartNumberingAfterBreak="0">
    <w:nsid w:val="3BBC6932"/>
    <w:multiLevelType w:val="hybridMultilevel"/>
    <w:tmpl w:val="A32A14BE"/>
    <w:lvl w:ilvl="0" w:tplc="5C28CC0C">
      <w:start w:val="1"/>
      <w:numFmt w:val="bullet"/>
      <w:pStyle w:val="Hlistbullet"/>
      <w:lvlText w:val=""/>
      <w:lvlJc w:val="left"/>
      <w:pPr>
        <w:ind w:left="644" w:hanging="360"/>
      </w:pPr>
      <w:rPr>
        <w:rFonts w:ascii="Symbol" w:hAnsi="Symbol" w:hint="default"/>
        <w:color w:val="57825E"/>
      </w:rPr>
    </w:lvl>
    <w:lvl w:ilvl="1" w:tplc="65B8DC0C" w:tentative="1">
      <w:start w:val="1"/>
      <w:numFmt w:val="bullet"/>
      <w:lvlText w:val="o"/>
      <w:lvlJc w:val="left"/>
      <w:pPr>
        <w:tabs>
          <w:tab w:val="num" w:pos="1440"/>
        </w:tabs>
        <w:ind w:left="1440" w:hanging="360"/>
      </w:pPr>
      <w:rPr>
        <w:rFonts w:ascii="Courier New" w:hAnsi="Courier New" w:hint="default"/>
      </w:rPr>
    </w:lvl>
    <w:lvl w:ilvl="2" w:tplc="563A8B3A" w:tentative="1">
      <w:start w:val="1"/>
      <w:numFmt w:val="bullet"/>
      <w:lvlText w:val=""/>
      <w:lvlJc w:val="left"/>
      <w:pPr>
        <w:tabs>
          <w:tab w:val="num" w:pos="2160"/>
        </w:tabs>
        <w:ind w:left="2160" w:hanging="360"/>
      </w:pPr>
      <w:rPr>
        <w:rFonts w:ascii="Wingdings" w:hAnsi="Wingdings" w:hint="default"/>
      </w:rPr>
    </w:lvl>
    <w:lvl w:ilvl="3" w:tplc="BE34504E" w:tentative="1">
      <w:start w:val="1"/>
      <w:numFmt w:val="bullet"/>
      <w:lvlText w:val=""/>
      <w:lvlJc w:val="left"/>
      <w:pPr>
        <w:tabs>
          <w:tab w:val="num" w:pos="2880"/>
        </w:tabs>
        <w:ind w:left="2880" w:hanging="360"/>
      </w:pPr>
      <w:rPr>
        <w:rFonts w:ascii="Symbol" w:hAnsi="Symbol" w:hint="default"/>
      </w:rPr>
    </w:lvl>
    <w:lvl w:ilvl="4" w:tplc="48C891DC" w:tentative="1">
      <w:start w:val="1"/>
      <w:numFmt w:val="bullet"/>
      <w:lvlText w:val="o"/>
      <w:lvlJc w:val="left"/>
      <w:pPr>
        <w:tabs>
          <w:tab w:val="num" w:pos="3600"/>
        </w:tabs>
        <w:ind w:left="3600" w:hanging="360"/>
      </w:pPr>
      <w:rPr>
        <w:rFonts w:ascii="Courier New" w:hAnsi="Courier New" w:hint="default"/>
      </w:rPr>
    </w:lvl>
    <w:lvl w:ilvl="5" w:tplc="0E3ED474" w:tentative="1">
      <w:start w:val="1"/>
      <w:numFmt w:val="bullet"/>
      <w:lvlText w:val=""/>
      <w:lvlJc w:val="left"/>
      <w:pPr>
        <w:tabs>
          <w:tab w:val="num" w:pos="4320"/>
        </w:tabs>
        <w:ind w:left="4320" w:hanging="360"/>
      </w:pPr>
      <w:rPr>
        <w:rFonts w:ascii="Wingdings" w:hAnsi="Wingdings" w:hint="default"/>
      </w:rPr>
    </w:lvl>
    <w:lvl w:ilvl="6" w:tplc="20523BDE" w:tentative="1">
      <w:start w:val="1"/>
      <w:numFmt w:val="bullet"/>
      <w:lvlText w:val=""/>
      <w:lvlJc w:val="left"/>
      <w:pPr>
        <w:tabs>
          <w:tab w:val="num" w:pos="5040"/>
        </w:tabs>
        <w:ind w:left="5040" w:hanging="360"/>
      </w:pPr>
      <w:rPr>
        <w:rFonts w:ascii="Symbol" w:hAnsi="Symbol" w:hint="default"/>
      </w:rPr>
    </w:lvl>
    <w:lvl w:ilvl="7" w:tplc="44666F54" w:tentative="1">
      <w:start w:val="1"/>
      <w:numFmt w:val="bullet"/>
      <w:lvlText w:val="o"/>
      <w:lvlJc w:val="left"/>
      <w:pPr>
        <w:tabs>
          <w:tab w:val="num" w:pos="5760"/>
        </w:tabs>
        <w:ind w:left="5760" w:hanging="360"/>
      </w:pPr>
      <w:rPr>
        <w:rFonts w:ascii="Courier New" w:hAnsi="Courier New" w:hint="default"/>
      </w:rPr>
    </w:lvl>
    <w:lvl w:ilvl="8" w:tplc="78A6E77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E4069F6"/>
    <w:multiLevelType w:val="hybridMultilevel"/>
    <w:tmpl w:val="9A58CBF8"/>
    <w:lvl w:ilvl="0" w:tplc="18721CC8">
      <w:start w:val="1"/>
      <w:numFmt w:val="decimal"/>
      <w:lvlText w:val="%1."/>
      <w:lvlJc w:val="left"/>
      <w:pPr>
        <w:tabs>
          <w:tab w:val="num" w:pos="644"/>
        </w:tabs>
        <w:ind w:left="567" w:hanging="283"/>
      </w:pPr>
      <w:rPr>
        <w:rFonts w:hint="default"/>
      </w:rPr>
    </w:lvl>
    <w:lvl w:ilvl="1" w:tplc="A106CC2A" w:tentative="1">
      <w:start w:val="1"/>
      <w:numFmt w:val="lowerLetter"/>
      <w:lvlText w:val="%2."/>
      <w:lvlJc w:val="left"/>
      <w:pPr>
        <w:ind w:left="1440" w:hanging="360"/>
      </w:pPr>
    </w:lvl>
    <w:lvl w:ilvl="2" w:tplc="E966AA00" w:tentative="1">
      <w:start w:val="1"/>
      <w:numFmt w:val="lowerRoman"/>
      <w:lvlText w:val="%3."/>
      <w:lvlJc w:val="right"/>
      <w:pPr>
        <w:ind w:left="2160" w:hanging="180"/>
      </w:pPr>
    </w:lvl>
    <w:lvl w:ilvl="3" w:tplc="60C8359E" w:tentative="1">
      <w:start w:val="1"/>
      <w:numFmt w:val="decimal"/>
      <w:lvlText w:val="%4."/>
      <w:lvlJc w:val="left"/>
      <w:pPr>
        <w:ind w:left="2880" w:hanging="360"/>
      </w:pPr>
    </w:lvl>
    <w:lvl w:ilvl="4" w:tplc="54A22B7A" w:tentative="1">
      <w:start w:val="1"/>
      <w:numFmt w:val="lowerLetter"/>
      <w:lvlText w:val="%5."/>
      <w:lvlJc w:val="left"/>
      <w:pPr>
        <w:ind w:left="3600" w:hanging="360"/>
      </w:pPr>
    </w:lvl>
    <w:lvl w:ilvl="5" w:tplc="6DE699E2" w:tentative="1">
      <w:start w:val="1"/>
      <w:numFmt w:val="lowerRoman"/>
      <w:lvlText w:val="%6."/>
      <w:lvlJc w:val="right"/>
      <w:pPr>
        <w:ind w:left="4320" w:hanging="180"/>
      </w:pPr>
    </w:lvl>
    <w:lvl w:ilvl="6" w:tplc="0A14266C" w:tentative="1">
      <w:start w:val="1"/>
      <w:numFmt w:val="decimal"/>
      <w:lvlText w:val="%7."/>
      <w:lvlJc w:val="left"/>
      <w:pPr>
        <w:ind w:left="5040" w:hanging="360"/>
      </w:pPr>
    </w:lvl>
    <w:lvl w:ilvl="7" w:tplc="45F09C16" w:tentative="1">
      <w:start w:val="1"/>
      <w:numFmt w:val="lowerLetter"/>
      <w:lvlText w:val="%8."/>
      <w:lvlJc w:val="left"/>
      <w:pPr>
        <w:ind w:left="5760" w:hanging="360"/>
      </w:pPr>
    </w:lvl>
    <w:lvl w:ilvl="8" w:tplc="9A1A5AE6" w:tentative="1">
      <w:start w:val="1"/>
      <w:numFmt w:val="lowerRoman"/>
      <w:lvlText w:val="%9."/>
      <w:lvlJc w:val="right"/>
      <w:pPr>
        <w:ind w:left="6480" w:hanging="180"/>
      </w:pPr>
    </w:lvl>
  </w:abstractNum>
  <w:abstractNum w:abstractNumId="61" w15:restartNumberingAfterBreak="0">
    <w:nsid w:val="3E8777F1"/>
    <w:multiLevelType w:val="hybridMultilevel"/>
    <w:tmpl w:val="7B8418E8"/>
    <w:lvl w:ilvl="0" w:tplc="E02EC870">
      <w:start w:val="1"/>
      <w:numFmt w:val="bullet"/>
      <w:lvlText w:val=""/>
      <w:lvlJc w:val="left"/>
      <w:pPr>
        <w:ind w:left="720" w:hanging="360"/>
      </w:pPr>
      <w:rPr>
        <w:rFonts w:ascii="Symbol" w:hAnsi="Symbol" w:hint="default"/>
        <w:color w:val="57825E"/>
      </w:rPr>
    </w:lvl>
    <w:lvl w:ilvl="1" w:tplc="2244F816" w:tentative="1">
      <w:start w:val="1"/>
      <w:numFmt w:val="bullet"/>
      <w:lvlText w:val="o"/>
      <w:lvlJc w:val="left"/>
      <w:pPr>
        <w:ind w:left="1440" w:hanging="360"/>
      </w:pPr>
      <w:rPr>
        <w:rFonts w:ascii="Courier New" w:hAnsi="Courier New" w:cs="Courier New" w:hint="default"/>
      </w:rPr>
    </w:lvl>
    <w:lvl w:ilvl="2" w:tplc="0E2E7C44" w:tentative="1">
      <w:start w:val="1"/>
      <w:numFmt w:val="bullet"/>
      <w:lvlText w:val=""/>
      <w:lvlJc w:val="left"/>
      <w:pPr>
        <w:ind w:left="2160" w:hanging="360"/>
      </w:pPr>
      <w:rPr>
        <w:rFonts w:ascii="Wingdings" w:hAnsi="Wingdings" w:hint="default"/>
      </w:rPr>
    </w:lvl>
    <w:lvl w:ilvl="3" w:tplc="A0F08018" w:tentative="1">
      <w:start w:val="1"/>
      <w:numFmt w:val="bullet"/>
      <w:lvlText w:val=""/>
      <w:lvlJc w:val="left"/>
      <w:pPr>
        <w:ind w:left="2880" w:hanging="360"/>
      </w:pPr>
      <w:rPr>
        <w:rFonts w:ascii="Symbol" w:hAnsi="Symbol" w:hint="default"/>
      </w:rPr>
    </w:lvl>
    <w:lvl w:ilvl="4" w:tplc="8F74FF2C" w:tentative="1">
      <w:start w:val="1"/>
      <w:numFmt w:val="bullet"/>
      <w:lvlText w:val="o"/>
      <w:lvlJc w:val="left"/>
      <w:pPr>
        <w:ind w:left="3600" w:hanging="360"/>
      </w:pPr>
      <w:rPr>
        <w:rFonts w:ascii="Courier New" w:hAnsi="Courier New" w:cs="Courier New" w:hint="default"/>
      </w:rPr>
    </w:lvl>
    <w:lvl w:ilvl="5" w:tplc="08446ED4" w:tentative="1">
      <w:start w:val="1"/>
      <w:numFmt w:val="bullet"/>
      <w:lvlText w:val=""/>
      <w:lvlJc w:val="left"/>
      <w:pPr>
        <w:ind w:left="4320" w:hanging="360"/>
      </w:pPr>
      <w:rPr>
        <w:rFonts w:ascii="Wingdings" w:hAnsi="Wingdings" w:hint="default"/>
      </w:rPr>
    </w:lvl>
    <w:lvl w:ilvl="6" w:tplc="404AD7EE" w:tentative="1">
      <w:start w:val="1"/>
      <w:numFmt w:val="bullet"/>
      <w:lvlText w:val=""/>
      <w:lvlJc w:val="left"/>
      <w:pPr>
        <w:ind w:left="5040" w:hanging="360"/>
      </w:pPr>
      <w:rPr>
        <w:rFonts w:ascii="Symbol" w:hAnsi="Symbol" w:hint="default"/>
      </w:rPr>
    </w:lvl>
    <w:lvl w:ilvl="7" w:tplc="6078413E" w:tentative="1">
      <w:start w:val="1"/>
      <w:numFmt w:val="bullet"/>
      <w:lvlText w:val="o"/>
      <w:lvlJc w:val="left"/>
      <w:pPr>
        <w:ind w:left="5760" w:hanging="360"/>
      </w:pPr>
      <w:rPr>
        <w:rFonts w:ascii="Courier New" w:hAnsi="Courier New" w:cs="Courier New" w:hint="default"/>
      </w:rPr>
    </w:lvl>
    <w:lvl w:ilvl="8" w:tplc="677A3982" w:tentative="1">
      <w:start w:val="1"/>
      <w:numFmt w:val="bullet"/>
      <w:lvlText w:val=""/>
      <w:lvlJc w:val="left"/>
      <w:pPr>
        <w:ind w:left="6480" w:hanging="360"/>
      </w:pPr>
      <w:rPr>
        <w:rFonts w:ascii="Wingdings" w:hAnsi="Wingdings" w:hint="default"/>
      </w:rPr>
    </w:lvl>
  </w:abstractNum>
  <w:abstractNum w:abstractNumId="62" w15:restartNumberingAfterBreak="0">
    <w:nsid w:val="3FE60C9C"/>
    <w:multiLevelType w:val="hybridMultilevel"/>
    <w:tmpl w:val="C6147728"/>
    <w:lvl w:ilvl="0" w:tplc="01C2C10C">
      <w:start w:val="1"/>
      <w:numFmt w:val="bullet"/>
      <w:lvlText w:val=""/>
      <w:lvlJc w:val="left"/>
      <w:pPr>
        <w:ind w:left="720" w:hanging="360"/>
      </w:pPr>
      <w:rPr>
        <w:rFonts w:ascii="Symbol" w:hAnsi="Symbol" w:hint="default"/>
        <w:color w:val="57825E"/>
      </w:rPr>
    </w:lvl>
    <w:lvl w:ilvl="1" w:tplc="691015E2" w:tentative="1">
      <w:start w:val="1"/>
      <w:numFmt w:val="bullet"/>
      <w:lvlText w:val="o"/>
      <w:lvlJc w:val="left"/>
      <w:pPr>
        <w:ind w:left="1440" w:hanging="360"/>
      </w:pPr>
      <w:rPr>
        <w:rFonts w:ascii="Courier New" w:hAnsi="Courier New" w:cs="Courier New" w:hint="default"/>
      </w:rPr>
    </w:lvl>
    <w:lvl w:ilvl="2" w:tplc="DD0A583A" w:tentative="1">
      <w:start w:val="1"/>
      <w:numFmt w:val="bullet"/>
      <w:lvlText w:val=""/>
      <w:lvlJc w:val="left"/>
      <w:pPr>
        <w:ind w:left="2160" w:hanging="360"/>
      </w:pPr>
      <w:rPr>
        <w:rFonts w:ascii="Wingdings" w:hAnsi="Wingdings" w:hint="default"/>
      </w:rPr>
    </w:lvl>
    <w:lvl w:ilvl="3" w:tplc="3F086374" w:tentative="1">
      <w:start w:val="1"/>
      <w:numFmt w:val="bullet"/>
      <w:lvlText w:val=""/>
      <w:lvlJc w:val="left"/>
      <w:pPr>
        <w:ind w:left="2880" w:hanging="360"/>
      </w:pPr>
      <w:rPr>
        <w:rFonts w:ascii="Symbol" w:hAnsi="Symbol" w:hint="default"/>
      </w:rPr>
    </w:lvl>
    <w:lvl w:ilvl="4" w:tplc="E56043D2" w:tentative="1">
      <w:start w:val="1"/>
      <w:numFmt w:val="bullet"/>
      <w:lvlText w:val="o"/>
      <w:lvlJc w:val="left"/>
      <w:pPr>
        <w:ind w:left="3600" w:hanging="360"/>
      </w:pPr>
      <w:rPr>
        <w:rFonts w:ascii="Courier New" w:hAnsi="Courier New" w:cs="Courier New" w:hint="default"/>
      </w:rPr>
    </w:lvl>
    <w:lvl w:ilvl="5" w:tplc="2D8EFA12" w:tentative="1">
      <w:start w:val="1"/>
      <w:numFmt w:val="bullet"/>
      <w:lvlText w:val=""/>
      <w:lvlJc w:val="left"/>
      <w:pPr>
        <w:ind w:left="4320" w:hanging="360"/>
      </w:pPr>
      <w:rPr>
        <w:rFonts w:ascii="Wingdings" w:hAnsi="Wingdings" w:hint="default"/>
      </w:rPr>
    </w:lvl>
    <w:lvl w:ilvl="6" w:tplc="5224C8AC" w:tentative="1">
      <w:start w:val="1"/>
      <w:numFmt w:val="bullet"/>
      <w:lvlText w:val=""/>
      <w:lvlJc w:val="left"/>
      <w:pPr>
        <w:ind w:left="5040" w:hanging="360"/>
      </w:pPr>
      <w:rPr>
        <w:rFonts w:ascii="Symbol" w:hAnsi="Symbol" w:hint="default"/>
      </w:rPr>
    </w:lvl>
    <w:lvl w:ilvl="7" w:tplc="FACADD30" w:tentative="1">
      <w:start w:val="1"/>
      <w:numFmt w:val="bullet"/>
      <w:lvlText w:val="o"/>
      <w:lvlJc w:val="left"/>
      <w:pPr>
        <w:ind w:left="5760" w:hanging="360"/>
      </w:pPr>
      <w:rPr>
        <w:rFonts w:ascii="Courier New" w:hAnsi="Courier New" w:cs="Courier New" w:hint="default"/>
      </w:rPr>
    </w:lvl>
    <w:lvl w:ilvl="8" w:tplc="06AE87FE" w:tentative="1">
      <w:start w:val="1"/>
      <w:numFmt w:val="bullet"/>
      <w:lvlText w:val=""/>
      <w:lvlJc w:val="left"/>
      <w:pPr>
        <w:ind w:left="6480" w:hanging="360"/>
      </w:pPr>
      <w:rPr>
        <w:rFonts w:ascii="Wingdings" w:hAnsi="Wingdings" w:hint="default"/>
      </w:rPr>
    </w:lvl>
  </w:abstractNum>
  <w:abstractNum w:abstractNumId="63"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1133071"/>
    <w:multiLevelType w:val="hybridMultilevel"/>
    <w:tmpl w:val="8AA2E132"/>
    <w:lvl w:ilvl="0" w:tplc="32C2BEFE">
      <w:start w:val="1"/>
      <w:numFmt w:val="bullet"/>
      <w:lvlText w:val=""/>
      <w:lvlJc w:val="left"/>
      <w:pPr>
        <w:ind w:left="720" w:hanging="360"/>
      </w:pPr>
      <w:rPr>
        <w:rFonts w:ascii="Symbol" w:hAnsi="Symbol" w:hint="default"/>
        <w:b w:val="0"/>
        <w:color w:val="57825E"/>
      </w:rPr>
    </w:lvl>
    <w:lvl w:ilvl="1" w:tplc="B02E639C" w:tentative="1">
      <w:start w:val="1"/>
      <w:numFmt w:val="lowerLetter"/>
      <w:lvlText w:val="%2."/>
      <w:lvlJc w:val="left"/>
      <w:pPr>
        <w:ind w:left="1440" w:hanging="360"/>
      </w:pPr>
    </w:lvl>
    <w:lvl w:ilvl="2" w:tplc="AC78E7F6" w:tentative="1">
      <w:start w:val="1"/>
      <w:numFmt w:val="lowerRoman"/>
      <w:lvlText w:val="%3."/>
      <w:lvlJc w:val="right"/>
      <w:pPr>
        <w:ind w:left="2160" w:hanging="180"/>
      </w:pPr>
    </w:lvl>
    <w:lvl w:ilvl="3" w:tplc="4A88AD92" w:tentative="1">
      <w:start w:val="1"/>
      <w:numFmt w:val="decimal"/>
      <w:lvlText w:val="%4."/>
      <w:lvlJc w:val="left"/>
      <w:pPr>
        <w:ind w:left="2880" w:hanging="360"/>
      </w:pPr>
    </w:lvl>
    <w:lvl w:ilvl="4" w:tplc="3EDE3ED0" w:tentative="1">
      <w:start w:val="1"/>
      <w:numFmt w:val="lowerLetter"/>
      <w:lvlText w:val="%5."/>
      <w:lvlJc w:val="left"/>
      <w:pPr>
        <w:ind w:left="3600" w:hanging="360"/>
      </w:pPr>
    </w:lvl>
    <w:lvl w:ilvl="5" w:tplc="33603B0C" w:tentative="1">
      <w:start w:val="1"/>
      <w:numFmt w:val="lowerRoman"/>
      <w:lvlText w:val="%6."/>
      <w:lvlJc w:val="right"/>
      <w:pPr>
        <w:ind w:left="4320" w:hanging="180"/>
      </w:pPr>
    </w:lvl>
    <w:lvl w:ilvl="6" w:tplc="ABA0ADA0" w:tentative="1">
      <w:start w:val="1"/>
      <w:numFmt w:val="decimal"/>
      <w:lvlText w:val="%7."/>
      <w:lvlJc w:val="left"/>
      <w:pPr>
        <w:ind w:left="5040" w:hanging="360"/>
      </w:pPr>
    </w:lvl>
    <w:lvl w:ilvl="7" w:tplc="825ECE12" w:tentative="1">
      <w:start w:val="1"/>
      <w:numFmt w:val="lowerLetter"/>
      <w:lvlText w:val="%8."/>
      <w:lvlJc w:val="left"/>
      <w:pPr>
        <w:ind w:left="5760" w:hanging="360"/>
      </w:pPr>
    </w:lvl>
    <w:lvl w:ilvl="8" w:tplc="3886DFD8" w:tentative="1">
      <w:start w:val="1"/>
      <w:numFmt w:val="lowerRoman"/>
      <w:lvlText w:val="%9."/>
      <w:lvlJc w:val="right"/>
      <w:pPr>
        <w:ind w:left="6480" w:hanging="180"/>
      </w:pPr>
    </w:lvl>
  </w:abstractNum>
  <w:abstractNum w:abstractNumId="65"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43A72027"/>
    <w:multiLevelType w:val="hybridMultilevel"/>
    <w:tmpl w:val="362EE966"/>
    <w:lvl w:ilvl="0" w:tplc="C1903A1A">
      <w:start w:val="1"/>
      <w:numFmt w:val="decimal"/>
      <w:pStyle w:val="HHeadingtables"/>
      <w:lvlText w:val="Table %1."/>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B8640B0" w:tentative="1">
      <w:start w:val="1"/>
      <w:numFmt w:val="lowerLetter"/>
      <w:lvlText w:val="%2."/>
      <w:lvlJc w:val="left"/>
      <w:pPr>
        <w:ind w:left="1440" w:hanging="360"/>
      </w:pPr>
    </w:lvl>
    <w:lvl w:ilvl="2" w:tplc="FB209BBE" w:tentative="1">
      <w:start w:val="1"/>
      <w:numFmt w:val="lowerRoman"/>
      <w:lvlText w:val="%3."/>
      <w:lvlJc w:val="right"/>
      <w:pPr>
        <w:ind w:left="2160" w:hanging="180"/>
      </w:pPr>
    </w:lvl>
    <w:lvl w:ilvl="3" w:tplc="605E89C8" w:tentative="1">
      <w:start w:val="1"/>
      <w:numFmt w:val="decimal"/>
      <w:lvlText w:val="%4."/>
      <w:lvlJc w:val="left"/>
      <w:pPr>
        <w:ind w:left="2880" w:hanging="360"/>
      </w:pPr>
    </w:lvl>
    <w:lvl w:ilvl="4" w:tplc="49801EC6" w:tentative="1">
      <w:start w:val="1"/>
      <w:numFmt w:val="lowerLetter"/>
      <w:lvlText w:val="%5."/>
      <w:lvlJc w:val="left"/>
      <w:pPr>
        <w:ind w:left="3600" w:hanging="360"/>
      </w:pPr>
    </w:lvl>
    <w:lvl w:ilvl="5" w:tplc="E444990C" w:tentative="1">
      <w:start w:val="1"/>
      <w:numFmt w:val="lowerRoman"/>
      <w:lvlText w:val="%6."/>
      <w:lvlJc w:val="right"/>
      <w:pPr>
        <w:ind w:left="4320" w:hanging="180"/>
      </w:pPr>
    </w:lvl>
    <w:lvl w:ilvl="6" w:tplc="F7041CE0" w:tentative="1">
      <w:start w:val="1"/>
      <w:numFmt w:val="decimal"/>
      <w:lvlText w:val="%7."/>
      <w:lvlJc w:val="left"/>
      <w:pPr>
        <w:ind w:left="5040" w:hanging="360"/>
      </w:pPr>
    </w:lvl>
    <w:lvl w:ilvl="7" w:tplc="27125990" w:tentative="1">
      <w:start w:val="1"/>
      <w:numFmt w:val="lowerLetter"/>
      <w:lvlText w:val="%8."/>
      <w:lvlJc w:val="left"/>
      <w:pPr>
        <w:ind w:left="5760" w:hanging="360"/>
      </w:pPr>
    </w:lvl>
    <w:lvl w:ilvl="8" w:tplc="71403962" w:tentative="1">
      <w:start w:val="1"/>
      <w:numFmt w:val="lowerRoman"/>
      <w:lvlText w:val="%9."/>
      <w:lvlJc w:val="right"/>
      <w:pPr>
        <w:ind w:left="6480" w:hanging="180"/>
      </w:pPr>
    </w:lvl>
  </w:abstractNum>
  <w:abstractNum w:abstractNumId="67" w15:restartNumberingAfterBreak="0">
    <w:nsid w:val="440E0359"/>
    <w:multiLevelType w:val="hybridMultilevel"/>
    <w:tmpl w:val="5AD06358"/>
    <w:lvl w:ilvl="0" w:tplc="FE8E42FA">
      <w:start w:val="1"/>
      <w:numFmt w:val="bullet"/>
      <w:lvlText w:val=""/>
      <w:lvlJc w:val="left"/>
      <w:pPr>
        <w:ind w:left="720" w:hanging="360"/>
      </w:pPr>
      <w:rPr>
        <w:rFonts w:ascii="Symbol" w:hAnsi="Symbol" w:hint="default"/>
        <w:color w:val="57825E"/>
      </w:rPr>
    </w:lvl>
    <w:lvl w:ilvl="1" w:tplc="F52E78B6" w:tentative="1">
      <w:start w:val="1"/>
      <w:numFmt w:val="bullet"/>
      <w:lvlText w:val="o"/>
      <w:lvlJc w:val="left"/>
      <w:pPr>
        <w:ind w:left="1440" w:hanging="360"/>
      </w:pPr>
      <w:rPr>
        <w:rFonts w:ascii="Courier New" w:hAnsi="Courier New" w:cs="Courier New" w:hint="default"/>
      </w:rPr>
    </w:lvl>
    <w:lvl w:ilvl="2" w:tplc="4C106B74" w:tentative="1">
      <w:start w:val="1"/>
      <w:numFmt w:val="bullet"/>
      <w:lvlText w:val=""/>
      <w:lvlJc w:val="left"/>
      <w:pPr>
        <w:ind w:left="2160" w:hanging="360"/>
      </w:pPr>
      <w:rPr>
        <w:rFonts w:ascii="Wingdings" w:hAnsi="Wingdings" w:hint="default"/>
      </w:rPr>
    </w:lvl>
    <w:lvl w:ilvl="3" w:tplc="C6F06C24" w:tentative="1">
      <w:start w:val="1"/>
      <w:numFmt w:val="bullet"/>
      <w:lvlText w:val=""/>
      <w:lvlJc w:val="left"/>
      <w:pPr>
        <w:ind w:left="2880" w:hanging="360"/>
      </w:pPr>
      <w:rPr>
        <w:rFonts w:ascii="Symbol" w:hAnsi="Symbol" w:hint="default"/>
      </w:rPr>
    </w:lvl>
    <w:lvl w:ilvl="4" w:tplc="0A42E372" w:tentative="1">
      <w:start w:val="1"/>
      <w:numFmt w:val="bullet"/>
      <w:lvlText w:val="o"/>
      <w:lvlJc w:val="left"/>
      <w:pPr>
        <w:ind w:left="3600" w:hanging="360"/>
      </w:pPr>
      <w:rPr>
        <w:rFonts w:ascii="Courier New" w:hAnsi="Courier New" w:cs="Courier New" w:hint="default"/>
      </w:rPr>
    </w:lvl>
    <w:lvl w:ilvl="5" w:tplc="429E08E6" w:tentative="1">
      <w:start w:val="1"/>
      <w:numFmt w:val="bullet"/>
      <w:lvlText w:val=""/>
      <w:lvlJc w:val="left"/>
      <w:pPr>
        <w:ind w:left="4320" w:hanging="360"/>
      </w:pPr>
      <w:rPr>
        <w:rFonts w:ascii="Wingdings" w:hAnsi="Wingdings" w:hint="default"/>
      </w:rPr>
    </w:lvl>
    <w:lvl w:ilvl="6" w:tplc="CE8C6168" w:tentative="1">
      <w:start w:val="1"/>
      <w:numFmt w:val="bullet"/>
      <w:lvlText w:val=""/>
      <w:lvlJc w:val="left"/>
      <w:pPr>
        <w:ind w:left="5040" w:hanging="360"/>
      </w:pPr>
      <w:rPr>
        <w:rFonts w:ascii="Symbol" w:hAnsi="Symbol" w:hint="default"/>
      </w:rPr>
    </w:lvl>
    <w:lvl w:ilvl="7" w:tplc="692E941A" w:tentative="1">
      <w:start w:val="1"/>
      <w:numFmt w:val="bullet"/>
      <w:lvlText w:val="o"/>
      <w:lvlJc w:val="left"/>
      <w:pPr>
        <w:ind w:left="5760" w:hanging="360"/>
      </w:pPr>
      <w:rPr>
        <w:rFonts w:ascii="Courier New" w:hAnsi="Courier New" w:cs="Courier New" w:hint="default"/>
      </w:rPr>
    </w:lvl>
    <w:lvl w:ilvl="8" w:tplc="3D66F3F4" w:tentative="1">
      <w:start w:val="1"/>
      <w:numFmt w:val="bullet"/>
      <w:lvlText w:val=""/>
      <w:lvlJc w:val="left"/>
      <w:pPr>
        <w:ind w:left="6480" w:hanging="360"/>
      </w:pPr>
      <w:rPr>
        <w:rFonts w:ascii="Wingdings" w:hAnsi="Wingdings" w:hint="default"/>
      </w:rPr>
    </w:lvl>
  </w:abstractNum>
  <w:abstractNum w:abstractNumId="68" w15:restartNumberingAfterBreak="0">
    <w:nsid w:val="446D44EA"/>
    <w:multiLevelType w:val="hybridMultilevel"/>
    <w:tmpl w:val="C306574C"/>
    <w:lvl w:ilvl="0" w:tplc="7F6AA4A0">
      <w:start w:val="1"/>
      <w:numFmt w:val="bullet"/>
      <w:lvlText w:val=""/>
      <w:lvlJc w:val="left"/>
      <w:pPr>
        <w:ind w:left="720" w:hanging="360"/>
      </w:pPr>
      <w:rPr>
        <w:rFonts w:ascii="Symbol" w:hAnsi="Symbol" w:hint="default"/>
        <w:color w:val="57825E"/>
      </w:rPr>
    </w:lvl>
    <w:lvl w:ilvl="1" w:tplc="3DBCA270" w:tentative="1">
      <w:start w:val="1"/>
      <w:numFmt w:val="bullet"/>
      <w:lvlText w:val="o"/>
      <w:lvlJc w:val="left"/>
      <w:pPr>
        <w:ind w:left="1440" w:hanging="360"/>
      </w:pPr>
      <w:rPr>
        <w:rFonts w:ascii="Courier New" w:hAnsi="Courier New" w:cs="Courier New" w:hint="default"/>
      </w:rPr>
    </w:lvl>
    <w:lvl w:ilvl="2" w:tplc="50CC2152" w:tentative="1">
      <w:start w:val="1"/>
      <w:numFmt w:val="bullet"/>
      <w:lvlText w:val=""/>
      <w:lvlJc w:val="left"/>
      <w:pPr>
        <w:ind w:left="2160" w:hanging="360"/>
      </w:pPr>
      <w:rPr>
        <w:rFonts w:ascii="Wingdings" w:hAnsi="Wingdings" w:hint="default"/>
      </w:rPr>
    </w:lvl>
    <w:lvl w:ilvl="3" w:tplc="A9500B30" w:tentative="1">
      <w:start w:val="1"/>
      <w:numFmt w:val="bullet"/>
      <w:lvlText w:val=""/>
      <w:lvlJc w:val="left"/>
      <w:pPr>
        <w:ind w:left="2880" w:hanging="360"/>
      </w:pPr>
      <w:rPr>
        <w:rFonts w:ascii="Symbol" w:hAnsi="Symbol" w:hint="default"/>
      </w:rPr>
    </w:lvl>
    <w:lvl w:ilvl="4" w:tplc="8488BA3A" w:tentative="1">
      <w:start w:val="1"/>
      <w:numFmt w:val="bullet"/>
      <w:lvlText w:val="o"/>
      <w:lvlJc w:val="left"/>
      <w:pPr>
        <w:ind w:left="3600" w:hanging="360"/>
      </w:pPr>
      <w:rPr>
        <w:rFonts w:ascii="Courier New" w:hAnsi="Courier New" w:cs="Courier New" w:hint="default"/>
      </w:rPr>
    </w:lvl>
    <w:lvl w:ilvl="5" w:tplc="F334C7C4" w:tentative="1">
      <w:start w:val="1"/>
      <w:numFmt w:val="bullet"/>
      <w:lvlText w:val=""/>
      <w:lvlJc w:val="left"/>
      <w:pPr>
        <w:ind w:left="4320" w:hanging="360"/>
      </w:pPr>
      <w:rPr>
        <w:rFonts w:ascii="Wingdings" w:hAnsi="Wingdings" w:hint="default"/>
      </w:rPr>
    </w:lvl>
    <w:lvl w:ilvl="6" w:tplc="587C2384" w:tentative="1">
      <w:start w:val="1"/>
      <w:numFmt w:val="bullet"/>
      <w:lvlText w:val=""/>
      <w:lvlJc w:val="left"/>
      <w:pPr>
        <w:ind w:left="5040" w:hanging="360"/>
      </w:pPr>
      <w:rPr>
        <w:rFonts w:ascii="Symbol" w:hAnsi="Symbol" w:hint="default"/>
      </w:rPr>
    </w:lvl>
    <w:lvl w:ilvl="7" w:tplc="FE9EBD9C" w:tentative="1">
      <w:start w:val="1"/>
      <w:numFmt w:val="bullet"/>
      <w:lvlText w:val="o"/>
      <w:lvlJc w:val="left"/>
      <w:pPr>
        <w:ind w:left="5760" w:hanging="360"/>
      </w:pPr>
      <w:rPr>
        <w:rFonts w:ascii="Courier New" w:hAnsi="Courier New" w:cs="Courier New" w:hint="default"/>
      </w:rPr>
    </w:lvl>
    <w:lvl w:ilvl="8" w:tplc="B7607DB2" w:tentative="1">
      <w:start w:val="1"/>
      <w:numFmt w:val="bullet"/>
      <w:lvlText w:val=""/>
      <w:lvlJc w:val="left"/>
      <w:pPr>
        <w:ind w:left="6480" w:hanging="360"/>
      </w:pPr>
      <w:rPr>
        <w:rFonts w:ascii="Wingdings" w:hAnsi="Wingdings" w:hint="default"/>
      </w:rPr>
    </w:lvl>
  </w:abstractNum>
  <w:abstractNum w:abstractNumId="69" w15:restartNumberingAfterBreak="0">
    <w:nsid w:val="45C7219B"/>
    <w:multiLevelType w:val="hybridMultilevel"/>
    <w:tmpl w:val="056C6044"/>
    <w:lvl w:ilvl="0" w:tplc="2A5C8798">
      <w:start w:val="1"/>
      <w:numFmt w:val="bullet"/>
      <w:lvlText w:val=""/>
      <w:lvlJc w:val="left"/>
      <w:pPr>
        <w:ind w:left="233" w:hanging="360"/>
      </w:pPr>
      <w:rPr>
        <w:rFonts w:ascii="Symbol" w:hAnsi="Symbol" w:hint="default"/>
        <w:b w:val="0"/>
        <w:color w:val="57825E"/>
      </w:rPr>
    </w:lvl>
    <w:lvl w:ilvl="1" w:tplc="698810D2">
      <w:start w:val="1"/>
      <w:numFmt w:val="bullet"/>
      <w:lvlText w:val="o"/>
      <w:lvlJc w:val="left"/>
      <w:pPr>
        <w:ind w:left="1029" w:hanging="360"/>
      </w:pPr>
      <w:rPr>
        <w:rFonts w:ascii="Courier New" w:hAnsi="Courier New" w:cs="Courier New" w:hint="default"/>
      </w:rPr>
    </w:lvl>
    <w:lvl w:ilvl="2" w:tplc="9D9260F6" w:tentative="1">
      <w:start w:val="1"/>
      <w:numFmt w:val="bullet"/>
      <w:lvlText w:val=""/>
      <w:lvlJc w:val="left"/>
      <w:pPr>
        <w:ind w:left="1749" w:hanging="360"/>
      </w:pPr>
      <w:rPr>
        <w:rFonts w:ascii="Wingdings" w:hAnsi="Wingdings" w:hint="default"/>
      </w:rPr>
    </w:lvl>
    <w:lvl w:ilvl="3" w:tplc="29BC68B0" w:tentative="1">
      <w:start w:val="1"/>
      <w:numFmt w:val="bullet"/>
      <w:lvlText w:val=""/>
      <w:lvlJc w:val="left"/>
      <w:pPr>
        <w:ind w:left="2469" w:hanging="360"/>
      </w:pPr>
      <w:rPr>
        <w:rFonts w:ascii="Symbol" w:hAnsi="Symbol" w:hint="default"/>
      </w:rPr>
    </w:lvl>
    <w:lvl w:ilvl="4" w:tplc="9F481420" w:tentative="1">
      <w:start w:val="1"/>
      <w:numFmt w:val="bullet"/>
      <w:lvlText w:val="o"/>
      <w:lvlJc w:val="left"/>
      <w:pPr>
        <w:ind w:left="3189" w:hanging="360"/>
      </w:pPr>
      <w:rPr>
        <w:rFonts w:ascii="Courier New" w:hAnsi="Courier New" w:cs="Courier New" w:hint="default"/>
      </w:rPr>
    </w:lvl>
    <w:lvl w:ilvl="5" w:tplc="6C9AD956" w:tentative="1">
      <w:start w:val="1"/>
      <w:numFmt w:val="bullet"/>
      <w:lvlText w:val=""/>
      <w:lvlJc w:val="left"/>
      <w:pPr>
        <w:ind w:left="3909" w:hanging="360"/>
      </w:pPr>
      <w:rPr>
        <w:rFonts w:ascii="Wingdings" w:hAnsi="Wingdings" w:hint="default"/>
      </w:rPr>
    </w:lvl>
    <w:lvl w:ilvl="6" w:tplc="5C8AAA34" w:tentative="1">
      <w:start w:val="1"/>
      <w:numFmt w:val="bullet"/>
      <w:lvlText w:val=""/>
      <w:lvlJc w:val="left"/>
      <w:pPr>
        <w:ind w:left="4629" w:hanging="360"/>
      </w:pPr>
      <w:rPr>
        <w:rFonts w:ascii="Symbol" w:hAnsi="Symbol" w:hint="default"/>
      </w:rPr>
    </w:lvl>
    <w:lvl w:ilvl="7" w:tplc="30549052" w:tentative="1">
      <w:start w:val="1"/>
      <w:numFmt w:val="bullet"/>
      <w:lvlText w:val="o"/>
      <w:lvlJc w:val="left"/>
      <w:pPr>
        <w:ind w:left="5349" w:hanging="360"/>
      </w:pPr>
      <w:rPr>
        <w:rFonts w:ascii="Courier New" w:hAnsi="Courier New" w:cs="Courier New" w:hint="default"/>
      </w:rPr>
    </w:lvl>
    <w:lvl w:ilvl="8" w:tplc="46D4AC1E" w:tentative="1">
      <w:start w:val="1"/>
      <w:numFmt w:val="bullet"/>
      <w:lvlText w:val=""/>
      <w:lvlJc w:val="left"/>
      <w:pPr>
        <w:ind w:left="6069" w:hanging="360"/>
      </w:pPr>
      <w:rPr>
        <w:rFonts w:ascii="Wingdings" w:hAnsi="Wingdings" w:hint="default"/>
      </w:rPr>
    </w:lvl>
  </w:abstractNum>
  <w:abstractNum w:abstractNumId="70" w15:restartNumberingAfterBreak="0">
    <w:nsid w:val="47321CEC"/>
    <w:multiLevelType w:val="hybridMultilevel"/>
    <w:tmpl w:val="67A48DD8"/>
    <w:lvl w:ilvl="0" w:tplc="20085BCE">
      <w:start w:val="1"/>
      <w:numFmt w:val="bullet"/>
      <w:lvlText w:val=""/>
      <w:lvlJc w:val="left"/>
      <w:pPr>
        <w:ind w:left="720" w:hanging="360"/>
      </w:pPr>
      <w:rPr>
        <w:rFonts w:ascii="Symbol" w:hAnsi="Symbol" w:hint="default"/>
        <w:color w:val="57825E"/>
      </w:rPr>
    </w:lvl>
    <w:lvl w:ilvl="1" w:tplc="63448B0E" w:tentative="1">
      <w:start w:val="1"/>
      <w:numFmt w:val="bullet"/>
      <w:lvlText w:val="o"/>
      <w:lvlJc w:val="left"/>
      <w:pPr>
        <w:ind w:left="1440" w:hanging="360"/>
      </w:pPr>
      <w:rPr>
        <w:rFonts w:ascii="Courier New" w:hAnsi="Courier New" w:cs="Courier New" w:hint="default"/>
      </w:rPr>
    </w:lvl>
    <w:lvl w:ilvl="2" w:tplc="0BB455EE" w:tentative="1">
      <w:start w:val="1"/>
      <w:numFmt w:val="bullet"/>
      <w:lvlText w:val=""/>
      <w:lvlJc w:val="left"/>
      <w:pPr>
        <w:ind w:left="2160" w:hanging="360"/>
      </w:pPr>
      <w:rPr>
        <w:rFonts w:ascii="Wingdings" w:hAnsi="Wingdings" w:hint="default"/>
      </w:rPr>
    </w:lvl>
    <w:lvl w:ilvl="3" w:tplc="16FC3A26" w:tentative="1">
      <w:start w:val="1"/>
      <w:numFmt w:val="bullet"/>
      <w:lvlText w:val=""/>
      <w:lvlJc w:val="left"/>
      <w:pPr>
        <w:ind w:left="2880" w:hanging="360"/>
      </w:pPr>
      <w:rPr>
        <w:rFonts w:ascii="Symbol" w:hAnsi="Symbol" w:hint="default"/>
      </w:rPr>
    </w:lvl>
    <w:lvl w:ilvl="4" w:tplc="304E7A42" w:tentative="1">
      <w:start w:val="1"/>
      <w:numFmt w:val="bullet"/>
      <w:lvlText w:val="o"/>
      <w:lvlJc w:val="left"/>
      <w:pPr>
        <w:ind w:left="3600" w:hanging="360"/>
      </w:pPr>
      <w:rPr>
        <w:rFonts w:ascii="Courier New" w:hAnsi="Courier New" w:cs="Courier New" w:hint="default"/>
      </w:rPr>
    </w:lvl>
    <w:lvl w:ilvl="5" w:tplc="BEAA2E08" w:tentative="1">
      <w:start w:val="1"/>
      <w:numFmt w:val="bullet"/>
      <w:lvlText w:val=""/>
      <w:lvlJc w:val="left"/>
      <w:pPr>
        <w:ind w:left="4320" w:hanging="360"/>
      </w:pPr>
      <w:rPr>
        <w:rFonts w:ascii="Wingdings" w:hAnsi="Wingdings" w:hint="default"/>
      </w:rPr>
    </w:lvl>
    <w:lvl w:ilvl="6" w:tplc="48485BFE" w:tentative="1">
      <w:start w:val="1"/>
      <w:numFmt w:val="bullet"/>
      <w:lvlText w:val=""/>
      <w:lvlJc w:val="left"/>
      <w:pPr>
        <w:ind w:left="5040" w:hanging="360"/>
      </w:pPr>
      <w:rPr>
        <w:rFonts w:ascii="Symbol" w:hAnsi="Symbol" w:hint="default"/>
      </w:rPr>
    </w:lvl>
    <w:lvl w:ilvl="7" w:tplc="99B43A3A" w:tentative="1">
      <w:start w:val="1"/>
      <w:numFmt w:val="bullet"/>
      <w:lvlText w:val="o"/>
      <w:lvlJc w:val="left"/>
      <w:pPr>
        <w:ind w:left="5760" w:hanging="360"/>
      </w:pPr>
      <w:rPr>
        <w:rFonts w:ascii="Courier New" w:hAnsi="Courier New" w:cs="Courier New" w:hint="default"/>
      </w:rPr>
    </w:lvl>
    <w:lvl w:ilvl="8" w:tplc="4884659C" w:tentative="1">
      <w:start w:val="1"/>
      <w:numFmt w:val="bullet"/>
      <w:lvlText w:val=""/>
      <w:lvlJc w:val="left"/>
      <w:pPr>
        <w:ind w:left="6480" w:hanging="360"/>
      </w:pPr>
      <w:rPr>
        <w:rFonts w:ascii="Wingdings" w:hAnsi="Wingdings" w:hint="default"/>
      </w:rPr>
    </w:lvl>
  </w:abstractNum>
  <w:abstractNum w:abstractNumId="71" w15:restartNumberingAfterBreak="0">
    <w:nsid w:val="47486776"/>
    <w:multiLevelType w:val="hybridMultilevel"/>
    <w:tmpl w:val="E6D404F4"/>
    <w:lvl w:ilvl="0" w:tplc="AA1A1402">
      <w:start w:val="1"/>
      <w:numFmt w:val="bullet"/>
      <w:lvlText w:val=""/>
      <w:lvlJc w:val="left"/>
      <w:pPr>
        <w:ind w:left="720" w:hanging="360"/>
      </w:pPr>
      <w:rPr>
        <w:rFonts w:ascii="Symbol" w:hAnsi="Symbol" w:hint="default"/>
        <w:b w:val="0"/>
        <w:color w:val="57825E"/>
      </w:rPr>
    </w:lvl>
    <w:lvl w:ilvl="1" w:tplc="D7626D66" w:tentative="1">
      <w:start w:val="1"/>
      <w:numFmt w:val="lowerLetter"/>
      <w:lvlText w:val="%2."/>
      <w:lvlJc w:val="left"/>
      <w:pPr>
        <w:ind w:left="1440" w:hanging="360"/>
      </w:pPr>
    </w:lvl>
    <w:lvl w:ilvl="2" w:tplc="6772FDF4" w:tentative="1">
      <w:start w:val="1"/>
      <w:numFmt w:val="lowerRoman"/>
      <w:lvlText w:val="%3."/>
      <w:lvlJc w:val="right"/>
      <w:pPr>
        <w:ind w:left="2160" w:hanging="180"/>
      </w:pPr>
    </w:lvl>
    <w:lvl w:ilvl="3" w:tplc="3FEA4FF6" w:tentative="1">
      <w:start w:val="1"/>
      <w:numFmt w:val="decimal"/>
      <w:lvlText w:val="%4."/>
      <w:lvlJc w:val="left"/>
      <w:pPr>
        <w:ind w:left="2880" w:hanging="360"/>
      </w:pPr>
    </w:lvl>
    <w:lvl w:ilvl="4" w:tplc="12BAD560" w:tentative="1">
      <w:start w:val="1"/>
      <w:numFmt w:val="lowerLetter"/>
      <w:lvlText w:val="%5."/>
      <w:lvlJc w:val="left"/>
      <w:pPr>
        <w:ind w:left="3600" w:hanging="360"/>
      </w:pPr>
    </w:lvl>
    <w:lvl w:ilvl="5" w:tplc="3A60DE8C" w:tentative="1">
      <w:start w:val="1"/>
      <w:numFmt w:val="lowerRoman"/>
      <w:lvlText w:val="%6."/>
      <w:lvlJc w:val="right"/>
      <w:pPr>
        <w:ind w:left="4320" w:hanging="180"/>
      </w:pPr>
    </w:lvl>
    <w:lvl w:ilvl="6" w:tplc="593E2CDA" w:tentative="1">
      <w:start w:val="1"/>
      <w:numFmt w:val="decimal"/>
      <w:lvlText w:val="%7."/>
      <w:lvlJc w:val="left"/>
      <w:pPr>
        <w:ind w:left="5040" w:hanging="360"/>
      </w:pPr>
    </w:lvl>
    <w:lvl w:ilvl="7" w:tplc="F66E9AE4" w:tentative="1">
      <w:start w:val="1"/>
      <w:numFmt w:val="lowerLetter"/>
      <w:lvlText w:val="%8."/>
      <w:lvlJc w:val="left"/>
      <w:pPr>
        <w:ind w:left="5760" w:hanging="360"/>
      </w:pPr>
    </w:lvl>
    <w:lvl w:ilvl="8" w:tplc="A662842C" w:tentative="1">
      <w:start w:val="1"/>
      <w:numFmt w:val="lowerRoman"/>
      <w:lvlText w:val="%9."/>
      <w:lvlJc w:val="right"/>
      <w:pPr>
        <w:ind w:left="6480" w:hanging="180"/>
      </w:pPr>
    </w:lvl>
  </w:abstractNum>
  <w:abstractNum w:abstractNumId="72" w15:restartNumberingAfterBreak="0">
    <w:nsid w:val="47F8294A"/>
    <w:multiLevelType w:val="hybridMultilevel"/>
    <w:tmpl w:val="C256F138"/>
    <w:lvl w:ilvl="0" w:tplc="C066BD2C">
      <w:start w:val="1"/>
      <w:numFmt w:val="decimal"/>
      <w:lvlText w:val="%1."/>
      <w:lvlJc w:val="left"/>
      <w:pPr>
        <w:tabs>
          <w:tab w:val="num" w:pos="644"/>
        </w:tabs>
        <w:ind w:left="567" w:hanging="283"/>
      </w:pPr>
      <w:rPr>
        <w:rFonts w:hint="default"/>
      </w:rPr>
    </w:lvl>
    <w:lvl w:ilvl="1" w:tplc="DFD0F0DA">
      <w:start w:val="1"/>
      <w:numFmt w:val="lowerLetter"/>
      <w:lvlText w:val="%2."/>
      <w:lvlJc w:val="left"/>
      <w:pPr>
        <w:tabs>
          <w:tab w:val="num" w:pos="1440"/>
        </w:tabs>
        <w:ind w:left="1440" w:hanging="360"/>
      </w:pPr>
    </w:lvl>
    <w:lvl w:ilvl="2" w:tplc="83C0FE88" w:tentative="1">
      <w:start w:val="1"/>
      <w:numFmt w:val="lowerRoman"/>
      <w:lvlText w:val="%3."/>
      <w:lvlJc w:val="right"/>
      <w:pPr>
        <w:tabs>
          <w:tab w:val="num" w:pos="2160"/>
        </w:tabs>
        <w:ind w:left="2160" w:hanging="180"/>
      </w:pPr>
    </w:lvl>
    <w:lvl w:ilvl="3" w:tplc="6C26716E" w:tentative="1">
      <w:start w:val="1"/>
      <w:numFmt w:val="decimal"/>
      <w:lvlText w:val="%4."/>
      <w:lvlJc w:val="left"/>
      <w:pPr>
        <w:tabs>
          <w:tab w:val="num" w:pos="2880"/>
        </w:tabs>
        <w:ind w:left="2880" w:hanging="360"/>
      </w:pPr>
    </w:lvl>
    <w:lvl w:ilvl="4" w:tplc="20A4AC20" w:tentative="1">
      <w:start w:val="1"/>
      <w:numFmt w:val="lowerLetter"/>
      <w:lvlText w:val="%5."/>
      <w:lvlJc w:val="left"/>
      <w:pPr>
        <w:tabs>
          <w:tab w:val="num" w:pos="3600"/>
        </w:tabs>
        <w:ind w:left="3600" w:hanging="360"/>
      </w:pPr>
    </w:lvl>
    <w:lvl w:ilvl="5" w:tplc="F584781A" w:tentative="1">
      <w:start w:val="1"/>
      <w:numFmt w:val="lowerRoman"/>
      <w:lvlText w:val="%6."/>
      <w:lvlJc w:val="right"/>
      <w:pPr>
        <w:tabs>
          <w:tab w:val="num" w:pos="4320"/>
        </w:tabs>
        <w:ind w:left="4320" w:hanging="180"/>
      </w:pPr>
    </w:lvl>
    <w:lvl w:ilvl="6" w:tplc="064CD588" w:tentative="1">
      <w:start w:val="1"/>
      <w:numFmt w:val="decimal"/>
      <w:lvlText w:val="%7."/>
      <w:lvlJc w:val="left"/>
      <w:pPr>
        <w:tabs>
          <w:tab w:val="num" w:pos="5040"/>
        </w:tabs>
        <w:ind w:left="5040" w:hanging="360"/>
      </w:pPr>
    </w:lvl>
    <w:lvl w:ilvl="7" w:tplc="49CA3054" w:tentative="1">
      <w:start w:val="1"/>
      <w:numFmt w:val="lowerLetter"/>
      <w:lvlText w:val="%8."/>
      <w:lvlJc w:val="left"/>
      <w:pPr>
        <w:tabs>
          <w:tab w:val="num" w:pos="5760"/>
        </w:tabs>
        <w:ind w:left="5760" w:hanging="360"/>
      </w:pPr>
    </w:lvl>
    <w:lvl w:ilvl="8" w:tplc="6C44F304" w:tentative="1">
      <w:start w:val="1"/>
      <w:numFmt w:val="lowerRoman"/>
      <w:lvlText w:val="%9."/>
      <w:lvlJc w:val="right"/>
      <w:pPr>
        <w:tabs>
          <w:tab w:val="num" w:pos="6480"/>
        </w:tabs>
        <w:ind w:left="6480" w:hanging="180"/>
      </w:pPr>
    </w:lvl>
  </w:abstractNum>
  <w:abstractNum w:abstractNumId="73" w15:restartNumberingAfterBreak="0">
    <w:nsid w:val="49224E69"/>
    <w:multiLevelType w:val="hybridMultilevel"/>
    <w:tmpl w:val="6998647E"/>
    <w:lvl w:ilvl="0" w:tplc="7298BD04">
      <w:start w:val="1"/>
      <w:numFmt w:val="upperLetter"/>
      <w:lvlText w:val="%1."/>
      <w:lvlJc w:val="left"/>
      <w:pPr>
        <w:ind w:left="720" w:hanging="360"/>
      </w:pPr>
      <w:rPr>
        <w:rFonts w:hint="default"/>
      </w:rPr>
    </w:lvl>
    <w:lvl w:ilvl="1" w:tplc="F26EF678" w:tentative="1">
      <w:start w:val="1"/>
      <w:numFmt w:val="lowerLetter"/>
      <w:lvlText w:val="%2."/>
      <w:lvlJc w:val="left"/>
      <w:pPr>
        <w:ind w:left="1440" w:hanging="360"/>
      </w:pPr>
    </w:lvl>
    <w:lvl w:ilvl="2" w:tplc="FD2C24FC" w:tentative="1">
      <w:start w:val="1"/>
      <w:numFmt w:val="lowerRoman"/>
      <w:lvlText w:val="%3."/>
      <w:lvlJc w:val="right"/>
      <w:pPr>
        <w:ind w:left="2160" w:hanging="180"/>
      </w:pPr>
    </w:lvl>
    <w:lvl w:ilvl="3" w:tplc="489ACEEE" w:tentative="1">
      <w:start w:val="1"/>
      <w:numFmt w:val="decimal"/>
      <w:lvlText w:val="%4."/>
      <w:lvlJc w:val="left"/>
      <w:pPr>
        <w:ind w:left="2880" w:hanging="360"/>
      </w:pPr>
    </w:lvl>
    <w:lvl w:ilvl="4" w:tplc="0FC2FE8C" w:tentative="1">
      <w:start w:val="1"/>
      <w:numFmt w:val="lowerLetter"/>
      <w:lvlText w:val="%5."/>
      <w:lvlJc w:val="left"/>
      <w:pPr>
        <w:ind w:left="3600" w:hanging="360"/>
      </w:pPr>
    </w:lvl>
    <w:lvl w:ilvl="5" w:tplc="D08AF9C6" w:tentative="1">
      <w:start w:val="1"/>
      <w:numFmt w:val="lowerRoman"/>
      <w:lvlText w:val="%6."/>
      <w:lvlJc w:val="right"/>
      <w:pPr>
        <w:ind w:left="4320" w:hanging="180"/>
      </w:pPr>
    </w:lvl>
    <w:lvl w:ilvl="6" w:tplc="E4B44F48" w:tentative="1">
      <w:start w:val="1"/>
      <w:numFmt w:val="decimal"/>
      <w:lvlText w:val="%7."/>
      <w:lvlJc w:val="left"/>
      <w:pPr>
        <w:ind w:left="5040" w:hanging="360"/>
      </w:pPr>
    </w:lvl>
    <w:lvl w:ilvl="7" w:tplc="CCE89562" w:tentative="1">
      <w:start w:val="1"/>
      <w:numFmt w:val="lowerLetter"/>
      <w:lvlText w:val="%8."/>
      <w:lvlJc w:val="left"/>
      <w:pPr>
        <w:ind w:left="5760" w:hanging="360"/>
      </w:pPr>
    </w:lvl>
    <w:lvl w:ilvl="8" w:tplc="6B7285F0" w:tentative="1">
      <w:start w:val="1"/>
      <w:numFmt w:val="lowerRoman"/>
      <w:lvlText w:val="%9."/>
      <w:lvlJc w:val="right"/>
      <w:pPr>
        <w:ind w:left="6480" w:hanging="180"/>
      </w:pPr>
    </w:lvl>
  </w:abstractNum>
  <w:abstractNum w:abstractNumId="74" w15:restartNumberingAfterBreak="0">
    <w:nsid w:val="4A990DBB"/>
    <w:multiLevelType w:val="hybridMultilevel"/>
    <w:tmpl w:val="2BACE0C6"/>
    <w:lvl w:ilvl="0" w:tplc="14D20852">
      <w:start w:val="2"/>
      <w:numFmt w:val="decimal"/>
      <w:lvlText w:val="Figure %1"/>
      <w:lvlJc w:val="left"/>
      <w:pPr>
        <w:ind w:left="360" w:hanging="360"/>
      </w:pPr>
      <w:rPr>
        <w:rFonts w:cs="Times New Roman" w:hint="default"/>
        <w:b/>
        <w:i w:val="0"/>
        <w:sz w:val="16"/>
        <w:szCs w:val="16"/>
      </w:rPr>
    </w:lvl>
    <w:lvl w:ilvl="1" w:tplc="8384E192">
      <w:numFmt w:val="decimal"/>
      <w:lvlText w:val=""/>
      <w:lvlJc w:val="left"/>
    </w:lvl>
    <w:lvl w:ilvl="2" w:tplc="5C162A0C">
      <w:numFmt w:val="decimal"/>
      <w:lvlText w:val=""/>
      <w:lvlJc w:val="left"/>
    </w:lvl>
    <w:lvl w:ilvl="3" w:tplc="8EDE55DE">
      <w:numFmt w:val="decimal"/>
      <w:lvlText w:val=""/>
      <w:lvlJc w:val="left"/>
    </w:lvl>
    <w:lvl w:ilvl="4" w:tplc="8638840A">
      <w:numFmt w:val="decimal"/>
      <w:lvlText w:val=""/>
      <w:lvlJc w:val="left"/>
    </w:lvl>
    <w:lvl w:ilvl="5" w:tplc="141CFEEE">
      <w:numFmt w:val="decimal"/>
      <w:lvlText w:val=""/>
      <w:lvlJc w:val="left"/>
    </w:lvl>
    <w:lvl w:ilvl="6" w:tplc="BE28BAE8">
      <w:numFmt w:val="decimal"/>
      <w:lvlText w:val=""/>
      <w:lvlJc w:val="left"/>
    </w:lvl>
    <w:lvl w:ilvl="7" w:tplc="0A2CA32E">
      <w:numFmt w:val="decimal"/>
      <w:lvlText w:val=""/>
      <w:lvlJc w:val="left"/>
    </w:lvl>
    <w:lvl w:ilvl="8" w:tplc="9216D1B6">
      <w:numFmt w:val="decimal"/>
      <w:lvlText w:val=""/>
      <w:lvlJc w:val="left"/>
    </w:lvl>
  </w:abstractNum>
  <w:abstractNum w:abstractNumId="75" w15:restartNumberingAfterBreak="0">
    <w:nsid w:val="4C06418D"/>
    <w:multiLevelType w:val="hybridMultilevel"/>
    <w:tmpl w:val="092C4B72"/>
    <w:lvl w:ilvl="0" w:tplc="9CA29CC6">
      <w:start w:val="1"/>
      <w:numFmt w:val="bullet"/>
      <w:lvlText w:val=""/>
      <w:lvlJc w:val="left"/>
      <w:pPr>
        <w:ind w:left="720" w:hanging="360"/>
      </w:pPr>
      <w:rPr>
        <w:rFonts w:ascii="Symbol" w:hAnsi="Symbol" w:hint="default"/>
        <w:color w:val="57825E"/>
      </w:rPr>
    </w:lvl>
    <w:lvl w:ilvl="1" w:tplc="D70A411C" w:tentative="1">
      <w:start w:val="1"/>
      <w:numFmt w:val="bullet"/>
      <w:lvlText w:val="o"/>
      <w:lvlJc w:val="left"/>
      <w:pPr>
        <w:ind w:left="1440" w:hanging="360"/>
      </w:pPr>
      <w:rPr>
        <w:rFonts w:ascii="Courier New" w:hAnsi="Courier New" w:cs="Courier New" w:hint="default"/>
      </w:rPr>
    </w:lvl>
    <w:lvl w:ilvl="2" w:tplc="5E28A90E" w:tentative="1">
      <w:start w:val="1"/>
      <w:numFmt w:val="bullet"/>
      <w:lvlText w:val=""/>
      <w:lvlJc w:val="left"/>
      <w:pPr>
        <w:ind w:left="2160" w:hanging="360"/>
      </w:pPr>
      <w:rPr>
        <w:rFonts w:ascii="Wingdings" w:hAnsi="Wingdings" w:hint="default"/>
      </w:rPr>
    </w:lvl>
    <w:lvl w:ilvl="3" w:tplc="103E80A6" w:tentative="1">
      <w:start w:val="1"/>
      <w:numFmt w:val="bullet"/>
      <w:lvlText w:val=""/>
      <w:lvlJc w:val="left"/>
      <w:pPr>
        <w:ind w:left="2880" w:hanging="360"/>
      </w:pPr>
      <w:rPr>
        <w:rFonts w:ascii="Symbol" w:hAnsi="Symbol" w:hint="default"/>
      </w:rPr>
    </w:lvl>
    <w:lvl w:ilvl="4" w:tplc="D9E27180" w:tentative="1">
      <w:start w:val="1"/>
      <w:numFmt w:val="bullet"/>
      <w:lvlText w:val="o"/>
      <w:lvlJc w:val="left"/>
      <w:pPr>
        <w:ind w:left="3600" w:hanging="360"/>
      </w:pPr>
      <w:rPr>
        <w:rFonts w:ascii="Courier New" w:hAnsi="Courier New" w:cs="Courier New" w:hint="default"/>
      </w:rPr>
    </w:lvl>
    <w:lvl w:ilvl="5" w:tplc="A1908FEC" w:tentative="1">
      <w:start w:val="1"/>
      <w:numFmt w:val="bullet"/>
      <w:lvlText w:val=""/>
      <w:lvlJc w:val="left"/>
      <w:pPr>
        <w:ind w:left="4320" w:hanging="360"/>
      </w:pPr>
      <w:rPr>
        <w:rFonts w:ascii="Wingdings" w:hAnsi="Wingdings" w:hint="default"/>
      </w:rPr>
    </w:lvl>
    <w:lvl w:ilvl="6" w:tplc="DAF21620" w:tentative="1">
      <w:start w:val="1"/>
      <w:numFmt w:val="bullet"/>
      <w:lvlText w:val=""/>
      <w:lvlJc w:val="left"/>
      <w:pPr>
        <w:ind w:left="5040" w:hanging="360"/>
      </w:pPr>
      <w:rPr>
        <w:rFonts w:ascii="Symbol" w:hAnsi="Symbol" w:hint="default"/>
      </w:rPr>
    </w:lvl>
    <w:lvl w:ilvl="7" w:tplc="458ED774" w:tentative="1">
      <w:start w:val="1"/>
      <w:numFmt w:val="bullet"/>
      <w:lvlText w:val="o"/>
      <w:lvlJc w:val="left"/>
      <w:pPr>
        <w:ind w:left="5760" w:hanging="360"/>
      </w:pPr>
      <w:rPr>
        <w:rFonts w:ascii="Courier New" w:hAnsi="Courier New" w:cs="Courier New" w:hint="default"/>
      </w:rPr>
    </w:lvl>
    <w:lvl w:ilvl="8" w:tplc="289ADFA6" w:tentative="1">
      <w:start w:val="1"/>
      <w:numFmt w:val="bullet"/>
      <w:lvlText w:val=""/>
      <w:lvlJc w:val="left"/>
      <w:pPr>
        <w:ind w:left="6480" w:hanging="360"/>
      </w:pPr>
      <w:rPr>
        <w:rFonts w:ascii="Wingdings" w:hAnsi="Wingdings" w:hint="default"/>
      </w:rPr>
    </w:lvl>
  </w:abstractNum>
  <w:abstractNum w:abstractNumId="76" w15:restartNumberingAfterBreak="0">
    <w:nsid w:val="4C663347"/>
    <w:multiLevelType w:val="hybridMultilevel"/>
    <w:tmpl w:val="35F8E64E"/>
    <w:lvl w:ilvl="0" w:tplc="4DAC10B8">
      <w:start w:val="1"/>
      <w:numFmt w:val="bullet"/>
      <w:pStyle w:val="Hlistbullet2"/>
      <w:lvlText w:val="o"/>
      <w:lvlJc w:val="left"/>
      <w:pPr>
        <w:ind w:left="927" w:hanging="360"/>
      </w:pPr>
      <w:rPr>
        <w:rFonts w:ascii="Courier New" w:hAnsi="Courier New" w:hint="default"/>
        <w:color w:val="F07E31"/>
      </w:rPr>
    </w:lvl>
    <w:lvl w:ilvl="1" w:tplc="B8D2C100" w:tentative="1">
      <w:start w:val="1"/>
      <w:numFmt w:val="bullet"/>
      <w:lvlText w:val="o"/>
      <w:lvlJc w:val="left"/>
      <w:pPr>
        <w:ind w:left="1440" w:hanging="360"/>
      </w:pPr>
      <w:rPr>
        <w:rFonts w:ascii="Courier New" w:hAnsi="Courier New" w:cs="Courier New" w:hint="default"/>
      </w:rPr>
    </w:lvl>
    <w:lvl w:ilvl="2" w:tplc="A822B8E2" w:tentative="1">
      <w:start w:val="1"/>
      <w:numFmt w:val="bullet"/>
      <w:lvlText w:val=""/>
      <w:lvlJc w:val="left"/>
      <w:pPr>
        <w:ind w:left="2160" w:hanging="360"/>
      </w:pPr>
      <w:rPr>
        <w:rFonts w:ascii="Wingdings" w:hAnsi="Wingdings" w:hint="default"/>
      </w:rPr>
    </w:lvl>
    <w:lvl w:ilvl="3" w:tplc="4F361950" w:tentative="1">
      <w:start w:val="1"/>
      <w:numFmt w:val="bullet"/>
      <w:lvlText w:val=""/>
      <w:lvlJc w:val="left"/>
      <w:pPr>
        <w:ind w:left="2880" w:hanging="360"/>
      </w:pPr>
      <w:rPr>
        <w:rFonts w:ascii="Symbol" w:hAnsi="Symbol" w:hint="default"/>
      </w:rPr>
    </w:lvl>
    <w:lvl w:ilvl="4" w:tplc="8CE493E2" w:tentative="1">
      <w:start w:val="1"/>
      <w:numFmt w:val="bullet"/>
      <w:lvlText w:val="o"/>
      <w:lvlJc w:val="left"/>
      <w:pPr>
        <w:ind w:left="3600" w:hanging="360"/>
      </w:pPr>
      <w:rPr>
        <w:rFonts w:ascii="Courier New" w:hAnsi="Courier New" w:cs="Courier New" w:hint="default"/>
      </w:rPr>
    </w:lvl>
    <w:lvl w:ilvl="5" w:tplc="D75457D0" w:tentative="1">
      <w:start w:val="1"/>
      <w:numFmt w:val="bullet"/>
      <w:lvlText w:val=""/>
      <w:lvlJc w:val="left"/>
      <w:pPr>
        <w:ind w:left="4320" w:hanging="360"/>
      </w:pPr>
      <w:rPr>
        <w:rFonts w:ascii="Wingdings" w:hAnsi="Wingdings" w:hint="default"/>
      </w:rPr>
    </w:lvl>
    <w:lvl w:ilvl="6" w:tplc="4B766302" w:tentative="1">
      <w:start w:val="1"/>
      <w:numFmt w:val="bullet"/>
      <w:lvlText w:val=""/>
      <w:lvlJc w:val="left"/>
      <w:pPr>
        <w:ind w:left="5040" w:hanging="360"/>
      </w:pPr>
      <w:rPr>
        <w:rFonts w:ascii="Symbol" w:hAnsi="Symbol" w:hint="default"/>
      </w:rPr>
    </w:lvl>
    <w:lvl w:ilvl="7" w:tplc="DE029660" w:tentative="1">
      <w:start w:val="1"/>
      <w:numFmt w:val="bullet"/>
      <w:lvlText w:val="o"/>
      <w:lvlJc w:val="left"/>
      <w:pPr>
        <w:ind w:left="5760" w:hanging="360"/>
      </w:pPr>
      <w:rPr>
        <w:rFonts w:ascii="Courier New" w:hAnsi="Courier New" w:cs="Courier New" w:hint="default"/>
      </w:rPr>
    </w:lvl>
    <w:lvl w:ilvl="8" w:tplc="60AAD6BA" w:tentative="1">
      <w:start w:val="1"/>
      <w:numFmt w:val="bullet"/>
      <w:lvlText w:val=""/>
      <w:lvlJc w:val="left"/>
      <w:pPr>
        <w:ind w:left="6480" w:hanging="360"/>
      </w:pPr>
      <w:rPr>
        <w:rFonts w:ascii="Wingdings" w:hAnsi="Wingdings" w:hint="default"/>
      </w:rPr>
    </w:lvl>
  </w:abstractNum>
  <w:abstractNum w:abstractNumId="77" w15:restartNumberingAfterBreak="0">
    <w:nsid w:val="4E666CB3"/>
    <w:multiLevelType w:val="hybridMultilevel"/>
    <w:tmpl w:val="C88642F4"/>
    <w:lvl w:ilvl="0" w:tplc="253CECE0">
      <w:start w:val="1"/>
      <w:numFmt w:val="bullet"/>
      <w:lvlText w:val=""/>
      <w:lvlJc w:val="left"/>
      <w:pPr>
        <w:ind w:left="720" w:hanging="360"/>
      </w:pPr>
      <w:rPr>
        <w:rFonts w:ascii="Symbol" w:hAnsi="Symbol" w:hint="default"/>
        <w:color w:val="57825E"/>
      </w:rPr>
    </w:lvl>
    <w:lvl w:ilvl="1" w:tplc="ED742E98">
      <w:start w:val="1"/>
      <w:numFmt w:val="bullet"/>
      <w:lvlText w:val="o"/>
      <w:lvlJc w:val="left"/>
      <w:pPr>
        <w:ind w:left="1440" w:hanging="360"/>
      </w:pPr>
      <w:rPr>
        <w:rFonts w:ascii="Courier New" w:hAnsi="Courier New" w:cs="Courier New" w:hint="default"/>
        <w:color w:val="F07E31"/>
      </w:rPr>
    </w:lvl>
    <w:lvl w:ilvl="2" w:tplc="C9BA687A" w:tentative="1">
      <w:start w:val="1"/>
      <w:numFmt w:val="bullet"/>
      <w:lvlText w:val=""/>
      <w:lvlJc w:val="left"/>
      <w:pPr>
        <w:ind w:left="2160" w:hanging="360"/>
      </w:pPr>
      <w:rPr>
        <w:rFonts w:ascii="Wingdings" w:hAnsi="Wingdings" w:hint="default"/>
      </w:rPr>
    </w:lvl>
    <w:lvl w:ilvl="3" w:tplc="7CBCADF8" w:tentative="1">
      <w:start w:val="1"/>
      <w:numFmt w:val="bullet"/>
      <w:lvlText w:val=""/>
      <w:lvlJc w:val="left"/>
      <w:pPr>
        <w:ind w:left="2880" w:hanging="360"/>
      </w:pPr>
      <w:rPr>
        <w:rFonts w:ascii="Symbol" w:hAnsi="Symbol" w:hint="default"/>
      </w:rPr>
    </w:lvl>
    <w:lvl w:ilvl="4" w:tplc="7796449E" w:tentative="1">
      <w:start w:val="1"/>
      <w:numFmt w:val="bullet"/>
      <w:lvlText w:val="o"/>
      <w:lvlJc w:val="left"/>
      <w:pPr>
        <w:ind w:left="3600" w:hanging="360"/>
      </w:pPr>
      <w:rPr>
        <w:rFonts w:ascii="Courier New" w:hAnsi="Courier New" w:cs="Courier New" w:hint="default"/>
      </w:rPr>
    </w:lvl>
    <w:lvl w:ilvl="5" w:tplc="AF6683F6" w:tentative="1">
      <w:start w:val="1"/>
      <w:numFmt w:val="bullet"/>
      <w:lvlText w:val=""/>
      <w:lvlJc w:val="left"/>
      <w:pPr>
        <w:ind w:left="4320" w:hanging="360"/>
      </w:pPr>
      <w:rPr>
        <w:rFonts w:ascii="Wingdings" w:hAnsi="Wingdings" w:hint="default"/>
      </w:rPr>
    </w:lvl>
    <w:lvl w:ilvl="6" w:tplc="1C3EC7D4" w:tentative="1">
      <w:start w:val="1"/>
      <w:numFmt w:val="bullet"/>
      <w:lvlText w:val=""/>
      <w:lvlJc w:val="left"/>
      <w:pPr>
        <w:ind w:left="5040" w:hanging="360"/>
      </w:pPr>
      <w:rPr>
        <w:rFonts w:ascii="Symbol" w:hAnsi="Symbol" w:hint="default"/>
      </w:rPr>
    </w:lvl>
    <w:lvl w:ilvl="7" w:tplc="AC3AB1D0" w:tentative="1">
      <w:start w:val="1"/>
      <w:numFmt w:val="bullet"/>
      <w:lvlText w:val="o"/>
      <w:lvlJc w:val="left"/>
      <w:pPr>
        <w:ind w:left="5760" w:hanging="360"/>
      </w:pPr>
      <w:rPr>
        <w:rFonts w:ascii="Courier New" w:hAnsi="Courier New" w:cs="Courier New" w:hint="default"/>
      </w:rPr>
    </w:lvl>
    <w:lvl w:ilvl="8" w:tplc="EEB672F6" w:tentative="1">
      <w:start w:val="1"/>
      <w:numFmt w:val="bullet"/>
      <w:lvlText w:val=""/>
      <w:lvlJc w:val="left"/>
      <w:pPr>
        <w:ind w:left="6480" w:hanging="360"/>
      </w:pPr>
      <w:rPr>
        <w:rFonts w:ascii="Wingdings" w:hAnsi="Wingdings" w:hint="default"/>
      </w:rPr>
    </w:lvl>
  </w:abstractNum>
  <w:abstractNum w:abstractNumId="78" w15:restartNumberingAfterBreak="0">
    <w:nsid w:val="53B45F1E"/>
    <w:multiLevelType w:val="hybridMultilevel"/>
    <w:tmpl w:val="74962368"/>
    <w:lvl w:ilvl="0" w:tplc="628C290A">
      <w:start w:val="1"/>
      <w:numFmt w:val="bullet"/>
      <w:lvlText w:val=""/>
      <w:lvlJc w:val="left"/>
      <w:pPr>
        <w:ind w:left="720" w:hanging="360"/>
      </w:pPr>
      <w:rPr>
        <w:rFonts w:ascii="Symbol" w:hAnsi="Symbol" w:hint="default"/>
        <w:color w:val="57825E"/>
      </w:rPr>
    </w:lvl>
    <w:lvl w:ilvl="1" w:tplc="BC8E0666" w:tentative="1">
      <w:start w:val="1"/>
      <w:numFmt w:val="bullet"/>
      <w:lvlText w:val="o"/>
      <w:lvlJc w:val="left"/>
      <w:pPr>
        <w:ind w:left="1440" w:hanging="360"/>
      </w:pPr>
      <w:rPr>
        <w:rFonts w:ascii="Courier New" w:hAnsi="Courier New" w:cs="Courier New" w:hint="default"/>
      </w:rPr>
    </w:lvl>
    <w:lvl w:ilvl="2" w:tplc="F33850D8" w:tentative="1">
      <w:start w:val="1"/>
      <w:numFmt w:val="bullet"/>
      <w:lvlText w:val=""/>
      <w:lvlJc w:val="left"/>
      <w:pPr>
        <w:ind w:left="2160" w:hanging="360"/>
      </w:pPr>
      <w:rPr>
        <w:rFonts w:ascii="Wingdings" w:hAnsi="Wingdings" w:hint="default"/>
      </w:rPr>
    </w:lvl>
    <w:lvl w:ilvl="3" w:tplc="D4F68C3E" w:tentative="1">
      <w:start w:val="1"/>
      <w:numFmt w:val="bullet"/>
      <w:lvlText w:val=""/>
      <w:lvlJc w:val="left"/>
      <w:pPr>
        <w:ind w:left="2880" w:hanging="360"/>
      </w:pPr>
      <w:rPr>
        <w:rFonts w:ascii="Symbol" w:hAnsi="Symbol" w:hint="default"/>
      </w:rPr>
    </w:lvl>
    <w:lvl w:ilvl="4" w:tplc="9018755A" w:tentative="1">
      <w:start w:val="1"/>
      <w:numFmt w:val="bullet"/>
      <w:lvlText w:val="o"/>
      <w:lvlJc w:val="left"/>
      <w:pPr>
        <w:ind w:left="3600" w:hanging="360"/>
      </w:pPr>
      <w:rPr>
        <w:rFonts w:ascii="Courier New" w:hAnsi="Courier New" w:cs="Courier New" w:hint="default"/>
      </w:rPr>
    </w:lvl>
    <w:lvl w:ilvl="5" w:tplc="850C7C92" w:tentative="1">
      <w:start w:val="1"/>
      <w:numFmt w:val="bullet"/>
      <w:lvlText w:val=""/>
      <w:lvlJc w:val="left"/>
      <w:pPr>
        <w:ind w:left="4320" w:hanging="360"/>
      </w:pPr>
      <w:rPr>
        <w:rFonts w:ascii="Wingdings" w:hAnsi="Wingdings" w:hint="default"/>
      </w:rPr>
    </w:lvl>
    <w:lvl w:ilvl="6" w:tplc="89B09416" w:tentative="1">
      <w:start w:val="1"/>
      <w:numFmt w:val="bullet"/>
      <w:lvlText w:val=""/>
      <w:lvlJc w:val="left"/>
      <w:pPr>
        <w:ind w:left="5040" w:hanging="360"/>
      </w:pPr>
      <w:rPr>
        <w:rFonts w:ascii="Symbol" w:hAnsi="Symbol" w:hint="default"/>
      </w:rPr>
    </w:lvl>
    <w:lvl w:ilvl="7" w:tplc="791C8D04" w:tentative="1">
      <w:start w:val="1"/>
      <w:numFmt w:val="bullet"/>
      <w:lvlText w:val="o"/>
      <w:lvlJc w:val="left"/>
      <w:pPr>
        <w:ind w:left="5760" w:hanging="360"/>
      </w:pPr>
      <w:rPr>
        <w:rFonts w:ascii="Courier New" w:hAnsi="Courier New" w:cs="Courier New" w:hint="default"/>
      </w:rPr>
    </w:lvl>
    <w:lvl w:ilvl="8" w:tplc="6B7859FC" w:tentative="1">
      <w:start w:val="1"/>
      <w:numFmt w:val="bullet"/>
      <w:lvlText w:val=""/>
      <w:lvlJc w:val="left"/>
      <w:pPr>
        <w:ind w:left="6480" w:hanging="360"/>
      </w:pPr>
      <w:rPr>
        <w:rFonts w:ascii="Wingdings" w:hAnsi="Wingdings" w:hint="default"/>
      </w:rPr>
    </w:lvl>
  </w:abstractNum>
  <w:abstractNum w:abstractNumId="79" w15:restartNumberingAfterBreak="0">
    <w:nsid w:val="53B9325D"/>
    <w:multiLevelType w:val="hybridMultilevel"/>
    <w:tmpl w:val="3F7CF028"/>
    <w:lvl w:ilvl="0" w:tplc="64D81066">
      <w:start w:val="1"/>
      <w:numFmt w:val="lowerLetter"/>
      <w:lvlText w:val="%1."/>
      <w:lvlJc w:val="left"/>
      <w:pPr>
        <w:ind w:left="720" w:hanging="360"/>
      </w:pPr>
    </w:lvl>
    <w:lvl w:ilvl="1" w:tplc="6F383B80" w:tentative="1">
      <w:start w:val="1"/>
      <w:numFmt w:val="lowerLetter"/>
      <w:lvlText w:val="%2."/>
      <w:lvlJc w:val="left"/>
      <w:pPr>
        <w:ind w:left="1440" w:hanging="360"/>
      </w:pPr>
    </w:lvl>
    <w:lvl w:ilvl="2" w:tplc="E68E9342" w:tentative="1">
      <w:start w:val="1"/>
      <w:numFmt w:val="lowerRoman"/>
      <w:lvlText w:val="%3."/>
      <w:lvlJc w:val="right"/>
      <w:pPr>
        <w:ind w:left="2160" w:hanging="180"/>
      </w:pPr>
    </w:lvl>
    <w:lvl w:ilvl="3" w:tplc="C7EA0AC6" w:tentative="1">
      <w:start w:val="1"/>
      <w:numFmt w:val="decimal"/>
      <w:lvlText w:val="%4."/>
      <w:lvlJc w:val="left"/>
      <w:pPr>
        <w:ind w:left="2880" w:hanging="360"/>
      </w:pPr>
    </w:lvl>
    <w:lvl w:ilvl="4" w:tplc="AE22FAD2" w:tentative="1">
      <w:start w:val="1"/>
      <w:numFmt w:val="lowerLetter"/>
      <w:lvlText w:val="%5."/>
      <w:lvlJc w:val="left"/>
      <w:pPr>
        <w:ind w:left="3600" w:hanging="360"/>
      </w:pPr>
    </w:lvl>
    <w:lvl w:ilvl="5" w:tplc="F82AE52E" w:tentative="1">
      <w:start w:val="1"/>
      <w:numFmt w:val="lowerRoman"/>
      <w:lvlText w:val="%6."/>
      <w:lvlJc w:val="right"/>
      <w:pPr>
        <w:ind w:left="4320" w:hanging="180"/>
      </w:pPr>
    </w:lvl>
    <w:lvl w:ilvl="6" w:tplc="B8FE9AD8" w:tentative="1">
      <w:start w:val="1"/>
      <w:numFmt w:val="decimal"/>
      <w:lvlText w:val="%7."/>
      <w:lvlJc w:val="left"/>
      <w:pPr>
        <w:ind w:left="5040" w:hanging="360"/>
      </w:pPr>
    </w:lvl>
    <w:lvl w:ilvl="7" w:tplc="C24C5D80" w:tentative="1">
      <w:start w:val="1"/>
      <w:numFmt w:val="lowerLetter"/>
      <w:lvlText w:val="%8."/>
      <w:lvlJc w:val="left"/>
      <w:pPr>
        <w:ind w:left="5760" w:hanging="360"/>
      </w:pPr>
    </w:lvl>
    <w:lvl w:ilvl="8" w:tplc="5B26220E" w:tentative="1">
      <w:start w:val="1"/>
      <w:numFmt w:val="lowerRoman"/>
      <w:lvlText w:val="%9."/>
      <w:lvlJc w:val="right"/>
      <w:pPr>
        <w:ind w:left="6480" w:hanging="180"/>
      </w:pPr>
    </w:lvl>
  </w:abstractNum>
  <w:abstractNum w:abstractNumId="80" w15:restartNumberingAfterBreak="0">
    <w:nsid w:val="549766DA"/>
    <w:multiLevelType w:val="hybridMultilevel"/>
    <w:tmpl w:val="2BD858C0"/>
    <w:lvl w:ilvl="0" w:tplc="B1E2CED6">
      <w:start w:val="1"/>
      <w:numFmt w:val="bullet"/>
      <w:lvlText w:val=""/>
      <w:lvlJc w:val="left"/>
      <w:pPr>
        <w:ind w:left="360" w:hanging="360"/>
      </w:pPr>
      <w:rPr>
        <w:rFonts w:ascii="Symbol" w:hAnsi="Symbol" w:hint="default"/>
        <w:b w:val="0"/>
        <w:color w:val="57825E"/>
        <w:sz w:val="18"/>
      </w:rPr>
    </w:lvl>
    <w:lvl w:ilvl="1" w:tplc="828E0A8A" w:tentative="1">
      <w:start w:val="1"/>
      <w:numFmt w:val="bullet"/>
      <w:lvlText w:val="o"/>
      <w:lvlJc w:val="left"/>
      <w:pPr>
        <w:ind w:left="1080" w:hanging="360"/>
      </w:pPr>
      <w:rPr>
        <w:rFonts w:ascii="Courier New" w:hAnsi="Courier New" w:cs="Courier New" w:hint="default"/>
      </w:rPr>
    </w:lvl>
    <w:lvl w:ilvl="2" w:tplc="BB6CCFEA" w:tentative="1">
      <w:start w:val="1"/>
      <w:numFmt w:val="bullet"/>
      <w:lvlText w:val=""/>
      <w:lvlJc w:val="left"/>
      <w:pPr>
        <w:ind w:left="1800" w:hanging="360"/>
      </w:pPr>
      <w:rPr>
        <w:rFonts w:ascii="Wingdings" w:hAnsi="Wingdings" w:hint="default"/>
      </w:rPr>
    </w:lvl>
    <w:lvl w:ilvl="3" w:tplc="00E00D76" w:tentative="1">
      <w:start w:val="1"/>
      <w:numFmt w:val="bullet"/>
      <w:lvlText w:val=""/>
      <w:lvlJc w:val="left"/>
      <w:pPr>
        <w:ind w:left="2520" w:hanging="360"/>
      </w:pPr>
      <w:rPr>
        <w:rFonts w:ascii="Symbol" w:hAnsi="Symbol" w:hint="default"/>
      </w:rPr>
    </w:lvl>
    <w:lvl w:ilvl="4" w:tplc="E0A6EB24" w:tentative="1">
      <w:start w:val="1"/>
      <w:numFmt w:val="bullet"/>
      <w:lvlText w:val="o"/>
      <w:lvlJc w:val="left"/>
      <w:pPr>
        <w:ind w:left="3240" w:hanging="360"/>
      </w:pPr>
      <w:rPr>
        <w:rFonts w:ascii="Courier New" w:hAnsi="Courier New" w:cs="Courier New" w:hint="default"/>
      </w:rPr>
    </w:lvl>
    <w:lvl w:ilvl="5" w:tplc="79A89A2A" w:tentative="1">
      <w:start w:val="1"/>
      <w:numFmt w:val="bullet"/>
      <w:lvlText w:val=""/>
      <w:lvlJc w:val="left"/>
      <w:pPr>
        <w:ind w:left="3960" w:hanging="360"/>
      </w:pPr>
      <w:rPr>
        <w:rFonts w:ascii="Wingdings" w:hAnsi="Wingdings" w:hint="default"/>
      </w:rPr>
    </w:lvl>
    <w:lvl w:ilvl="6" w:tplc="D8049332" w:tentative="1">
      <w:start w:val="1"/>
      <w:numFmt w:val="bullet"/>
      <w:lvlText w:val=""/>
      <w:lvlJc w:val="left"/>
      <w:pPr>
        <w:ind w:left="4680" w:hanging="360"/>
      </w:pPr>
      <w:rPr>
        <w:rFonts w:ascii="Symbol" w:hAnsi="Symbol" w:hint="default"/>
      </w:rPr>
    </w:lvl>
    <w:lvl w:ilvl="7" w:tplc="93221B7C" w:tentative="1">
      <w:start w:val="1"/>
      <w:numFmt w:val="bullet"/>
      <w:lvlText w:val="o"/>
      <w:lvlJc w:val="left"/>
      <w:pPr>
        <w:ind w:left="5400" w:hanging="360"/>
      </w:pPr>
      <w:rPr>
        <w:rFonts w:ascii="Courier New" w:hAnsi="Courier New" w:cs="Courier New" w:hint="default"/>
      </w:rPr>
    </w:lvl>
    <w:lvl w:ilvl="8" w:tplc="B6A43BEA" w:tentative="1">
      <w:start w:val="1"/>
      <w:numFmt w:val="bullet"/>
      <w:lvlText w:val=""/>
      <w:lvlJc w:val="left"/>
      <w:pPr>
        <w:ind w:left="6120" w:hanging="360"/>
      </w:pPr>
      <w:rPr>
        <w:rFonts w:ascii="Wingdings" w:hAnsi="Wingdings" w:hint="default"/>
      </w:rPr>
    </w:lvl>
  </w:abstractNum>
  <w:abstractNum w:abstractNumId="81" w15:restartNumberingAfterBreak="0">
    <w:nsid w:val="54A9135C"/>
    <w:multiLevelType w:val="hybridMultilevel"/>
    <w:tmpl w:val="FC12F41E"/>
    <w:lvl w:ilvl="0" w:tplc="6E12321A">
      <w:start w:val="1"/>
      <w:numFmt w:val="lowerLetter"/>
      <w:lvlText w:val="%1."/>
      <w:lvlJc w:val="left"/>
      <w:pPr>
        <w:ind w:left="720" w:hanging="360"/>
      </w:pPr>
    </w:lvl>
    <w:lvl w:ilvl="1" w:tplc="8D684346" w:tentative="1">
      <w:start w:val="1"/>
      <w:numFmt w:val="lowerLetter"/>
      <w:lvlText w:val="%2."/>
      <w:lvlJc w:val="left"/>
      <w:pPr>
        <w:ind w:left="1440" w:hanging="360"/>
      </w:pPr>
    </w:lvl>
    <w:lvl w:ilvl="2" w:tplc="6AC2192E" w:tentative="1">
      <w:start w:val="1"/>
      <w:numFmt w:val="lowerRoman"/>
      <w:lvlText w:val="%3."/>
      <w:lvlJc w:val="right"/>
      <w:pPr>
        <w:ind w:left="2160" w:hanging="180"/>
      </w:pPr>
    </w:lvl>
    <w:lvl w:ilvl="3" w:tplc="43C8D648" w:tentative="1">
      <w:start w:val="1"/>
      <w:numFmt w:val="decimal"/>
      <w:lvlText w:val="%4."/>
      <w:lvlJc w:val="left"/>
      <w:pPr>
        <w:ind w:left="2880" w:hanging="360"/>
      </w:pPr>
    </w:lvl>
    <w:lvl w:ilvl="4" w:tplc="2A3A3A74" w:tentative="1">
      <w:start w:val="1"/>
      <w:numFmt w:val="lowerLetter"/>
      <w:lvlText w:val="%5."/>
      <w:lvlJc w:val="left"/>
      <w:pPr>
        <w:ind w:left="3600" w:hanging="360"/>
      </w:pPr>
    </w:lvl>
    <w:lvl w:ilvl="5" w:tplc="F4947DEC" w:tentative="1">
      <w:start w:val="1"/>
      <w:numFmt w:val="lowerRoman"/>
      <w:lvlText w:val="%6."/>
      <w:lvlJc w:val="right"/>
      <w:pPr>
        <w:ind w:left="4320" w:hanging="180"/>
      </w:pPr>
    </w:lvl>
    <w:lvl w:ilvl="6" w:tplc="5BB49B9A" w:tentative="1">
      <w:start w:val="1"/>
      <w:numFmt w:val="decimal"/>
      <w:lvlText w:val="%7."/>
      <w:lvlJc w:val="left"/>
      <w:pPr>
        <w:ind w:left="5040" w:hanging="360"/>
      </w:pPr>
    </w:lvl>
    <w:lvl w:ilvl="7" w:tplc="0CAA56A4" w:tentative="1">
      <w:start w:val="1"/>
      <w:numFmt w:val="lowerLetter"/>
      <w:lvlText w:val="%8."/>
      <w:lvlJc w:val="left"/>
      <w:pPr>
        <w:ind w:left="5760" w:hanging="360"/>
      </w:pPr>
    </w:lvl>
    <w:lvl w:ilvl="8" w:tplc="285A764C" w:tentative="1">
      <w:start w:val="1"/>
      <w:numFmt w:val="lowerRoman"/>
      <w:lvlText w:val="%9."/>
      <w:lvlJc w:val="right"/>
      <w:pPr>
        <w:ind w:left="6480" w:hanging="180"/>
      </w:pPr>
    </w:lvl>
  </w:abstractNum>
  <w:abstractNum w:abstractNumId="82" w15:restartNumberingAfterBreak="0">
    <w:nsid w:val="54BD0BEC"/>
    <w:multiLevelType w:val="singleLevel"/>
    <w:tmpl w:val="72D6F376"/>
    <w:lvl w:ilvl="0">
      <w:numFmt w:val="decimal"/>
      <w:lvlText w:val=""/>
      <w:lvlJc w:val="left"/>
    </w:lvl>
  </w:abstractNum>
  <w:abstractNum w:abstractNumId="83" w15:restartNumberingAfterBreak="0">
    <w:nsid w:val="54E945CD"/>
    <w:multiLevelType w:val="hybridMultilevel"/>
    <w:tmpl w:val="1D92E8BE"/>
    <w:lvl w:ilvl="0" w:tplc="FA76037E">
      <w:start w:val="1"/>
      <w:numFmt w:val="bullet"/>
      <w:lvlText w:val=""/>
      <w:lvlJc w:val="left"/>
      <w:pPr>
        <w:ind w:left="720" w:hanging="360"/>
      </w:pPr>
      <w:rPr>
        <w:rFonts w:ascii="Symbol" w:hAnsi="Symbol" w:hint="default"/>
        <w:color w:val="57825E"/>
      </w:rPr>
    </w:lvl>
    <w:lvl w:ilvl="1" w:tplc="3E640646" w:tentative="1">
      <w:start w:val="1"/>
      <w:numFmt w:val="bullet"/>
      <w:lvlText w:val="o"/>
      <w:lvlJc w:val="left"/>
      <w:pPr>
        <w:ind w:left="1440" w:hanging="360"/>
      </w:pPr>
      <w:rPr>
        <w:rFonts w:ascii="Courier New" w:hAnsi="Courier New" w:cs="Courier New" w:hint="default"/>
      </w:rPr>
    </w:lvl>
    <w:lvl w:ilvl="2" w:tplc="E43690F4" w:tentative="1">
      <w:start w:val="1"/>
      <w:numFmt w:val="bullet"/>
      <w:lvlText w:val=""/>
      <w:lvlJc w:val="left"/>
      <w:pPr>
        <w:ind w:left="2160" w:hanging="360"/>
      </w:pPr>
      <w:rPr>
        <w:rFonts w:ascii="Wingdings" w:hAnsi="Wingdings" w:hint="default"/>
      </w:rPr>
    </w:lvl>
    <w:lvl w:ilvl="3" w:tplc="87729F16" w:tentative="1">
      <w:start w:val="1"/>
      <w:numFmt w:val="bullet"/>
      <w:lvlText w:val=""/>
      <w:lvlJc w:val="left"/>
      <w:pPr>
        <w:ind w:left="2880" w:hanging="360"/>
      </w:pPr>
      <w:rPr>
        <w:rFonts w:ascii="Symbol" w:hAnsi="Symbol" w:hint="default"/>
      </w:rPr>
    </w:lvl>
    <w:lvl w:ilvl="4" w:tplc="B9D6F6E6" w:tentative="1">
      <w:start w:val="1"/>
      <w:numFmt w:val="bullet"/>
      <w:lvlText w:val="o"/>
      <w:lvlJc w:val="left"/>
      <w:pPr>
        <w:ind w:left="3600" w:hanging="360"/>
      </w:pPr>
      <w:rPr>
        <w:rFonts w:ascii="Courier New" w:hAnsi="Courier New" w:cs="Courier New" w:hint="default"/>
      </w:rPr>
    </w:lvl>
    <w:lvl w:ilvl="5" w:tplc="97344562" w:tentative="1">
      <w:start w:val="1"/>
      <w:numFmt w:val="bullet"/>
      <w:lvlText w:val=""/>
      <w:lvlJc w:val="left"/>
      <w:pPr>
        <w:ind w:left="4320" w:hanging="360"/>
      </w:pPr>
      <w:rPr>
        <w:rFonts w:ascii="Wingdings" w:hAnsi="Wingdings" w:hint="default"/>
      </w:rPr>
    </w:lvl>
    <w:lvl w:ilvl="6" w:tplc="31501C5C" w:tentative="1">
      <w:start w:val="1"/>
      <w:numFmt w:val="bullet"/>
      <w:lvlText w:val=""/>
      <w:lvlJc w:val="left"/>
      <w:pPr>
        <w:ind w:left="5040" w:hanging="360"/>
      </w:pPr>
      <w:rPr>
        <w:rFonts w:ascii="Symbol" w:hAnsi="Symbol" w:hint="default"/>
      </w:rPr>
    </w:lvl>
    <w:lvl w:ilvl="7" w:tplc="7360C9CA" w:tentative="1">
      <w:start w:val="1"/>
      <w:numFmt w:val="bullet"/>
      <w:lvlText w:val="o"/>
      <w:lvlJc w:val="left"/>
      <w:pPr>
        <w:ind w:left="5760" w:hanging="360"/>
      </w:pPr>
      <w:rPr>
        <w:rFonts w:ascii="Courier New" w:hAnsi="Courier New" w:cs="Courier New" w:hint="default"/>
      </w:rPr>
    </w:lvl>
    <w:lvl w:ilvl="8" w:tplc="EA3CB0E4" w:tentative="1">
      <w:start w:val="1"/>
      <w:numFmt w:val="bullet"/>
      <w:lvlText w:val=""/>
      <w:lvlJc w:val="left"/>
      <w:pPr>
        <w:ind w:left="6480" w:hanging="360"/>
      </w:pPr>
      <w:rPr>
        <w:rFonts w:ascii="Wingdings" w:hAnsi="Wingdings" w:hint="default"/>
      </w:rPr>
    </w:lvl>
  </w:abstractNum>
  <w:abstractNum w:abstractNumId="84" w15:restartNumberingAfterBreak="0">
    <w:nsid w:val="5502047D"/>
    <w:multiLevelType w:val="hybridMultilevel"/>
    <w:tmpl w:val="AEC89BBC"/>
    <w:lvl w:ilvl="0" w:tplc="99C49CF0">
      <w:start w:val="1"/>
      <w:numFmt w:val="bullet"/>
      <w:lvlText w:val=""/>
      <w:lvlJc w:val="left"/>
      <w:pPr>
        <w:ind w:left="720" w:hanging="360"/>
      </w:pPr>
      <w:rPr>
        <w:rFonts w:ascii="Symbol" w:hAnsi="Symbol" w:hint="default"/>
        <w:color w:val="57825E"/>
      </w:rPr>
    </w:lvl>
    <w:lvl w:ilvl="1" w:tplc="4FBC78AC" w:tentative="1">
      <w:start w:val="1"/>
      <w:numFmt w:val="bullet"/>
      <w:lvlText w:val="o"/>
      <w:lvlJc w:val="left"/>
      <w:pPr>
        <w:ind w:left="1440" w:hanging="360"/>
      </w:pPr>
      <w:rPr>
        <w:rFonts w:ascii="Courier New" w:hAnsi="Courier New" w:cs="Courier New" w:hint="default"/>
      </w:rPr>
    </w:lvl>
    <w:lvl w:ilvl="2" w:tplc="BFE66084" w:tentative="1">
      <w:start w:val="1"/>
      <w:numFmt w:val="bullet"/>
      <w:lvlText w:val=""/>
      <w:lvlJc w:val="left"/>
      <w:pPr>
        <w:ind w:left="2160" w:hanging="360"/>
      </w:pPr>
      <w:rPr>
        <w:rFonts w:ascii="Wingdings" w:hAnsi="Wingdings" w:hint="default"/>
      </w:rPr>
    </w:lvl>
    <w:lvl w:ilvl="3" w:tplc="0FCA27A0" w:tentative="1">
      <w:start w:val="1"/>
      <w:numFmt w:val="bullet"/>
      <w:lvlText w:val=""/>
      <w:lvlJc w:val="left"/>
      <w:pPr>
        <w:ind w:left="2880" w:hanging="360"/>
      </w:pPr>
      <w:rPr>
        <w:rFonts w:ascii="Symbol" w:hAnsi="Symbol" w:hint="default"/>
      </w:rPr>
    </w:lvl>
    <w:lvl w:ilvl="4" w:tplc="B2C6CC5E" w:tentative="1">
      <w:start w:val="1"/>
      <w:numFmt w:val="bullet"/>
      <w:lvlText w:val="o"/>
      <w:lvlJc w:val="left"/>
      <w:pPr>
        <w:ind w:left="3600" w:hanging="360"/>
      </w:pPr>
      <w:rPr>
        <w:rFonts w:ascii="Courier New" w:hAnsi="Courier New" w:cs="Courier New" w:hint="default"/>
      </w:rPr>
    </w:lvl>
    <w:lvl w:ilvl="5" w:tplc="AE36EAB6" w:tentative="1">
      <w:start w:val="1"/>
      <w:numFmt w:val="bullet"/>
      <w:lvlText w:val=""/>
      <w:lvlJc w:val="left"/>
      <w:pPr>
        <w:ind w:left="4320" w:hanging="360"/>
      </w:pPr>
      <w:rPr>
        <w:rFonts w:ascii="Wingdings" w:hAnsi="Wingdings" w:hint="default"/>
      </w:rPr>
    </w:lvl>
    <w:lvl w:ilvl="6" w:tplc="CB88D91A" w:tentative="1">
      <w:start w:val="1"/>
      <w:numFmt w:val="bullet"/>
      <w:lvlText w:val=""/>
      <w:lvlJc w:val="left"/>
      <w:pPr>
        <w:ind w:left="5040" w:hanging="360"/>
      </w:pPr>
      <w:rPr>
        <w:rFonts w:ascii="Symbol" w:hAnsi="Symbol" w:hint="default"/>
      </w:rPr>
    </w:lvl>
    <w:lvl w:ilvl="7" w:tplc="3B661002" w:tentative="1">
      <w:start w:val="1"/>
      <w:numFmt w:val="bullet"/>
      <w:lvlText w:val="o"/>
      <w:lvlJc w:val="left"/>
      <w:pPr>
        <w:ind w:left="5760" w:hanging="360"/>
      </w:pPr>
      <w:rPr>
        <w:rFonts w:ascii="Courier New" w:hAnsi="Courier New" w:cs="Courier New" w:hint="default"/>
      </w:rPr>
    </w:lvl>
    <w:lvl w:ilvl="8" w:tplc="9CDE838A" w:tentative="1">
      <w:start w:val="1"/>
      <w:numFmt w:val="bullet"/>
      <w:lvlText w:val=""/>
      <w:lvlJc w:val="left"/>
      <w:pPr>
        <w:ind w:left="6480" w:hanging="360"/>
      </w:pPr>
      <w:rPr>
        <w:rFonts w:ascii="Wingdings" w:hAnsi="Wingdings" w:hint="default"/>
      </w:rPr>
    </w:lvl>
  </w:abstractNum>
  <w:abstractNum w:abstractNumId="85" w15:restartNumberingAfterBreak="0">
    <w:nsid w:val="554873BA"/>
    <w:multiLevelType w:val="hybridMultilevel"/>
    <w:tmpl w:val="C9D69012"/>
    <w:lvl w:ilvl="0" w:tplc="D0DC1BF6">
      <w:start w:val="1"/>
      <w:numFmt w:val="bullet"/>
      <w:lvlText w:val=""/>
      <w:lvlJc w:val="left"/>
      <w:pPr>
        <w:ind w:left="786" w:hanging="360"/>
      </w:pPr>
      <w:rPr>
        <w:rFonts w:ascii="Symbol" w:hAnsi="Symbol" w:hint="default"/>
        <w:color w:val="57825E"/>
      </w:rPr>
    </w:lvl>
    <w:lvl w:ilvl="1" w:tplc="FBEC5652" w:tentative="1">
      <w:start w:val="1"/>
      <w:numFmt w:val="bullet"/>
      <w:lvlText w:val="o"/>
      <w:lvlJc w:val="left"/>
      <w:pPr>
        <w:ind w:left="1440" w:hanging="360"/>
      </w:pPr>
      <w:rPr>
        <w:rFonts w:ascii="Courier New" w:hAnsi="Courier New" w:cs="Courier New" w:hint="default"/>
      </w:rPr>
    </w:lvl>
    <w:lvl w:ilvl="2" w:tplc="01324B88" w:tentative="1">
      <w:start w:val="1"/>
      <w:numFmt w:val="bullet"/>
      <w:lvlText w:val=""/>
      <w:lvlJc w:val="left"/>
      <w:pPr>
        <w:ind w:left="2160" w:hanging="360"/>
      </w:pPr>
      <w:rPr>
        <w:rFonts w:ascii="Wingdings" w:hAnsi="Wingdings" w:hint="default"/>
      </w:rPr>
    </w:lvl>
    <w:lvl w:ilvl="3" w:tplc="F18AF052" w:tentative="1">
      <w:start w:val="1"/>
      <w:numFmt w:val="bullet"/>
      <w:lvlText w:val=""/>
      <w:lvlJc w:val="left"/>
      <w:pPr>
        <w:ind w:left="2880" w:hanging="360"/>
      </w:pPr>
      <w:rPr>
        <w:rFonts w:ascii="Symbol" w:hAnsi="Symbol" w:hint="default"/>
      </w:rPr>
    </w:lvl>
    <w:lvl w:ilvl="4" w:tplc="04AC7A5C" w:tentative="1">
      <w:start w:val="1"/>
      <w:numFmt w:val="bullet"/>
      <w:lvlText w:val="o"/>
      <w:lvlJc w:val="left"/>
      <w:pPr>
        <w:ind w:left="3600" w:hanging="360"/>
      </w:pPr>
      <w:rPr>
        <w:rFonts w:ascii="Courier New" w:hAnsi="Courier New" w:cs="Courier New" w:hint="default"/>
      </w:rPr>
    </w:lvl>
    <w:lvl w:ilvl="5" w:tplc="BC50CB24" w:tentative="1">
      <w:start w:val="1"/>
      <w:numFmt w:val="bullet"/>
      <w:lvlText w:val=""/>
      <w:lvlJc w:val="left"/>
      <w:pPr>
        <w:ind w:left="4320" w:hanging="360"/>
      </w:pPr>
      <w:rPr>
        <w:rFonts w:ascii="Wingdings" w:hAnsi="Wingdings" w:hint="default"/>
      </w:rPr>
    </w:lvl>
    <w:lvl w:ilvl="6" w:tplc="A6046888" w:tentative="1">
      <w:start w:val="1"/>
      <w:numFmt w:val="bullet"/>
      <w:lvlText w:val=""/>
      <w:lvlJc w:val="left"/>
      <w:pPr>
        <w:ind w:left="5040" w:hanging="360"/>
      </w:pPr>
      <w:rPr>
        <w:rFonts w:ascii="Symbol" w:hAnsi="Symbol" w:hint="default"/>
      </w:rPr>
    </w:lvl>
    <w:lvl w:ilvl="7" w:tplc="BAC48BA2" w:tentative="1">
      <w:start w:val="1"/>
      <w:numFmt w:val="bullet"/>
      <w:lvlText w:val="o"/>
      <w:lvlJc w:val="left"/>
      <w:pPr>
        <w:ind w:left="5760" w:hanging="360"/>
      </w:pPr>
      <w:rPr>
        <w:rFonts w:ascii="Courier New" w:hAnsi="Courier New" w:cs="Courier New" w:hint="default"/>
      </w:rPr>
    </w:lvl>
    <w:lvl w:ilvl="8" w:tplc="5C3273F4" w:tentative="1">
      <w:start w:val="1"/>
      <w:numFmt w:val="bullet"/>
      <w:lvlText w:val=""/>
      <w:lvlJc w:val="left"/>
      <w:pPr>
        <w:ind w:left="6480" w:hanging="360"/>
      </w:pPr>
      <w:rPr>
        <w:rFonts w:ascii="Wingdings" w:hAnsi="Wingdings" w:hint="default"/>
      </w:rPr>
    </w:lvl>
  </w:abstractNum>
  <w:abstractNum w:abstractNumId="86" w15:restartNumberingAfterBreak="0">
    <w:nsid w:val="570E03BF"/>
    <w:multiLevelType w:val="hybridMultilevel"/>
    <w:tmpl w:val="D428C23E"/>
    <w:lvl w:ilvl="0" w:tplc="4ECC53CA">
      <w:start w:val="1"/>
      <w:numFmt w:val="lowerLetter"/>
      <w:lvlText w:val="%1."/>
      <w:lvlJc w:val="left"/>
      <w:pPr>
        <w:ind w:left="720" w:hanging="360"/>
      </w:pPr>
    </w:lvl>
    <w:lvl w:ilvl="1" w:tplc="F8A6B862" w:tentative="1">
      <w:start w:val="1"/>
      <w:numFmt w:val="lowerLetter"/>
      <w:lvlText w:val="%2."/>
      <w:lvlJc w:val="left"/>
      <w:pPr>
        <w:ind w:left="1440" w:hanging="360"/>
      </w:pPr>
    </w:lvl>
    <w:lvl w:ilvl="2" w:tplc="1484709E" w:tentative="1">
      <w:start w:val="1"/>
      <w:numFmt w:val="lowerRoman"/>
      <w:lvlText w:val="%3."/>
      <w:lvlJc w:val="right"/>
      <w:pPr>
        <w:ind w:left="2160" w:hanging="180"/>
      </w:pPr>
    </w:lvl>
    <w:lvl w:ilvl="3" w:tplc="BE1A9C16" w:tentative="1">
      <w:start w:val="1"/>
      <w:numFmt w:val="decimal"/>
      <w:lvlText w:val="%4."/>
      <w:lvlJc w:val="left"/>
      <w:pPr>
        <w:ind w:left="2880" w:hanging="360"/>
      </w:pPr>
    </w:lvl>
    <w:lvl w:ilvl="4" w:tplc="7B18DF2C" w:tentative="1">
      <w:start w:val="1"/>
      <w:numFmt w:val="lowerLetter"/>
      <w:lvlText w:val="%5."/>
      <w:lvlJc w:val="left"/>
      <w:pPr>
        <w:ind w:left="3600" w:hanging="360"/>
      </w:pPr>
    </w:lvl>
    <w:lvl w:ilvl="5" w:tplc="585429B6" w:tentative="1">
      <w:start w:val="1"/>
      <w:numFmt w:val="lowerRoman"/>
      <w:lvlText w:val="%6."/>
      <w:lvlJc w:val="right"/>
      <w:pPr>
        <w:ind w:left="4320" w:hanging="180"/>
      </w:pPr>
    </w:lvl>
    <w:lvl w:ilvl="6" w:tplc="B83687A4" w:tentative="1">
      <w:start w:val="1"/>
      <w:numFmt w:val="decimal"/>
      <w:lvlText w:val="%7."/>
      <w:lvlJc w:val="left"/>
      <w:pPr>
        <w:ind w:left="5040" w:hanging="360"/>
      </w:pPr>
    </w:lvl>
    <w:lvl w:ilvl="7" w:tplc="2750A190" w:tentative="1">
      <w:start w:val="1"/>
      <w:numFmt w:val="lowerLetter"/>
      <w:lvlText w:val="%8."/>
      <w:lvlJc w:val="left"/>
      <w:pPr>
        <w:ind w:left="5760" w:hanging="360"/>
      </w:pPr>
    </w:lvl>
    <w:lvl w:ilvl="8" w:tplc="C3A05FFC" w:tentative="1">
      <w:start w:val="1"/>
      <w:numFmt w:val="lowerRoman"/>
      <w:lvlText w:val="%9."/>
      <w:lvlJc w:val="right"/>
      <w:pPr>
        <w:ind w:left="6480" w:hanging="180"/>
      </w:pPr>
    </w:lvl>
  </w:abstractNum>
  <w:abstractNum w:abstractNumId="87" w15:restartNumberingAfterBreak="0">
    <w:nsid w:val="5800382B"/>
    <w:multiLevelType w:val="hybridMultilevel"/>
    <w:tmpl w:val="10D8A58A"/>
    <w:lvl w:ilvl="0" w:tplc="21EEF2FA">
      <w:start w:val="1"/>
      <w:numFmt w:val="decimal"/>
      <w:lvlText w:val="Box %1."/>
      <w:lvlJc w:val="left"/>
      <w:pPr>
        <w:ind w:left="1740" w:hanging="360"/>
      </w:pPr>
      <w:rPr>
        <w:rFonts w:hint="default"/>
      </w:rPr>
    </w:lvl>
    <w:lvl w:ilvl="1" w:tplc="FCC22A68" w:tentative="1">
      <w:start w:val="1"/>
      <w:numFmt w:val="lowerLetter"/>
      <w:lvlText w:val="%2."/>
      <w:lvlJc w:val="left"/>
      <w:pPr>
        <w:ind w:left="2460" w:hanging="360"/>
      </w:pPr>
    </w:lvl>
    <w:lvl w:ilvl="2" w:tplc="443409E2" w:tentative="1">
      <w:start w:val="1"/>
      <w:numFmt w:val="lowerRoman"/>
      <w:lvlText w:val="%3."/>
      <w:lvlJc w:val="right"/>
      <w:pPr>
        <w:ind w:left="3180" w:hanging="180"/>
      </w:pPr>
    </w:lvl>
    <w:lvl w:ilvl="3" w:tplc="9B00D8EA" w:tentative="1">
      <w:start w:val="1"/>
      <w:numFmt w:val="decimal"/>
      <w:lvlText w:val="%4."/>
      <w:lvlJc w:val="left"/>
      <w:pPr>
        <w:ind w:left="3900" w:hanging="360"/>
      </w:pPr>
    </w:lvl>
    <w:lvl w:ilvl="4" w:tplc="16F05448" w:tentative="1">
      <w:start w:val="1"/>
      <w:numFmt w:val="lowerLetter"/>
      <w:lvlText w:val="%5."/>
      <w:lvlJc w:val="left"/>
      <w:pPr>
        <w:ind w:left="4620" w:hanging="360"/>
      </w:pPr>
    </w:lvl>
    <w:lvl w:ilvl="5" w:tplc="AE92B5BE" w:tentative="1">
      <w:start w:val="1"/>
      <w:numFmt w:val="lowerRoman"/>
      <w:lvlText w:val="%6."/>
      <w:lvlJc w:val="right"/>
      <w:pPr>
        <w:ind w:left="5340" w:hanging="180"/>
      </w:pPr>
    </w:lvl>
    <w:lvl w:ilvl="6" w:tplc="B4B650E2" w:tentative="1">
      <w:start w:val="1"/>
      <w:numFmt w:val="decimal"/>
      <w:lvlText w:val="%7."/>
      <w:lvlJc w:val="left"/>
      <w:pPr>
        <w:ind w:left="6060" w:hanging="360"/>
      </w:pPr>
    </w:lvl>
    <w:lvl w:ilvl="7" w:tplc="6C5A34B6" w:tentative="1">
      <w:start w:val="1"/>
      <w:numFmt w:val="lowerLetter"/>
      <w:lvlText w:val="%8."/>
      <w:lvlJc w:val="left"/>
      <w:pPr>
        <w:ind w:left="6780" w:hanging="360"/>
      </w:pPr>
    </w:lvl>
    <w:lvl w:ilvl="8" w:tplc="8E1E8FE8" w:tentative="1">
      <w:start w:val="1"/>
      <w:numFmt w:val="lowerRoman"/>
      <w:lvlText w:val="%9."/>
      <w:lvlJc w:val="right"/>
      <w:pPr>
        <w:ind w:left="7500" w:hanging="180"/>
      </w:pPr>
    </w:lvl>
  </w:abstractNum>
  <w:abstractNum w:abstractNumId="88"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9" w15:restartNumberingAfterBreak="0">
    <w:nsid w:val="596C4FB4"/>
    <w:multiLevelType w:val="hybridMultilevel"/>
    <w:tmpl w:val="0E006A16"/>
    <w:lvl w:ilvl="0" w:tplc="81F039F4">
      <w:start w:val="1"/>
      <w:numFmt w:val="bullet"/>
      <w:lvlText w:val="o"/>
      <w:lvlJc w:val="left"/>
      <w:pPr>
        <w:ind w:left="1346" w:hanging="360"/>
      </w:pPr>
      <w:rPr>
        <w:rFonts w:ascii="Courier New" w:hAnsi="Courier New" w:hint="default"/>
        <w:color w:val="6F6F6F"/>
      </w:rPr>
    </w:lvl>
    <w:lvl w:ilvl="1" w:tplc="93E64FE0" w:tentative="1">
      <w:start w:val="1"/>
      <w:numFmt w:val="bullet"/>
      <w:lvlText w:val="o"/>
      <w:lvlJc w:val="left"/>
      <w:pPr>
        <w:ind w:left="2066" w:hanging="360"/>
      </w:pPr>
      <w:rPr>
        <w:rFonts w:ascii="Courier New" w:hAnsi="Courier New" w:cs="Courier New" w:hint="default"/>
      </w:rPr>
    </w:lvl>
    <w:lvl w:ilvl="2" w:tplc="D10425C6" w:tentative="1">
      <w:start w:val="1"/>
      <w:numFmt w:val="bullet"/>
      <w:lvlText w:val=""/>
      <w:lvlJc w:val="left"/>
      <w:pPr>
        <w:ind w:left="2786" w:hanging="360"/>
      </w:pPr>
      <w:rPr>
        <w:rFonts w:ascii="Wingdings" w:hAnsi="Wingdings" w:hint="default"/>
      </w:rPr>
    </w:lvl>
    <w:lvl w:ilvl="3" w:tplc="8E281D52" w:tentative="1">
      <w:start w:val="1"/>
      <w:numFmt w:val="bullet"/>
      <w:lvlText w:val=""/>
      <w:lvlJc w:val="left"/>
      <w:pPr>
        <w:ind w:left="3506" w:hanging="360"/>
      </w:pPr>
      <w:rPr>
        <w:rFonts w:ascii="Symbol" w:hAnsi="Symbol" w:hint="default"/>
      </w:rPr>
    </w:lvl>
    <w:lvl w:ilvl="4" w:tplc="32B6F1FA" w:tentative="1">
      <w:start w:val="1"/>
      <w:numFmt w:val="bullet"/>
      <w:lvlText w:val="o"/>
      <w:lvlJc w:val="left"/>
      <w:pPr>
        <w:ind w:left="4226" w:hanging="360"/>
      </w:pPr>
      <w:rPr>
        <w:rFonts w:ascii="Courier New" w:hAnsi="Courier New" w:cs="Courier New" w:hint="default"/>
      </w:rPr>
    </w:lvl>
    <w:lvl w:ilvl="5" w:tplc="AF584562" w:tentative="1">
      <w:start w:val="1"/>
      <w:numFmt w:val="bullet"/>
      <w:lvlText w:val=""/>
      <w:lvlJc w:val="left"/>
      <w:pPr>
        <w:ind w:left="4946" w:hanging="360"/>
      </w:pPr>
      <w:rPr>
        <w:rFonts w:ascii="Wingdings" w:hAnsi="Wingdings" w:hint="default"/>
      </w:rPr>
    </w:lvl>
    <w:lvl w:ilvl="6" w:tplc="3500D252" w:tentative="1">
      <w:start w:val="1"/>
      <w:numFmt w:val="bullet"/>
      <w:lvlText w:val=""/>
      <w:lvlJc w:val="left"/>
      <w:pPr>
        <w:ind w:left="5666" w:hanging="360"/>
      </w:pPr>
      <w:rPr>
        <w:rFonts w:ascii="Symbol" w:hAnsi="Symbol" w:hint="default"/>
      </w:rPr>
    </w:lvl>
    <w:lvl w:ilvl="7" w:tplc="4492E86C" w:tentative="1">
      <w:start w:val="1"/>
      <w:numFmt w:val="bullet"/>
      <w:lvlText w:val="o"/>
      <w:lvlJc w:val="left"/>
      <w:pPr>
        <w:ind w:left="6386" w:hanging="360"/>
      </w:pPr>
      <w:rPr>
        <w:rFonts w:ascii="Courier New" w:hAnsi="Courier New" w:cs="Courier New" w:hint="default"/>
      </w:rPr>
    </w:lvl>
    <w:lvl w:ilvl="8" w:tplc="224C3CB0" w:tentative="1">
      <w:start w:val="1"/>
      <w:numFmt w:val="bullet"/>
      <w:lvlText w:val=""/>
      <w:lvlJc w:val="left"/>
      <w:pPr>
        <w:ind w:left="7106" w:hanging="360"/>
      </w:pPr>
      <w:rPr>
        <w:rFonts w:ascii="Wingdings" w:hAnsi="Wingdings" w:hint="default"/>
      </w:rPr>
    </w:lvl>
  </w:abstractNum>
  <w:abstractNum w:abstractNumId="90" w15:restartNumberingAfterBreak="0">
    <w:nsid w:val="5B534780"/>
    <w:multiLevelType w:val="hybridMultilevel"/>
    <w:tmpl w:val="6B143708"/>
    <w:lvl w:ilvl="0" w:tplc="F63C0DAC">
      <w:start w:val="1"/>
      <w:numFmt w:val="bullet"/>
      <w:lvlText w:val=""/>
      <w:lvlJc w:val="left"/>
      <w:pPr>
        <w:ind w:left="720" w:hanging="360"/>
      </w:pPr>
      <w:rPr>
        <w:rFonts w:ascii="Symbol" w:hAnsi="Symbol" w:hint="default"/>
        <w:color w:val="57825E"/>
        <w:sz w:val="18"/>
      </w:rPr>
    </w:lvl>
    <w:lvl w:ilvl="1" w:tplc="C8B2E9D8">
      <w:start w:val="1"/>
      <w:numFmt w:val="bullet"/>
      <w:lvlText w:val="o"/>
      <w:lvlJc w:val="left"/>
      <w:pPr>
        <w:ind w:left="1440" w:hanging="360"/>
      </w:pPr>
      <w:rPr>
        <w:rFonts w:ascii="Courier New" w:hAnsi="Courier New" w:cs="Courier New" w:hint="default"/>
      </w:rPr>
    </w:lvl>
    <w:lvl w:ilvl="2" w:tplc="94D08B1A">
      <w:start w:val="1"/>
      <w:numFmt w:val="bullet"/>
      <w:lvlText w:val=""/>
      <w:lvlJc w:val="left"/>
      <w:pPr>
        <w:ind w:left="2160" w:hanging="360"/>
      </w:pPr>
      <w:rPr>
        <w:rFonts w:ascii="Wingdings" w:hAnsi="Wingdings" w:hint="default"/>
      </w:rPr>
    </w:lvl>
    <w:lvl w:ilvl="3" w:tplc="CEDC4636">
      <w:start w:val="1"/>
      <w:numFmt w:val="bullet"/>
      <w:lvlText w:val=""/>
      <w:lvlJc w:val="left"/>
      <w:pPr>
        <w:ind w:left="2880" w:hanging="360"/>
      </w:pPr>
      <w:rPr>
        <w:rFonts w:ascii="Symbol" w:hAnsi="Symbol" w:hint="default"/>
      </w:rPr>
    </w:lvl>
    <w:lvl w:ilvl="4" w:tplc="1A6858C4">
      <w:start w:val="1"/>
      <w:numFmt w:val="bullet"/>
      <w:lvlText w:val="o"/>
      <w:lvlJc w:val="left"/>
      <w:pPr>
        <w:ind w:left="3600" w:hanging="360"/>
      </w:pPr>
      <w:rPr>
        <w:rFonts w:ascii="Courier New" w:hAnsi="Courier New" w:cs="Courier New" w:hint="default"/>
      </w:rPr>
    </w:lvl>
    <w:lvl w:ilvl="5" w:tplc="DF5EDE76">
      <w:start w:val="1"/>
      <w:numFmt w:val="bullet"/>
      <w:lvlText w:val=""/>
      <w:lvlJc w:val="left"/>
      <w:pPr>
        <w:ind w:left="4320" w:hanging="360"/>
      </w:pPr>
      <w:rPr>
        <w:rFonts w:ascii="Wingdings" w:hAnsi="Wingdings" w:hint="default"/>
      </w:rPr>
    </w:lvl>
    <w:lvl w:ilvl="6" w:tplc="F73C8510">
      <w:start w:val="1"/>
      <w:numFmt w:val="bullet"/>
      <w:lvlText w:val=""/>
      <w:lvlJc w:val="left"/>
      <w:pPr>
        <w:ind w:left="5040" w:hanging="360"/>
      </w:pPr>
      <w:rPr>
        <w:rFonts w:ascii="Symbol" w:hAnsi="Symbol" w:hint="default"/>
      </w:rPr>
    </w:lvl>
    <w:lvl w:ilvl="7" w:tplc="31586A22">
      <w:start w:val="1"/>
      <w:numFmt w:val="bullet"/>
      <w:lvlText w:val="o"/>
      <w:lvlJc w:val="left"/>
      <w:pPr>
        <w:ind w:left="5760" w:hanging="360"/>
      </w:pPr>
      <w:rPr>
        <w:rFonts w:ascii="Courier New" w:hAnsi="Courier New" w:cs="Courier New" w:hint="default"/>
      </w:rPr>
    </w:lvl>
    <w:lvl w:ilvl="8" w:tplc="140EB208">
      <w:start w:val="1"/>
      <w:numFmt w:val="bullet"/>
      <w:lvlText w:val=""/>
      <w:lvlJc w:val="left"/>
      <w:pPr>
        <w:ind w:left="6480" w:hanging="360"/>
      </w:pPr>
      <w:rPr>
        <w:rFonts w:ascii="Wingdings" w:hAnsi="Wingdings" w:hint="default"/>
      </w:rPr>
    </w:lvl>
  </w:abstractNum>
  <w:abstractNum w:abstractNumId="91" w15:restartNumberingAfterBreak="0">
    <w:nsid w:val="5B94771E"/>
    <w:multiLevelType w:val="hybridMultilevel"/>
    <w:tmpl w:val="F4A049B4"/>
    <w:lvl w:ilvl="0" w:tplc="F892A7EA">
      <w:start w:val="1"/>
      <w:numFmt w:val="bullet"/>
      <w:lvlText w:val=""/>
      <w:lvlJc w:val="left"/>
      <w:pPr>
        <w:ind w:left="720" w:hanging="360"/>
      </w:pPr>
      <w:rPr>
        <w:rFonts w:ascii="Symbol" w:hAnsi="Symbol" w:hint="default"/>
        <w:color w:val="57825E"/>
      </w:rPr>
    </w:lvl>
    <w:lvl w:ilvl="1" w:tplc="470E6068" w:tentative="1">
      <w:start w:val="1"/>
      <w:numFmt w:val="bullet"/>
      <w:lvlText w:val="o"/>
      <w:lvlJc w:val="left"/>
      <w:pPr>
        <w:ind w:left="1440" w:hanging="360"/>
      </w:pPr>
      <w:rPr>
        <w:rFonts w:ascii="Courier New" w:hAnsi="Courier New" w:cs="Courier New" w:hint="default"/>
      </w:rPr>
    </w:lvl>
    <w:lvl w:ilvl="2" w:tplc="E83006A2" w:tentative="1">
      <w:start w:val="1"/>
      <w:numFmt w:val="bullet"/>
      <w:lvlText w:val=""/>
      <w:lvlJc w:val="left"/>
      <w:pPr>
        <w:ind w:left="2160" w:hanging="360"/>
      </w:pPr>
      <w:rPr>
        <w:rFonts w:ascii="Wingdings" w:hAnsi="Wingdings" w:hint="default"/>
      </w:rPr>
    </w:lvl>
    <w:lvl w:ilvl="3" w:tplc="F3801B9C" w:tentative="1">
      <w:start w:val="1"/>
      <w:numFmt w:val="bullet"/>
      <w:lvlText w:val=""/>
      <w:lvlJc w:val="left"/>
      <w:pPr>
        <w:ind w:left="2880" w:hanging="360"/>
      </w:pPr>
      <w:rPr>
        <w:rFonts w:ascii="Symbol" w:hAnsi="Symbol" w:hint="default"/>
      </w:rPr>
    </w:lvl>
    <w:lvl w:ilvl="4" w:tplc="8C2E397E" w:tentative="1">
      <w:start w:val="1"/>
      <w:numFmt w:val="bullet"/>
      <w:lvlText w:val="o"/>
      <w:lvlJc w:val="left"/>
      <w:pPr>
        <w:ind w:left="3600" w:hanging="360"/>
      </w:pPr>
      <w:rPr>
        <w:rFonts w:ascii="Courier New" w:hAnsi="Courier New" w:cs="Courier New" w:hint="default"/>
      </w:rPr>
    </w:lvl>
    <w:lvl w:ilvl="5" w:tplc="E93E9722" w:tentative="1">
      <w:start w:val="1"/>
      <w:numFmt w:val="bullet"/>
      <w:lvlText w:val=""/>
      <w:lvlJc w:val="left"/>
      <w:pPr>
        <w:ind w:left="4320" w:hanging="360"/>
      </w:pPr>
      <w:rPr>
        <w:rFonts w:ascii="Wingdings" w:hAnsi="Wingdings" w:hint="default"/>
      </w:rPr>
    </w:lvl>
    <w:lvl w:ilvl="6" w:tplc="73E6A0FA" w:tentative="1">
      <w:start w:val="1"/>
      <w:numFmt w:val="bullet"/>
      <w:lvlText w:val=""/>
      <w:lvlJc w:val="left"/>
      <w:pPr>
        <w:ind w:left="5040" w:hanging="360"/>
      </w:pPr>
      <w:rPr>
        <w:rFonts w:ascii="Symbol" w:hAnsi="Symbol" w:hint="default"/>
      </w:rPr>
    </w:lvl>
    <w:lvl w:ilvl="7" w:tplc="21CE25A6" w:tentative="1">
      <w:start w:val="1"/>
      <w:numFmt w:val="bullet"/>
      <w:lvlText w:val="o"/>
      <w:lvlJc w:val="left"/>
      <w:pPr>
        <w:ind w:left="5760" w:hanging="360"/>
      </w:pPr>
      <w:rPr>
        <w:rFonts w:ascii="Courier New" w:hAnsi="Courier New" w:cs="Courier New" w:hint="default"/>
      </w:rPr>
    </w:lvl>
    <w:lvl w:ilvl="8" w:tplc="AC4093FA" w:tentative="1">
      <w:start w:val="1"/>
      <w:numFmt w:val="bullet"/>
      <w:lvlText w:val=""/>
      <w:lvlJc w:val="left"/>
      <w:pPr>
        <w:ind w:left="6480" w:hanging="360"/>
      </w:pPr>
      <w:rPr>
        <w:rFonts w:ascii="Wingdings" w:hAnsi="Wingdings" w:hint="default"/>
      </w:rPr>
    </w:lvl>
  </w:abstractNum>
  <w:abstractNum w:abstractNumId="92" w15:restartNumberingAfterBreak="0">
    <w:nsid w:val="5BB74C2B"/>
    <w:multiLevelType w:val="hybridMultilevel"/>
    <w:tmpl w:val="972E6AD0"/>
    <w:lvl w:ilvl="0" w:tplc="BAD4FAE0">
      <w:start w:val="1"/>
      <w:numFmt w:val="bullet"/>
      <w:lvlText w:val=""/>
      <w:lvlJc w:val="left"/>
      <w:pPr>
        <w:ind w:left="720" w:hanging="360"/>
      </w:pPr>
      <w:rPr>
        <w:rFonts w:ascii="Symbol" w:hAnsi="Symbol" w:hint="default"/>
        <w:color w:val="57825E"/>
      </w:rPr>
    </w:lvl>
    <w:lvl w:ilvl="1" w:tplc="2F1CBD84" w:tentative="1">
      <w:start w:val="1"/>
      <w:numFmt w:val="bullet"/>
      <w:lvlText w:val="o"/>
      <w:lvlJc w:val="left"/>
      <w:pPr>
        <w:ind w:left="1440" w:hanging="360"/>
      </w:pPr>
      <w:rPr>
        <w:rFonts w:ascii="Courier New" w:hAnsi="Courier New" w:cs="Courier New" w:hint="default"/>
      </w:rPr>
    </w:lvl>
    <w:lvl w:ilvl="2" w:tplc="1148411E" w:tentative="1">
      <w:start w:val="1"/>
      <w:numFmt w:val="bullet"/>
      <w:lvlText w:val=""/>
      <w:lvlJc w:val="left"/>
      <w:pPr>
        <w:ind w:left="2160" w:hanging="360"/>
      </w:pPr>
      <w:rPr>
        <w:rFonts w:ascii="Wingdings" w:hAnsi="Wingdings" w:hint="default"/>
      </w:rPr>
    </w:lvl>
    <w:lvl w:ilvl="3" w:tplc="ACBA0BC8" w:tentative="1">
      <w:start w:val="1"/>
      <w:numFmt w:val="bullet"/>
      <w:lvlText w:val=""/>
      <w:lvlJc w:val="left"/>
      <w:pPr>
        <w:ind w:left="2880" w:hanging="360"/>
      </w:pPr>
      <w:rPr>
        <w:rFonts w:ascii="Symbol" w:hAnsi="Symbol" w:hint="default"/>
      </w:rPr>
    </w:lvl>
    <w:lvl w:ilvl="4" w:tplc="7B0856BC" w:tentative="1">
      <w:start w:val="1"/>
      <w:numFmt w:val="bullet"/>
      <w:lvlText w:val="o"/>
      <w:lvlJc w:val="left"/>
      <w:pPr>
        <w:ind w:left="3600" w:hanging="360"/>
      </w:pPr>
      <w:rPr>
        <w:rFonts w:ascii="Courier New" w:hAnsi="Courier New" w:cs="Courier New" w:hint="default"/>
      </w:rPr>
    </w:lvl>
    <w:lvl w:ilvl="5" w:tplc="00D6689A" w:tentative="1">
      <w:start w:val="1"/>
      <w:numFmt w:val="bullet"/>
      <w:lvlText w:val=""/>
      <w:lvlJc w:val="left"/>
      <w:pPr>
        <w:ind w:left="4320" w:hanging="360"/>
      </w:pPr>
      <w:rPr>
        <w:rFonts w:ascii="Wingdings" w:hAnsi="Wingdings" w:hint="default"/>
      </w:rPr>
    </w:lvl>
    <w:lvl w:ilvl="6" w:tplc="508C82D2" w:tentative="1">
      <w:start w:val="1"/>
      <w:numFmt w:val="bullet"/>
      <w:lvlText w:val=""/>
      <w:lvlJc w:val="left"/>
      <w:pPr>
        <w:ind w:left="5040" w:hanging="360"/>
      </w:pPr>
      <w:rPr>
        <w:rFonts w:ascii="Symbol" w:hAnsi="Symbol" w:hint="default"/>
      </w:rPr>
    </w:lvl>
    <w:lvl w:ilvl="7" w:tplc="158E3350" w:tentative="1">
      <w:start w:val="1"/>
      <w:numFmt w:val="bullet"/>
      <w:lvlText w:val="o"/>
      <w:lvlJc w:val="left"/>
      <w:pPr>
        <w:ind w:left="5760" w:hanging="360"/>
      </w:pPr>
      <w:rPr>
        <w:rFonts w:ascii="Courier New" w:hAnsi="Courier New" w:cs="Courier New" w:hint="default"/>
      </w:rPr>
    </w:lvl>
    <w:lvl w:ilvl="8" w:tplc="D592C45E" w:tentative="1">
      <w:start w:val="1"/>
      <w:numFmt w:val="bullet"/>
      <w:lvlText w:val=""/>
      <w:lvlJc w:val="left"/>
      <w:pPr>
        <w:ind w:left="6480" w:hanging="360"/>
      </w:pPr>
      <w:rPr>
        <w:rFonts w:ascii="Wingdings" w:hAnsi="Wingdings" w:hint="default"/>
      </w:rPr>
    </w:lvl>
  </w:abstractNum>
  <w:abstractNum w:abstractNumId="93" w15:restartNumberingAfterBreak="0">
    <w:nsid w:val="5D7E6AE3"/>
    <w:multiLevelType w:val="hybridMultilevel"/>
    <w:tmpl w:val="A1164C12"/>
    <w:lvl w:ilvl="0" w:tplc="59A6955A">
      <w:start w:val="1"/>
      <w:numFmt w:val="bullet"/>
      <w:lvlText w:val=""/>
      <w:lvlJc w:val="left"/>
      <w:pPr>
        <w:ind w:left="720" w:hanging="360"/>
      </w:pPr>
      <w:rPr>
        <w:rFonts w:ascii="Symbol" w:hAnsi="Symbol" w:hint="default"/>
        <w:color w:val="57825E"/>
      </w:rPr>
    </w:lvl>
    <w:lvl w:ilvl="1" w:tplc="3DB4B75A" w:tentative="1">
      <w:start w:val="1"/>
      <w:numFmt w:val="bullet"/>
      <w:lvlText w:val="o"/>
      <w:lvlJc w:val="left"/>
      <w:pPr>
        <w:ind w:left="1440" w:hanging="360"/>
      </w:pPr>
      <w:rPr>
        <w:rFonts w:ascii="Courier New" w:hAnsi="Courier New" w:cs="Courier New" w:hint="default"/>
      </w:rPr>
    </w:lvl>
    <w:lvl w:ilvl="2" w:tplc="71CC08D8" w:tentative="1">
      <w:start w:val="1"/>
      <w:numFmt w:val="bullet"/>
      <w:lvlText w:val=""/>
      <w:lvlJc w:val="left"/>
      <w:pPr>
        <w:ind w:left="2160" w:hanging="360"/>
      </w:pPr>
      <w:rPr>
        <w:rFonts w:ascii="Wingdings" w:hAnsi="Wingdings" w:hint="default"/>
      </w:rPr>
    </w:lvl>
    <w:lvl w:ilvl="3" w:tplc="872ABDF2" w:tentative="1">
      <w:start w:val="1"/>
      <w:numFmt w:val="bullet"/>
      <w:lvlText w:val=""/>
      <w:lvlJc w:val="left"/>
      <w:pPr>
        <w:ind w:left="2880" w:hanging="360"/>
      </w:pPr>
      <w:rPr>
        <w:rFonts w:ascii="Symbol" w:hAnsi="Symbol" w:hint="default"/>
      </w:rPr>
    </w:lvl>
    <w:lvl w:ilvl="4" w:tplc="99BE9E3E" w:tentative="1">
      <w:start w:val="1"/>
      <w:numFmt w:val="bullet"/>
      <w:lvlText w:val="o"/>
      <w:lvlJc w:val="left"/>
      <w:pPr>
        <w:ind w:left="3600" w:hanging="360"/>
      </w:pPr>
      <w:rPr>
        <w:rFonts w:ascii="Courier New" w:hAnsi="Courier New" w:cs="Courier New" w:hint="default"/>
      </w:rPr>
    </w:lvl>
    <w:lvl w:ilvl="5" w:tplc="2A80D502" w:tentative="1">
      <w:start w:val="1"/>
      <w:numFmt w:val="bullet"/>
      <w:lvlText w:val=""/>
      <w:lvlJc w:val="left"/>
      <w:pPr>
        <w:ind w:left="4320" w:hanging="360"/>
      </w:pPr>
      <w:rPr>
        <w:rFonts w:ascii="Wingdings" w:hAnsi="Wingdings" w:hint="default"/>
      </w:rPr>
    </w:lvl>
    <w:lvl w:ilvl="6" w:tplc="39DE7408" w:tentative="1">
      <w:start w:val="1"/>
      <w:numFmt w:val="bullet"/>
      <w:lvlText w:val=""/>
      <w:lvlJc w:val="left"/>
      <w:pPr>
        <w:ind w:left="5040" w:hanging="360"/>
      </w:pPr>
      <w:rPr>
        <w:rFonts w:ascii="Symbol" w:hAnsi="Symbol" w:hint="default"/>
      </w:rPr>
    </w:lvl>
    <w:lvl w:ilvl="7" w:tplc="FB80F792" w:tentative="1">
      <w:start w:val="1"/>
      <w:numFmt w:val="bullet"/>
      <w:lvlText w:val="o"/>
      <w:lvlJc w:val="left"/>
      <w:pPr>
        <w:ind w:left="5760" w:hanging="360"/>
      </w:pPr>
      <w:rPr>
        <w:rFonts w:ascii="Courier New" w:hAnsi="Courier New" w:cs="Courier New" w:hint="default"/>
      </w:rPr>
    </w:lvl>
    <w:lvl w:ilvl="8" w:tplc="27765B60" w:tentative="1">
      <w:start w:val="1"/>
      <w:numFmt w:val="bullet"/>
      <w:lvlText w:val=""/>
      <w:lvlJc w:val="left"/>
      <w:pPr>
        <w:ind w:left="6480" w:hanging="360"/>
      </w:pPr>
      <w:rPr>
        <w:rFonts w:ascii="Wingdings" w:hAnsi="Wingdings" w:hint="default"/>
      </w:rPr>
    </w:lvl>
  </w:abstractNum>
  <w:abstractNum w:abstractNumId="94" w15:restartNumberingAfterBreak="0">
    <w:nsid w:val="5D817437"/>
    <w:multiLevelType w:val="multilevel"/>
    <w:tmpl w:val="2E5844C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4.%3"/>
      <w:lvlJc w:val="left"/>
      <w:pPr>
        <w:ind w:left="862"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5F79730C"/>
    <w:multiLevelType w:val="hybridMultilevel"/>
    <w:tmpl w:val="F9D6390A"/>
    <w:lvl w:ilvl="0" w:tplc="556EE984">
      <w:start w:val="1"/>
      <w:numFmt w:val="decimal"/>
      <w:lvlText w:val="2.%1"/>
      <w:lvlJc w:val="left"/>
      <w:pPr>
        <w:ind w:left="720" w:hanging="360"/>
      </w:pPr>
      <w:rPr>
        <w:rFonts w:hint="default"/>
        <w:b w:val="0"/>
        <w:color w:val="auto"/>
        <w:sz w:val="20"/>
      </w:rPr>
    </w:lvl>
    <w:lvl w:ilvl="1" w:tplc="218EACC6" w:tentative="1">
      <w:start w:val="1"/>
      <w:numFmt w:val="lowerLetter"/>
      <w:lvlText w:val="%2."/>
      <w:lvlJc w:val="left"/>
      <w:pPr>
        <w:ind w:left="1440" w:hanging="360"/>
      </w:pPr>
    </w:lvl>
    <w:lvl w:ilvl="2" w:tplc="D48C88A2" w:tentative="1">
      <w:start w:val="1"/>
      <w:numFmt w:val="lowerRoman"/>
      <w:lvlText w:val="%3."/>
      <w:lvlJc w:val="right"/>
      <w:pPr>
        <w:ind w:left="2160" w:hanging="180"/>
      </w:pPr>
    </w:lvl>
    <w:lvl w:ilvl="3" w:tplc="5888D0F0" w:tentative="1">
      <w:start w:val="1"/>
      <w:numFmt w:val="decimal"/>
      <w:lvlText w:val="%4."/>
      <w:lvlJc w:val="left"/>
      <w:pPr>
        <w:ind w:left="2880" w:hanging="360"/>
      </w:pPr>
    </w:lvl>
    <w:lvl w:ilvl="4" w:tplc="3B324EF8" w:tentative="1">
      <w:start w:val="1"/>
      <w:numFmt w:val="lowerLetter"/>
      <w:lvlText w:val="%5."/>
      <w:lvlJc w:val="left"/>
      <w:pPr>
        <w:ind w:left="3600" w:hanging="360"/>
      </w:pPr>
    </w:lvl>
    <w:lvl w:ilvl="5" w:tplc="0BAC0CA2" w:tentative="1">
      <w:start w:val="1"/>
      <w:numFmt w:val="lowerRoman"/>
      <w:lvlText w:val="%6."/>
      <w:lvlJc w:val="right"/>
      <w:pPr>
        <w:ind w:left="4320" w:hanging="180"/>
      </w:pPr>
    </w:lvl>
    <w:lvl w:ilvl="6" w:tplc="FE824F42" w:tentative="1">
      <w:start w:val="1"/>
      <w:numFmt w:val="decimal"/>
      <w:lvlText w:val="%7."/>
      <w:lvlJc w:val="left"/>
      <w:pPr>
        <w:ind w:left="5040" w:hanging="360"/>
      </w:pPr>
    </w:lvl>
    <w:lvl w:ilvl="7" w:tplc="122683B4" w:tentative="1">
      <w:start w:val="1"/>
      <w:numFmt w:val="lowerLetter"/>
      <w:lvlText w:val="%8."/>
      <w:lvlJc w:val="left"/>
      <w:pPr>
        <w:ind w:left="5760" w:hanging="360"/>
      </w:pPr>
    </w:lvl>
    <w:lvl w:ilvl="8" w:tplc="34CCE112" w:tentative="1">
      <w:start w:val="1"/>
      <w:numFmt w:val="lowerRoman"/>
      <w:lvlText w:val="%9."/>
      <w:lvlJc w:val="right"/>
      <w:pPr>
        <w:ind w:left="6480" w:hanging="180"/>
      </w:pPr>
    </w:lvl>
  </w:abstractNum>
  <w:abstractNum w:abstractNumId="96" w15:restartNumberingAfterBreak="0">
    <w:nsid w:val="60D46F84"/>
    <w:multiLevelType w:val="hybridMultilevel"/>
    <w:tmpl w:val="FA229D98"/>
    <w:lvl w:ilvl="0" w:tplc="5DCCDC92">
      <w:start w:val="1"/>
      <w:numFmt w:val="bullet"/>
      <w:lvlText w:val=""/>
      <w:lvlJc w:val="left"/>
      <w:pPr>
        <w:ind w:left="720" w:hanging="360"/>
      </w:pPr>
      <w:rPr>
        <w:rFonts w:ascii="Symbol" w:hAnsi="Symbol" w:hint="default"/>
        <w:b w:val="0"/>
        <w:color w:val="57825E"/>
      </w:rPr>
    </w:lvl>
    <w:lvl w:ilvl="1" w:tplc="667AD390" w:tentative="1">
      <w:start w:val="1"/>
      <w:numFmt w:val="bullet"/>
      <w:lvlText w:val="o"/>
      <w:lvlJc w:val="left"/>
      <w:pPr>
        <w:ind w:left="1440" w:hanging="360"/>
      </w:pPr>
      <w:rPr>
        <w:rFonts w:ascii="Courier New" w:hAnsi="Courier New" w:cs="Courier New" w:hint="default"/>
      </w:rPr>
    </w:lvl>
    <w:lvl w:ilvl="2" w:tplc="C6621028" w:tentative="1">
      <w:start w:val="1"/>
      <w:numFmt w:val="bullet"/>
      <w:lvlText w:val=""/>
      <w:lvlJc w:val="left"/>
      <w:pPr>
        <w:ind w:left="2160" w:hanging="360"/>
      </w:pPr>
      <w:rPr>
        <w:rFonts w:ascii="Wingdings" w:hAnsi="Wingdings" w:hint="default"/>
      </w:rPr>
    </w:lvl>
    <w:lvl w:ilvl="3" w:tplc="4DBA58D6" w:tentative="1">
      <w:start w:val="1"/>
      <w:numFmt w:val="bullet"/>
      <w:lvlText w:val=""/>
      <w:lvlJc w:val="left"/>
      <w:pPr>
        <w:ind w:left="2880" w:hanging="360"/>
      </w:pPr>
      <w:rPr>
        <w:rFonts w:ascii="Symbol" w:hAnsi="Symbol" w:hint="default"/>
      </w:rPr>
    </w:lvl>
    <w:lvl w:ilvl="4" w:tplc="8572D02E" w:tentative="1">
      <w:start w:val="1"/>
      <w:numFmt w:val="bullet"/>
      <w:lvlText w:val="o"/>
      <w:lvlJc w:val="left"/>
      <w:pPr>
        <w:ind w:left="3600" w:hanging="360"/>
      </w:pPr>
      <w:rPr>
        <w:rFonts w:ascii="Courier New" w:hAnsi="Courier New" w:cs="Courier New" w:hint="default"/>
      </w:rPr>
    </w:lvl>
    <w:lvl w:ilvl="5" w:tplc="2BF261F6" w:tentative="1">
      <w:start w:val="1"/>
      <w:numFmt w:val="bullet"/>
      <w:lvlText w:val=""/>
      <w:lvlJc w:val="left"/>
      <w:pPr>
        <w:ind w:left="4320" w:hanging="360"/>
      </w:pPr>
      <w:rPr>
        <w:rFonts w:ascii="Wingdings" w:hAnsi="Wingdings" w:hint="default"/>
      </w:rPr>
    </w:lvl>
    <w:lvl w:ilvl="6" w:tplc="933AC0B0" w:tentative="1">
      <w:start w:val="1"/>
      <w:numFmt w:val="bullet"/>
      <w:lvlText w:val=""/>
      <w:lvlJc w:val="left"/>
      <w:pPr>
        <w:ind w:left="5040" w:hanging="360"/>
      </w:pPr>
      <w:rPr>
        <w:rFonts w:ascii="Symbol" w:hAnsi="Symbol" w:hint="default"/>
      </w:rPr>
    </w:lvl>
    <w:lvl w:ilvl="7" w:tplc="A530A0E0" w:tentative="1">
      <w:start w:val="1"/>
      <w:numFmt w:val="bullet"/>
      <w:lvlText w:val="o"/>
      <w:lvlJc w:val="left"/>
      <w:pPr>
        <w:ind w:left="5760" w:hanging="360"/>
      </w:pPr>
      <w:rPr>
        <w:rFonts w:ascii="Courier New" w:hAnsi="Courier New" w:cs="Courier New" w:hint="default"/>
      </w:rPr>
    </w:lvl>
    <w:lvl w:ilvl="8" w:tplc="4B5C81AA" w:tentative="1">
      <w:start w:val="1"/>
      <w:numFmt w:val="bullet"/>
      <w:lvlText w:val=""/>
      <w:lvlJc w:val="left"/>
      <w:pPr>
        <w:ind w:left="6480" w:hanging="360"/>
      </w:pPr>
      <w:rPr>
        <w:rFonts w:ascii="Wingdings" w:hAnsi="Wingdings" w:hint="default"/>
      </w:rPr>
    </w:lvl>
  </w:abstractNum>
  <w:abstractNum w:abstractNumId="97" w15:restartNumberingAfterBreak="0">
    <w:nsid w:val="60E6226F"/>
    <w:multiLevelType w:val="hybridMultilevel"/>
    <w:tmpl w:val="12D03418"/>
    <w:lvl w:ilvl="0" w:tplc="B17A1A4E">
      <w:start w:val="1"/>
      <w:numFmt w:val="bullet"/>
      <w:lvlText w:val=""/>
      <w:lvlJc w:val="left"/>
      <w:pPr>
        <w:ind w:left="720" w:hanging="360"/>
      </w:pPr>
      <w:rPr>
        <w:rFonts w:ascii="Symbol" w:hAnsi="Symbol" w:hint="default"/>
        <w:color w:val="57825E"/>
      </w:rPr>
    </w:lvl>
    <w:lvl w:ilvl="1" w:tplc="7378329E">
      <w:start w:val="1"/>
      <w:numFmt w:val="bullet"/>
      <w:lvlText w:val="o"/>
      <w:lvlJc w:val="left"/>
      <w:pPr>
        <w:ind w:left="1440" w:hanging="360"/>
      </w:pPr>
      <w:rPr>
        <w:rFonts w:ascii="Courier New" w:hAnsi="Courier New" w:cs="Courier New" w:hint="default"/>
        <w:color w:val="F07E31"/>
      </w:rPr>
    </w:lvl>
    <w:lvl w:ilvl="2" w:tplc="3CC25946" w:tentative="1">
      <w:start w:val="1"/>
      <w:numFmt w:val="bullet"/>
      <w:lvlText w:val=""/>
      <w:lvlJc w:val="left"/>
      <w:pPr>
        <w:ind w:left="2160" w:hanging="360"/>
      </w:pPr>
      <w:rPr>
        <w:rFonts w:ascii="Wingdings" w:hAnsi="Wingdings" w:hint="default"/>
      </w:rPr>
    </w:lvl>
    <w:lvl w:ilvl="3" w:tplc="30906D14" w:tentative="1">
      <w:start w:val="1"/>
      <w:numFmt w:val="bullet"/>
      <w:lvlText w:val=""/>
      <w:lvlJc w:val="left"/>
      <w:pPr>
        <w:ind w:left="2880" w:hanging="360"/>
      </w:pPr>
      <w:rPr>
        <w:rFonts w:ascii="Symbol" w:hAnsi="Symbol" w:hint="default"/>
      </w:rPr>
    </w:lvl>
    <w:lvl w:ilvl="4" w:tplc="2C32ED70" w:tentative="1">
      <w:start w:val="1"/>
      <w:numFmt w:val="bullet"/>
      <w:lvlText w:val="o"/>
      <w:lvlJc w:val="left"/>
      <w:pPr>
        <w:ind w:left="3600" w:hanging="360"/>
      </w:pPr>
      <w:rPr>
        <w:rFonts w:ascii="Courier New" w:hAnsi="Courier New" w:cs="Courier New" w:hint="default"/>
      </w:rPr>
    </w:lvl>
    <w:lvl w:ilvl="5" w:tplc="8D62958A" w:tentative="1">
      <w:start w:val="1"/>
      <w:numFmt w:val="bullet"/>
      <w:lvlText w:val=""/>
      <w:lvlJc w:val="left"/>
      <w:pPr>
        <w:ind w:left="4320" w:hanging="360"/>
      </w:pPr>
      <w:rPr>
        <w:rFonts w:ascii="Wingdings" w:hAnsi="Wingdings" w:hint="default"/>
      </w:rPr>
    </w:lvl>
    <w:lvl w:ilvl="6" w:tplc="78F24380" w:tentative="1">
      <w:start w:val="1"/>
      <w:numFmt w:val="bullet"/>
      <w:lvlText w:val=""/>
      <w:lvlJc w:val="left"/>
      <w:pPr>
        <w:ind w:left="5040" w:hanging="360"/>
      </w:pPr>
      <w:rPr>
        <w:rFonts w:ascii="Symbol" w:hAnsi="Symbol" w:hint="default"/>
      </w:rPr>
    </w:lvl>
    <w:lvl w:ilvl="7" w:tplc="1470756C" w:tentative="1">
      <w:start w:val="1"/>
      <w:numFmt w:val="bullet"/>
      <w:lvlText w:val="o"/>
      <w:lvlJc w:val="left"/>
      <w:pPr>
        <w:ind w:left="5760" w:hanging="360"/>
      </w:pPr>
      <w:rPr>
        <w:rFonts w:ascii="Courier New" w:hAnsi="Courier New" w:cs="Courier New" w:hint="default"/>
      </w:rPr>
    </w:lvl>
    <w:lvl w:ilvl="8" w:tplc="4A889ABE" w:tentative="1">
      <w:start w:val="1"/>
      <w:numFmt w:val="bullet"/>
      <w:lvlText w:val=""/>
      <w:lvlJc w:val="left"/>
      <w:pPr>
        <w:ind w:left="6480" w:hanging="360"/>
      </w:pPr>
      <w:rPr>
        <w:rFonts w:ascii="Wingdings" w:hAnsi="Wingdings" w:hint="default"/>
      </w:rPr>
    </w:lvl>
  </w:abstractNum>
  <w:abstractNum w:abstractNumId="98" w15:restartNumberingAfterBreak="0">
    <w:nsid w:val="60E86B2F"/>
    <w:multiLevelType w:val="hybridMultilevel"/>
    <w:tmpl w:val="4DC62D26"/>
    <w:lvl w:ilvl="0" w:tplc="05E684C6">
      <w:start w:val="1"/>
      <w:numFmt w:val="bullet"/>
      <w:lvlText w:val=""/>
      <w:lvlJc w:val="left"/>
      <w:pPr>
        <w:ind w:left="720" w:hanging="360"/>
      </w:pPr>
      <w:rPr>
        <w:rFonts w:ascii="Symbol" w:hAnsi="Symbol" w:hint="default"/>
        <w:color w:val="57825E"/>
      </w:rPr>
    </w:lvl>
    <w:lvl w:ilvl="1" w:tplc="39527242" w:tentative="1">
      <w:start w:val="1"/>
      <w:numFmt w:val="bullet"/>
      <w:lvlText w:val="o"/>
      <w:lvlJc w:val="left"/>
      <w:pPr>
        <w:ind w:left="1440" w:hanging="360"/>
      </w:pPr>
      <w:rPr>
        <w:rFonts w:ascii="Courier New" w:hAnsi="Courier New" w:cs="Courier New" w:hint="default"/>
      </w:rPr>
    </w:lvl>
    <w:lvl w:ilvl="2" w:tplc="B5C4A6FE" w:tentative="1">
      <w:start w:val="1"/>
      <w:numFmt w:val="bullet"/>
      <w:lvlText w:val=""/>
      <w:lvlJc w:val="left"/>
      <w:pPr>
        <w:ind w:left="2160" w:hanging="360"/>
      </w:pPr>
      <w:rPr>
        <w:rFonts w:ascii="Wingdings" w:hAnsi="Wingdings" w:hint="default"/>
      </w:rPr>
    </w:lvl>
    <w:lvl w:ilvl="3" w:tplc="FB5C8BD8" w:tentative="1">
      <w:start w:val="1"/>
      <w:numFmt w:val="bullet"/>
      <w:lvlText w:val=""/>
      <w:lvlJc w:val="left"/>
      <w:pPr>
        <w:ind w:left="2880" w:hanging="360"/>
      </w:pPr>
      <w:rPr>
        <w:rFonts w:ascii="Symbol" w:hAnsi="Symbol" w:hint="default"/>
      </w:rPr>
    </w:lvl>
    <w:lvl w:ilvl="4" w:tplc="65862290" w:tentative="1">
      <w:start w:val="1"/>
      <w:numFmt w:val="bullet"/>
      <w:lvlText w:val="o"/>
      <w:lvlJc w:val="left"/>
      <w:pPr>
        <w:ind w:left="3600" w:hanging="360"/>
      </w:pPr>
      <w:rPr>
        <w:rFonts w:ascii="Courier New" w:hAnsi="Courier New" w:cs="Courier New" w:hint="default"/>
      </w:rPr>
    </w:lvl>
    <w:lvl w:ilvl="5" w:tplc="3B64F820" w:tentative="1">
      <w:start w:val="1"/>
      <w:numFmt w:val="bullet"/>
      <w:lvlText w:val=""/>
      <w:lvlJc w:val="left"/>
      <w:pPr>
        <w:ind w:left="4320" w:hanging="360"/>
      </w:pPr>
      <w:rPr>
        <w:rFonts w:ascii="Wingdings" w:hAnsi="Wingdings" w:hint="default"/>
      </w:rPr>
    </w:lvl>
    <w:lvl w:ilvl="6" w:tplc="8D964A5E" w:tentative="1">
      <w:start w:val="1"/>
      <w:numFmt w:val="bullet"/>
      <w:lvlText w:val=""/>
      <w:lvlJc w:val="left"/>
      <w:pPr>
        <w:ind w:left="5040" w:hanging="360"/>
      </w:pPr>
      <w:rPr>
        <w:rFonts w:ascii="Symbol" w:hAnsi="Symbol" w:hint="default"/>
      </w:rPr>
    </w:lvl>
    <w:lvl w:ilvl="7" w:tplc="62140C32" w:tentative="1">
      <w:start w:val="1"/>
      <w:numFmt w:val="bullet"/>
      <w:lvlText w:val="o"/>
      <w:lvlJc w:val="left"/>
      <w:pPr>
        <w:ind w:left="5760" w:hanging="360"/>
      </w:pPr>
      <w:rPr>
        <w:rFonts w:ascii="Courier New" w:hAnsi="Courier New" w:cs="Courier New" w:hint="default"/>
      </w:rPr>
    </w:lvl>
    <w:lvl w:ilvl="8" w:tplc="52BEA0DA" w:tentative="1">
      <w:start w:val="1"/>
      <w:numFmt w:val="bullet"/>
      <w:lvlText w:val=""/>
      <w:lvlJc w:val="left"/>
      <w:pPr>
        <w:ind w:left="6480" w:hanging="360"/>
      </w:pPr>
      <w:rPr>
        <w:rFonts w:ascii="Wingdings" w:hAnsi="Wingdings" w:hint="default"/>
      </w:rPr>
    </w:lvl>
  </w:abstractNum>
  <w:abstractNum w:abstractNumId="99" w15:restartNumberingAfterBreak="0">
    <w:nsid w:val="60F5675E"/>
    <w:multiLevelType w:val="hybridMultilevel"/>
    <w:tmpl w:val="CE2AA926"/>
    <w:lvl w:ilvl="0" w:tplc="409C23F6">
      <w:start w:val="1"/>
      <w:numFmt w:val="decimal"/>
      <w:lvlText w:val="Figure %1."/>
      <w:lvlJc w:val="left"/>
      <w:pPr>
        <w:ind w:left="720" w:hanging="720"/>
      </w:pPr>
      <w:rPr>
        <w:rFonts w:ascii="Arial" w:hAnsi="Arial" w:cs="Arial" w:hint="default"/>
        <w:sz w:val="18"/>
        <w:szCs w:val="18"/>
      </w:rPr>
    </w:lvl>
    <w:lvl w:ilvl="1" w:tplc="21E4AF70" w:tentative="1">
      <w:start w:val="1"/>
      <w:numFmt w:val="lowerLetter"/>
      <w:lvlText w:val="%2."/>
      <w:lvlJc w:val="left"/>
      <w:pPr>
        <w:ind w:left="1440" w:hanging="360"/>
      </w:pPr>
    </w:lvl>
    <w:lvl w:ilvl="2" w:tplc="CC9AB146" w:tentative="1">
      <w:start w:val="1"/>
      <w:numFmt w:val="lowerRoman"/>
      <w:lvlText w:val="%3."/>
      <w:lvlJc w:val="right"/>
      <w:pPr>
        <w:ind w:left="2160" w:hanging="180"/>
      </w:pPr>
    </w:lvl>
    <w:lvl w:ilvl="3" w:tplc="60A4D714" w:tentative="1">
      <w:start w:val="1"/>
      <w:numFmt w:val="decimal"/>
      <w:lvlText w:val="%4."/>
      <w:lvlJc w:val="left"/>
      <w:pPr>
        <w:ind w:left="2880" w:hanging="360"/>
      </w:pPr>
    </w:lvl>
    <w:lvl w:ilvl="4" w:tplc="D8500E94" w:tentative="1">
      <w:start w:val="1"/>
      <w:numFmt w:val="lowerLetter"/>
      <w:lvlText w:val="%5."/>
      <w:lvlJc w:val="left"/>
      <w:pPr>
        <w:ind w:left="3600" w:hanging="360"/>
      </w:pPr>
    </w:lvl>
    <w:lvl w:ilvl="5" w:tplc="9CF63518" w:tentative="1">
      <w:start w:val="1"/>
      <w:numFmt w:val="lowerRoman"/>
      <w:lvlText w:val="%6."/>
      <w:lvlJc w:val="right"/>
      <w:pPr>
        <w:ind w:left="4320" w:hanging="180"/>
      </w:pPr>
    </w:lvl>
    <w:lvl w:ilvl="6" w:tplc="2684FD48" w:tentative="1">
      <w:start w:val="1"/>
      <w:numFmt w:val="decimal"/>
      <w:lvlText w:val="%7."/>
      <w:lvlJc w:val="left"/>
      <w:pPr>
        <w:ind w:left="5040" w:hanging="360"/>
      </w:pPr>
    </w:lvl>
    <w:lvl w:ilvl="7" w:tplc="6EAAF1D2" w:tentative="1">
      <w:start w:val="1"/>
      <w:numFmt w:val="lowerLetter"/>
      <w:lvlText w:val="%8."/>
      <w:lvlJc w:val="left"/>
      <w:pPr>
        <w:ind w:left="5760" w:hanging="360"/>
      </w:pPr>
    </w:lvl>
    <w:lvl w:ilvl="8" w:tplc="C61CADB6" w:tentative="1">
      <w:start w:val="1"/>
      <w:numFmt w:val="lowerRoman"/>
      <w:lvlText w:val="%9."/>
      <w:lvlJc w:val="right"/>
      <w:pPr>
        <w:ind w:left="6480" w:hanging="180"/>
      </w:pPr>
    </w:lvl>
  </w:abstractNum>
  <w:abstractNum w:abstractNumId="100" w15:restartNumberingAfterBreak="0">
    <w:nsid w:val="614B4869"/>
    <w:multiLevelType w:val="hybridMultilevel"/>
    <w:tmpl w:val="94D06336"/>
    <w:lvl w:ilvl="0" w:tplc="CE24F20A">
      <w:start w:val="1"/>
      <w:numFmt w:val="bullet"/>
      <w:lvlText w:val=""/>
      <w:lvlJc w:val="left"/>
      <w:pPr>
        <w:ind w:left="720" w:hanging="360"/>
      </w:pPr>
      <w:rPr>
        <w:rFonts w:ascii="Symbol" w:hAnsi="Symbol" w:hint="default"/>
        <w:b w:val="0"/>
        <w:color w:val="57825E"/>
      </w:rPr>
    </w:lvl>
    <w:lvl w:ilvl="1" w:tplc="21A2A9D0" w:tentative="1">
      <w:start w:val="1"/>
      <w:numFmt w:val="lowerLetter"/>
      <w:lvlText w:val="%2."/>
      <w:lvlJc w:val="left"/>
      <w:pPr>
        <w:ind w:left="1440" w:hanging="360"/>
      </w:pPr>
    </w:lvl>
    <w:lvl w:ilvl="2" w:tplc="3CA02380" w:tentative="1">
      <w:start w:val="1"/>
      <w:numFmt w:val="lowerRoman"/>
      <w:lvlText w:val="%3."/>
      <w:lvlJc w:val="right"/>
      <w:pPr>
        <w:ind w:left="2160" w:hanging="180"/>
      </w:pPr>
    </w:lvl>
    <w:lvl w:ilvl="3" w:tplc="45E0186A" w:tentative="1">
      <w:start w:val="1"/>
      <w:numFmt w:val="decimal"/>
      <w:lvlText w:val="%4."/>
      <w:lvlJc w:val="left"/>
      <w:pPr>
        <w:ind w:left="2880" w:hanging="360"/>
      </w:pPr>
    </w:lvl>
    <w:lvl w:ilvl="4" w:tplc="DF18310C" w:tentative="1">
      <w:start w:val="1"/>
      <w:numFmt w:val="lowerLetter"/>
      <w:lvlText w:val="%5."/>
      <w:lvlJc w:val="left"/>
      <w:pPr>
        <w:ind w:left="3600" w:hanging="360"/>
      </w:pPr>
    </w:lvl>
    <w:lvl w:ilvl="5" w:tplc="FD821A78" w:tentative="1">
      <w:start w:val="1"/>
      <w:numFmt w:val="lowerRoman"/>
      <w:lvlText w:val="%6."/>
      <w:lvlJc w:val="right"/>
      <w:pPr>
        <w:ind w:left="4320" w:hanging="180"/>
      </w:pPr>
    </w:lvl>
    <w:lvl w:ilvl="6" w:tplc="C7466AE0" w:tentative="1">
      <w:start w:val="1"/>
      <w:numFmt w:val="decimal"/>
      <w:lvlText w:val="%7."/>
      <w:lvlJc w:val="left"/>
      <w:pPr>
        <w:ind w:left="5040" w:hanging="360"/>
      </w:pPr>
    </w:lvl>
    <w:lvl w:ilvl="7" w:tplc="6F4ADC22" w:tentative="1">
      <w:start w:val="1"/>
      <w:numFmt w:val="lowerLetter"/>
      <w:lvlText w:val="%8."/>
      <w:lvlJc w:val="left"/>
      <w:pPr>
        <w:ind w:left="5760" w:hanging="360"/>
      </w:pPr>
    </w:lvl>
    <w:lvl w:ilvl="8" w:tplc="BC48A2E4" w:tentative="1">
      <w:start w:val="1"/>
      <w:numFmt w:val="lowerRoman"/>
      <w:lvlText w:val="%9."/>
      <w:lvlJc w:val="right"/>
      <w:pPr>
        <w:ind w:left="6480" w:hanging="180"/>
      </w:pPr>
    </w:lvl>
  </w:abstractNum>
  <w:abstractNum w:abstractNumId="101" w15:restartNumberingAfterBreak="0">
    <w:nsid w:val="65C0517A"/>
    <w:multiLevelType w:val="hybridMultilevel"/>
    <w:tmpl w:val="DFE01904"/>
    <w:lvl w:ilvl="0" w:tplc="ADFE6488">
      <w:start w:val="1"/>
      <w:numFmt w:val="bullet"/>
      <w:lvlText w:val=""/>
      <w:lvlJc w:val="left"/>
      <w:pPr>
        <w:ind w:left="720" w:hanging="360"/>
      </w:pPr>
      <w:rPr>
        <w:rFonts w:ascii="Symbol" w:hAnsi="Symbol" w:hint="default"/>
        <w:b w:val="0"/>
        <w:color w:val="57825E"/>
        <w:sz w:val="18"/>
      </w:rPr>
    </w:lvl>
    <w:lvl w:ilvl="1" w:tplc="3F3A27B0" w:tentative="1">
      <w:start w:val="1"/>
      <w:numFmt w:val="bullet"/>
      <w:lvlText w:val="o"/>
      <w:lvlJc w:val="left"/>
      <w:pPr>
        <w:ind w:left="1440" w:hanging="360"/>
      </w:pPr>
      <w:rPr>
        <w:rFonts w:ascii="Courier New" w:hAnsi="Courier New" w:cs="Courier New" w:hint="default"/>
      </w:rPr>
    </w:lvl>
    <w:lvl w:ilvl="2" w:tplc="DD4A0DEC" w:tentative="1">
      <w:start w:val="1"/>
      <w:numFmt w:val="bullet"/>
      <w:lvlText w:val=""/>
      <w:lvlJc w:val="left"/>
      <w:pPr>
        <w:ind w:left="2160" w:hanging="360"/>
      </w:pPr>
      <w:rPr>
        <w:rFonts w:ascii="Wingdings" w:hAnsi="Wingdings" w:hint="default"/>
      </w:rPr>
    </w:lvl>
    <w:lvl w:ilvl="3" w:tplc="53CC13C2" w:tentative="1">
      <w:start w:val="1"/>
      <w:numFmt w:val="bullet"/>
      <w:lvlText w:val=""/>
      <w:lvlJc w:val="left"/>
      <w:pPr>
        <w:ind w:left="2880" w:hanging="360"/>
      </w:pPr>
      <w:rPr>
        <w:rFonts w:ascii="Symbol" w:hAnsi="Symbol" w:hint="default"/>
      </w:rPr>
    </w:lvl>
    <w:lvl w:ilvl="4" w:tplc="76D446BC" w:tentative="1">
      <w:start w:val="1"/>
      <w:numFmt w:val="bullet"/>
      <w:lvlText w:val="o"/>
      <w:lvlJc w:val="left"/>
      <w:pPr>
        <w:ind w:left="3600" w:hanging="360"/>
      </w:pPr>
      <w:rPr>
        <w:rFonts w:ascii="Courier New" w:hAnsi="Courier New" w:cs="Courier New" w:hint="default"/>
      </w:rPr>
    </w:lvl>
    <w:lvl w:ilvl="5" w:tplc="0F487D74" w:tentative="1">
      <w:start w:val="1"/>
      <w:numFmt w:val="bullet"/>
      <w:lvlText w:val=""/>
      <w:lvlJc w:val="left"/>
      <w:pPr>
        <w:ind w:left="4320" w:hanging="360"/>
      </w:pPr>
      <w:rPr>
        <w:rFonts w:ascii="Wingdings" w:hAnsi="Wingdings" w:hint="default"/>
      </w:rPr>
    </w:lvl>
    <w:lvl w:ilvl="6" w:tplc="6896C478" w:tentative="1">
      <w:start w:val="1"/>
      <w:numFmt w:val="bullet"/>
      <w:lvlText w:val=""/>
      <w:lvlJc w:val="left"/>
      <w:pPr>
        <w:ind w:left="5040" w:hanging="360"/>
      </w:pPr>
      <w:rPr>
        <w:rFonts w:ascii="Symbol" w:hAnsi="Symbol" w:hint="default"/>
      </w:rPr>
    </w:lvl>
    <w:lvl w:ilvl="7" w:tplc="E7543A6E" w:tentative="1">
      <w:start w:val="1"/>
      <w:numFmt w:val="bullet"/>
      <w:lvlText w:val="o"/>
      <w:lvlJc w:val="left"/>
      <w:pPr>
        <w:ind w:left="5760" w:hanging="360"/>
      </w:pPr>
      <w:rPr>
        <w:rFonts w:ascii="Courier New" w:hAnsi="Courier New" w:cs="Courier New" w:hint="default"/>
      </w:rPr>
    </w:lvl>
    <w:lvl w:ilvl="8" w:tplc="D5B07F4E" w:tentative="1">
      <w:start w:val="1"/>
      <w:numFmt w:val="bullet"/>
      <w:lvlText w:val=""/>
      <w:lvlJc w:val="left"/>
      <w:pPr>
        <w:ind w:left="6480" w:hanging="360"/>
      </w:pPr>
      <w:rPr>
        <w:rFonts w:ascii="Wingdings" w:hAnsi="Wingdings" w:hint="default"/>
      </w:rPr>
    </w:lvl>
  </w:abstractNum>
  <w:abstractNum w:abstractNumId="102" w15:restartNumberingAfterBreak="0">
    <w:nsid w:val="65E42A7E"/>
    <w:multiLevelType w:val="hybridMultilevel"/>
    <w:tmpl w:val="9E92BDA6"/>
    <w:lvl w:ilvl="0" w:tplc="F300D2F6">
      <w:start w:val="1"/>
      <w:numFmt w:val="bullet"/>
      <w:lvlText w:val=""/>
      <w:lvlJc w:val="left"/>
      <w:pPr>
        <w:ind w:left="720" w:hanging="360"/>
      </w:pPr>
      <w:rPr>
        <w:rFonts w:ascii="Symbol" w:hAnsi="Symbol" w:hint="default"/>
        <w:color w:val="57825E"/>
        <w:sz w:val="18"/>
      </w:rPr>
    </w:lvl>
    <w:lvl w:ilvl="1" w:tplc="BC8A8944" w:tentative="1">
      <w:start w:val="1"/>
      <w:numFmt w:val="bullet"/>
      <w:lvlText w:val="o"/>
      <w:lvlJc w:val="left"/>
      <w:pPr>
        <w:ind w:left="1440" w:hanging="360"/>
      </w:pPr>
      <w:rPr>
        <w:rFonts w:ascii="Courier New" w:hAnsi="Courier New" w:cs="Courier New" w:hint="default"/>
      </w:rPr>
    </w:lvl>
    <w:lvl w:ilvl="2" w:tplc="9CCEFAB6" w:tentative="1">
      <w:start w:val="1"/>
      <w:numFmt w:val="bullet"/>
      <w:lvlText w:val=""/>
      <w:lvlJc w:val="left"/>
      <w:pPr>
        <w:ind w:left="2160" w:hanging="360"/>
      </w:pPr>
      <w:rPr>
        <w:rFonts w:ascii="Wingdings" w:hAnsi="Wingdings" w:hint="default"/>
      </w:rPr>
    </w:lvl>
    <w:lvl w:ilvl="3" w:tplc="D5C22C42" w:tentative="1">
      <w:start w:val="1"/>
      <w:numFmt w:val="bullet"/>
      <w:lvlText w:val=""/>
      <w:lvlJc w:val="left"/>
      <w:pPr>
        <w:ind w:left="2880" w:hanging="360"/>
      </w:pPr>
      <w:rPr>
        <w:rFonts w:ascii="Symbol" w:hAnsi="Symbol" w:hint="default"/>
      </w:rPr>
    </w:lvl>
    <w:lvl w:ilvl="4" w:tplc="3348BF72" w:tentative="1">
      <w:start w:val="1"/>
      <w:numFmt w:val="bullet"/>
      <w:lvlText w:val="o"/>
      <w:lvlJc w:val="left"/>
      <w:pPr>
        <w:ind w:left="3600" w:hanging="360"/>
      </w:pPr>
      <w:rPr>
        <w:rFonts w:ascii="Courier New" w:hAnsi="Courier New" w:cs="Courier New" w:hint="default"/>
      </w:rPr>
    </w:lvl>
    <w:lvl w:ilvl="5" w:tplc="279A80FC" w:tentative="1">
      <w:start w:val="1"/>
      <w:numFmt w:val="bullet"/>
      <w:lvlText w:val=""/>
      <w:lvlJc w:val="left"/>
      <w:pPr>
        <w:ind w:left="4320" w:hanging="360"/>
      </w:pPr>
      <w:rPr>
        <w:rFonts w:ascii="Wingdings" w:hAnsi="Wingdings" w:hint="default"/>
      </w:rPr>
    </w:lvl>
    <w:lvl w:ilvl="6" w:tplc="BE24F792" w:tentative="1">
      <w:start w:val="1"/>
      <w:numFmt w:val="bullet"/>
      <w:lvlText w:val=""/>
      <w:lvlJc w:val="left"/>
      <w:pPr>
        <w:ind w:left="5040" w:hanging="360"/>
      </w:pPr>
      <w:rPr>
        <w:rFonts w:ascii="Symbol" w:hAnsi="Symbol" w:hint="default"/>
      </w:rPr>
    </w:lvl>
    <w:lvl w:ilvl="7" w:tplc="3B208944" w:tentative="1">
      <w:start w:val="1"/>
      <w:numFmt w:val="bullet"/>
      <w:lvlText w:val="o"/>
      <w:lvlJc w:val="left"/>
      <w:pPr>
        <w:ind w:left="5760" w:hanging="360"/>
      </w:pPr>
      <w:rPr>
        <w:rFonts w:ascii="Courier New" w:hAnsi="Courier New" w:cs="Courier New" w:hint="default"/>
      </w:rPr>
    </w:lvl>
    <w:lvl w:ilvl="8" w:tplc="9622FBFC" w:tentative="1">
      <w:start w:val="1"/>
      <w:numFmt w:val="bullet"/>
      <w:lvlText w:val=""/>
      <w:lvlJc w:val="left"/>
      <w:pPr>
        <w:ind w:left="6480" w:hanging="360"/>
      </w:pPr>
      <w:rPr>
        <w:rFonts w:ascii="Wingdings" w:hAnsi="Wingdings" w:hint="default"/>
      </w:rPr>
    </w:lvl>
  </w:abstractNum>
  <w:abstractNum w:abstractNumId="103" w15:restartNumberingAfterBreak="0">
    <w:nsid w:val="65E71B08"/>
    <w:multiLevelType w:val="hybridMultilevel"/>
    <w:tmpl w:val="500EB49C"/>
    <w:lvl w:ilvl="0" w:tplc="EBD86A8A">
      <w:start w:val="1"/>
      <w:numFmt w:val="bullet"/>
      <w:lvlText w:val=""/>
      <w:lvlJc w:val="left"/>
      <w:pPr>
        <w:ind w:left="720" w:hanging="360"/>
      </w:pPr>
      <w:rPr>
        <w:rFonts w:ascii="Symbol" w:hAnsi="Symbol" w:hint="default"/>
        <w:color w:val="57825E"/>
      </w:rPr>
    </w:lvl>
    <w:lvl w:ilvl="1" w:tplc="CCF45D28" w:tentative="1">
      <w:start w:val="1"/>
      <w:numFmt w:val="bullet"/>
      <w:lvlText w:val="o"/>
      <w:lvlJc w:val="left"/>
      <w:pPr>
        <w:ind w:left="1440" w:hanging="360"/>
      </w:pPr>
      <w:rPr>
        <w:rFonts w:ascii="Courier New" w:hAnsi="Courier New" w:cs="Courier New" w:hint="default"/>
      </w:rPr>
    </w:lvl>
    <w:lvl w:ilvl="2" w:tplc="35125936" w:tentative="1">
      <w:start w:val="1"/>
      <w:numFmt w:val="bullet"/>
      <w:lvlText w:val=""/>
      <w:lvlJc w:val="left"/>
      <w:pPr>
        <w:ind w:left="2160" w:hanging="360"/>
      </w:pPr>
      <w:rPr>
        <w:rFonts w:ascii="Wingdings" w:hAnsi="Wingdings" w:hint="default"/>
      </w:rPr>
    </w:lvl>
    <w:lvl w:ilvl="3" w:tplc="E6387F6E" w:tentative="1">
      <w:start w:val="1"/>
      <w:numFmt w:val="bullet"/>
      <w:lvlText w:val=""/>
      <w:lvlJc w:val="left"/>
      <w:pPr>
        <w:ind w:left="2880" w:hanging="360"/>
      </w:pPr>
      <w:rPr>
        <w:rFonts w:ascii="Symbol" w:hAnsi="Symbol" w:hint="default"/>
      </w:rPr>
    </w:lvl>
    <w:lvl w:ilvl="4" w:tplc="12F0D336" w:tentative="1">
      <w:start w:val="1"/>
      <w:numFmt w:val="bullet"/>
      <w:lvlText w:val="o"/>
      <w:lvlJc w:val="left"/>
      <w:pPr>
        <w:ind w:left="3600" w:hanging="360"/>
      </w:pPr>
      <w:rPr>
        <w:rFonts w:ascii="Courier New" w:hAnsi="Courier New" w:cs="Courier New" w:hint="default"/>
      </w:rPr>
    </w:lvl>
    <w:lvl w:ilvl="5" w:tplc="6F98B178" w:tentative="1">
      <w:start w:val="1"/>
      <w:numFmt w:val="bullet"/>
      <w:lvlText w:val=""/>
      <w:lvlJc w:val="left"/>
      <w:pPr>
        <w:ind w:left="4320" w:hanging="360"/>
      </w:pPr>
      <w:rPr>
        <w:rFonts w:ascii="Wingdings" w:hAnsi="Wingdings" w:hint="default"/>
      </w:rPr>
    </w:lvl>
    <w:lvl w:ilvl="6" w:tplc="DC8466C0" w:tentative="1">
      <w:start w:val="1"/>
      <w:numFmt w:val="bullet"/>
      <w:lvlText w:val=""/>
      <w:lvlJc w:val="left"/>
      <w:pPr>
        <w:ind w:left="5040" w:hanging="360"/>
      </w:pPr>
      <w:rPr>
        <w:rFonts w:ascii="Symbol" w:hAnsi="Symbol" w:hint="default"/>
      </w:rPr>
    </w:lvl>
    <w:lvl w:ilvl="7" w:tplc="6FE080AA" w:tentative="1">
      <w:start w:val="1"/>
      <w:numFmt w:val="bullet"/>
      <w:lvlText w:val="o"/>
      <w:lvlJc w:val="left"/>
      <w:pPr>
        <w:ind w:left="5760" w:hanging="360"/>
      </w:pPr>
      <w:rPr>
        <w:rFonts w:ascii="Courier New" w:hAnsi="Courier New" w:cs="Courier New" w:hint="default"/>
      </w:rPr>
    </w:lvl>
    <w:lvl w:ilvl="8" w:tplc="7FBCCC24" w:tentative="1">
      <w:start w:val="1"/>
      <w:numFmt w:val="bullet"/>
      <w:lvlText w:val=""/>
      <w:lvlJc w:val="left"/>
      <w:pPr>
        <w:ind w:left="6480" w:hanging="360"/>
      </w:pPr>
      <w:rPr>
        <w:rFonts w:ascii="Wingdings" w:hAnsi="Wingdings" w:hint="default"/>
      </w:rPr>
    </w:lvl>
  </w:abstractNum>
  <w:abstractNum w:abstractNumId="104" w15:restartNumberingAfterBreak="0">
    <w:nsid w:val="685A06D6"/>
    <w:multiLevelType w:val="hybridMultilevel"/>
    <w:tmpl w:val="74C2C470"/>
    <w:lvl w:ilvl="0" w:tplc="80221024">
      <w:start w:val="1"/>
      <w:numFmt w:val="decimal"/>
      <w:lvlText w:val="3.1.%1."/>
      <w:lvlJc w:val="left"/>
      <w:pPr>
        <w:ind w:left="-351" w:hanging="360"/>
      </w:pPr>
      <w:rPr>
        <w:rFonts w:hint="default"/>
      </w:rPr>
    </w:lvl>
    <w:lvl w:ilvl="1" w:tplc="A840443C" w:tentative="1">
      <w:start w:val="1"/>
      <w:numFmt w:val="lowerLetter"/>
      <w:lvlText w:val="%2."/>
      <w:lvlJc w:val="left"/>
      <w:pPr>
        <w:ind w:left="369" w:hanging="360"/>
      </w:pPr>
    </w:lvl>
    <w:lvl w:ilvl="2" w:tplc="0F42CA84" w:tentative="1">
      <w:start w:val="1"/>
      <w:numFmt w:val="lowerRoman"/>
      <w:lvlText w:val="%3."/>
      <w:lvlJc w:val="right"/>
      <w:pPr>
        <w:ind w:left="1089" w:hanging="180"/>
      </w:pPr>
    </w:lvl>
    <w:lvl w:ilvl="3" w:tplc="A65A34E8" w:tentative="1">
      <w:start w:val="1"/>
      <w:numFmt w:val="decimal"/>
      <w:lvlText w:val="%4."/>
      <w:lvlJc w:val="left"/>
      <w:pPr>
        <w:ind w:left="1809" w:hanging="360"/>
      </w:pPr>
    </w:lvl>
    <w:lvl w:ilvl="4" w:tplc="2618AEEA" w:tentative="1">
      <w:start w:val="1"/>
      <w:numFmt w:val="lowerLetter"/>
      <w:lvlText w:val="%5."/>
      <w:lvlJc w:val="left"/>
      <w:pPr>
        <w:ind w:left="2529" w:hanging="360"/>
      </w:pPr>
    </w:lvl>
    <w:lvl w:ilvl="5" w:tplc="CD40CEE2" w:tentative="1">
      <w:start w:val="1"/>
      <w:numFmt w:val="lowerRoman"/>
      <w:lvlText w:val="%6."/>
      <w:lvlJc w:val="right"/>
      <w:pPr>
        <w:ind w:left="3249" w:hanging="180"/>
      </w:pPr>
    </w:lvl>
    <w:lvl w:ilvl="6" w:tplc="72DE3E74" w:tentative="1">
      <w:start w:val="1"/>
      <w:numFmt w:val="decimal"/>
      <w:lvlText w:val="%7."/>
      <w:lvlJc w:val="left"/>
      <w:pPr>
        <w:ind w:left="3969" w:hanging="360"/>
      </w:pPr>
    </w:lvl>
    <w:lvl w:ilvl="7" w:tplc="6BA29E96" w:tentative="1">
      <w:start w:val="1"/>
      <w:numFmt w:val="lowerLetter"/>
      <w:lvlText w:val="%8."/>
      <w:lvlJc w:val="left"/>
      <w:pPr>
        <w:ind w:left="4689" w:hanging="360"/>
      </w:pPr>
    </w:lvl>
    <w:lvl w:ilvl="8" w:tplc="8252F74A" w:tentative="1">
      <w:start w:val="1"/>
      <w:numFmt w:val="lowerRoman"/>
      <w:lvlText w:val="%9."/>
      <w:lvlJc w:val="right"/>
      <w:pPr>
        <w:ind w:left="5409" w:hanging="180"/>
      </w:pPr>
    </w:lvl>
  </w:abstractNum>
  <w:abstractNum w:abstractNumId="105" w15:restartNumberingAfterBreak="0">
    <w:nsid w:val="69081875"/>
    <w:multiLevelType w:val="hybridMultilevel"/>
    <w:tmpl w:val="C7D0241C"/>
    <w:lvl w:ilvl="0" w:tplc="28A21318">
      <w:start w:val="1"/>
      <w:numFmt w:val="decimal"/>
      <w:pStyle w:val="H-Table"/>
      <w:lvlText w:val="Table %1."/>
      <w:lvlJc w:val="left"/>
      <w:pPr>
        <w:ind w:left="720" w:hanging="360"/>
      </w:pPr>
      <w:rPr>
        <w:rFonts w:hint="default"/>
      </w:rPr>
    </w:lvl>
    <w:lvl w:ilvl="1" w:tplc="DE8C41FC" w:tentative="1">
      <w:start w:val="1"/>
      <w:numFmt w:val="lowerLetter"/>
      <w:lvlText w:val="%2."/>
      <w:lvlJc w:val="left"/>
      <w:pPr>
        <w:ind w:left="1440" w:hanging="360"/>
      </w:pPr>
    </w:lvl>
    <w:lvl w:ilvl="2" w:tplc="E0CEC456" w:tentative="1">
      <w:start w:val="1"/>
      <w:numFmt w:val="lowerRoman"/>
      <w:lvlText w:val="%3."/>
      <w:lvlJc w:val="right"/>
      <w:pPr>
        <w:ind w:left="2160" w:hanging="180"/>
      </w:pPr>
    </w:lvl>
    <w:lvl w:ilvl="3" w:tplc="CE285B34" w:tentative="1">
      <w:start w:val="1"/>
      <w:numFmt w:val="decimal"/>
      <w:lvlText w:val="%4."/>
      <w:lvlJc w:val="left"/>
      <w:pPr>
        <w:ind w:left="2880" w:hanging="360"/>
      </w:pPr>
    </w:lvl>
    <w:lvl w:ilvl="4" w:tplc="63948E18" w:tentative="1">
      <w:start w:val="1"/>
      <w:numFmt w:val="lowerLetter"/>
      <w:lvlText w:val="%5."/>
      <w:lvlJc w:val="left"/>
      <w:pPr>
        <w:ind w:left="3600" w:hanging="360"/>
      </w:pPr>
    </w:lvl>
    <w:lvl w:ilvl="5" w:tplc="C7848F58" w:tentative="1">
      <w:start w:val="1"/>
      <w:numFmt w:val="lowerRoman"/>
      <w:lvlText w:val="%6."/>
      <w:lvlJc w:val="right"/>
      <w:pPr>
        <w:ind w:left="4320" w:hanging="180"/>
      </w:pPr>
    </w:lvl>
    <w:lvl w:ilvl="6" w:tplc="CEA8777C" w:tentative="1">
      <w:start w:val="1"/>
      <w:numFmt w:val="decimal"/>
      <w:lvlText w:val="%7."/>
      <w:lvlJc w:val="left"/>
      <w:pPr>
        <w:ind w:left="5040" w:hanging="360"/>
      </w:pPr>
    </w:lvl>
    <w:lvl w:ilvl="7" w:tplc="533814B8" w:tentative="1">
      <w:start w:val="1"/>
      <w:numFmt w:val="lowerLetter"/>
      <w:lvlText w:val="%8."/>
      <w:lvlJc w:val="left"/>
      <w:pPr>
        <w:ind w:left="5760" w:hanging="360"/>
      </w:pPr>
    </w:lvl>
    <w:lvl w:ilvl="8" w:tplc="23A274A6" w:tentative="1">
      <w:start w:val="1"/>
      <w:numFmt w:val="lowerRoman"/>
      <w:lvlText w:val="%9."/>
      <w:lvlJc w:val="right"/>
      <w:pPr>
        <w:ind w:left="6480" w:hanging="180"/>
      </w:pPr>
    </w:lvl>
  </w:abstractNum>
  <w:abstractNum w:abstractNumId="106" w15:restartNumberingAfterBreak="0">
    <w:nsid w:val="6A8414DE"/>
    <w:multiLevelType w:val="hybridMultilevel"/>
    <w:tmpl w:val="42EA82F8"/>
    <w:lvl w:ilvl="0" w:tplc="094AA456">
      <w:start w:val="1"/>
      <w:numFmt w:val="bullet"/>
      <w:lvlText w:val=""/>
      <w:lvlJc w:val="left"/>
      <w:pPr>
        <w:ind w:left="720" w:hanging="360"/>
      </w:pPr>
      <w:rPr>
        <w:rFonts w:ascii="Symbol" w:hAnsi="Symbol" w:hint="default"/>
        <w:color w:val="57825E"/>
      </w:rPr>
    </w:lvl>
    <w:lvl w:ilvl="1" w:tplc="2910C17C">
      <w:start w:val="1"/>
      <w:numFmt w:val="bullet"/>
      <w:lvlText w:val="o"/>
      <w:lvlJc w:val="left"/>
      <w:pPr>
        <w:ind w:left="1440" w:hanging="360"/>
      </w:pPr>
      <w:rPr>
        <w:rFonts w:ascii="Courier New" w:hAnsi="Courier New" w:cs="Courier New" w:hint="default"/>
        <w:color w:val="F07E31"/>
      </w:rPr>
    </w:lvl>
    <w:lvl w:ilvl="2" w:tplc="25663D8A" w:tentative="1">
      <w:start w:val="1"/>
      <w:numFmt w:val="bullet"/>
      <w:lvlText w:val=""/>
      <w:lvlJc w:val="left"/>
      <w:pPr>
        <w:ind w:left="2160" w:hanging="360"/>
      </w:pPr>
      <w:rPr>
        <w:rFonts w:ascii="Wingdings" w:hAnsi="Wingdings" w:hint="default"/>
      </w:rPr>
    </w:lvl>
    <w:lvl w:ilvl="3" w:tplc="25B0503C" w:tentative="1">
      <w:start w:val="1"/>
      <w:numFmt w:val="bullet"/>
      <w:lvlText w:val=""/>
      <w:lvlJc w:val="left"/>
      <w:pPr>
        <w:ind w:left="2880" w:hanging="360"/>
      </w:pPr>
      <w:rPr>
        <w:rFonts w:ascii="Symbol" w:hAnsi="Symbol" w:hint="default"/>
      </w:rPr>
    </w:lvl>
    <w:lvl w:ilvl="4" w:tplc="71FEBAFE" w:tentative="1">
      <w:start w:val="1"/>
      <w:numFmt w:val="bullet"/>
      <w:lvlText w:val="o"/>
      <w:lvlJc w:val="left"/>
      <w:pPr>
        <w:ind w:left="3600" w:hanging="360"/>
      </w:pPr>
      <w:rPr>
        <w:rFonts w:ascii="Courier New" w:hAnsi="Courier New" w:cs="Courier New" w:hint="default"/>
      </w:rPr>
    </w:lvl>
    <w:lvl w:ilvl="5" w:tplc="57AE4410" w:tentative="1">
      <w:start w:val="1"/>
      <w:numFmt w:val="bullet"/>
      <w:lvlText w:val=""/>
      <w:lvlJc w:val="left"/>
      <w:pPr>
        <w:ind w:left="4320" w:hanging="360"/>
      </w:pPr>
      <w:rPr>
        <w:rFonts w:ascii="Wingdings" w:hAnsi="Wingdings" w:hint="default"/>
      </w:rPr>
    </w:lvl>
    <w:lvl w:ilvl="6" w:tplc="92487934" w:tentative="1">
      <w:start w:val="1"/>
      <w:numFmt w:val="bullet"/>
      <w:lvlText w:val=""/>
      <w:lvlJc w:val="left"/>
      <w:pPr>
        <w:ind w:left="5040" w:hanging="360"/>
      </w:pPr>
      <w:rPr>
        <w:rFonts w:ascii="Symbol" w:hAnsi="Symbol" w:hint="default"/>
      </w:rPr>
    </w:lvl>
    <w:lvl w:ilvl="7" w:tplc="4588E8DE" w:tentative="1">
      <w:start w:val="1"/>
      <w:numFmt w:val="bullet"/>
      <w:lvlText w:val="o"/>
      <w:lvlJc w:val="left"/>
      <w:pPr>
        <w:ind w:left="5760" w:hanging="360"/>
      </w:pPr>
      <w:rPr>
        <w:rFonts w:ascii="Courier New" w:hAnsi="Courier New" w:cs="Courier New" w:hint="default"/>
      </w:rPr>
    </w:lvl>
    <w:lvl w:ilvl="8" w:tplc="4D5AC838" w:tentative="1">
      <w:start w:val="1"/>
      <w:numFmt w:val="bullet"/>
      <w:lvlText w:val=""/>
      <w:lvlJc w:val="left"/>
      <w:pPr>
        <w:ind w:left="6480" w:hanging="360"/>
      </w:pPr>
      <w:rPr>
        <w:rFonts w:ascii="Wingdings" w:hAnsi="Wingdings" w:hint="default"/>
      </w:rPr>
    </w:lvl>
  </w:abstractNum>
  <w:abstractNum w:abstractNumId="107" w15:restartNumberingAfterBreak="0">
    <w:nsid w:val="6AF80D1A"/>
    <w:multiLevelType w:val="hybridMultilevel"/>
    <w:tmpl w:val="C3063384"/>
    <w:lvl w:ilvl="0" w:tplc="5D4ED1B8">
      <w:start w:val="1"/>
      <w:numFmt w:val="lowerLetter"/>
      <w:lvlText w:val="%1."/>
      <w:lvlJc w:val="left"/>
      <w:pPr>
        <w:ind w:left="720" w:hanging="360"/>
      </w:pPr>
    </w:lvl>
    <w:lvl w:ilvl="1" w:tplc="FC98DE2C" w:tentative="1">
      <w:start w:val="1"/>
      <w:numFmt w:val="lowerLetter"/>
      <w:lvlText w:val="%2."/>
      <w:lvlJc w:val="left"/>
      <w:pPr>
        <w:ind w:left="1440" w:hanging="360"/>
      </w:pPr>
    </w:lvl>
    <w:lvl w:ilvl="2" w:tplc="B9628F3C" w:tentative="1">
      <w:start w:val="1"/>
      <w:numFmt w:val="lowerRoman"/>
      <w:lvlText w:val="%3."/>
      <w:lvlJc w:val="right"/>
      <w:pPr>
        <w:ind w:left="2160" w:hanging="180"/>
      </w:pPr>
    </w:lvl>
    <w:lvl w:ilvl="3" w:tplc="9350D200" w:tentative="1">
      <w:start w:val="1"/>
      <w:numFmt w:val="decimal"/>
      <w:lvlText w:val="%4."/>
      <w:lvlJc w:val="left"/>
      <w:pPr>
        <w:ind w:left="2880" w:hanging="360"/>
      </w:pPr>
    </w:lvl>
    <w:lvl w:ilvl="4" w:tplc="C0E6F158" w:tentative="1">
      <w:start w:val="1"/>
      <w:numFmt w:val="lowerLetter"/>
      <w:lvlText w:val="%5."/>
      <w:lvlJc w:val="left"/>
      <w:pPr>
        <w:ind w:left="3600" w:hanging="360"/>
      </w:pPr>
    </w:lvl>
    <w:lvl w:ilvl="5" w:tplc="49046BC0" w:tentative="1">
      <w:start w:val="1"/>
      <w:numFmt w:val="lowerRoman"/>
      <w:lvlText w:val="%6."/>
      <w:lvlJc w:val="right"/>
      <w:pPr>
        <w:ind w:left="4320" w:hanging="180"/>
      </w:pPr>
    </w:lvl>
    <w:lvl w:ilvl="6" w:tplc="2ACC4A36" w:tentative="1">
      <w:start w:val="1"/>
      <w:numFmt w:val="decimal"/>
      <w:lvlText w:val="%7."/>
      <w:lvlJc w:val="left"/>
      <w:pPr>
        <w:ind w:left="5040" w:hanging="360"/>
      </w:pPr>
    </w:lvl>
    <w:lvl w:ilvl="7" w:tplc="8ADA733A" w:tentative="1">
      <w:start w:val="1"/>
      <w:numFmt w:val="lowerLetter"/>
      <w:lvlText w:val="%8."/>
      <w:lvlJc w:val="left"/>
      <w:pPr>
        <w:ind w:left="5760" w:hanging="360"/>
      </w:pPr>
    </w:lvl>
    <w:lvl w:ilvl="8" w:tplc="0CE27B82" w:tentative="1">
      <w:start w:val="1"/>
      <w:numFmt w:val="lowerRoman"/>
      <w:lvlText w:val="%9."/>
      <w:lvlJc w:val="right"/>
      <w:pPr>
        <w:ind w:left="6480" w:hanging="180"/>
      </w:pPr>
    </w:lvl>
  </w:abstractNum>
  <w:abstractNum w:abstractNumId="108" w15:restartNumberingAfterBreak="0">
    <w:nsid w:val="6B8649F6"/>
    <w:multiLevelType w:val="hybridMultilevel"/>
    <w:tmpl w:val="3DA2C9EA"/>
    <w:lvl w:ilvl="0" w:tplc="6BC03CE2">
      <w:start w:val="1"/>
      <w:numFmt w:val="bullet"/>
      <w:lvlText w:val=""/>
      <w:lvlJc w:val="left"/>
      <w:pPr>
        <w:ind w:left="720" w:hanging="360"/>
      </w:pPr>
      <w:rPr>
        <w:rFonts w:ascii="Symbol" w:hAnsi="Symbol" w:hint="default"/>
        <w:color w:val="57825E"/>
      </w:rPr>
    </w:lvl>
    <w:lvl w:ilvl="1" w:tplc="074400C2" w:tentative="1">
      <w:start w:val="1"/>
      <w:numFmt w:val="bullet"/>
      <w:lvlText w:val="o"/>
      <w:lvlJc w:val="left"/>
      <w:pPr>
        <w:ind w:left="1440" w:hanging="360"/>
      </w:pPr>
      <w:rPr>
        <w:rFonts w:ascii="Courier New" w:hAnsi="Courier New" w:cs="Courier New" w:hint="default"/>
      </w:rPr>
    </w:lvl>
    <w:lvl w:ilvl="2" w:tplc="55FE6160" w:tentative="1">
      <w:start w:val="1"/>
      <w:numFmt w:val="bullet"/>
      <w:lvlText w:val=""/>
      <w:lvlJc w:val="left"/>
      <w:pPr>
        <w:ind w:left="2160" w:hanging="360"/>
      </w:pPr>
      <w:rPr>
        <w:rFonts w:ascii="Wingdings" w:hAnsi="Wingdings" w:hint="default"/>
      </w:rPr>
    </w:lvl>
    <w:lvl w:ilvl="3" w:tplc="F496E982" w:tentative="1">
      <w:start w:val="1"/>
      <w:numFmt w:val="bullet"/>
      <w:lvlText w:val=""/>
      <w:lvlJc w:val="left"/>
      <w:pPr>
        <w:ind w:left="2880" w:hanging="360"/>
      </w:pPr>
      <w:rPr>
        <w:rFonts w:ascii="Symbol" w:hAnsi="Symbol" w:hint="default"/>
      </w:rPr>
    </w:lvl>
    <w:lvl w:ilvl="4" w:tplc="B17C5A90" w:tentative="1">
      <w:start w:val="1"/>
      <w:numFmt w:val="bullet"/>
      <w:lvlText w:val="o"/>
      <w:lvlJc w:val="left"/>
      <w:pPr>
        <w:ind w:left="3600" w:hanging="360"/>
      </w:pPr>
      <w:rPr>
        <w:rFonts w:ascii="Courier New" w:hAnsi="Courier New" w:cs="Courier New" w:hint="default"/>
      </w:rPr>
    </w:lvl>
    <w:lvl w:ilvl="5" w:tplc="D8E8D9A2" w:tentative="1">
      <w:start w:val="1"/>
      <w:numFmt w:val="bullet"/>
      <w:lvlText w:val=""/>
      <w:lvlJc w:val="left"/>
      <w:pPr>
        <w:ind w:left="4320" w:hanging="360"/>
      </w:pPr>
      <w:rPr>
        <w:rFonts w:ascii="Wingdings" w:hAnsi="Wingdings" w:hint="default"/>
      </w:rPr>
    </w:lvl>
    <w:lvl w:ilvl="6" w:tplc="BA06E930" w:tentative="1">
      <w:start w:val="1"/>
      <w:numFmt w:val="bullet"/>
      <w:lvlText w:val=""/>
      <w:lvlJc w:val="left"/>
      <w:pPr>
        <w:ind w:left="5040" w:hanging="360"/>
      </w:pPr>
      <w:rPr>
        <w:rFonts w:ascii="Symbol" w:hAnsi="Symbol" w:hint="default"/>
      </w:rPr>
    </w:lvl>
    <w:lvl w:ilvl="7" w:tplc="5D6C7E02" w:tentative="1">
      <w:start w:val="1"/>
      <w:numFmt w:val="bullet"/>
      <w:lvlText w:val="o"/>
      <w:lvlJc w:val="left"/>
      <w:pPr>
        <w:ind w:left="5760" w:hanging="360"/>
      </w:pPr>
      <w:rPr>
        <w:rFonts w:ascii="Courier New" w:hAnsi="Courier New" w:cs="Courier New" w:hint="default"/>
      </w:rPr>
    </w:lvl>
    <w:lvl w:ilvl="8" w:tplc="B94AEC0E" w:tentative="1">
      <w:start w:val="1"/>
      <w:numFmt w:val="bullet"/>
      <w:lvlText w:val=""/>
      <w:lvlJc w:val="left"/>
      <w:pPr>
        <w:ind w:left="6480" w:hanging="360"/>
      </w:pPr>
      <w:rPr>
        <w:rFonts w:ascii="Wingdings" w:hAnsi="Wingdings" w:hint="default"/>
      </w:rPr>
    </w:lvl>
  </w:abstractNum>
  <w:abstractNum w:abstractNumId="109" w15:restartNumberingAfterBreak="0">
    <w:nsid w:val="6EB7292D"/>
    <w:multiLevelType w:val="hybridMultilevel"/>
    <w:tmpl w:val="40EAC38C"/>
    <w:lvl w:ilvl="0" w:tplc="F216FA74">
      <w:start w:val="1"/>
      <w:numFmt w:val="bullet"/>
      <w:lvlText w:val=""/>
      <w:lvlJc w:val="left"/>
      <w:pPr>
        <w:ind w:left="720" w:hanging="360"/>
      </w:pPr>
      <w:rPr>
        <w:rFonts w:ascii="Symbol" w:hAnsi="Symbol" w:hint="default"/>
        <w:color w:val="57825E"/>
        <w:sz w:val="18"/>
      </w:rPr>
    </w:lvl>
    <w:lvl w:ilvl="1" w:tplc="DAFED780" w:tentative="1">
      <w:start w:val="1"/>
      <w:numFmt w:val="bullet"/>
      <w:lvlText w:val="o"/>
      <w:lvlJc w:val="left"/>
      <w:pPr>
        <w:ind w:left="1440" w:hanging="360"/>
      </w:pPr>
      <w:rPr>
        <w:rFonts w:ascii="Courier New" w:hAnsi="Courier New" w:cs="Courier New" w:hint="default"/>
      </w:rPr>
    </w:lvl>
    <w:lvl w:ilvl="2" w:tplc="FEDA899C" w:tentative="1">
      <w:start w:val="1"/>
      <w:numFmt w:val="bullet"/>
      <w:lvlText w:val=""/>
      <w:lvlJc w:val="left"/>
      <w:pPr>
        <w:ind w:left="2160" w:hanging="360"/>
      </w:pPr>
      <w:rPr>
        <w:rFonts w:ascii="Wingdings" w:hAnsi="Wingdings" w:hint="default"/>
      </w:rPr>
    </w:lvl>
    <w:lvl w:ilvl="3" w:tplc="B3369F36" w:tentative="1">
      <w:start w:val="1"/>
      <w:numFmt w:val="bullet"/>
      <w:lvlText w:val=""/>
      <w:lvlJc w:val="left"/>
      <w:pPr>
        <w:ind w:left="2880" w:hanging="360"/>
      </w:pPr>
      <w:rPr>
        <w:rFonts w:ascii="Symbol" w:hAnsi="Symbol" w:hint="default"/>
      </w:rPr>
    </w:lvl>
    <w:lvl w:ilvl="4" w:tplc="78167D9A" w:tentative="1">
      <w:start w:val="1"/>
      <w:numFmt w:val="bullet"/>
      <w:lvlText w:val="o"/>
      <w:lvlJc w:val="left"/>
      <w:pPr>
        <w:ind w:left="3600" w:hanging="360"/>
      </w:pPr>
      <w:rPr>
        <w:rFonts w:ascii="Courier New" w:hAnsi="Courier New" w:cs="Courier New" w:hint="default"/>
      </w:rPr>
    </w:lvl>
    <w:lvl w:ilvl="5" w:tplc="116E0E0A" w:tentative="1">
      <w:start w:val="1"/>
      <w:numFmt w:val="bullet"/>
      <w:lvlText w:val=""/>
      <w:lvlJc w:val="left"/>
      <w:pPr>
        <w:ind w:left="4320" w:hanging="360"/>
      </w:pPr>
      <w:rPr>
        <w:rFonts w:ascii="Wingdings" w:hAnsi="Wingdings" w:hint="default"/>
      </w:rPr>
    </w:lvl>
    <w:lvl w:ilvl="6" w:tplc="D0141092" w:tentative="1">
      <w:start w:val="1"/>
      <w:numFmt w:val="bullet"/>
      <w:lvlText w:val=""/>
      <w:lvlJc w:val="left"/>
      <w:pPr>
        <w:ind w:left="5040" w:hanging="360"/>
      </w:pPr>
      <w:rPr>
        <w:rFonts w:ascii="Symbol" w:hAnsi="Symbol" w:hint="default"/>
      </w:rPr>
    </w:lvl>
    <w:lvl w:ilvl="7" w:tplc="FBAC92C4" w:tentative="1">
      <w:start w:val="1"/>
      <w:numFmt w:val="bullet"/>
      <w:lvlText w:val="o"/>
      <w:lvlJc w:val="left"/>
      <w:pPr>
        <w:ind w:left="5760" w:hanging="360"/>
      </w:pPr>
      <w:rPr>
        <w:rFonts w:ascii="Courier New" w:hAnsi="Courier New" w:cs="Courier New" w:hint="default"/>
      </w:rPr>
    </w:lvl>
    <w:lvl w:ilvl="8" w:tplc="F5AED648" w:tentative="1">
      <w:start w:val="1"/>
      <w:numFmt w:val="bullet"/>
      <w:lvlText w:val=""/>
      <w:lvlJc w:val="left"/>
      <w:pPr>
        <w:ind w:left="6480" w:hanging="360"/>
      </w:pPr>
      <w:rPr>
        <w:rFonts w:ascii="Wingdings" w:hAnsi="Wingdings" w:hint="default"/>
      </w:rPr>
    </w:lvl>
  </w:abstractNum>
  <w:abstractNum w:abstractNumId="110" w15:restartNumberingAfterBreak="0">
    <w:nsid w:val="70400FB1"/>
    <w:multiLevelType w:val="hybridMultilevel"/>
    <w:tmpl w:val="221E5708"/>
    <w:lvl w:ilvl="0" w:tplc="08447F3A">
      <w:start w:val="1"/>
      <w:numFmt w:val="bullet"/>
      <w:lvlText w:val=""/>
      <w:lvlJc w:val="left"/>
      <w:pPr>
        <w:ind w:left="720" w:hanging="360"/>
      </w:pPr>
      <w:rPr>
        <w:rFonts w:ascii="Symbol" w:hAnsi="Symbol" w:hint="default"/>
        <w:color w:val="57825E"/>
      </w:rPr>
    </w:lvl>
    <w:lvl w:ilvl="1" w:tplc="6E96EA7A" w:tentative="1">
      <w:start w:val="1"/>
      <w:numFmt w:val="bullet"/>
      <w:lvlText w:val="o"/>
      <w:lvlJc w:val="left"/>
      <w:pPr>
        <w:ind w:left="1440" w:hanging="360"/>
      </w:pPr>
      <w:rPr>
        <w:rFonts w:ascii="Courier New" w:hAnsi="Courier New" w:cs="Courier New" w:hint="default"/>
      </w:rPr>
    </w:lvl>
    <w:lvl w:ilvl="2" w:tplc="06229D90" w:tentative="1">
      <w:start w:val="1"/>
      <w:numFmt w:val="bullet"/>
      <w:lvlText w:val=""/>
      <w:lvlJc w:val="left"/>
      <w:pPr>
        <w:ind w:left="2160" w:hanging="360"/>
      </w:pPr>
      <w:rPr>
        <w:rFonts w:ascii="Wingdings" w:hAnsi="Wingdings" w:hint="default"/>
      </w:rPr>
    </w:lvl>
    <w:lvl w:ilvl="3" w:tplc="268E7014" w:tentative="1">
      <w:start w:val="1"/>
      <w:numFmt w:val="bullet"/>
      <w:lvlText w:val=""/>
      <w:lvlJc w:val="left"/>
      <w:pPr>
        <w:ind w:left="2880" w:hanging="360"/>
      </w:pPr>
      <w:rPr>
        <w:rFonts w:ascii="Symbol" w:hAnsi="Symbol" w:hint="default"/>
      </w:rPr>
    </w:lvl>
    <w:lvl w:ilvl="4" w:tplc="2F8A4E28" w:tentative="1">
      <w:start w:val="1"/>
      <w:numFmt w:val="bullet"/>
      <w:lvlText w:val="o"/>
      <w:lvlJc w:val="left"/>
      <w:pPr>
        <w:ind w:left="3600" w:hanging="360"/>
      </w:pPr>
      <w:rPr>
        <w:rFonts w:ascii="Courier New" w:hAnsi="Courier New" w:cs="Courier New" w:hint="default"/>
      </w:rPr>
    </w:lvl>
    <w:lvl w:ilvl="5" w:tplc="DBCA564C" w:tentative="1">
      <w:start w:val="1"/>
      <w:numFmt w:val="bullet"/>
      <w:lvlText w:val=""/>
      <w:lvlJc w:val="left"/>
      <w:pPr>
        <w:ind w:left="4320" w:hanging="360"/>
      </w:pPr>
      <w:rPr>
        <w:rFonts w:ascii="Wingdings" w:hAnsi="Wingdings" w:hint="default"/>
      </w:rPr>
    </w:lvl>
    <w:lvl w:ilvl="6" w:tplc="25D0DFE2" w:tentative="1">
      <w:start w:val="1"/>
      <w:numFmt w:val="bullet"/>
      <w:lvlText w:val=""/>
      <w:lvlJc w:val="left"/>
      <w:pPr>
        <w:ind w:left="5040" w:hanging="360"/>
      </w:pPr>
      <w:rPr>
        <w:rFonts w:ascii="Symbol" w:hAnsi="Symbol" w:hint="default"/>
      </w:rPr>
    </w:lvl>
    <w:lvl w:ilvl="7" w:tplc="670218AC" w:tentative="1">
      <w:start w:val="1"/>
      <w:numFmt w:val="bullet"/>
      <w:lvlText w:val="o"/>
      <w:lvlJc w:val="left"/>
      <w:pPr>
        <w:ind w:left="5760" w:hanging="360"/>
      </w:pPr>
      <w:rPr>
        <w:rFonts w:ascii="Courier New" w:hAnsi="Courier New" w:cs="Courier New" w:hint="default"/>
      </w:rPr>
    </w:lvl>
    <w:lvl w:ilvl="8" w:tplc="F656EC5C" w:tentative="1">
      <w:start w:val="1"/>
      <w:numFmt w:val="bullet"/>
      <w:lvlText w:val=""/>
      <w:lvlJc w:val="left"/>
      <w:pPr>
        <w:ind w:left="6480" w:hanging="360"/>
      </w:pPr>
      <w:rPr>
        <w:rFonts w:ascii="Wingdings" w:hAnsi="Wingdings" w:hint="default"/>
      </w:rPr>
    </w:lvl>
  </w:abstractNum>
  <w:abstractNum w:abstractNumId="111" w15:restartNumberingAfterBreak="0">
    <w:nsid w:val="710476E0"/>
    <w:multiLevelType w:val="hybridMultilevel"/>
    <w:tmpl w:val="E078F38C"/>
    <w:lvl w:ilvl="0" w:tplc="9ADEA1DE">
      <w:start w:val="1"/>
      <w:numFmt w:val="bullet"/>
      <w:lvlText w:val="o"/>
      <w:lvlJc w:val="left"/>
      <w:pPr>
        <w:ind w:left="720" w:hanging="360"/>
      </w:pPr>
      <w:rPr>
        <w:rFonts w:ascii="Courier New" w:hAnsi="Courier New" w:cs="Courier New" w:hint="default"/>
        <w:color w:val="F07E31"/>
      </w:rPr>
    </w:lvl>
    <w:lvl w:ilvl="1" w:tplc="44F86752" w:tentative="1">
      <w:start w:val="1"/>
      <w:numFmt w:val="bullet"/>
      <w:lvlText w:val="o"/>
      <w:lvlJc w:val="left"/>
      <w:pPr>
        <w:ind w:left="1440" w:hanging="360"/>
      </w:pPr>
      <w:rPr>
        <w:rFonts w:ascii="Courier New" w:hAnsi="Courier New" w:cs="Courier New" w:hint="default"/>
      </w:rPr>
    </w:lvl>
    <w:lvl w:ilvl="2" w:tplc="2E6AF53E" w:tentative="1">
      <w:start w:val="1"/>
      <w:numFmt w:val="bullet"/>
      <w:lvlText w:val=""/>
      <w:lvlJc w:val="left"/>
      <w:pPr>
        <w:ind w:left="2160" w:hanging="360"/>
      </w:pPr>
      <w:rPr>
        <w:rFonts w:ascii="Wingdings" w:hAnsi="Wingdings" w:hint="default"/>
      </w:rPr>
    </w:lvl>
    <w:lvl w:ilvl="3" w:tplc="FBB03D7E" w:tentative="1">
      <w:start w:val="1"/>
      <w:numFmt w:val="bullet"/>
      <w:lvlText w:val=""/>
      <w:lvlJc w:val="left"/>
      <w:pPr>
        <w:ind w:left="2880" w:hanging="360"/>
      </w:pPr>
      <w:rPr>
        <w:rFonts w:ascii="Symbol" w:hAnsi="Symbol" w:hint="default"/>
      </w:rPr>
    </w:lvl>
    <w:lvl w:ilvl="4" w:tplc="59FCA70E" w:tentative="1">
      <w:start w:val="1"/>
      <w:numFmt w:val="bullet"/>
      <w:lvlText w:val="o"/>
      <w:lvlJc w:val="left"/>
      <w:pPr>
        <w:ind w:left="3600" w:hanging="360"/>
      </w:pPr>
      <w:rPr>
        <w:rFonts w:ascii="Courier New" w:hAnsi="Courier New" w:cs="Courier New" w:hint="default"/>
      </w:rPr>
    </w:lvl>
    <w:lvl w:ilvl="5" w:tplc="5C02228E" w:tentative="1">
      <w:start w:val="1"/>
      <w:numFmt w:val="bullet"/>
      <w:lvlText w:val=""/>
      <w:lvlJc w:val="left"/>
      <w:pPr>
        <w:ind w:left="4320" w:hanging="360"/>
      </w:pPr>
      <w:rPr>
        <w:rFonts w:ascii="Wingdings" w:hAnsi="Wingdings" w:hint="default"/>
      </w:rPr>
    </w:lvl>
    <w:lvl w:ilvl="6" w:tplc="2550C4E4" w:tentative="1">
      <w:start w:val="1"/>
      <w:numFmt w:val="bullet"/>
      <w:lvlText w:val=""/>
      <w:lvlJc w:val="left"/>
      <w:pPr>
        <w:ind w:left="5040" w:hanging="360"/>
      </w:pPr>
      <w:rPr>
        <w:rFonts w:ascii="Symbol" w:hAnsi="Symbol" w:hint="default"/>
      </w:rPr>
    </w:lvl>
    <w:lvl w:ilvl="7" w:tplc="D8FCBF52" w:tentative="1">
      <w:start w:val="1"/>
      <w:numFmt w:val="bullet"/>
      <w:lvlText w:val="o"/>
      <w:lvlJc w:val="left"/>
      <w:pPr>
        <w:ind w:left="5760" w:hanging="360"/>
      </w:pPr>
      <w:rPr>
        <w:rFonts w:ascii="Courier New" w:hAnsi="Courier New" w:cs="Courier New" w:hint="default"/>
      </w:rPr>
    </w:lvl>
    <w:lvl w:ilvl="8" w:tplc="2D546FDE" w:tentative="1">
      <w:start w:val="1"/>
      <w:numFmt w:val="bullet"/>
      <w:lvlText w:val=""/>
      <w:lvlJc w:val="left"/>
      <w:pPr>
        <w:ind w:left="6480" w:hanging="360"/>
      </w:pPr>
      <w:rPr>
        <w:rFonts w:ascii="Wingdings" w:hAnsi="Wingdings" w:hint="default"/>
      </w:rPr>
    </w:lvl>
  </w:abstractNum>
  <w:abstractNum w:abstractNumId="112" w15:restartNumberingAfterBreak="0">
    <w:nsid w:val="715049D7"/>
    <w:multiLevelType w:val="hybridMultilevel"/>
    <w:tmpl w:val="E11C8244"/>
    <w:lvl w:ilvl="0" w:tplc="35FEBFB8">
      <w:start w:val="1"/>
      <w:numFmt w:val="bullet"/>
      <w:lvlText w:val=""/>
      <w:lvlJc w:val="left"/>
      <w:pPr>
        <w:ind w:left="720" w:hanging="360"/>
      </w:pPr>
      <w:rPr>
        <w:rFonts w:ascii="Symbol" w:hAnsi="Symbol" w:hint="default"/>
        <w:color w:val="57825E"/>
        <w:sz w:val="18"/>
      </w:rPr>
    </w:lvl>
    <w:lvl w:ilvl="1" w:tplc="A1CA5534" w:tentative="1">
      <w:start w:val="1"/>
      <w:numFmt w:val="bullet"/>
      <w:lvlText w:val="o"/>
      <w:lvlJc w:val="left"/>
      <w:pPr>
        <w:ind w:left="1440" w:hanging="360"/>
      </w:pPr>
      <w:rPr>
        <w:rFonts w:ascii="Courier New" w:hAnsi="Courier New" w:cs="Courier New" w:hint="default"/>
      </w:rPr>
    </w:lvl>
    <w:lvl w:ilvl="2" w:tplc="2440253C" w:tentative="1">
      <w:start w:val="1"/>
      <w:numFmt w:val="bullet"/>
      <w:lvlText w:val=""/>
      <w:lvlJc w:val="left"/>
      <w:pPr>
        <w:ind w:left="2160" w:hanging="360"/>
      </w:pPr>
      <w:rPr>
        <w:rFonts w:ascii="Wingdings" w:hAnsi="Wingdings" w:hint="default"/>
      </w:rPr>
    </w:lvl>
    <w:lvl w:ilvl="3" w:tplc="EB6E8270" w:tentative="1">
      <w:start w:val="1"/>
      <w:numFmt w:val="bullet"/>
      <w:lvlText w:val=""/>
      <w:lvlJc w:val="left"/>
      <w:pPr>
        <w:ind w:left="2880" w:hanging="360"/>
      </w:pPr>
      <w:rPr>
        <w:rFonts w:ascii="Symbol" w:hAnsi="Symbol" w:hint="default"/>
      </w:rPr>
    </w:lvl>
    <w:lvl w:ilvl="4" w:tplc="613212A0" w:tentative="1">
      <w:start w:val="1"/>
      <w:numFmt w:val="bullet"/>
      <w:lvlText w:val="o"/>
      <w:lvlJc w:val="left"/>
      <w:pPr>
        <w:ind w:left="3600" w:hanging="360"/>
      </w:pPr>
      <w:rPr>
        <w:rFonts w:ascii="Courier New" w:hAnsi="Courier New" w:cs="Courier New" w:hint="default"/>
      </w:rPr>
    </w:lvl>
    <w:lvl w:ilvl="5" w:tplc="E1B22DAE" w:tentative="1">
      <w:start w:val="1"/>
      <w:numFmt w:val="bullet"/>
      <w:lvlText w:val=""/>
      <w:lvlJc w:val="left"/>
      <w:pPr>
        <w:ind w:left="4320" w:hanging="360"/>
      </w:pPr>
      <w:rPr>
        <w:rFonts w:ascii="Wingdings" w:hAnsi="Wingdings" w:hint="default"/>
      </w:rPr>
    </w:lvl>
    <w:lvl w:ilvl="6" w:tplc="EA94BEA4" w:tentative="1">
      <w:start w:val="1"/>
      <w:numFmt w:val="bullet"/>
      <w:lvlText w:val=""/>
      <w:lvlJc w:val="left"/>
      <w:pPr>
        <w:ind w:left="5040" w:hanging="360"/>
      </w:pPr>
      <w:rPr>
        <w:rFonts w:ascii="Symbol" w:hAnsi="Symbol" w:hint="default"/>
      </w:rPr>
    </w:lvl>
    <w:lvl w:ilvl="7" w:tplc="289A0BD6" w:tentative="1">
      <w:start w:val="1"/>
      <w:numFmt w:val="bullet"/>
      <w:lvlText w:val="o"/>
      <w:lvlJc w:val="left"/>
      <w:pPr>
        <w:ind w:left="5760" w:hanging="360"/>
      </w:pPr>
      <w:rPr>
        <w:rFonts w:ascii="Courier New" w:hAnsi="Courier New" w:cs="Courier New" w:hint="default"/>
      </w:rPr>
    </w:lvl>
    <w:lvl w:ilvl="8" w:tplc="6FD2319E" w:tentative="1">
      <w:start w:val="1"/>
      <w:numFmt w:val="bullet"/>
      <w:lvlText w:val=""/>
      <w:lvlJc w:val="left"/>
      <w:pPr>
        <w:ind w:left="6480" w:hanging="360"/>
      </w:pPr>
      <w:rPr>
        <w:rFonts w:ascii="Wingdings" w:hAnsi="Wingdings" w:hint="default"/>
      </w:rPr>
    </w:lvl>
  </w:abstractNum>
  <w:abstractNum w:abstractNumId="113" w15:restartNumberingAfterBreak="0">
    <w:nsid w:val="73E31B34"/>
    <w:multiLevelType w:val="hybridMultilevel"/>
    <w:tmpl w:val="BAEA535A"/>
    <w:lvl w:ilvl="0" w:tplc="BA2015FA">
      <w:start w:val="1"/>
      <w:numFmt w:val="bullet"/>
      <w:lvlText w:val=""/>
      <w:lvlJc w:val="left"/>
      <w:pPr>
        <w:ind w:left="720" w:hanging="360"/>
      </w:pPr>
      <w:rPr>
        <w:rFonts w:ascii="Symbol" w:hAnsi="Symbol" w:hint="default"/>
      </w:rPr>
    </w:lvl>
    <w:lvl w:ilvl="1" w:tplc="799CCBEA" w:tentative="1">
      <w:start w:val="1"/>
      <w:numFmt w:val="bullet"/>
      <w:lvlText w:val="o"/>
      <w:lvlJc w:val="left"/>
      <w:pPr>
        <w:ind w:left="1440" w:hanging="360"/>
      </w:pPr>
      <w:rPr>
        <w:rFonts w:ascii="Courier New" w:hAnsi="Courier New" w:cs="Courier New" w:hint="default"/>
      </w:rPr>
    </w:lvl>
    <w:lvl w:ilvl="2" w:tplc="550E8996" w:tentative="1">
      <w:start w:val="1"/>
      <w:numFmt w:val="bullet"/>
      <w:lvlText w:val=""/>
      <w:lvlJc w:val="left"/>
      <w:pPr>
        <w:ind w:left="2160" w:hanging="360"/>
      </w:pPr>
      <w:rPr>
        <w:rFonts w:ascii="Wingdings" w:hAnsi="Wingdings" w:hint="default"/>
      </w:rPr>
    </w:lvl>
    <w:lvl w:ilvl="3" w:tplc="B282B5B4">
      <w:start w:val="1"/>
      <w:numFmt w:val="bullet"/>
      <w:lvlText w:val=""/>
      <w:lvlJc w:val="left"/>
      <w:pPr>
        <w:ind w:left="644" w:hanging="360"/>
      </w:pPr>
      <w:rPr>
        <w:rFonts w:ascii="Symbol" w:hAnsi="Symbol" w:hint="default"/>
        <w:b w:val="0"/>
        <w:color w:val="57825E"/>
      </w:rPr>
    </w:lvl>
    <w:lvl w:ilvl="4" w:tplc="465C9CE2">
      <w:start w:val="1"/>
      <w:numFmt w:val="bullet"/>
      <w:lvlText w:val="o"/>
      <w:lvlJc w:val="left"/>
      <w:pPr>
        <w:ind w:left="3600" w:hanging="360"/>
      </w:pPr>
      <w:rPr>
        <w:rFonts w:ascii="Courier New" w:hAnsi="Courier New" w:cs="Courier New" w:hint="default"/>
      </w:rPr>
    </w:lvl>
    <w:lvl w:ilvl="5" w:tplc="0D86480C" w:tentative="1">
      <w:start w:val="1"/>
      <w:numFmt w:val="bullet"/>
      <w:lvlText w:val=""/>
      <w:lvlJc w:val="left"/>
      <w:pPr>
        <w:ind w:left="4320" w:hanging="360"/>
      </w:pPr>
      <w:rPr>
        <w:rFonts w:ascii="Wingdings" w:hAnsi="Wingdings" w:hint="default"/>
      </w:rPr>
    </w:lvl>
    <w:lvl w:ilvl="6" w:tplc="52DAE18A" w:tentative="1">
      <w:start w:val="1"/>
      <w:numFmt w:val="bullet"/>
      <w:lvlText w:val=""/>
      <w:lvlJc w:val="left"/>
      <w:pPr>
        <w:ind w:left="5040" w:hanging="360"/>
      </w:pPr>
      <w:rPr>
        <w:rFonts w:ascii="Symbol" w:hAnsi="Symbol" w:hint="default"/>
      </w:rPr>
    </w:lvl>
    <w:lvl w:ilvl="7" w:tplc="0A7A2CB0" w:tentative="1">
      <w:start w:val="1"/>
      <w:numFmt w:val="bullet"/>
      <w:lvlText w:val="o"/>
      <w:lvlJc w:val="left"/>
      <w:pPr>
        <w:ind w:left="5760" w:hanging="360"/>
      </w:pPr>
      <w:rPr>
        <w:rFonts w:ascii="Courier New" w:hAnsi="Courier New" w:cs="Courier New" w:hint="default"/>
      </w:rPr>
    </w:lvl>
    <w:lvl w:ilvl="8" w:tplc="BE80A7F8" w:tentative="1">
      <w:start w:val="1"/>
      <w:numFmt w:val="bullet"/>
      <w:lvlText w:val=""/>
      <w:lvlJc w:val="left"/>
      <w:pPr>
        <w:ind w:left="6480" w:hanging="360"/>
      </w:pPr>
      <w:rPr>
        <w:rFonts w:ascii="Wingdings" w:hAnsi="Wingdings" w:hint="default"/>
      </w:rPr>
    </w:lvl>
  </w:abstractNum>
  <w:abstractNum w:abstractNumId="114" w15:restartNumberingAfterBreak="0">
    <w:nsid w:val="74DA29D5"/>
    <w:multiLevelType w:val="hybridMultilevel"/>
    <w:tmpl w:val="363622AC"/>
    <w:lvl w:ilvl="0" w:tplc="69507F3C">
      <w:start w:val="1"/>
      <w:numFmt w:val="bullet"/>
      <w:lvlText w:val=""/>
      <w:lvlJc w:val="left"/>
      <w:pPr>
        <w:ind w:left="720" w:hanging="360"/>
      </w:pPr>
      <w:rPr>
        <w:rFonts w:ascii="Symbol" w:hAnsi="Symbol" w:hint="default"/>
        <w:color w:val="57825E"/>
      </w:rPr>
    </w:lvl>
    <w:lvl w:ilvl="1" w:tplc="9B4E651C" w:tentative="1">
      <w:start w:val="1"/>
      <w:numFmt w:val="bullet"/>
      <w:lvlText w:val="o"/>
      <w:lvlJc w:val="left"/>
      <w:pPr>
        <w:ind w:left="1440" w:hanging="360"/>
      </w:pPr>
      <w:rPr>
        <w:rFonts w:ascii="Courier New" w:hAnsi="Courier New" w:cs="Courier New" w:hint="default"/>
      </w:rPr>
    </w:lvl>
    <w:lvl w:ilvl="2" w:tplc="47560EC8" w:tentative="1">
      <w:start w:val="1"/>
      <w:numFmt w:val="bullet"/>
      <w:lvlText w:val=""/>
      <w:lvlJc w:val="left"/>
      <w:pPr>
        <w:ind w:left="2160" w:hanging="360"/>
      </w:pPr>
      <w:rPr>
        <w:rFonts w:ascii="Wingdings" w:hAnsi="Wingdings" w:hint="default"/>
      </w:rPr>
    </w:lvl>
    <w:lvl w:ilvl="3" w:tplc="834218AA" w:tentative="1">
      <w:start w:val="1"/>
      <w:numFmt w:val="bullet"/>
      <w:lvlText w:val=""/>
      <w:lvlJc w:val="left"/>
      <w:pPr>
        <w:ind w:left="2880" w:hanging="360"/>
      </w:pPr>
      <w:rPr>
        <w:rFonts w:ascii="Symbol" w:hAnsi="Symbol" w:hint="default"/>
      </w:rPr>
    </w:lvl>
    <w:lvl w:ilvl="4" w:tplc="9D2E6C08" w:tentative="1">
      <w:start w:val="1"/>
      <w:numFmt w:val="bullet"/>
      <w:lvlText w:val="o"/>
      <w:lvlJc w:val="left"/>
      <w:pPr>
        <w:ind w:left="3600" w:hanging="360"/>
      </w:pPr>
      <w:rPr>
        <w:rFonts w:ascii="Courier New" w:hAnsi="Courier New" w:cs="Courier New" w:hint="default"/>
      </w:rPr>
    </w:lvl>
    <w:lvl w:ilvl="5" w:tplc="00B2186E" w:tentative="1">
      <w:start w:val="1"/>
      <w:numFmt w:val="bullet"/>
      <w:lvlText w:val=""/>
      <w:lvlJc w:val="left"/>
      <w:pPr>
        <w:ind w:left="4320" w:hanging="360"/>
      </w:pPr>
      <w:rPr>
        <w:rFonts w:ascii="Wingdings" w:hAnsi="Wingdings" w:hint="default"/>
      </w:rPr>
    </w:lvl>
    <w:lvl w:ilvl="6" w:tplc="B6BE1BD6" w:tentative="1">
      <w:start w:val="1"/>
      <w:numFmt w:val="bullet"/>
      <w:lvlText w:val=""/>
      <w:lvlJc w:val="left"/>
      <w:pPr>
        <w:ind w:left="5040" w:hanging="360"/>
      </w:pPr>
      <w:rPr>
        <w:rFonts w:ascii="Symbol" w:hAnsi="Symbol" w:hint="default"/>
      </w:rPr>
    </w:lvl>
    <w:lvl w:ilvl="7" w:tplc="5A4C9ECC" w:tentative="1">
      <w:start w:val="1"/>
      <w:numFmt w:val="bullet"/>
      <w:lvlText w:val="o"/>
      <w:lvlJc w:val="left"/>
      <w:pPr>
        <w:ind w:left="5760" w:hanging="360"/>
      </w:pPr>
      <w:rPr>
        <w:rFonts w:ascii="Courier New" w:hAnsi="Courier New" w:cs="Courier New" w:hint="default"/>
      </w:rPr>
    </w:lvl>
    <w:lvl w:ilvl="8" w:tplc="97B46CA6" w:tentative="1">
      <w:start w:val="1"/>
      <w:numFmt w:val="bullet"/>
      <w:lvlText w:val=""/>
      <w:lvlJc w:val="left"/>
      <w:pPr>
        <w:ind w:left="6480" w:hanging="360"/>
      </w:pPr>
      <w:rPr>
        <w:rFonts w:ascii="Wingdings" w:hAnsi="Wingdings" w:hint="default"/>
      </w:rPr>
    </w:lvl>
  </w:abstractNum>
  <w:abstractNum w:abstractNumId="115" w15:restartNumberingAfterBreak="0">
    <w:nsid w:val="754F2AD8"/>
    <w:multiLevelType w:val="hybridMultilevel"/>
    <w:tmpl w:val="C14AB898"/>
    <w:lvl w:ilvl="0" w:tplc="A642D3AA">
      <w:start w:val="1"/>
      <w:numFmt w:val="bullet"/>
      <w:lvlText w:val=""/>
      <w:lvlJc w:val="left"/>
      <w:pPr>
        <w:ind w:left="720" w:hanging="360"/>
      </w:pPr>
      <w:rPr>
        <w:rFonts w:ascii="Symbol" w:hAnsi="Symbol" w:hint="default"/>
        <w:color w:val="57825E"/>
      </w:rPr>
    </w:lvl>
    <w:lvl w:ilvl="1" w:tplc="AC4EC308" w:tentative="1">
      <w:start w:val="1"/>
      <w:numFmt w:val="bullet"/>
      <w:lvlText w:val="o"/>
      <w:lvlJc w:val="left"/>
      <w:pPr>
        <w:ind w:left="1440" w:hanging="360"/>
      </w:pPr>
      <w:rPr>
        <w:rFonts w:ascii="Courier New" w:hAnsi="Courier New" w:cs="Courier New" w:hint="default"/>
      </w:rPr>
    </w:lvl>
    <w:lvl w:ilvl="2" w:tplc="94B466AC" w:tentative="1">
      <w:start w:val="1"/>
      <w:numFmt w:val="bullet"/>
      <w:lvlText w:val=""/>
      <w:lvlJc w:val="left"/>
      <w:pPr>
        <w:ind w:left="2160" w:hanging="360"/>
      </w:pPr>
      <w:rPr>
        <w:rFonts w:ascii="Wingdings" w:hAnsi="Wingdings" w:hint="default"/>
      </w:rPr>
    </w:lvl>
    <w:lvl w:ilvl="3" w:tplc="6164C0D4" w:tentative="1">
      <w:start w:val="1"/>
      <w:numFmt w:val="bullet"/>
      <w:lvlText w:val=""/>
      <w:lvlJc w:val="left"/>
      <w:pPr>
        <w:ind w:left="2880" w:hanging="360"/>
      </w:pPr>
      <w:rPr>
        <w:rFonts w:ascii="Symbol" w:hAnsi="Symbol" w:hint="default"/>
      </w:rPr>
    </w:lvl>
    <w:lvl w:ilvl="4" w:tplc="379A9E98" w:tentative="1">
      <w:start w:val="1"/>
      <w:numFmt w:val="bullet"/>
      <w:lvlText w:val="o"/>
      <w:lvlJc w:val="left"/>
      <w:pPr>
        <w:ind w:left="3600" w:hanging="360"/>
      </w:pPr>
      <w:rPr>
        <w:rFonts w:ascii="Courier New" w:hAnsi="Courier New" w:cs="Courier New" w:hint="default"/>
      </w:rPr>
    </w:lvl>
    <w:lvl w:ilvl="5" w:tplc="9A18226E" w:tentative="1">
      <w:start w:val="1"/>
      <w:numFmt w:val="bullet"/>
      <w:lvlText w:val=""/>
      <w:lvlJc w:val="left"/>
      <w:pPr>
        <w:ind w:left="4320" w:hanging="360"/>
      </w:pPr>
      <w:rPr>
        <w:rFonts w:ascii="Wingdings" w:hAnsi="Wingdings" w:hint="default"/>
      </w:rPr>
    </w:lvl>
    <w:lvl w:ilvl="6" w:tplc="26108BDA" w:tentative="1">
      <w:start w:val="1"/>
      <w:numFmt w:val="bullet"/>
      <w:lvlText w:val=""/>
      <w:lvlJc w:val="left"/>
      <w:pPr>
        <w:ind w:left="5040" w:hanging="360"/>
      </w:pPr>
      <w:rPr>
        <w:rFonts w:ascii="Symbol" w:hAnsi="Symbol" w:hint="default"/>
      </w:rPr>
    </w:lvl>
    <w:lvl w:ilvl="7" w:tplc="C8C6ECE8" w:tentative="1">
      <w:start w:val="1"/>
      <w:numFmt w:val="bullet"/>
      <w:lvlText w:val="o"/>
      <w:lvlJc w:val="left"/>
      <w:pPr>
        <w:ind w:left="5760" w:hanging="360"/>
      </w:pPr>
      <w:rPr>
        <w:rFonts w:ascii="Courier New" w:hAnsi="Courier New" w:cs="Courier New" w:hint="default"/>
      </w:rPr>
    </w:lvl>
    <w:lvl w:ilvl="8" w:tplc="054442AA" w:tentative="1">
      <w:start w:val="1"/>
      <w:numFmt w:val="bullet"/>
      <w:lvlText w:val=""/>
      <w:lvlJc w:val="left"/>
      <w:pPr>
        <w:ind w:left="6480" w:hanging="360"/>
      </w:pPr>
      <w:rPr>
        <w:rFonts w:ascii="Wingdings" w:hAnsi="Wingdings" w:hint="default"/>
      </w:rPr>
    </w:lvl>
  </w:abstractNum>
  <w:abstractNum w:abstractNumId="116" w15:restartNumberingAfterBreak="0">
    <w:nsid w:val="75B27B66"/>
    <w:multiLevelType w:val="hybridMultilevel"/>
    <w:tmpl w:val="A7FC0418"/>
    <w:lvl w:ilvl="0" w:tplc="F174B67A">
      <w:start w:val="1"/>
      <w:numFmt w:val="bullet"/>
      <w:lvlText w:val=""/>
      <w:lvlJc w:val="left"/>
      <w:pPr>
        <w:ind w:left="720" w:hanging="360"/>
      </w:pPr>
      <w:rPr>
        <w:rFonts w:ascii="Symbol" w:hAnsi="Symbol" w:hint="default"/>
        <w:color w:val="57825E"/>
      </w:rPr>
    </w:lvl>
    <w:lvl w:ilvl="1" w:tplc="F502F656" w:tentative="1">
      <w:start w:val="1"/>
      <w:numFmt w:val="bullet"/>
      <w:lvlText w:val="o"/>
      <w:lvlJc w:val="left"/>
      <w:pPr>
        <w:ind w:left="1440" w:hanging="360"/>
      </w:pPr>
      <w:rPr>
        <w:rFonts w:ascii="Courier New" w:hAnsi="Courier New" w:cs="Courier New" w:hint="default"/>
      </w:rPr>
    </w:lvl>
    <w:lvl w:ilvl="2" w:tplc="C2364598" w:tentative="1">
      <w:start w:val="1"/>
      <w:numFmt w:val="bullet"/>
      <w:lvlText w:val=""/>
      <w:lvlJc w:val="left"/>
      <w:pPr>
        <w:ind w:left="2160" w:hanging="360"/>
      </w:pPr>
      <w:rPr>
        <w:rFonts w:ascii="Wingdings" w:hAnsi="Wingdings" w:hint="default"/>
      </w:rPr>
    </w:lvl>
    <w:lvl w:ilvl="3" w:tplc="6048091C" w:tentative="1">
      <w:start w:val="1"/>
      <w:numFmt w:val="bullet"/>
      <w:lvlText w:val=""/>
      <w:lvlJc w:val="left"/>
      <w:pPr>
        <w:ind w:left="2880" w:hanging="360"/>
      </w:pPr>
      <w:rPr>
        <w:rFonts w:ascii="Symbol" w:hAnsi="Symbol" w:hint="default"/>
      </w:rPr>
    </w:lvl>
    <w:lvl w:ilvl="4" w:tplc="F27647F0" w:tentative="1">
      <w:start w:val="1"/>
      <w:numFmt w:val="bullet"/>
      <w:lvlText w:val="o"/>
      <w:lvlJc w:val="left"/>
      <w:pPr>
        <w:ind w:left="3600" w:hanging="360"/>
      </w:pPr>
      <w:rPr>
        <w:rFonts w:ascii="Courier New" w:hAnsi="Courier New" w:cs="Courier New" w:hint="default"/>
      </w:rPr>
    </w:lvl>
    <w:lvl w:ilvl="5" w:tplc="39A8318A" w:tentative="1">
      <w:start w:val="1"/>
      <w:numFmt w:val="bullet"/>
      <w:lvlText w:val=""/>
      <w:lvlJc w:val="left"/>
      <w:pPr>
        <w:ind w:left="4320" w:hanging="360"/>
      </w:pPr>
      <w:rPr>
        <w:rFonts w:ascii="Wingdings" w:hAnsi="Wingdings" w:hint="default"/>
      </w:rPr>
    </w:lvl>
    <w:lvl w:ilvl="6" w:tplc="E236C3B8" w:tentative="1">
      <w:start w:val="1"/>
      <w:numFmt w:val="bullet"/>
      <w:lvlText w:val=""/>
      <w:lvlJc w:val="left"/>
      <w:pPr>
        <w:ind w:left="5040" w:hanging="360"/>
      </w:pPr>
      <w:rPr>
        <w:rFonts w:ascii="Symbol" w:hAnsi="Symbol" w:hint="default"/>
      </w:rPr>
    </w:lvl>
    <w:lvl w:ilvl="7" w:tplc="EED89BB8" w:tentative="1">
      <w:start w:val="1"/>
      <w:numFmt w:val="bullet"/>
      <w:lvlText w:val="o"/>
      <w:lvlJc w:val="left"/>
      <w:pPr>
        <w:ind w:left="5760" w:hanging="360"/>
      </w:pPr>
      <w:rPr>
        <w:rFonts w:ascii="Courier New" w:hAnsi="Courier New" w:cs="Courier New" w:hint="default"/>
      </w:rPr>
    </w:lvl>
    <w:lvl w:ilvl="8" w:tplc="6644AB3C" w:tentative="1">
      <w:start w:val="1"/>
      <w:numFmt w:val="bullet"/>
      <w:lvlText w:val=""/>
      <w:lvlJc w:val="left"/>
      <w:pPr>
        <w:ind w:left="6480" w:hanging="360"/>
      </w:pPr>
      <w:rPr>
        <w:rFonts w:ascii="Wingdings" w:hAnsi="Wingdings" w:hint="default"/>
      </w:rPr>
    </w:lvl>
  </w:abstractNum>
  <w:abstractNum w:abstractNumId="117" w15:restartNumberingAfterBreak="0">
    <w:nsid w:val="773A35E5"/>
    <w:multiLevelType w:val="hybridMultilevel"/>
    <w:tmpl w:val="81725234"/>
    <w:lvl w:ilvl="0" w:tplc="6F209DC0">
      <w:start w:val="1"/>
      <w:numFmt w:val="bullet"/>
      <w:lvlText w:val=""/>
      <w:lvlJc w:val="left"/>
      <w:pPr>
        <w:ind w:left="720" w:hanging="360"/>
      </w:pPr>
      <w:rPr>
        <w:rFonts w:ascii="Symbol" w:hAnsi="Symbol" w:hint="default"/>
        <w:color w:val="57825E"/>
      </w:rPr>
    </w:lvl>
    <w:lvl w:ilvl="1" w:tplc="4AB0DAE4" w:tentative="1">
      <w:start w:val="1"/>
      <w:numFmt w:val="bullet"/>
      <w:lvlText w:val="o"/>
      <w:lvlJc w:val="left"/>
      <w:pPr>
        <w:ind w:left="1440" w:hanging="360"/>
      </w:pPr>
      <w:rPr>
        <w:rFonts w:ascii="Courier New" w:hAnsi="Courier New" w:cs="Courier New" w:hint="default"/>
      </w:rPr>
    </w:lvl>
    <w:lvl w:ilvl="2" w:tplc="DD1AEEAA" w:tentative="1">
      <w:start w:val="1"/>
      <w:numFmt w:val="bullet"/>
      <w:lvlText w:val=""/>
      <w:lvlJc w:val="left"/>
      <w:pPr>
        <w:ind w:left="2160" w:hanging="360"/>
      </w:pPr>
      <w:rPr>
        <w:rFonts w:ascii="Wingdings" w:hAnsi="Wingdings" w:hint="default"/>
      </w:rPr>
    </w:lvl>
    <w:lvl w:ilvl="3" w:tplc="B81ED602" w:tentative="1">
      <w:start w:val="1"/>
      <w:numFmt w:val="bullet"/>
      <w:lvlText w:val=""/>
      <w:lvlJc w:val="left"/>
      <w:pPr>
        <w:ind w:left="2880" w:hanging="360"/>
      </w:pPr>
      <w:rPr>
        <w:rFonts w:ascii="Symbol" w:hAnsi="Symbol" w:hint="default"/>
      </w:rPr>
    </w:lvl>
    <w:lvl w:ilvl="4" w:tplc="BC86DC20" w:tentative="1">
      <w:start w:val="1"/>
      <w:numFmt w:val="bullet"/>
      <w:lvlText w:val="o"/>
      <w:lvlJc w:val="left"/>
      <w:pPr>
        <w:ind w:left="3600" w:hanging="360"/>
      </w:pPr>
      <w:rPr>
        <w:rFonts w:ascii="Courier New" w:hAnsi="Courier New" w:cs="Courier New" w:hint="default"/>
      </w:rPr>
    </w:lvl>
    <w:lvl w:ilvl="5" w:tplc="60621A06" w:tentative="1">
      <w:start w:val="1"/>
      <w:numFmt w:val="bullet"/>
      <w:lvlText w:val=""/>
      <w:lvlJc w:val="left"/>
      <w:pPr>
        <w:ind w:left="4320" w:hanging="360"/>
      </w:pPr>
      <w:rPr>
        <w:rFonts w:ascii="Wingdings" w:hAnsi="Wingdings" w:hint="default"/>
      </w:rPr>
    </w:lvl>
    <w:lvl w:ilvl="6" w:tplc="BEF09AEA" w:tentative="1">
      <w:start w:val="1"/>
      <w:numFmt w:val="bullet"/>
      <w:lvlText w:val=""/>
      <w:lvlJc w:val="left"/>
      <w:pPr>
        <w:ind w:left="5040" w:hanging="360"/>
      </w:pPr>
      <w:rPr>
        <w:rFonts w:ascii="Symbol" w:hAnsi="Symbol" w:hint="default"/>
      </w:rPr>
    </w:lvl>
    <w:lvl w:ilvl="7" w:tplc="7EC243D4" w:tentative="1">
      <w:start w:val="1"/>
      <w:numFmt w:val="bullet"/>
      <w:lvlText w:val="o"/>
      <w:lvlJc w:val="left"/>
      <w:pPr>
        <w:ind w:left="5760" w:hanging="360"/>
      </w:pPr>
      <w:rPr>
        <w:rFonts w:ascii="Courier New" w:hAnsi="Courier New" w:cs="Courier New" w:hint="default"/>
      </w:rPr>
    </w:lvl>
    <w:lvl w:ilvl="8" w:tplc="A2066412" w:tentative="1">
      <w:start w:val="1"/>
      <w:numFmt w:val="bullet"/>
      <w:lvlText w:val=""/>
      <w:lvlJc w:val="left"/>
      <w:pPr>
        <w:ind w:left="6480" w:hanging="360"/>
      </w:pPr>
      <w:rPr>
        <w:rFonts w:ascii="Wingdings" w:hAnsi="Wingdings" w:hint="default"/>
      </w:rPr>
    </w:lvl>
  </w:abstractNum>
  <w:abstractNum w:abstractNumId="118" w15:restartNumberingAfterBreak="0">
    <w:nsid w:val="795D33D3"/>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9" w15:restartNumberingAfterBreak="0">
    <w:nsid w:val="7B803FCC"/>
    <w:multiLevelType w:val="hybridMultilevel"/>
    <w:tmpl w:val="5156C628"/>
    <w:lvl w:ilvl="0" w:tplc="A0102E38">
      <w:start w:val="1"/>
      <w:numFmt w:val="bullet"/>
      <w:lvlText w:val=""/>
      <w:lvlJc w:val="left"/>
      <w:pPr>
        <w:ind w:left="720" w:hanging="360"/>
      </w:pPr>
      <w:rPr>
        <w:rFonts w:ascii="Symbol" w:hAnsi="Symbol" w:hint="default"/>
        <w:color w:val="57825E"/>
      </w:rPr>
    </w:lvl>
    <w:lvl w:ilvl="1" w:tplc="672457DE" w:tentative="1">
      <w:start w:val="1"/>
      <w:numFmt w:val="bullet"/>
      <w:lvlText w:val="o"/>
      <w:lvlJc w:val="left"/>
      <w:pPr>
        <w:ind w:left="1440" w:hanging="360"/>
      </w:pPr>
      <w:rPr>
        <w:rFonts w:ascii="Courier New" w:hAnsi="Courier New" w:cs="Courier New" w:hint="default"/>
      </w:rPr>
    </w:lvl>
    <w:lvl w:ilvl="2" w:tplc="33327076" w:tentative="1">
      <w:start w:val="1"/>
      <w:numFmt w:val="bullet"/>
      <w:lvlText w:val=""/>
      <w:lvlJc w:val="left"/>
      <w:pPr>
        <w:ind w:left="2160" w:hanging="360"/>
      </w:pPr>
      <w:rPr>
        <w:rFonts w:ascii="Wingdings" w:hAnsi="Wingdings" w:hint="default"/>
      </w:rPr>
    </w:lvl>
    <w:lvl w:ilvl="3" w:tplc="BC7677B8" w:tentative="1">
      <w:start w:val="1"/>
      <w:numFmt w:val="bullet"/>
      <w:lvlText w:val=""/>
      <w:lvlJc w:val="left"/>
      <w:pPr>
        <w:ind w:left="2880" w:hanging="360"/>
      </w:pPr>
      <w:rPr>
        <w:rFonts w:ascii="Symbol" w:hAnsi="Symbol" w:hint="default"/>
      </w:rPr>
    </w:lvl>
    <w:lvl w:ilvl="4" w:tplc="6310E806" w:tentative="1">
      <w:start w:val="1"/>
      <w:numFmt w:val="bullet"/>
      <w:lvlText w:val="o"/>
      <w:lvlJc w:val="left"/>
      <w:pPr>
        <w:ind w:left="3600" w:hanging="360"/>
      </w:pPr>
      <w:rPr>
        <w:rFonts w:ascii="Courier New" w:hAnsi="Courier New" w:cs="Courier New" w:hint="default"/>
      </w:rPr>
    </w:lvl>
    <w:lvl w:ilvl="5" w:tplc="DD823ED2" w:tentative="1">
      <w:start w:val="1"/>
      <w:numFmt w:val="bullet"/>
      <w:lvlText w:val=""/>
      <w:lvlJc w:val="left"/>
      <w:pPr>
        <w:ind w:left="4320" w:hanging="360"/>
      </w:pPr>
      <w:rPr>
        <w:rFonts w:ascii="Wingdings" w:hAnsi="Wingdings" w:hint="default"/>
      </w:rPr>
    </w:lvl>
    <w:lvl w:ilvl="6" w:tplc="5540DA4E" w:tentative="1">
      <w:start w:val="1"/>
      <w:numFmt w:val="bullet"/>
      <w:lvlText w:val=""/>
      <w:lvlJc w:val="left"/>
      <w:pPr>
        <w:ind w:left="5040" w:hanging="360"/>
      </w:pPr>
      <w:rPr>
        <w:rFonts w:ascii="Symbol" w:hAnsi="Symbol" w:hint="default"/>
      </w:rPr>
    </w:lvl>
    <w:lvl w:ilvl="7" w:tplc="6BE23918" w:tentative="1">
      <w:start w:val="1"/>
      <w:numFmt w:val="bullet"/>
      <w:lvlText w:val="o"/>
      <w:lvlJc w:val="left"/>
      <w:pPr>
        <w:ind w:left="5760" w:hanging="360"/>
      </w:pPr>
      <w:rPr>
        <w:rFonts w:ascii="Courier New" w:hAnsi="Courier New" w:cs="Courier New" w:hint="default"/>
      </w:rPr>
    </w:lvl>
    <w:lvl w:ilvl="8" w:tplc="A52E7402" w:tentative="1">
      <w:start w:val="1"/>
      <w:numFmt w:val="bullet"/>
      <w:lvlText w:val=""/>
      <w:lvlJc w:val="left"/>
      <w:pPr>
        <w:ind w:left="6480" w:hanging="360"/>
      </w:pPr>
      <w:rPr>
        <w:rFonts w:ascii="Wingdings" w:hAnsi="Wingdings" w:hint="default"/>
      </w:rPr>
    </w:lvl>
  </w:abstractNum>
  <w:abstractNum w:abstractNumId="120" w15:restartNumberingAfterBreak="0">
    <w:nsid w:val="7C257008"/>
    <w:multiLevelType w:val="hybridMultilevel"/>
    <w:tmpl w:val="5B1A4896"/>
    <w:lvl w:ilvl="0" w:tplc="C4023C90">
      <w:start w:val="1"/>
      <w:numFmt w:val="bullet"/>
      <w:lvlText w:val=""/>
      <w:lvlJc w:val="left"/>
      <w:pPr>
        <w:ind w:left="720" w:hanging="360"/>
      </w:pPr>
      <w:rPr>
        <w:rFonts w:ascii="Symbol" w:hAnsi="Symbol" w:hint="default"/>
        <w:color w:val="57825E"/>
      </w:rPr>
    </w:lvl>
    <w:lvl w:ilvl="1" w:tplc="D7707E74" w:tentative="1">
      <w:start w:val="1"/>
      <w:numFmt w:val="bullet"/>
      <w:lvlText w:val="o"/>
      <w:lvlJc w:val="left"/>
      <w:pPr>
        <w:ind w:left="1440" w:hanging="360"/>
      </w:pPr>
      <w:rPr>
        <w:rFonts w:ascii="Courier New" w:hAnsi="Courier New" w:cs="Courier New" w:hint="default"/>
      </w:rPr>
    </w:lvl>
    <w:lvl w:ilvl="2" w:tplc="BF3ABBD6" w:tentative="1">
      <w:start w:val="1"/>
      <w:numFmt w:val="bullet"/>
      <w:lvlText w:val=""/>
      <w:lvlJc w:val="left"/>
      <w:pPr>
        <w:ind w:left="2160" w:hanging="360"/>
      </w:pPr>
      <w:rPr>
        <w:rFonts w:ascii="Wingdings" w:hAnsi="Wingdings" w:hint="default"/>
      </w:rPr>
    </w:lvl>
    <w:lvl w:ilvl="3" w:tplc="ADC025F2" w:tentative="1">
      <w:start w:val="1"/>
      <w:numFmt w:val="bullet"/>
      <w:lvlText w:val=""/>
      <w:lvlJc w:val="left"/>
      <w:pPr>
        <w:ind w:left="2880" w:hanging="360"/>
      </w:pPr>
      <w:rPr>
        <w:rFonts w:ascii="Symbol" w:hAnsi="Symbol" w:hint="default"/>
      </w:rPr>
    </w:lvl>
    <w:lvl w:ilvl="4" w:tplc="2F4842E2" w:tentative="1">
      <w:start w:val="1"/>
      <w:numFmt w:val="bullet"/>
      <w:lvlText w:val="o"/>
      <w:lvlJc w:val="left"/>
      <w:pPr>
        <w:ind w:left="3600" w:hanging="360"/>
      </w:pPr>
      <w:rPr>
        <w:rFonts w:ascii="Courier New" w:hAnsi="Courier New" w:cs="Courier New" w:hint="default"/>
      </w:rPr>
    </w:lvl>
    <w:lvl w:ilvl="5" w:tplc="24CABA9E" w:tentative="1">
      <w:start w:val="1"/>
      <w:numFmt w:val="bullet"/>
      <w:lvlText w:val=""/>
      <w:lvlJc w:val="left"/>
      <w:pPr>
        <w:ind w:left="4320" w:hanging="360"/>
      </w:pPr>
      <w:rPr>
        <w:rFonts w:ascii="Wingdings" w:hAnsi="Wingdings" w:hint="default"/>
      </w:rPr>
    </w:lvl>
    <w:lvl w:ilvl="6" w:tplc="C5480242" w:tentative="1">
      <w:start w:val="1"/>
      <w:numFmt w:val="bullet"/>
      <w:lvlText w:val=""/>
      <w:lvlJc w:val="left"/>
      <w:pPr>
        <w:ind w:left="5040" w:hanging="360"/>
      </w:pPr>
      <w:rPr>
        <w:rFonts w:ascii="Symbol" w:hAnsi="Symbol" w:hint="default"/>
      </w:rPr>
    </w:lvl>
    <w:lvl w:ilvl="7" w:tplc="E3EEAACA" w:tentative="1">
      <w:start w:val="1"/>
      <w:numFmt w:val="bullet"/>
      <w:lvlText w:val="o"/>
      <w:lvlJc w:val="left"/>
      <w:pPr>
        <w:ind w:left="5760" w:hanging="360"/>
      </w:pPr>
      <w:rPr>
        <w:rFonts w:ascii="Courier New" w:hAnsi="Courier New" w:cs="Courier New" w:hint="default"/>
      </w:rPr>
    </w:lvl>
    <w:lvl w:ilvl="8" w:tplc="AC6A0866" w:tentative="1">
      <w:start w:val="1"/>
      <w:numFmt w:val="bullet"/>
      <w:lvlText w:val=""/>
      <w:lvlJc w:val="left"/>
      <w:pPr>
        <w:ind w:left="6480" w:hanging="360"/>
      </w:pPr>
      <w:rPr>
        <w:rFonts w:ascii="Wingdings" w:hAnsi="Wingdings" w:hint="default"/>
      </w:rPr>
    </w:lvl>
  </w:abstractNum>
  <w:abstractNum w:abstractNumId="121" w15:restartNumberingAfterBreak="0">
    <w:nsid w:val="7C3303CD"/>
    <w:multiLevelType w:val="hybridMultilevel"/>
    <w:tmpl w:val="DBC83430"/>
    <w:lvl w:ilvl="0" w:tplc="AE848E12">
      <w:start w:val="1"/>
      <w:numFmt w:val="bullet"/>
      <w:lvlText w:val=""/>
      <w:lvlJc w:val="left"/>
      <w:pPr>
        <w:ind w:left="720" w:hanging="360"/>
      </w:pPr>
      <w:rPr>
        <w:rFonts w:ascii="Symbol" w:hAnsi="Symbol" w:hint="default"/>
        <w:b w:val="0"/>
        <w:color w:val="57825E"/>
      </w:rPr>
    </w:lvl>
    <w:lvl w:ilvl="1" w:tplc="E73EEF50" w:tentative="1">
      <w:start w:val="1"/>
      <w:numFmt w:val="bullet"/>
      <w:lvlText w:val="o"/>
      <w:lvlJc w:val="left"/>
      <w:pPr>
        <w:ind w:left="1440" w:hanging="360"/>
      </w:pPr>
      <w:rPr>
        <w:rFonts w:ascii="Courier New" w:hAnsi="Courier New" w:cs="Courier New" w:hint="default"/>
      </w:rPr>
    </w:lvl>
    <w:lvl w:ilvl="2" w:tplc="902ECB36" w:tentative="1">
      <w:start w:val="1"/>
      <w:numFmt w:val="bullet"/>
      <w:lvlText w:val=""/>
      <w:lvlJc w:val="left"/>
      <w:pPr>
        <w:ind w:left="2160" w:hanging="360"/>
      </w:pPr>
      <w:rPr>
        <w:rFonts w:ascii="Wingdings" w:hAnsi="Wingdings" w:hint="default"/>
      </w:rPr>
    </w:lvl>
    <w:lvl w:ilvl="3" w:tplc="5A4CB050" w:tentative="1">
      <w:start w:val="1"/>
      <w:numFmt w:val="bullet"/>
      <w:lvlText w:val=""/>
      <w:lvlJc w:val="left"/>
      <w:pPr>
        <w:ind w:left="2880" w:hanging="360"/>
      </w:pPr>
      <w:rPr>
        <w:rFonts w:ascii="Symbol" w:hAnsi="Symbol" w:hint="default"/>
      </w:rPr>
    </w:lvl>
    <w:lvl w:ilvl="4" w:tplc="8A0EB6BA" w:tentative="1">
      <w:start w:val="1"/>
      <w:numFmt w:val="bullet"/>
      <w:lvlText w:val="o"/>
      <w:lvlJc w:val="left"/>
      <w:pPr>
        <w:ind w:left="3600" w:hanging="360"/>
      </w:pPr>
      <w:rPr>
        <w:rFonts w:ascii="Courier New" w:hAnsi="Courier New" w:cs="Courier New" w:hint="default"/>
      </w:rPr>
    </w:lvl>
    <w:lvl w:ilvl="5" w:tplc="ABBE0D9A" w:tentative="1">
      <w:start w:val="1"/>
      <w:numFmt w:val="bullet"/>
      <w:lvlText w:val=""/>
      <w:lvlJc w:val="left"/>
      <w:pPr>
        <w:ind w:left="4320" w:hanging="360"/>
      </w:pPr>
      <w:rPr>
        <w:rFonts w:ascii="Wingdings" w:hAnsi="Wingdings" w:hint="default"/>
      </w:rPr>
    </w:lvl>
    <w:lvl w:ilvl="6" w:tplc="4ED499B2" w:tentative="1">
      <w:start w:val="1"/>
      <w:numFmt w:val="bullet"/>
      <w:lvlText w:val=""/>
      <w:lvlJc w:val="left"/>
      <w:pPr>
        <w:ind w:left="5040" w:hanging="360"/>
      </w:pPr>
      <w:rPr>
        <w:rFonts w:ascii="Symbol" w:hAnsi="Symbol" w:hint="default"/>
      </w:rPr>
    </w:lvl>
    <w:lvl w:ilvl="7" w:tplc="D3DC4B84" w:tentative="1">
      <w:start w:val="1"/>
      <w:numFmt w:val="bullet"/>
      <w:lvlText w:val="o"/>
      <w:lvlJc w:val="left"/>
      <w:pPr>
        <w:ind w:left="5760" w:hanging="360"/>
      </w:pPr>
      <w:rPr>
        <w:rFonts w:ascii="Courier New" w:hAnsi="Courier New" w:cs="Courier New" w:hint="default"/>
      </w:rPr>
    </w:lvl>
    <w:lvl w:ilvl="8" w:tplc="8CCCE918" w:tentative="1">
      <w:start w:val="1"/>
      <w:numFmt w:val="bullet"/>
      <w:lvlText w:val=""/>
      <w:lvlJc w:val="left"/>
      <w:pPr>
        <w:ind w:left="6480" w:hanging="360"/>
      </w:pPr>
      <w:rPr>
        <w:rFonts w:ascii="Wingdings" w:hAnsi="Wingdings" w:hint="default"/>
      </w:rPr>
    </w:lvl>
  </w:abstractNum>
  <w:abstractNum w:abstractNumId="122" w15:restartNumberingAfterBreak="0">
    <w:nsid w:val="7E752836"/>
    <w:multiLevelType w:val="hybridMultilevel"/>
    <w:tmpl w:val="0FC8E3A2"/>
    <w:lvl w:ilvl="0" w:tplc="6774638E">
      <w:start w:val="1"/>
      <w:numFmt w:val="bullet"/>
      <w:pStyle w:val="Htablebullet"/>
      <w:lvlText w:val=""/>
      <w:lvlJc w:val="left"/>
      <w:pPr>
        <w:ind w:left="360" w:hanging="360"/>
      </w:pPr>
      <w:rPr>
        <w:rFonts w:ascii="Symbol" w:hAnsi="Symbol" w:hint="default"/>
        <w:color w:val="57825E"/>
      </w:rPr>
    </w:lvl>
    <w:lvl w:ilvl="1" w:tplc="B882074A">
      <w:start w:val="1"/>
      <w:numFmt w:val="bullet"/>
      <w:lvlText w:val="o"/>
      <w:lvlJc w:val="left"/>
      <w:pPr>
        <w:tabs>
          <w:tab w:val="num" w:pos="1440"/>
        </w:tabs>
        <w:ind w:left="1440" w:hanging="360"/>
      </w:pPr>
      <w:rPr>
        <w:rFonts w:ascii="Courier New" w:hAnsi="Courier New" w:hint="default"/>
      </w:rPr>
    </w:lvl>
    <w:lvl w:ilvl="2" w:tplc="E48EC36A">
      <w:start w:val="1"/>
      <w:numFmt w:val="bullet"/>
      <w:lvlText w:val=""/>
      <w:lvlJc w:val="left"/>
      <w:pPr>
        <w:tabs>
          <w:tab w:val="num" w:pos="2160"/>
        </w:tabs>
        <w:ind w:left="2160" w:hanging="360"/>
      </w:pPr>
      <w:rPr>
        <w:rFonts w:ascii="Wingdings" w:hAnsi="Wingdings" w:hint="default"/>
      </w:rPr>
    </w:lvl>
    <w:lvl w:ilvl="3" w:tplc="5D28474C" w:tentative="1">
      <w:start w:val="1"/>
      <w:numFmt w:val="bullet"/>
      <w:lvlText w:val=""/>
      <w:lvlJc w:val="left"/>
      <w:pPr>
        <w:tabs>
          <w:tab w:val="num" w:pos="2880"/>
        </w:tabs>
        <w:ind w:left="2880" w:hanging="360"/>
      </w:pPr>
      <w:rPr>
        <w:rFonts w:ascii="Symbol" w:hAnsi="Symbol" w:hint="default"/>
      </w:rPr>
    </w:lvl>
    <w:lvl w:ilvl="4" w:tplc="B5365CBE" w:tentative="1">
      <w:start w:val="1"/>
      <w:numFmt w:val="bullet"/>
      <w:lvlText w:val="o"/>
      <w:lvlJc w:val="left"/>
      <w:pPr>
        <w:tabs>
          <w:tab w:val="num" w:pos="3600"/>
        </w:tabs>
        <w:ind w:left="3600" w:hanging="360"/>
      </w:pPr>
      <w:rPr>
        <w:rFonts w:ascii="Courier New" w:hAnsi="Courier New" w:hint="default"/>
      </w:rPr>
    </w:lvl>
    <w:lvl w:ilvl="5" w:tplc="64267B92" w:tentative="1">
      <w:start w:val="1"/>
      <w:numFmt w:val="bullet"/>
      <w:lvlText w:val=""/>
      <w:lvlJc w:val="left"/>
      <w:pPr>
        <w:tabs>
          <w:tab w:val="num" w:pos="4320"/>
        </w:tabs>
        <w:ind w:left="4320" w:hanging="360"/>
      </w:pPr>
      <w:rPr>
        <w:rFonts w:ascii="Wingdings" w:hAnsi="Wingdings" w:hint="default"/>
      </w:rPr>
    </w:lvl>
    <w:lvl w:ilvl="6" w:tplc="03B45726" w:tentative="1">
      <w:start w:val="1"/>
      <w:numFmt w:val="bullet"/>
      <w:lvlText w:val=""/>
      <w:lvlJc w:val="left"/>
      <w:pPr>
        <w:tabs>
          <w:tab w:val="num" w:pos="5040"/>
        </w:tabs>
        <w:ind w:left="5040" w:hanging="360"/>
      </w:pPr>
      <w:rPr>
        <w:rFonts w:ascii="Symbol" w:hAnsi="Symbol" w:hint="default"/>
      </w:rPr>
    </w:lvl>
    <w:lvl w:ilvl="7" w:tplc="B462C0D2" w:tentative="1">
      <w:start w:val="1"/>
      <w:numFmt w:val="bullet"/>
      <w:lvlText w:val="o"/>
      <w:lvlJc w:val="left"/>
      <w:pPr>
        <w:tabs>
          <w:tab w:val="num" w:pos="5760"/>
        </w:tabs>
        <w:ind w:left="5760" w:hanging="360"/>
      </w:pPr>
      <w:rPr>
        <w:rFonts w:ascii="Courier New" w:hAnsi="Courier New" w:hint="default"/>
      </w:rPr>
    </w:lvl>
    <w:lvl w:ilvl="8" w:tplc="D1B6D2EC"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59"/>
  </w:num>
  <w:num w:numId="3">
    <w:abstractNumId w:val="72"/>
  </w:num>
  <w:num w:numId="4">
    <w:abstractNumId w:val="37"/>
  </w:num>
  <w:num w:numId="5">
    <w:abstractNumId w:val="122"/>
  </w:num>
  <w:num w:numId="6">
    <w:abstractNumId w:val="118"/>
  </w:num>
  <w:num w:numId="7">
    <w:abstractNumId w:val="66"/>
  </w:num>
  <w:num w:numId="8">
    <w:abstractNumId w:val="46"/>
    <w:lvlOverride w:ilvl="0">
      <w:lvl w:ilvl="0" w:tplc="830E2CF4">
        <w:start w:val="1"/>
        <w:numFmt w:val="decimal"/>
        <w:pStyle w:val="HHeadingfigures"/>
        <w:lvlText w:val="Figure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1C508B70" w:tentative="1">
        <w:start w:val="1"/>
        <w:numFmt w:val="lowerLetter"/>
        <w:lvlText w:val="%2."/>
        <w:lvlJc w:val="left"/>
        <w:pPr>
          <w:ind w:left="1440" w:hanging="360"/>
        </w:pPr>
      </w:lvl>
    </w:lvlOverride>
    <w:lvlOverride w:ilvl="2">
      <w:lvl w:ilvl="2" w:tplc="AA52B68A" w:tentative="1">
        <w:start w:val="1"/>
        <w:numFmt w:val="lowerRoman"/>
        <w:lvlText w:val="%3."/>
        <w:lvlJc w:val="right"/>
        <w:pPr>
          <w:ind w:left="2160" w:hanging="180"/>
        </w:pPr>
      </w:lvl>
    </w:lvlOverride>
    <w:lvlOverride w:ilvl="3">
      <w:lvl w:ilvl="3" w:tplc="53F8C592" w:tentative="1">
        <w:start w:val="1"/>
        <w:numFmt w:val="decimal"/>
        <w:lvlText w:val="%4."/>
        <w:lvlJc w:val="left"/>
        <w:pPr>
          <w:ind w:left="2880" w:hanging="360"/>
        </w:pPr>
      </w:lvl>
    </w:lvlOverride>
    <w:lvlOverride w:ilvl="4">
      <w:lvl w:ilvl="4" w:tplc="E91694D0" w:tentative="1">
        <w:start w:val="1"/>
        <w:numFmt w:val="lowerLetter"/>
        <w:lvlText w:val="%5."/>
        <w:lvlJc w:val="left"/>
        <w:pPr>
          <w:ind w:left="3600" w:hanging="360"/>
        </w:pPr>
      </w:lvl>
    </w:lvlOverride>
    <w:lvlOverride w:ilvl="5">
      <w:lvl w:ilvl="5" w:tplc="5B067108" w:tentative="1">
        <w:start w:val="1"/>
        <w:numFmt w:val="lowerRoman"/>
        <w:lvlText w:val="%6."/>
        <w:lvlJc w:val="right"/>
        <w:pPr>
          <w:ind w:left="4320" w:hanging="180"/>
        </w:pPr>
      </w:lvl>
    </w:lvlOverride>
    <w:lvlOverride w:ilvl="6">
      <w:lvl w:ilvl="6" w:tplc="C26412B8" w:tentative="1">
        <w:start w:val="1"/>
        <w:numFmt w:val="decimal"/>
        <w:lvlText w:val="%7."/>
        <w:lvlJc w:val="left"/>
        <w:pPr>
          <w:ind w:left="5040" w:hanging="360"/>
        </w:pPr>
      </w:lvl>
    </w:lvlOverride>
    <w:lvlOverride w:ilvl="7">
      <w:lvl w:ilvl="7" w:tplc="79BA6390" w:tentative="1">
        <w:start w:val="1"/>
        <w:numFmt w:val="lowerLetter"/>
        <w:lvlText w:val="%8."/>
        <w:lvlJc w:val="left"/>
        <w:pPr>
          <w:ind w:left="5760" w:hanging="360"/>
        </w:pPr>
      </w:lvl>
    </w:lvlOverride>
    <w:lvlOverride w:ilvl="8">
      <w:lvl w:ilvl="8" w:tplc="FCAAB140" w:tentative="1">
        <w:start w:val="1"/>
        <w:numFmt w:val="lowerRoman"/>
        <w:lvlText w:val="%9."/>
        <w:lvlJc w:val="right"/>
        <w:pPr>
          <w:ind w:left="6480" w:hanging="180"/>
        </w:pPr>
      </w:lvl>
    </w:lvlOverride>
  </w:num>
  <w:num w:numId="9">
    <w:abstractNumId w:val="10"/>
  </w:num>
  <w:num w:numId="10">
    <w:abstractNumId w:val="0"/>
  </w:num>
  <w:num w:numId="11">
    <w:abstractNumId w:val="30"/>
  </w:num>
  <w:num w:numId="12">
    <w:abstractNumId w:val="76"/>
  </w:num>
  <w:num w:numId="13">
    <w:abstractNumId w:val="38"/>
  </w:num>
  <w:num w:numId="14">
    <w:abstractNumId w:val="42"/>
  </w:num>
  <w:num w:numId="15">
    <w:abstractNumId w:val="39"/>
  </w:num>
  <w:num w:numId="16">
    <w:abstractNumId w:val="69"/>
  </w:num>
  <w:num w:numId="17">
    <w:abstractNumId w:val="57"/>
  </w:num>
  <w:num w:numId="18">
    <w:abstractNumId w:val="101"/>
  </w:num>
  <w:num w:numId="19">
    <w:abstractNumId w:val="109"/>
  </w:num>
  <w:num w:numId="20">
    <w:abstractNumId w:val="23"/>
  </w:num>
  <w:num w:numId="21">
    <w:abstractNumId w:val="25"/>
  </w:num>
  <w:num w:numId="22">
    <w:abstractNumId w:val="100"/>
  </w:num>
  <w:num w:numId="23">
    <w:abstractNumId w:val="71"/>
  </w:num>
  <w:num w:numId="24">
    <w:abstractNumId w:val="40"/>
  </w:num>
  <w:num w:numId="25">
    <w:abstractNumId w:val="43"/>
  </w:num>
  <w:num w:numId="26">
    <w:abstractNumId w:val="64"/>
  </w:num>
  <w:num w:numId="27">
    <w:abstractNumId w:val="15"/>
  </w:num>
  <w:num w:numId="28">
    <w:abstractNumId w:val="52"/>
  </w:num>
  <w:num w:numId="29">
    <w:abstractNumId w:val="121"/>
  </w:num>
  <w:num w:numId="30">
    <w:abstractNumId w:val="19"/>
  </w:num>
  <w:num w:numId="31">
    <w:abstractNumId w:val="82"/>
  </w:num>
  <w:num w:numId="32">
    <w:abstractNumId w:val="74"/>
  </w:num>
  <w:num w:numId="33">
    <w:abstractNumId w:val="53"/>
  </w:num>
  <w:num w:numId="34">
    <w:abstractNumId w:val="44"/>
  </w:num>
  <w:num w:numId="35">
    <w:abstractNumId w:val="95"/>
  </w:num>
  <w:num w:numId="36">
    <w:abstractNumId w:val="27"/>
  </w:num>
  <w:num w:numId="37">
    <w:abstractNumId w:val="105"/>
  </w:num>
  <w:num w:numId="38">
    <w:abstractNumId w:val="99"/>
  </w:num>
  <w:num w:numId="39">
    <w:abstractNumId w:val="87"/>
  </w:num>
  <w:num w:numId="40">
    <w:abstractNumId w:val="96"/>
  </w:num>
  <w:num w:numId="41">
    <w:abstractNumId w:val="54"/>
  </w:num>
  <w:num w:numId="42">
    <w:abstractNumId w:val="104"/>
  </w:num>
  <w:num w:numId="43">
    <w:abstractNumId w:val="113"/>
  </w:num>
  <w:num w:numId="44">
    <w:abstractNumId w:val="58"/>
  </w:num>
  <w:num w:numId="45">
    <w:abstractNumId w:val="33"/>
  </w:num>
  <w:num w:numId="46">
    <w:abstractNumId w:val="73"/>
  </w:num>
  <w:num w:numId="47">
    <w:abstractNumId w:val="32"/>
  </w:num>
  <w:num w:numId="48">
    <w:abstractNumId w:val="89"/>
  </w:num>
  <w:num w:numId="49">
    <w:abstractNumId w:val="68"/>
  </w:num>
  <w:num w:numId="50">
    <w:abstractNumId w:val="112"/>
  </w:num>
  <w:num w:numId="51">
    <w:abstractNumId w:val="29"/>
  </w:num>
  <w:num w:numId="52">
    <w:abstractNumId w:val="18"/>
  </w:num>
  <w:num w:numId="53">
    <w:abstractNumId w:val="56"/>
  </w:num>
  <w:num w:numId="54">
    <w:abstractNumId w:val="107"/>
  </w:num>
  <w:num w:numId="55">
    <w:abstractNumId w:val="86"/>
  </w:num>
  <w:num w:numId="56">
    <w:abstractNumId w:val="49"/>
  </w:num>
  <w:num w:numId="57">
    <w:abstractNumId w:val="80"/>
  </w:num>
  <w:num w:numId="58">
    <w:abstractNumId w:val="28"/>
  </w:num>
  <w:num w:numId="59">
    <w:abstractNumId w:val="102"/>
  </w:num>
  <w:num w:numId="60">
    <w:abstractNumId w:val="24"/>
  </w:num>
  <w:num w:numId="61">
    <w:abstractNumId w:val="79"/>
  </w:num>
  <w:num w:numId="62">
    <w:abstractNumId w:val="81"/>
  </w:num>
  <w:num w:numId="63">
    <w:abstractNumId w:val="90"/>
  </w:num>
  <w:num w:numId="64">
    <w:abstractNumId w:val="48"/>
  </w:num>
  <w:num w:numId="65">
    <w:abstractNumId w:val="36"/>
  </w:num>
  <w:num w:numId="66">
    <w:abstractNumId w:val="120"/>
  </w:num>
  <w:num w:numId="67">
    <w:abstractNumId w:val="119"/>
  </w:num>
  <w:num w:numId="68">
    <w:abstractNumId w:val="110"/>
  </w:num>
  <w:num w:numId="69">
    <w:abstractNumId w:val="67"/>
  </w:num>
  <w:num w:numId="70">
    <w:abstractNumId w:val="115"/>
  </w:num>
  <w:num w:numId="71">
    <w:abstractNumId w:val="34"/>
  </w:num>
  <w:num w:numId="72">
    <w:abstractNumId w:val="97"/>
  </w:num>
  <w:num w:numId="73">
    <w:abstractNumId w:val="70"/>
  </w:num>
  <w:num w:numId="74">
    <w:abstractNumId w:val="26"/>
  </w:num>
  <w:num w:numId="75">
    <w:abstractNumId w:val="114"/>
  </w:num>
  <w:num w:numId="76">
    <w:abstractNumId w:val="62"/>
  </w:num>
  <w:num w:numId="77">
    <w:abstractNumId w:val="85"/>
  </w:num>
  <w:num w:numId="78">
    <w:abstractNumId w:val="91"/>
  </w:num>
  <w:num w:numId="79">
    <w:abstractNumId w:val="108"/>
  </w:num>
  <w:num w:numId="80">
    <w:abstractNumId w:val="78"/>
  </w:num>
  <w:num w:numId="81">
    <w:abstractNumId w:val="103"/>
  </w:num>
  <w:num w:numId="82">
    <w:abstractNumId w:val="41"/>
  </w:num>
  <w:num w:numId="83">
    <w:abstractNumId w:val="92"/>
  </w:num>
  <w:num w:numId="84">
    <w:abstractNumId w:val="4"/>
  </w:num>
  <w:num w:numId="85">
    <w:abstractNumId w:val="93"/>
  </w:num>
  <w:num w:numId="86">
    <w:abstractNumId w:val="50"/>
  </w:num>
  <w:num w:numId="87">
    <w:abstractNumId w:val="61"/>
  </w:num>
  <w:num w:numId="88">
    <w:abstractNumId w:val="106"/>
  </w:num>
  <w:num w:numId="89">
    <w:abstractNumId w:val="14"/>
  </w:num>
  <w:num w:numId="90">
    <w:abstractNumId w:val="117"/>
  </w:num>
  <w:num w:numId="91">
    <w:abstractNumId w:val="9"/>
  </w:num>
  <w:num w:numId="92">
    <w:abstractNumId w:val="51"/>
  </w:num>
  <w:num w:numId="93">
    <w:abstractNumId w:val="17"/>
  </w:num>
  <w:num w:numId="94">
    <w:abstractNumId w:val="84"/>
  </w:num>
  <w:num w:numId="95">
    <w:abstractNumId w:val="116"/>
  </w:num>
  <w:num w:numId="96">
    <w:abstractNumId w:val="11"/>
  </w:num>
  <w:num w:numId="97">
    <w:abstractNumId w:val="75"/>
  </w:num>
  <w:num w:numId="98">
    <w:abstractNumId w:val="83"/>
  </w:num>
  <w:num w:numId="99">
    <w:abstractNumId w:val="77"/>
  </w:num>
  <w:num w:numId="100">
    <w:abstractNumId w:val="16"/>
  </w:num>
  <w:num w:numId="101">
    <w:abstractNumId w:val="55"/>
  </w:num>
  <w:num w:numId="102">
    <w:abstractNumId w:val="20"/>
  </w:num>
  <w:num w:numId="103">
    <w:abstractNumId w:val="98"/>
  </w:num>
  <w:num w:numId="104">
    <w:abstractNumId w:val="111"/>
  </w:num>
  <w:num w:numId="105">
    <w:abstractNumId w:val="35"/>
  </w:num>
  <w:num w:numId="106">
    <w:abstractNumId w:val="45"/>
  </w:num>
  <w:num w:numId="107">
    <w:abstractNumId w:val="21"/>
  </w:num>
  <w:num w:numId="108">
    <w:abstractNumId w:val="3"/>
  </w:num>
  <w:num w:numId="109">
    <w:abstractNumId w:val="46"/>
  </w:num>
  <w:num w:numId="110">
    <w:abstractNumId w:val="7"/>
  </w:num>
  <w:num w:numId="111">
    <w:abstractNumId w:val="5"/>
  </w:num>
  <w:num w:numId="112">
    <w:abstractNumId w:val="6"/>
  </w:num>
  <w:num w:numId="113">
    <w:abstractNumId w:val="12"/>
  </w:num>
  <w:num w:numId="114">
    <w:abstractNumId w:val="1"/>
  </w:num>
  <w:num w:numId="115">
    <w:abstractNumId w:val="31"/>
  </w:num>
  <w:num w:numId="116">
    <w:abstractNumId w:val="63"/>
  </w:num>
  <w:num w:numId="117">
    <w:abstractNumId w:val="8"/>
  </w:num>
  <w:num w:numId="118">
    <w:abstractNumId w:val="65"/>
  </w:num>
  <w:num w:numId="119">
    <w:abstractNumId w:val="2"/>
  </w:num>
  <w:num w:numId="120">
    <w:abstractNumId w:val="88"/>
  </w:num>
  <w:num w:numId="1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0"/>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 w:numId="1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94"/>
  </w:num>
  <w:num w:numId="128">
    <w:abstractNumId w:val="13"/>
  </w:num>
  <w:num w:numId="129">
    <w:abstractNumId w:val="47"/>
  </w:num>
  <w:num w:numId="130">
    <w:abstractNumId w:val="2"/>
    <w:lvlOverride w:ilvl="0">
      <w:startOverride w:val="2"/>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grammar="clean"/>
  <w:defaultTabStop w:val="720"/>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E05D08"/>
    <w:rsid w:val="00007AF8"/>
    <w:rsid w:val="000A4146"/>
    <w:rsid w:val="00123467"/>
    <w:rsid w:val="00230BFD"/>
    <w:rsid w:val="0024029C"/>
    <w:rsid w:val="0024496E"/>
    <w:rsid w:val="00260179"/>
    <w:rsid w:val="00260B0F"/>
    <w:rsid w:val="002D3388"/>
    <w:rsid w:val="002E67A9"/>
    <w:rsid w:val="00376E80"/>
    <w:rsid w:val="004D0889"/>
    <w:rsid w:val="005169DB"/>
    <w:rsid w:val="005441E3"/>
    <w:rsid w:val="00553423"/>
    <w:rsid w:val="00563A4F"/>
    <w:rsid w:val="00631F5F"/>
    <w:rsid w:val="00633E23"/>
    <w:rsid w:val="00645B47"/>
    <w:rsid w:val="00664270"/>
    <w:rsid w:val="006C67E6"/>
    <w:rsid w:val="00706C65"/>
    <w:rsid w:val="00762026"/>
    <w:rsid w:val="00821B83"/>
    <w:rsid w:val="008E5189"/>
    <w:rsid w:val="008F0EB6"/>
    <w:rsid w:val="009511D3"/>
    <w:rsid w:val="00970A99"/>
    <w:rsid w:val="009966F7"/>
    <w:rsid w:val="009A6D62"/>
    <w:rsid w:val="009C0FA5"/>
    <w:rsid w:val="00A01C53"/>
    <w:rsid w:val="00AC3D4C"/>
    <w:rsid w:val="00B60135"/>
    <w:rsid w:val="00B85B05"/>
    <w:rsid w:val="00B93999"/>
    <w:rsid w:val="00BB2D8D"/>
    <w:rsid w:val="00BD1226"/>
    <w:rsid w:val="00BE4420"/>
    <w:rsid w:val="00C53A7B"/>
    <w:rsid w:val="00D97603"/>
    <w:rsid w:val="00DC1980"/>
    <w:rsid w:val="00E05D08"/>
    <w:rsid w:val="00E232E2"/>
    <w:rsid w:val="00E45904"/>
    <w:rsid w:val="00EC67D2"/>
    <w:rsid w:val="00EC6B7C"/>
    <w:rsid w:val="00ED3746"/>
    <w:rsid w:val="00F204F1"/>
    <w:rsid w:val="00F551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70193"/>
  <w15:chartTrackingRefBased/>
  <w15:docId w15:val="{BB81D728-B1F4-45B9-88E8-22F1D7D1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ordia New"/>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785E"/>
    <w:pPr>
      <w:spacing w:after="160" w:line="259" w:lineRule="auto"/>
      <w:jc w:val="both"/>
    </w:pPr>
    <w:rPr>
      <w:rFonts w:ascii="Arial" w:hAnsi="Arial"/>
      <w:color w:val="373737"/>
      <w:szCs w:val="22"/>
      <w:lang w:val="fr-FR" w:eastAsia="fr-FR"/>
    </w:rPr>
  </w:style>
  <w:style w:type="paragraph" w:styleId="Heading1">
    <w:name w:val="heading 1"/>
    <w:basedOn w:val="Normal"/>
    <w:next w:val="Normal"/>
    <w:link w:val="Heading1Char"/>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rPr>
  </w:style>
  <w:style w:type="paragraph" w:styleId="Heading2">
    <w:name w:val="heading 2"/>
    <w:aliases w:val="Titre B,no vale,Heading 2 Char1,Heading 2 Char Char"/>
    <w:basedOn w:val="Normal"/>
    <w:next w:val="Normal"/>
    <w:link w:val="Heading2Char"/>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rPr>
  </w:style>
  <w:style w:type="paragraph" w:styleId="Heading3">
    <w:name w:val="heading 3"/>
    <w:aliases w:val="H3,no vale1,no vale1 Car"/>
    <w:basedOn w:val="Normal"/>
    <w:next w:val="Normal"/>
    <w:link w:val="Heading3Char"/>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rPr>
  </w:style>
  <w:style w:type="paragraph" w:styleId="Heading4">
    <w:name w:val="heading 4"/>
    <w:aliases w:val="Heading 4 Char1,Título 4 Car,Heading 4 Char1 Car,no vale 2,no vale 2 Car"/>
    <w:basedOn w:val="Normal"/>
    <w:next w:val="Normal"/>
    <w:link w:val="Heading4Char"/>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rPr>
  </w:style>
  <w:style w:type="paragraph" w:styleId="Heading5">
    <w:name w:val="heading 5"/>
    <w:basedOn w:val="Normal"/>
    <w:next w:val="Normal"/>
    <w:link w:val="Heading5Char"/>
    <w:uiPriority w:val="99"/>
    <w:qFormat/>
    <w:rsid w:val="00E05D08"/>
    <w:pPr>
      <w:suppressAutoHyphens/>
      <w:spacing w:before="200" w:after="100" w:line="220" w:lineRule="atLeast"/>
      <w:outlineLvl w:val="4"/>
    </w:pPr>
    <w:rPr>
      <w:rFonts w:eastAsia="Times New Roman" w:cs="Times New Roman"/>
      <w:b/>
      <w:bCs/>
      <w:iCs/>
      <w:color w:val="5F5F5F"/>
      <w:sz w:val="18"/>
      <w:szCs w:val="26"/>
    </w:rPr>
  </w:style>
  <w:style w:type="paragraph" w:styleId="Heading6">
    <w:name w:val="heading 6"/>
    <w:basedOn w:val="Normal"/>
    <w:next w:val="Normal"/>
    <w:link w:val="Heading6Char"/>
    <w:uiPriority w:val="99"/>
    <w:qFormat/>
    <w:rsid w:val="00E05D08"/>
    <w:pPr>
      <w:suppressAutoHyphens/>
      <w:spacing w:before="140" w:after="140" w:line="200" w:lineRule="exact"/>
      <w:outlineLvl w:val="5"/>
    </w:pPr>
    <w:rPr>
      <w:rFonts w:eastAsia="Times New Roman" w:cs="Times New Roman"/>
      <w:b/>
      <w:bCs/>
      <w:color w:val="808080"/>
      <w:sz w:val="16"/>
    </w:rPr>
  </w:style>
  <w:style w:type="paragraph" w:styleId="Heading7">
    <w:name w:val="heading 7"/>
    <w:basedOn w:val="Normal"/>
    <w:next w:val="Normal"/>
    <w:link w:val="Heading7Char"/>
    <w:rsid w:val="00E05D08"/>
    <w:pPr>
      <w:suppressAutoHyphens/>
      <w:spacing w:before="140" w:after="140" w:line="200" w:lineRule="exact"/>
      <w:outlineLvl w:val="6"/>
    </w:pPr>
    <w:rPr>
      <w:rFonts w:eastAsia="Times New Roman" w:cs="Times New Roman"/>
      <w:b/>
      <w:color w:val="808080"/>
      <w:sz w:val="16"/>
      <w:szCs w:val="24"/>
    </w:rPr>
  </w:style>
  <w:style w:type="paragraph" w:styleId="Heading8">
    <w:name w:val="heading 8"/>
    <w:basedOn w:val="Normal"/>
    <w:next w:val="Normal"/>
    <w:link w:val="Heading8Char"/>
    <w:rsid w:val="00E05D08"/>
    <w:pPr>
      <w:suppressAutoHyphens/>
      <w:spacing w:before="140" w:after="140" w:line="200" w:lineRule="exact"/>
      <w:outlineLvl w:val="7"/>
    </w:pPr>
    <w:rPr>
      <w:rFonts w:eastAsia="Times New Roman" w:cs="Times New Roman"/>
      <w:b/>
      <w:iCs/>
      <w:color w:val="808080"/>
      <w:sz w:val="16"/>
      <w:szCs w:val="24"/>
    </w:rPr>
  </w:style>
  <w:style w:type="paragraph" w:styleId="Heading9">
    <w:name w:val="heading 9"/>
    <w:basedOn w:val="Heading1"/>
    <w:next w:val="Normal"/>
    <w:link w:val="Heading9Char"/>
    <w:rsid w:val="00E05D08"/>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05D08"/>
    <w:rPr>
      <w:rFonts w:ascii="Arial" w:eastAsia="Times New Roman" w:hAnsi="Arial" w:cs="Arial"/>
      <w:b/>
      <w:bCs/>
      <w:kern w:val="32"/>
      <w:sz w:val="24"/>
      <w:szCs w:val="32"/>
      <w:lang w:val="fr-FR" w:eastAsia="fr-FR"/>
    </w:rPr>
  </w:style>
  <w:style w:type="character" w:customStyle="1" w:styleId="Heading2Char">
    <w:name w:val="Heading 2 Char"/>
    <w:aliases w:val="Titre B Char,no vale Char,Heading 2 Char1 Char,Heading 2 Char Char Char"/>
    <w:link w:val="Heading2"/>
    <w:uiPriority w:val="9"/>
    <w:rsid w:val="00E05D08"/>
    <w:rPr>
      <w:rFonts w:ascii="Arial" w:eastAsia="Times New Roman" w:hAnsi="Arial" w:cs="Arial"/>
      <w:b/>
      <w:bCs/>
      <w:iCs/>
      <w:szCs w:val="28"/>
      <w:lang w:val="fr-FR" w:eastAsia="fr-FR"/>
    </w:rPr>
  </w:style>
  <w:style w:type="character" w:customStyle="1" w:styleId="Heading3Char">
    <w:name w:val="Heading 3 Char"/>
    <w:aliases w:val="H3 Char,no vale1 Char,no vale1 Car Char"/>
    <w:link w:val="Heading3"/>
    <w:rsid w:val="00E05D08"/>
    <w:rPr>
      <w:rFonts w:ascii="Arial" w:eastAsia="Times New Roman" w:hAnsi="Arial" w:cs="Arial"/>
      <w:b/>
      <w:bCs/>
      <w:color w:val="5F5F5F"/>
      <w:sz w:val="20"/>
      <w:szCs w:val="26"/>
      <w:lang w:val="fr-FR" w:eastAsia="fr-FR"/>
    </w:rPr>
  </w:style>
  <w:style w:type="paragraph" w:styleId="ListParagraph">
    <w:name w:val="List Paragraph"/>
    <w:basedOn w:val="Normal"/>
    <w:uiPriority w:val="34"/>
    <w:qFormat/>
    <w:rsid w:val="00B421B9"/>
    <w:pPr>
      <w:ind w:left="720"/>
      <w:contextualSpacing/>
    </w:pPr>
  </w:style>
  <w:style w:type="character" w:customStyle="1" w:styleId="Heading5Char">
    <w:name w:val="Heading 5 Char"/>
    <w:link w:val="Heading5"/>
    <w:uiPriority w:val="99"/>
    <w:rsid w:val="00E05D08"/>
    <w:rPr>
      <w:rFonts w:ascii="Arial" w:eastAsia="Times New Roman" w:hAnsi="Arial" w:cs="Times New Roman"/>
      <w:b/>
      <w:bCs/>
      <w:iCs/>
      <w:color w:val="5F5F5F"/>
      <w:sz w:val="18"/>
      <w:szCs w:val="26"/>
      <w:lang w:val="fr-FR" w:eastAsia="fr-FR"/>
    </w:rPr>
  </w:style>
  <w:style w:type="character" w:customStyle="1" w:styleId="Heading6Char">
    <w:name w:val="Heading 6 Char"/>
    <w:link w:val="Heading6"/>
    <w:uiPriority w:val="99"/>
    <w:rsid w:val="00E05D08"/>
    <w:rPr>
      <w:rFonts w:ascii="Arial" w:eastAsia="Times New Roman" w:hAnsi="Arial" w:cs="Times New Roman"/>
      <w:b/>
      <w:bCs/>
      <w:color w:val="808080"/>
      <w:sz w:val="16"/>
      <w:lang w:val="fr-FR" w:eastAsia="fr-FR"/>
    </w:rPr>
  </w:style>
  <w:style w:type="character" w:customStyle="1" w:styleId="Heading7Char">
    <w:name w:val="Heading 7 Char"/>
    <w:link w:val="Heading7"/>
    <w:rsid w:val="00E05D08"/>
    <w:rPr>
      <w:rFonts w:ascii="Arial" w:eastAsia="Times New Roman" w:hAnsi="Arial" w:cs="Times New Roman"/>
      <w:b/>
      <w:color w:val="808080"/>
      <w:sz w:val="16"/>
      <w:szCs w:val="24"/>
      <w:lang w:val="fr-FR" w:eastAsia="fr-FR"/>
    </w:rPr>
  </w:style>
  <w:style w:type="character" w:customStyle="1" w:styleId="Heading8Char">
    <w:name w:val="Heading 8 Char"/>
    <w:link w:val="Heading8"/>
    <w:rsid w:val="00E05D08"/>
    <w:rPr>
      <w:rFonts w:ascii="Arial" w:eastAsia="Times New Roman" w:hAnsi="Arial" w:cs="Times New Roman"/>
      <w:b/>
      <w:iCs/>
      <w:color w:val="808080"/>
      <w:sz w:val="16"/>
      <w:szCs w:val="24"/>
      <w:lang w:val="fr-FR" w:eastAsia="fr-FR"/>
    </w:rPr>
  </w:style>
  <w:style w:type="character" w:customStyle="1" w:styleId="Heading9Char">
    <w:name w:val="Heading 9 Char"/>
    <w:link w:val="Heading9"/>
    <w:rsid w:val="00E05D08"/>
    <w:rPr>
      <w:rFonts w:ascii="Arial" w:eastAsia="Times New Roman" w:hAnsi="Arial" w:cs="Arial"/>
      <w:b/>
      <w:bCs/>
      <w:kern w:val="32"/>
      <w:sz w:val="24"/>
      <w:lang w:val="fr-FR" w:eastAsia="fr-FR"/>
    </w:rPr>
  </w:style>
  <w:style w:type="numbering" w:customStyle="1" w:styleId="NoList1">
    <w:name w:val="No List1"/>
    <w:next w:val="NoList"/>
    <w:uiPriority w:val="99"/>
    <w:semiHidden/>
    <w:unhideWhenUsed/>
    <w:rsid w:val="00E05D08"/>
  </w:style>
  <w:style w:type="paragraph" w:styleId="TOC1">
    <w:name w:val="toc 1"/>
    <w:basedOn w:val="Normal"/>
    <w:next w:val="Normal"/>
    <w:autoRedefine/>
    <w:uiPriority w:val="39"/>
    <w:unhideWhenUsed/>
    <w:rsid w:val="009837FF"/>
    <w:pPr>
      <w:spacing w:after="100"/>
      <w:ind w:left="567" w:hanging="567"/>
    </w:pPr>
    <w:rPr>
      <w:b/>
      <w:caps/>
    </w:rPr>
  </w:style>
  <w:style w:type="paragraph" w:styleId="TOC2">
    <w:name w:val="toc 2"/>
    <w:basedOn w:val="Normal"/>
    <w:next w:val="Normal"/>
    <w:autoRedefine/>
    <w:uiPriority w:val="39"/>
    <w:unhideWhenUsed/>
    <w:rsid w:val="002F11D9"/>
    <w:pPr>
      <w:spacing w:after="100"/>
      <w:ind w:left="567" w:hanging="567"/>
    </w:pPr>
  </w:style>
  <w:style w:type="paragraph" w:styleId="Footer">
    <w:name w:val="footer"/>
    <w:link w:val="FooterChar"/>
    <w:uiPriority w:val="99"/>
    <w:rsid w:val="00E05D08"/>
    <w:pPr>
      <w:tabs>
        <w:tab w:val="right" w:pos="8618"/>
      </w:tabs>
      <w:ind w:left="-907" w:right="-907"/>
      <w:jc w:val="center"/>
    </w:pPr>
    <w:rPr>
      <w:rFonts w:ascii="Arial" w:eastAsia="Times New Roman" w:hAnsi="Arial" w:cs="Times New Roman"/>
      <w:color w:val="373737"/>
      <w:sz w:val="22"/>
      <w:lang w:val="fr-FR" w:eastAsia="fr-FR"/>
    </w:rPr>
  </w:style>
  <w:style w:type="character" w:customStyle="1" w:styleId="FooterChar">
    <w:name w:val="Footer Char"/>
    <w:link w:val="Footer"/>
    <w:uiPriority w:val="99"/>
    <w:rsid w:val="00E05D08"/>
    <w:rPr>
      <w:rFonts w:ascii="Arial" w:eastAsia="Times New Roman" w:hAnsi="Arial" w:cs="Times New Roman"/>
      <w:color w:val="373737"/>
      <w:szCs w:val="20"/>
      <w:lang w:val="fr-FR" w:eastAsia="fr-FR"/>
    </w:rPr>
  </w:style>
  <w:style w:type="character" w:styleId="PageNumber">
    <w:name w:val="page number"/>
    <w:semiHidden/>
    <w:rsid w:val="00E05D08"/>
    <w:rPr>
      <w:rFonts w:ascii="Arial" w:hAnsi="Arial"/>
      <w:color w:val="808080"/>
      <w:sz w:val="18"/>
      <w:lang w:val="fr-FR" w:eastAsia="fr-FR"/>
    </w:rPr>
  </w:style>
  <w:style w:type="paragraph" w:customStyle="1" w:styleId="HTitle2">
    <w:name w:val="H_Title2"/>
    <w:basedOn w:val="Normal"/>
    <w:qFormat/>
    <w:rsid w:val="00E05D08"/>
    <w:pPr>
      <w:autoSpaceDE w:val="0"/>
      <w:autoSpaceDN w:val="0"/>
      <w:adjustRightInd w:val="0"/>
      <w:spacing w:after="120" w:line="280" w:lineRule="atLeast"/>
    </w:pPr>
    <w:rPr>
      <w:rFonts w:eastAsia="Times New Roman" w:cs="Times New Roman"/>
      <w:smallCaps/>
      <w:sz w:val="44"/>
      <w:szCs w:val="52"/>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lang w:val="fr-FR" w:eastAsia="fr-FR"/>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lang w:val="fr-FR" w:eastAsia="fr-FR"/>
    </w:rPr>
  </w:style>
  <w:style w:type="paragraph" w:customStyle="1" w:styleId="Hlistabc2">
    <w:name w:val="H_list_abc_2"/>
    <w:basedOn w:val="Hlistabc"/>
    <w:next w:val="HStandard"/>
    <w:rsid w:val="00E05D08"/>
    <w:pPr>
      <w:spacing w:after="140"/>
    </w:pPr>
  </w:style>
  <w:style w:type="paragraph" w:customStyle="1" w:styleId="HTitle1">
    <w:name w:val="H_Title1"/>
    <w:basedOn w:val="Normal"/>
    <w:rsid w:val="00E05D08"/>
    <w:pPr>
      <w:autoSpaceDE w:val="0"/>
      <w:autoSpaceDN w:val="0"/>
      <w:adjustRightInd w:val="0"/>
      <w:spacing w:after="120" w:line="280" w:lineRule="atLeast"/>
    </w:pPr>
    <w:rPr>
      <w:rFonts w:eastAsia="Times New Roman" w:cs="Times New Roman"/>
      <w:bCs/>
      <w:smallCaps/>
      <w:color w:val="F07E31"/>
      <w:sz w:val="60"/>
      <w:szCs w:val="32"/>
    </w:rPr>
  </w:style>
  <w:style w:type="paragraph" w:customStyle="1" w:styleId="Autor">
    <w:name w:val="Autor"/>
    <w:basedOn w:val="Normal"/>
    <w:rsid w:val="00E05D08"/>
    <w:pPr>
      <w:spacing w:after="0" w:line="280" w:lineRule="exact"/>
    </w:pPr>
    <w:rPr>
      <w:rFonts w:eastAsia="Times New Roman" w:cs="Times New Roman"/>
      <w:szCs w:val="24"/>
    </w:rPr>
  </w:style>
  <w:style w:type="paragraph" w:customStyle="1" w:styleId="HTitle3">
    <w:name w:val="H_Title3"/>
    <w:basedOn w:val="Autor"/>
    <w:rsid w:val="00E05D08"/>
    <w:rPr>
      <w:smallCaps/>
      <w:sz w:val="28"/>
    </w:rPr>
  </w:style>
  <w:style w:type="paragraph" w:styleId="TOC3">
    <w:name w:val="toc 3"/>
    <w:basedOn w:val="Normal"/>
    <w:next w:val="Normal"/>
    <w:autoRedefine/>
    <w:uiPriority w:val="39"/>
    <w:unhideWhenUsed/>
    <w:rsid w:val="009837FF"/>
    <w:pPr>
      <w:spacing w:after="100"/>
      <w:ind w:left="567" w:hanging="567"/>
    </w:pPr>
  </w:style>
  <w:style w:type="paragraph" w:styleId="TOC4">
    <w:name w:val="toc 4"/>
    <w:basedOn w:val="Normal"/>
    <w:next w:val="Normal"/>
    <w:autoRedefine/>
    <w:uiPriority w:val="39"/>
    <w:unhideWhenUsed/>
    <w:rsid w:val="002F11D9"/>
    <w:pPr>
      <w:keepLines/>
      <w:spacing w:after="100"/>
    </w:pPr>
    <w:rPr>
      <w:noProof/>
    </w:rPr>
  </w:style>
  <w:style w:type="paragraph" w:customStyle="1" w:styleId="Fuzeilequerformat">
    <w:name w:val="Fußzeile_querformat"/>
    <w:basedOn w:val="Footer"/>
    <w:rsid w:val="00E05D08"/>
    <w:pPr>
      <w:tabs>
        <w:tab w:val="clear" w:pos="8618"/>
        <w:tab w:val="right" w:pos="12871"/>
      </w:tabs>
    </w:pPr>
  </w:style>
  <w:style w:type="paragraph" w:styleId="TableofFigures">
    <w:name w:val="table of figures"/>
    <w:next w:val="HStandard"/>
    <w:uiPriority w:val="99"/>
    <w:rsid w:val="00E05D08"/>
    <w:pPr>
      <w:tabs>
        <w:tab w:val="left" w:pos="851"/>
        <w:tab w:val="right" w:leader="dot" w:pos="7711"/>
      </w:tabs>
      <w:suppressAutoHyphens/>
      <w:spacing w:before="60" w:line="280" w:lineRule="exact"/>
      <w:ind w:left="851" w:right="284" w:hanging="851"/>
    </w:pPr>
    <w:rPr>
      <w:rFonts w:ascii="Arial" w:eastAsia="Times New Roman" w:hAnsi="Arial" w:cs="Times New Roman"/>
      <w:lang w:val="fr-FR" w:eastAsia="fr-FR"/>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lang w:val="fr-FR" w:eastAsia="fr-FR"/>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ind w:left="1134" w:right="1134"/>
      <w:mirrorIndents/>
      <w:jc w:val="center"/>
    </w:pPr>
    <w:rPr>
      <w:rFonts w:ascii="Arial" w:eastAsia="Times New Roman" w:hAnsi="Arial" w:cs="Times New Roman"/>
      <w:i/>
      <w:color w:val="373737"/>
      <w:sz w:val="16"/>
      <w:lang w:val="fr-FR" w:eastAsia="fr-FR"/>
    </w:rPr>
  </w:style>
  <w:style w:type="paragraph" w:customStyle="1" w:styleId="Htableleft">
    <w:name w:val="H_table_left"/>
    <w:rsid w:val="00E05D08"/>
    <w:pPr>
      <w:suppressAutoHyphens/>
      <w:spacing w:before="40" w:after="40"/>
    </w:pPr>
    <w:rPr>
      <w:rFonts w:ascii="Arial" w:eastAsia="Times New Roman" w:hAnsi="Arial" w:cs="Times New Roman"/>
      <w:color w:val="373737"/>
      <w:sz w:val="18"/>
      <w:lang w:val="fr-FR" w:eastAsia="fr-FR"/>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F74459"/>
    <w:pPr>
      <w:spacing w:line="180" w:lineRule="exact"/>
    </w:pPr>
    <w:rPr>
      <w:rFonts w:ascii="Arial" w:eastAsia="Times New Roman" w:hAnsi="Arial" w:cs="Times New Roman"/>
      <w:color w:val="808080"/>
      <w:sz w:val="16"/>
      <w:lang w:val="fr-FR" w:eastAsia="fr-FR"/>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link w:val="FootnoteText"/>
    <w:uiPriority w:val="99"/>
    <w:rsid w:val="00F74459"/>
    <w:rPr>
      <w:rFonts w:ascii="Arial" w:eastAsia="Times New Roman" w:hAnsi="Arial" w:cs="Times New Roman"/>
      <w:color w:val="808080"/>
      <w:sz w:val="16"/>
      <w:szCs w:val="20"/>
      <w:lang w:val="fr-FR" w:eastAsia="fr-FR"/>
    </w:rPr>
  </w:style>
  <w:style w:type="paragraph" w:customStyle="1" w:styleId="Htablebullet">
    <w:name w:val="H_table_bullet"/>
    <w:basedOn w:val="Htableleft"/>
    <w:rsid w:val="00E05D08"/>
    <w:pPr>
      <w:numPr>
        <w:numId w:val="5"/>
      </w:numPr>
    </w:pPr>
  </w:style>
  <w:style w:type="paragraph" w:customStyle="1" w:styleId="HContent">
    <w:name w:val="H_Content"/>
    <w:basedOn w:val="Heading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mirrorIndents/>
      <w:outlineLvl w:val="0"/>
    </w:pPr>
    <w:rPr>
      <w:rFonts w:ascii="Arial" w:eastAsia="Times New Roman" w:hAnsi="Arial" w:cs="Times New Roman"/>
      <w:b/>
      <w:caps/>
      <w:color w:val="F07E31"/>
      <w:lang w:val="fr-FR" w:eastAsia="fr-FR"/>
    </w:rPr>
  </w:style>
  <w:style w:type="paragraph" w:customStyle="1" w:styleId="HHeading2">
    <w:name w:val="H_Heading 2"/>
    <w:next w:val="HStandard"/>
    <w:rsid w:val="00E05D08"/>
    <w:pPr>
      <w:keepNext/>
      <w:keepLines/>
      <w:tabs>
        <w:tab w:val="left" w:pos="567"/>
      </w:tabs>
      <w:spacing w:before="240" w:after="140" w:line="260" w:lineRule="exact"/>
      <w:mirrorIndents/>
      <w:outlineLvl w:val="1"/>
    </w:pPr>
    <w:rPr>
      <w:rFonts w:ascii="Arial" w:eastAsia="Times New Roman" w:hAnsi="Arial" w:cs="Times New Roman"/>
      <w:b/>
      <w:color w:val="373737"/>
      <w:lang w:val="fr-FR" w:eastAsia="fr-FR"/>
    </w:rPr>
  </w:style>
  <w:style w:type="paragraph" w:customStyle="1" w:styleId="HHeading3">
    <w:name w:val="H_Heading 3"/>
    <w:next w:val="HStandard"/>
    <w:rsid w:val="009B603C"/>
    <w:pPr>
      <w:keepNext/>
      <w:keepLines/>
      <w:tabs>
        <w:tab w:val="left" w:pos="567"/>
      </w:tabs>
      <w:spacing w:before="240" w:after="140" w:line="240" w:lineRule="exact"/>
      <w:mirrorIndents/>
      <w:outlineLvl w:val="2"/>
    </w:pPr>
    <w:rPr>
      <w:rFonts w:ascii="Arial" w:eastAsia="Times New Roman" w:hAnsi="Arial" w:cs="Times New Roman"/>
      <w:b/>
      <w:color w:val="F07E31"/>
      <w:lang w:val="fr-FR" w:eastAsia="fr-FR"/>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lang w:val="fr-FR" w:eastAsia="fr-FR"/>
    </w:rPr>
  </w:style>
  <w:style w:type="character" w:styleId="Hyperlink">
    <w:name w:val="Hyperlink"/>
    <w:uiPriority w:val="99"/>
    <w:rsid w:val="00E05D08"/>
    <w:rPr>
      <w:rFonts w:ascii="Arial" w:hAnsi="Arial"/>
      <w:color w:val="F07E31"/>
      <w:sz w:val="16"/>
      <w:u w:val="single"/>
      <w:lang w:val="fr-FR" w:eastAsia="fr-FR"/>
    </w:rPr>
  </w:style>
  <w:style w:type="paragraph" w:customStyle="1" w:styleId="HStandard">
    <w:name w:val="H_Standard"/>
    <w:rsid w:val="000E1D4B"/>
    <w:pPr>
      <w:spacing w:after="120" w:line="280" w:lineRule="atLeast"/>
      <w:jc w:val="both"/>
    </w:pPr>
    <w:rPr>
      <w:rFonts w:ascii="Arial" w:eastAsia="Times New Roman" w:hAnsi="Arial" w:cs="Times New Roman"/>
      <w:color w:val="373737"/>
      <w:lang w:val="fr-FR" w:eastAsia="fr-FR"/>
    </w:rPr>
  </w:style>
  <w:style w:type="paragraph" w:styleId="BalloonText">
    <w:name w:val="Balloon Text"/>
    <w:basedOn w:val="Normal"/>
    <w:link w:val="BalloonTextChar"/>
    <w:uiPriority w:val="99"/>
    <w:semiHidden/>
    <w:unhideWhenUsed/>
    <w:rsid w:val="00E05D08"/>
    <w:pPr>
      <w:spacing w:after="0" w:line="240" w:lineRule="auto"/>
    </w:pPr>
    <w:rPr>
      <w:rFonts w:ascii="Tahoma" w:eastAsia="Times New Roman" w:hAnsi="Tahoma" w:cs="Tahoma"/>
      <w:sz w:val="16"/>
      <w:szCs w:val="16"/>
    </w:rPr>
  </w:style>
  <w:style w:type="character" w:customStyle="1" w:styleId="BalloonTextChar">
    <w:name w:val="Balloon Text Char"/>
    <w:link w:val="BalloonText"/>
    <w:uiPriority w:val="99"/>
    <w:semiHidden/>
    <w:rsid w:val="00E05D08"/>
    <w:rPr>
      <w:rFonts w:ascii="Tahoma" w:eastAsia="Times New Roman" w:hAnsi="Tahoma" w:cs="Tahoma"/>
      <w:sz w:val="16"/>
      <w:szCs w:val="16"/>
      <w:lang w:val="fr-FR" w:eastAsia="fr-FR"/>
    </w:rPr>
  </w:style>
  <w:style w:type="table" w:styleId="TableGrid">
    <w:name w:val="Table Grid"/>
    <w:basedOn w:val="TableNormal"/>
    <w:uiPriority w:val="39"/>
    <w:rsid w:val="00E05D08"/>
    <w:rPr>
      <w:rFonts w:ascii="Times New Roman" w:eastAsia="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ind w:left="851" w:hanging="851"/>
    </w:pPr>
    <w:rPr>
      <w:rFonts w:ascii="Arial" w:eastAsia="Times New Roman" w:hAnsi="Arial" w:cs="Times New Roman"/>
      <w:b/>
      <w:color w:val="373737"/>
      <w:sz w:val="16"/>
      <w:lang w:val="fr-FR" w:eastAsia="fr-FR"/>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lang w:val="fr-FR" w:eastAsia="fr-FR"/>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ind w:left="363" w:hanging="284"/>
      <w:jc w:val="both"/>
    </w:pPr>
    <w:rPr>
      <w:rFonts w:ascii="Arial" w:eastAsia="Times New Roman" w:hAnsi="Arial" w:cs="Times New Roman"/>
      <w:color w:val="373737"/>
      <w:lang w:val="fr-FR" w:eastAsia="fr-FR"/>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val="fr-FR" w:eastAsia="fr-FR"/>
    </w:rPr>
  </w:style>
  <w:style w:type="character" w:styleId="SubtleReference">
    <w:name w:val="Subtle Reference"/>
    <w:uiPriority w:val="31"/>
    <w:qFormat/>
    <w:rsid w:val="00C37C7A"/>
    <w:rPr>
      <w:rFonts w:eastAsia="Times New Roman" w:cs="Times New Roman"/>
      <w:szCs w:val="20"/>
      <w:lang w:val="fr-FR" w:eastAsia="fr-FR"/>
    </w:rPr>
  </w:style>
  <w:style w:type="table" w:customStyle="1" w:styleId="TableGrid1">
    <w:name w:val="Table Grid1"/>
    <w:basedOn w:val="TableNormal"/>
    <w:next w:val="TableGrid"/>
    <w:uiPriority w:val="39"/>
    <w:rsid w:val="00E05D08"/>
    <w:rPr>
      <w:rFonts w:eastAsia="Times New Roman"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CommentSubject">
    <w:name w:val="annotation subject"/>
    <w:basedOn w:val="Normal"/>
    <w:next w:val="Normal"/>
    <w:link w:val="CommentSubjectChar"/>
    <w:uiPriority w:val="99"/>
    <w:semiHidden/>
    <w:unhideWhenUsed/>
    <w:rsid w:val="00C37C7A"/>
    <w:pPr>
      <w:spacing w:before="60" w:after="140" w:line="240" w:lineRule="auto"/>
    </w:pPr>
    <w:rPr>
      <w:rFonts w:eastAsia="Times New Roman" w:cs="Times New Roman"/>
      <w:b/>
      <w:bCs/>
      <w:szCs w:val="20"/>
    </w:rPr>
  </w:style>
  <w:style w:type="character" w:customStyle="1" w:styleId="CommentSubjectChar">
    <w:name w:val="Comment Subject Char"/>
    <w:link w:val="CommentSubject"/>
    <w:uiPriority w:val="99"/>
    <w:semiHidden/>
    <w:rsid w:val="00C37C7A"/>
    <w:rPr>
      <w:rFonts w:ascii="Arial" w:eastAsia="Times New Roman" w:hAnsi="Arial" w:cs="Times New Roman"/>
      <w:b/>
      <w:bCs/>
      <w:sz w:val="20"/>
      <w:szCs w:val="20"/>
      <w:lang w:val="fr-FR" w:eastAsia="fr-FR"/>
    </w:rPr>
  </w:style>
  <w:style w:type="paragraph" w:customStyle="1" w:styleId="Normal12PTcouleurgris">
    <w:name w:val="Normal + 12PT couleur gris"/>
    <w:basedOn w:val="Normal"/>
    <w:qFormat/>
    <w:rsid w:val="00E05D08"/>
    <w:pPr>
      <w:spacing w:after="0" w:line="280" w:lineRule="atLeast"/>
    </w:pPr>
    <w:rPr>
      <w:rFonts w:eastAsia="Times New Roman" w:cs="Arial"/>
      <w:szCs w:val="18"/>
    </w:rPr>
  </w:style>
  <w:style w:type="numbering" w:customStyle="1" w:styleId="MaListe">
    <w:name w:val="MaListe"/>
    <w:uiPriority w:val="99"/>
    <w:rsid w:val="00E05D08"/>
  </w:style>
  <w:style w:type="character" w:styleId="HTMLCite">
    <w:name w:val="HTML Cite"/>
    <w:uiPriority w:val="99"/>
    <w:semiHidden/>
    <w:rsid w:val="00E05D08"/>
    <w:rPr>
      <w:i/>
      <w:lang w:val="fr-FR" w:eastAsia="fr-FR"/>
    </w:rPr>
  </w:style>
  <w:style w:type="paragraph" w:styleId="Subtitle">
    <w:name w:val="Subtitle"/>
    <w:basedOn w:val="Normal"/>
    <w:link w:val="SubtitleChar"/>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rPr>
  </w:style>
  <w:style w:type="character" w:customStyle="1" w:styleId="SubtitleChar">
    <w:name w:val="Subtitle Char"/>
    <w:link w:val="Subtitle"/>
    <w:uiPriority w:val="99"/>
    <w:rsid w:val="00E05D08"/>
    <w:rPr>
      <w:rFonts w:ascii="Helvetica" w:eastAsia="Times New Roman" w:hAnsi="Helvetica" w:cs="Times New Roman"/>
      <w:b/>
      <w:snapToGrid w:val="0"/>
      <w:color w:val="9B3930"/>
      <w:sz w:val="16"/>
      <w:szCs w:val="16"/>
      <w:lang w:val="fr-FR" w:eastAsia="fr-FR"/>
    </w:rPr>
  </w:style>
  <w:style w:type="character" w:styleId="Emphasis">
    <w:name w:val="Emphasis"/>
    <w:uiPriority w:val="20"/>
    <w:qFormat/>
    <w:rsid w:val="00E05D08"/>
    <w:rPr>
      <w:i/>
      <w:lang w:val="fr-FR" w:eastAsia="fr-FR"/>
    </w:rPr>
  </w:style>
  <w:style w:type="character" w:customStyle="1" w:styleId="Heading4Char">
    <w:name w:val="Heading 4 Char"/>
    <w:aliases w:val="Heading 4 Char1 Char,Título 4 Car Char,Heading 4 Char1 Car Char,no vale 2 Char,no vale 2 Car Char"/>
    <w:link w:val="Heading4"/>
    <w:uiPriority w:val="99"/>
    <w:locked/>
    <w:rsid w:val="00E05D08"/>
    <w:rPr>
      <w:rFonts w:ascii="Arial" w:eastAsia="Times New Roman" w:hAnsi="Arial" w:cs="Times New Roman"/>
      <w:b/>
      <w:bCs/>
      <w:color w:val="5F5F5F"/>
      <w:sz w:val="18"/>
      <w:szCs w:val="28"/>
      <w:lang w:val="fr-FR" w:eastAsia="fr-FR"/>
    </w:rPr>
  </w:style>
  <w:style w:type="character" w:styleId="FollowedHyperlink">
    <w:name w:val="FollowedHyperlink"/>
    <w:uiPriority w:val="99"/>
    <w:semiHidden/>
    <w:rsid w:val="00E05D08"/>
    <w:rPr>
      <w:rFonts w:cs="Times New Roman"/>
      <w:color w:val="800080"/>
      <w:u w:val="single"/>
      <w:lang w:val="fr-FR" w:eastAsia="fr-FR"/>
    </w:rPr>
  </w:style>
  <w:style w:type="paragraph" w:customStyle="1" w:styleId="Style">
    <w:name w:val="Style"/>
    <w:uiPriority w:val="99"/>
    <w:rsid w:val="00E05D08"/>
    <w:rPr>
      <w:rFonts w:eastAsia="Times New Roman" w:cs="Times New Roman"/>
      <w:sz w:val="24"/>
      <w:szCs w:val="24"/>
      <w:lang w:val="fr-FR" w:eastAsia="fr-FR"/>
    </w:rPr>
  </w:style>
  <w:style w:type="table" w:customStyle="1" w:styleId="Tabellenraster11">
    <w:name w:val="Tabellenraster11"/>
    <w:uiPriority w:val="99"/>
    <w:rsid w:val="00E05D08"/>
    <w:rPr>
      <w:rFonts w:eastAsia="Times New Roman" w:cs="Times New Roman"/>
      <w:sz w:val="22"/>
      <w:szCs w:val="22"/>
      <w:lang w:val="fr-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
    <w:next w:val="Normal"/>
    <w:link w:val="QuoteChar"/>
    <w:uiPriority w:val="99"/>
    <w:rsid w:val="00E05D08"/>
    <w:pPr>
      <w:spacing w:after="120" w:line="280" w:lineRule="atLeast"/>
    </w:pPr>
    <w:rPr>
      <w:rFonts w:ascii="Helvetica" w:eastAsia="Times New Roman" w:hAnsi="Helvetica" w:cs="Times New Roman"/>
      <w:i/>
      <w:iCs/>
      <w:snapToGrid w:val="0"/>
      <w:color w:val="000000"/>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val="fr-FR" w:eastAsia="fr-FR"/>
    </w:rPr>
  </w:style>
  <w:style w:type="numbering" w:styleId="111111">
    <w:name w:val="Outline List 2"/>
    <w:basedOn w:val="NoList"/>
    <w:uiPriority w:val="99"/>
    <w:rsid w:val="00E05D08"/>
  </w:style>
  <w:style w:type="paragraph" w:customStyle="1" w:styleId="Revision1">
    <w:name w:val="Revision1"/>
    <w:hidden/>
    <w:uiPriority w:val="99"/>
    <w:semiHidden/>
    <w:rsid w:val="00E05D08"/>
    <w:rPr>
      <w:rFonts w:ascii="Arial" w:eastAsia="Times New Roman" w:hAnsi="Arial" w:cs="Times New Roman"/>
      <w:szCs w:val="22"/>
      <w:lang w:val="fr-FR" w:eastAsia="fr-FR"/>
    </w:rPr>
  </w:style>
  <w:style w:type="paragraph" w:customStyle="1" w:styleId="TOCHeading2">
    <w:name w:val="TOC Heading2"/>
    <w:basedOn w:val="Heading1"/>
    <w:next w:val="Normal"/>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sz w:val="28"/>
      <w:szCs w:val="28"/>
    </w:rPr>
  </w:style>
  <w:style w:type="paragraph" w:styleId="Revision">
    <w:name w:val="Revision"/>
    <w:hidden/>
    <w:uiPriority w:val="99"/>
    <w:semiHidden/>
    <w:rsid w:val="00E05D08"/>
    <w:rPr>
      <w:rFonts w:ascii="Arial" w:eastAsia="Times New Roman" w:hAnsi="Arial" w:cs="Times New Roman"/>
      <w:szCs w:val="22"/>
      <w:lang w:val="fr-FR" w:eastAsia="fr-FR"/>
    </w:rPr>
  </w:style>
  <w:style w:type="paragraph" w:customStyle="1" w:styleId="Red2Red">
    <w:name w:val="Red2Red"/>
    <w:basedOn w:val="Normal"/>
    <w:link w:val="Red2RedCar"/>
    <w:uiPriority w:val="99"/>
    <w:qFormat/>
    <w:rsid w:val="00E05D08"/>
    <w:pPr>
      <w:spacing w:before="60" w:after="60" w:line="288" w:lineRule="auto"/>
    </w:pPr>
    <w:rPr>
      <w:rFonts w:ascii="Helvetica" w:eastAsia="Times New Roman" w:hAnsi="Helvetica" w:cs="Times New Roman"/>
      <w:sz w:val="32"/>
      <w:szCs w:val="24"/>
    </w:rPr>
  </w:style>
  <w:style w:type="character" w:customStyle="1" w:styleId="Red2RedCar">
    <w:name w:val="Red2Red Car"/>
    <w:link w:val="Red2Red"/>
    <w:uiPriority w:val="99"/>
    <w:rsid w:val="00E05D08"/>
    <w:rPr>
      <w:rFonts w:ascii="Helvetica" w:eastAsia="Times New Roman" w:hAnsi="Helvetica" w:cs="Times New Roman"/>
      <w:sz w:val="32"/>
      <w:szCs w:val="24"/>
      <w:lang w:val="fr-FR" w:eastAsia="fr-FR"/>
    </w:rPr>
  </w:style>
  <w:style w:type="table" w:customStyle="1" w:styleId="MediumShading2-Accent31">
    <w:name w:val="Medium Shading 2 - Accent 31"/>
    <w:basedOn w:val="TableNormal"/>
    <w:next w:val="MediumShading2-Accent3"/>
    <w:uiPriority w:val="64"/>
    <w:rsid w:val="00E05D08"/>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TableNormal"/>
    <w:next w:val="MediumShading1-Accent3"/>
    <w:uiPriority w:val="63"/>
    <w:rsid w:val="00E05D08"/>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
    <w:qFormat/>
    <w:rsid w:val="00E05D08"/>
    <w:pPr>
      <w:spacing w:after="120" w:line="280" w:lineRule="atLeast"/>
    </w:pPr>
    <w:rPr>
      <w:rFonts w:ascii="Helvetica" w:eastAsia="Times New Roman" w:hAnsi="Helvetica" w:cs="Arial"/>
      <w:bCs/>
      <w:smallCaps/>
      <w:color w:val="DF6532"/>
      <w:sz w:val="44"/>
      <w:szCs w:val="44"/>
    </w:rPr>
  </w:style>
  <w:style w:type="paragraph" w:customStyle="1" w:styleId="H-Table">
    <w:name w:val="H-Table"/>
    <w:next w:val="Normal"/>
    <w:uiPriority w:val="99"/>
    <w:qFormat/>
    <w:rsid w:val="00E05D08"/>
    <w:pPr>
      <w:numPr>
        <w:numId w:val="37"/>
      </w:numPr>
      <w:ind w:left="510" w:hanging="510"/>
    </w:pPr>
    <w:rPr>
      <w:rFonts w:ascii="Helvetica" w:eastAsia="Times New Roman" w:hAnsi="Helvetica" w:cs="Times New Roman"/>
      <w:b/>
      <w:bCs/>
      <w:color w:val="6F6F6F"/>
      <w:sz w:val="16"/>
      <w:lang w:val="fr-FR" w:eastAsia="fr-FR"/>
    </w:rPr>
  </w:style>
  <w:style w:type="table" w:customStyle="1" w:styleId="Grilledutableau1">
    <w:name w:val="Grille du tableau1"/>
    <w:basedOn w:val="TableNormal"/>
    <w:next w:val="TableGrid"/>
    <w:uiPriority w:val="59"/>
    <w:rsid w:val="00E05D08"/>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Normal"/>
    <w:next w:val="TableNormal"/>
    <w:uiPriority w:val="40"/>
    <w:rsid w:val="00E05D08"/>
    <w:rPr>
      <w:rFonts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LineNumber">
    <w:name w:val="line number"/>
    <w:basedOn w:val="DefaultParagraphFont"/>
    <w:semiHidden/>
    <w:unhideWhenUsed/>
    <w:rsid w:val="00E05D08"/>
  </w:style>
  <w:style w:type="character" w:customStyle="1" w:styleId="Erwhnung1">
    <w:name w:val="Erwähnung1"/>
    <w:uiPriority w:val="99"/>
    <w:semiHidden/>
    <w:unhideWhenUsed/>
    <w:rsid w:val="00E05D08"/>
    <w:rPr>
      <w:color w:val="2B579A"/>
      <w:lang w:val="fr-FR" w:eastAsia="fr-FR"/>
    </w:rPr>
  </w:style>
  <w:style w:type="character" w:customStyle="1" w:styleId="Erwhnung2">
    <w:name w:val="Erwähnung2"/>
    <w:uiPriority w:val="99"/>
    <w:semiHidden/>
    <w:unhideWhenUsed/>
    <w:rsid w:val="00E05D08"/>
    <w:rPr>
      <w:color w:val="2B579A"/>
      <w:lang w:val="fr-FR" w:eastAsia="fr-FR"/>
    </w:rPr>
  </w:style>
  <w:style w:type="table" w:customStyle="1" w:styleId="TableGrid2">
    <w:name w:val="Table Grid2"/>
    <w:basedOn w:val="TableNormal"/>
    <w:next w:val="TableGrid"/>
    <w:uiPriority w:val="39"/>
    <w:rsid w:val="00E05D08"/>
    <w:rPr>
      <w:rFonts w:eastAsia="Times New Roman"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style>
  <w:style w:type="table" w:customStyle="1" w:styleId="TableGrid3">
    <w:name w:val="Table Grid3"/>
    <w:basedOn w:val="TableNormal"/>
    <w:next w:val="TableGrid"/>
    <w:uiPriority w:val="39"/>
    <w:rsid w:val="00E05D08"/>
    <w:rPr>
      <w:rFonts w:eastAsia="Times New Roman"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Header">
    <w:name w:val="header"/>
    <w:basedOn w:val="Normal"/>
    <w:link w:val="HeaderChar"/>
    <w:uiPriority w:val="99"/>
    <w:unhideWhenUsed/>
    <w:rsid w:val="009837FF"/>
    <w:pPr>
      <w:tabs>
        <w:tab w:val="center" w:pos="4513"/>
        <w:tab w:val="right" w:pos="9026"/>
      </w:tabs>
      <w:spacing w:after="0" w:line="240" w:lineRule="auto"/>
    </w:pPr>
    <w:rPr>
      <w:color w:val="F07E31"/>
      <w:sz w:val="18"/>
    </w:rPr>
  </w:style>
  <w:style w:type="character" w:customStyle="1" w:styleId="HeaderChar">
    <w:name w:val="Header Char"/>
    <w:link w:val="Header"/>
    <w:uiPriority w:val="99"/>
    <w:rsid w:val="009837FF"/>
    <w:rPr>
      <w:rFonts w:ascii="Arial" w:hAnsi="Arial"/>
      <w:color w:val="F07E31"/>
      <w:sz w:val="18"/>
      <w:lang w:val="fr-FR" w:eastAsia="fr-FR"/>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unhideWhenUsed/>
    <w:rsid w:val="00E05D08"/>
    <w:rPr>
      <w:vertAlign w:val="superscript"/>
      <w:lang w:val="fr-FR" w:eastAsia="fr-FR"/>
    </w:rPr>
  </w:style>
  <w:style w:type="table" w:styleId="MediumShading2-Accent3">
    <w:name w:val="Medium Shading 2 Accent 3"/>
    <w:basedOn w:val="TableNormal"/>
    <w:uiPriority w:val="64"/>
    <w:semiHidden/>
    <w:unhideWhenUsed/>
    <w:rsid w:val="00E05D0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styleId="MediumShading1-Accent3">
    <w:name w:val="Medium Shading 1 Accent 3"/>
    <w:basedOn w:val="TableNormal"/>
    <w:uiPriority w:val="63"/>
    <w:semiHidden/>
    <w:unhideWhenUsed/>
    <w:rsid w:val="00E05D08"/>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numbering" w:customStyle="1" w:styleId="NoList2">
    <w:name w:val="No List2"/>
    <w:next w:val="NoList"/>
    <w:uiPriority w:val="99"/>
    <w:semiHidden/>
    <w:unhideWhenUsed/>
    <w:rsid w:val="00E05D08"/>
  </w:style>
  <w:style w:type="numbering" w:customStyle="1" w:styleId="MaListe2">
    <w:name w:val="MaListe2"/>
    <w:uiPriority w:val="99"/>
    <w:rsid w:val="00E05D08"/>
  </w:style>
  <w:style w:type="numbering" w:customStyle="1" w:styleId="1111111">
    <w:name w:val="1 / 1.1 / 1.1.11"/>
    <w:basedOn w:val="NoList"/>
    <w:next w:val="111111"/>
    <w:uiPriority w:val="99"/>
    <w:rsid w:val="00E05D08"/>
  </w:style>
  <w:style w:type="table" w:customStyle="1" w:styleId="MediumShading2-Accent32">
    <w:name w:val="Medium Shading 2 - Accent 32"/>
    <w:basedOn w:val="TableNormal"/>
    <w:next w:val="MediumShading2-Accent3"/>
    <w:uiPriority w:val="64"/>
    <w:rsid w:val="00E05D08"/>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TableNormal"/>
    <w:next w:val="MediumShading1-Accent3"/>
    <w:uiPriority w:val="63"/>
    <w:rsid w:val="00E05D08"/>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TableNormal"/>
    <w:next w:val="MediumShading1-Accent3"/>
    <w:uiPriority w:val="63"/>
    <w:rsid w:val="00E05D08"/>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TableNormal"/>
    <w:rsid w:val="00E05D08"/>
    <w:rPr>
      <w:rFonts w:ascii="Times New Roman" w:eastAsia="Times New Roman" w:hAnsi="Times New Roman" w:cs="Times New Roman"/>
      <w:lang w:val="fr-BE"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style>
  <w:style w:type="character" w:styleId="UnresolvedMention">
    <w:name w:val="Unresolved Mention"/>
    <w:uiPriority w:val="99"/>
    <w:semiHidden/>
    <w:unhideWhenUsed/>
    <w:rsid w:val="00E05D08"/>
    <w:rPr>
      <w:color w:val="808080"/>
      <w:lang w:val="fr-FR" w:eastAsia="fr-FR"/>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link w:val="CommentText"/>
    <w:uiPriority w:val="99"/>
    <w:semiHidden/>
    <w:rPr>
      <w:rFonts w:ascii="Arial" w:hAnsi="Arial"/>
      <w:color w:val="373737"/>
      <w:sz w:val="20"/>
      <w:szCs w:val="20"/>
      <w:lang w:val="fr-FR" w:eastAsia="fr-FR"/>
    </w:rPr>
  </w:style>
  <w:style w:type="character" w:styleId="CommentReference">
    <w:name w:val="annotation reference"/>
    <w:uiPriority w:val="99"/>
    <w:semiHidden/>
    <w:unhideWhenUsed/>
    <w:rPr>
      <w:sz w:val="16"/>
      <w:szCs w:val="16"/>
      <w:lang w:val="fr-FR" w:eastAsia="fr-FR"/>
    </w:rPr>
  </w:style>
  <w:style w:type="paragraph" w:customStyle="1" w:styleId="H-Standard">
    <w:name w:val="H-Standard"/>
    <w:basedOn w:val="Normal12PTcouleurgris"/>
    <w:qFormat/>
    <w:rsid w:val="00863DB0"/>
    <w:pPr>
      <w:spacing w:after="120"/>
    </w:pPr>
    <w:rPr>
      <w:rFonts w:eastAsia="Calibr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10.emf"/><Relationship Id="rId34" Type="http://schemas.openxmlformats.org/officeDocument/2006/relationships/hyperlink" Target="http://enrd.ec.europa.eu/news-events/events/enrd-workshop-measure-16-cooperation_fr" TargetMode="External"/><Relationship Id="rId42" Type="http://schemas.openxmlformats.org/officeDocument/2006/relationships/hyperlink" Target="http://enrd.ec.europa.eu/news-events/events/enrd-workshop-measure-16-cooperation_fr" TargetMode="External"/><Relationship Id="rId47" Type="http://schemas.openxmlformats.org/officeDocument/2006/relationships/hyperlink" Target="http://enrd.ec.europa.eu/enrd-static/app_templates/enrd_assets/pdf/guidebook/nrn_handbook_webversion.pdf" TargetMode="External"/><Relationship Id="rId50" Type="http://schemas.openxmlformats.org/officeDocument/2006/relationships/hyperlink" Target="http://enrd.ec.europa.eu/enrd-static/evaluation/good-practices-workshops/national-rural-networks/en/national-rural-networks_en.html" TargetMode="External"/><Relationship Id="rId55" Type="http://schemas.openxmlformats.org/officeDocument/2006/relationships/hyperlink" Target="http://enrd.ec.europa.eu/enrd-static/evaluation/good-practices-workshops/national-rural-networks/en/national-rural-networks_en.html" TargetMode="External"/><Relationship Id="rId63" Type="http://schemas.openxmlformats.org/officeDocument/2006/relationships/hyperlink" Target="http://www.men-d.de/index.php?id=81&amp;tx_ttnews%5btt_news%5d=150&amp;tx_ttnews%5bbackPid%5d=85&amp;cHash=41ecd4ea5c" TargetMode="External"/><Relationship Id="rId68" Type="http://schemas.openxmlformats.org/officeDocument/2006/relationships/hyperlink" Target="https://enrd.ec.europa.eu/sites/enrd/files/uploaded-files/wp_evaluation_questions_2015.pdf" TargetMode="External"/><Relationship Id="rId76" Type="http://schemas.openxmlformats.org/officeDocument/2006/relationships/hyperlink" Target="http://asq.org/quality-progress/2007/07/statistics/likert-scales-and-data-analyses.html" TargetMode="External"/><Relationship Id="rId84" Type="http://schemas.openxmlformats.org/officeDocument/2006/relationships/hyperlink" Target="http://asq.org/quality-progress/2007/07/statistics/likert-scales-and-data-analyses.html" TargetMode="External"/><Relationship Id="rId89" Type="http://schemas.openxmlformats.org/officeDocument/2006/relationships/hyperlink" Target="http://journals.sagepub.com/doi/abs/10.1177/1356389012451663" TargetMode="External"/><Relationship Id="rId97" Type="http://schemas.openxmlformats.org/officeDocument/2006/relationships/hyperlink" Target="https://ec.europa.eu/eip/agriculture/en/content/innovation-support-services" TargetMode="External"/><Relationship Id="rId7" Type="http://schemas.openxmlformats.org/officeDocument/2006/relationships/endnotes" Target="endnotes.xml"/><Relationship Id="rId71" Type="http://schemas.openxmlformats.org/officeDocument/2006/relationships/hyperlink" Target="http://www.hnvlink.eu/" TargetMode="External"/><Relationship Id="rId92" Type="http://schemas.openxmlformats.org/officeDocument/2006/relationships/hyperlink" Target="http://ec.europa.eu/eip/agriculture/sites/agri-eip/files/16_measure_fiche_art_35_co-operation.pdf"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3.xml"/><Relationship Id="rId11" Type="http://schemas.openxmlformats.org/officeDocument/2006/relationships/image" Target="media/image2.jpeg"/><Relationship Id="rId24" Type="http://schemas.openxmlformats.org/officeDocument/2006/relationships/hyperlink" Target="https://enrd.ec.europa.eu/sites/enrd/files/uploaded-files/wp_evaluation_questions_2015.pdf" TargetMode="External"/><Relationship Id="rId32" Type="http://schemas.openxmlformats.org/officeDocument/2006/relationships/image" Target="media/image15.jpeg"/><Relationship Id="rId37" Type="http://schemas.openxmlformats.org/officeDocument/2006/relationships/image" Target="media/image16.emf"/><Relationship Id="rId40" Type="http://schemas.openxmlformats.org/officeDocument/2006/relationships/hyperlink" Target="http://enrd.ec.europa.eu/news-events/events/enrd-workshop-measure-16-cooperation_fr" TargetMode="External"/><Relationship Id="rId45" Type="http://schemas.openxmlformats.org/officeDocument/2006/relationships/hyperlink" Target="https://enrd.ec.europa.eu/evaluation/publications/guidelines-evaluation-national-rural-networks-2014-2020_en" TargetMode="External"/><Relationship Id="rId53" Type="http://schemas.openxmlformats.org/officeDocument/2006/relationships/hyperlink" Target="https://enrd.ec.europa.eu/sites/enrd/files/twg-02-nrn-july2016.pdf" TargetMode="External"/><Relationship Id="rId58" Type="http://schemas.openxmlformats.org/officeDocument/2006/relationships/hyperlink" Target="http://www.men-d.de/uploads/media/MEN-D_Jahresveranstaltung_2017.pdf" TargetMode="External"/><Relationship Id="rId66" Type="http://schemas.openxmlformats.org/officeDocument/2006/relationships/header" Target="header3.xml"/><Relationship Id="rId74" Type="http://schemas.openxmlformats.org/officeDocument/2006/relationships/header" Target="header4.xml"/><Relationship Id="rId79" Type="http://schemas.openxmlformats.org/officeDocument/2006/relationships/hyperlink" Target="https://www.gao.gov/products/GAO/PEMD-10.1.9" TargetMode="External"/><Relationship Id="rId87" Type="http://schemas.openxmlformats.org/officeDocument/2006/relationships/hyperlink" Target="https://www.gao.gov/products/GAO/PEMD-10.1.9" TargetMode="External"/><Relationship Id="rId5" Type="http://schemas.openxmlformats.org/officeDocument/2006/relationships/webSettings" Target="webSettings.xml"/><Relationship Id="rId61" Type="http://schemas.openxmlformats.org/officeDocument/2006/relationships/hyperlink" Target="http://ec.europa.eu/eurostat/statistics-explained/index.php/Smarter,_greener,_more_inclusive_-_indicators_to_support_the_Europe_2020_strategy" TargetMode="External"/><Relationship Id="rId82" Type="http://schemas.openxmlformats.org/officeDocument/2006/relationships/hyperlink" Target="https://www.ncbi.nlm.nih.gov/pubmed/16053581" TargetMode="External"/><Relationship Id="rId90" Type="http://schemas.openxmlformats.org/officeDocument/2006/relationships/hyperlink" Target="https://www.ncbi.nlm.nih.gov/pubmed/16053581" TargetMode="External"/><Relationship Id="rId95" Type="http://schemas.openxmlformats.org/officeDocument/2006/relationships/hyperlink" Target="https://ec.europa.eu/eip/agriculture/en/content/innovation-support-services" TargetMode="Externa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header" Target="header2.xml"/><Relationship Id="rId30" Type="http://schemas.openxmlformats.org/officeDocument/2006/relationships/footer" Target="footer4.xml"/><Relationship Id="rId35" Type="http://schemas.openxmlformats.org/officeDocument/2006/relationships/hyperlink" Target="https://enrd.ec.europa.eu/evaluation/publications/guidelines-assessment-rdp-results-how-prepare-reporting-evaluation-2017_fr" TargetMode="External"/><Relationship Id="rId43" Type="http://schemas.openxmlformats.org/officeDocument/2006/relationships/image" Target="media/image17.emf"/><Relationship Id="rId48" Type="http://schemas.openxmlformats.org/officeDocument/2006/relationships/hyperlink" Target="https://enrd.ec.europa.eu/sites/enrd/files/twg-02-nrn-july2016.pdf" TargetMode="External"/><Relationship Id="rId56" Type="http://schemas.openxmlformats.org/officeDocument/2006/relationships/hyperlink" Target="https://enrd.ec.europa.eu/sites/enrd/files/uploaded-files/wp_evaluation_questions_2015.pdf" TargetMode="External"/><Relationship Id="rId64" Type="http://schemas.openxmlformats.org/officeDocument/2006/relationships/hyperlink" Target="http://www.men-d.de/index.php?id=81&amp;tx_ttnews%5btt_news%5d=195&amp;tx_ttnews%5bbackPid%5d=85&amp;cHash=08539b2ad7" TargetMode="External"/><Relationship Id="rId69" Type="http://schemas.openxmlformats.org/officeDocument/2006/relationships/hyperlink" Target="http://www.hnvlink.eu/" TargetMode="External"/><Relationship Id="rId77" Type="http://schemas.openxmlformats.org/officeDocument/2006/relationships/hyperlink" Target="https://www.cambridge.org/core/journals/ps-political-science-and-politics/article/understanding-process-tracing/183A057AD6A36783E678CB37440346D1" TargetMode="External"/><Relationship Id="rId100" Type="http://schemas.openxmlformats.org/officeDocument/2006/relationships/fontTable" Target="fontTable.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s://enrd.ec.europa.eu/evaluation/publications/guidelines-assessment-rdp-results-how-prepare-reporting-evaluation-2017_fr" TargetMode="External"/><Relationship Id="rId72" Type="http://schemas.openxmlformats.org/officeDocument/2006/relationships/hyperlink" Target="http://www.hnvlink.eu/download/D1.3BAcomplete.pdf" TargetMode="External"/><Relationship Id="rId80" Type="http://schemas.openxmlformats.org/officeDocument/2006/relationships/hyperlink" Target="http://www.tandfonline.com/doi/abs/10.1080/135467896394447" TargetMode="External"/><Relationship Id="rId85" Type="http://schemas.openxmlformats.org/officeDocument/2006/relationships/hyperlink" Target="https://www.cambridge.org/core/journals/ps-political-science-and-politics/article/understanding-process-tracing/183A057AD6A36783E678CB37440346D1" TargetMode="External"/><Relationship Id="rId93" Type="http://schemas.openxmlformats.org/officeDocument/2006/relationships/hyperlink" Target="https://ec.europa.eu/research/innovation-union/pdf/innovation-union-communication_fr.pdf" TargetMode="External"/><Relationship Id="rId98" Type="http://schemas.openxmlformats.org/officeDocument/2006/relationships/hyperlink" Target="http://enrd.ec.europa.eu/enrd-static/app_templates/enrd_assets/pdf/guidebook/nrn_handbook_webversion.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hyperlink" Target="https://enrd.ec.europa.eu/evaluation/publications/guidelines-assessment-rdp-results-how-prepare-reporting-evaluation-2017_fr" TargetMode="External"/><Relationship Id="rId33" Type="http://schemas.openxmlformats.org/officeDocument/2006/relationships/hyperlink" Target="https://enrd.ec.europa.eu/evaluation/publications/guidelines-assessment-rdp-results-how-prepare-reporting-evaluation-2017_fr" TargetMode="External"/><Relationship Id="rId38" Type="http://schemas.openxmlformats.org/officeDocument/2006/relationships/hyperlink" Target="https://enrd.ec.europa.eu/evaluation/publications/guidelines-assessment-rdp-results-how-prepare-reporting-evaluation-2017_fr" TargetMode="External"/><Relationship Id="rId46" Type="http://schemas.openxmlformats.org/officeDocument/2006/relationships/hyperlink" Target="https://enrd.ec.europa.eu/evaluation/publications/guidelines-assessment-rdp-results-how-prepare-reporting-evaluation-2017_fr" TargetMode="External"/><Relationship Id="rId59" Type="http://schemas.openxmlformats.org/officeDocument/2006/relationships/hyperlink" Target="http://www.men-d.de/index.php?id=81&amp;tx_ttnews%5btt_news%5d=150&amp;tx_ttnews%5bbackPid%5d=85&amp;cHash=41ecd4ea5c" TargetMode="External"/><Relationship Id="rId67" Type="http://schemas.openxmlformats.org/officeDocument/2006/relationships/hyperlink" Target="https://enrd.ec.europa.eu/sites/enrd/files/uploaded-files/wp_evaluation_questions_2015.pdf" TargetMode="External"/><Relationship Id="rId20" Type="http://schemas.openxmlformats.org/officeDocument/2006/relationships/image" Target="media/image9.emf"/><Relationship Id="rId41" Type="http://schemas.openxmlformats.org/officeDocument/2006/relationships/hyperlink" Target="https://enrd.ec.europa.eu/evaluation/publications/guidelines-assessment-rdp-results-how-prepare-reporting-evaluation-2017_fr" TargetMode="External"/><Relationship Id="rId54" Type="http://schemas.openxmlformats.org/officeDocument/2006/relationships/hyperlink" Target="https://ec.europa.eu/eip/agriculture/en/publications/guidelines-programming-innovation-and" TargetMode="External"/><Relationship Id="rId62" Type="http://schemas.openxmlformats.org/officeDocument/2006/relationships/hyperlink" Target="http://www.men-d.de/uploads/media/MEN-D_Jahresveranstaltung_2017.pdf" TargetMode="External"/><Relationship Id="rId70" Type="http://schemas.openxmlformats.org/officeDocument/2006/relationships/hyperlink" Target="http://www.hnvlink.eu/download/D1.3BAcomplete.pdf" TargetMode="External"/><Relationship Id="rId75" Type="http://schemas.openxmlformats.org/officeDocument/2006/relationships/header" Target="header5.xml"/><Relationship Id="rId83" Type="http://schemas.openxmlformats.org/officeDocument/2006/relationships/hyperlink" Target="http://betterevaluation.org/plan/approach/outcome_harvesting" TargetMode="External"/><Relationship Id="rId88" Type="http://schemas.openxmlformats.org/officeDocument/2006/relationships/hyperlink" Target="http://www.tandfonline.com/doi/abs/10.1080/135467896394447" TargetMode="External"/><Relationship Id="rId91" Type="http://schemas.openxmlformats.org/officeDocument/2006/relationships/hyperlink" Target="http://betterevaluation.org/plan/approach/outcome_harvesting" TargetMode="External"/><Relationship Id="rId96" Type="http://schemas.openxmlformats.org/officeDocument/2006/relationships/hyperlink" Target="http://ec.europa.eu/eip/agriculture/sites/agri-eip/files/eip-guidelines-july-2014_en.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footer" Target="footer2.xml"/><Relationship Id="rId36" Type="http://schemas.openxmlformats.org/officeDocument/2006/relationships/hyperlink" Target="http://enrd.ec.europa.eu/news-events/events/enrd-workshop-measure-16-cooperation_fr" TargetMode="External"/><Relationship Id="rId49" Type="http://schemas.openxmlformats.org/officeDocument/2006/relationships/hyperlink" Target="https://ec.europa.eu/eip/agriculture/en/publications/guidelines-programming-innovation-and" TargetMode="External"/><Relationship Id="rId57" Type="http://schemas.openxmlformats.org/officeDocument/2006/relationships/hyperlink" Target="http://ec.europa.eu/eurostat/statistics-explained/index.php/Smarter,_greener,_more_inclusive_-_indicators_to_support_the_Europe_2020_strategy" TargetMode="External"/><Relationship Id="rId10" Type="http://schemas.openxmlformats.org/officeDocument/2006/relationships/image" Target="media/image1.jpeg"/><Relationship Id="rId31" Type="http://schemas.openxmlformats.org/officeDocument/2006/relationships/hyperlink" Target="https://enrd.ec.europa.eu/evaluation/publications/guidelines-assessment-rdp-results-how-prepare-reporting-evaluation-2017_fr" TargetMode="External"/><Relationship Id="rId44" Type="http://schemas.openxmlformats.org/officeDocument/2006/relationships/hyperlink" Target="https://enrd.ec.europa.eu/evaluation/publications/guidelines-evaluation-national-rural-networks-2014-2020_en." TargetMode="External"/><Relationship Id="rId52" Type="http://schemas.openxmlformats.org/officeDocument/2006/relationships/hyperlink" Target="http://enrd.ec.europa.eu/enrd-static/app_templates/enrd_assets/pdf/guidebook/nrn_handbook_webversion.pdf" TargetMode="External"/><Relationship Id="rId60" Type="http://schemas.openxmlformats.org/officeDocument/2006/relationships/hyperlink" Target="http://www.men-d.de/index.php?id=81&amp;tx_ttnews%5btt_news%5d=195&amp;tx_ttnews%5bbackPid%5d=85&amp;cHash=08539b2ad7" TargetMode="External"/><Relationship Id="rId65" Type="http://schemas.openxmlformats.org/officeDocument/2006/relationships/image" Target="media/image18.emf"/><Relationship Id="rId73" Type="http://schemas.openxmlformats.org/officeDocument/2006/relationships/hyperlink" Target="https://enrd.ec.europa.eu/sites/enrd/files/uploaded-files/wp_evaluation_questions_2015.pdf" TargetMode="External"/><Relationship Id="rId78" Type="http://schemas.openxmlformats.org/officeDocument/2006/relationships/hyperlink" Target="http://ageconsearch.umn.edu/bitstream/52515/2/ILAC_Brief05_Histories.pdf" TargetMode="External"/><Relationship Id="rId81" Type="http://schemas.openxmlformats.org/officeDocument/2006/relationships/hyperlink" Target="http://journals.sagepub.com/doi/abs/10.1177/1356389012451663" TargetMode="External"/><Relationship Id="rId86" Type="http://schemas.openxmlformats.org/officeDocument/2006/relationships/hyperlink" Target="http://ageconsearch.umn.edu/bitstream/52515/2/ILAC_Brief05_Histories.pdf" TargetMode="External"/><Relationship Id="rId94" Type="http://schemas.openxmlformats.org/officeDocument/2006/relationships/hyperlink" Target="https://ec.europa.eu/eip/agriculture/sites/agri-eip/files/communication_on_eip_-_en.pdf" TargetMode="External"/><Relationship Id="rId99" Type="http://schemas.openxmlformats.org/officeDocument/2006/relationships/header" Target="head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hyperlink" Target="https://enrd.ec.europa.eu/evaluation/publications/guidelines-assessment-rdp-results-how-prepare-reporting-evaluation-2017_f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pe2020/europe-2020-in-a-nutshell/targets/index_en.htm" TargetMode="External"/><Relationship Id="rId13" Type="http://schemas.openxmlformats.org/officeDocument/2006/relationships/hyperlink" Target="https://enrd.ec.europa.eu/evaluation/publications/working-document-common-evaluation-questions-rural-development-programmes_fr"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en/ALL/?uri=CELEX%3A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fr"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ec.europa.eu/europe2020/europe-2020-in-a-nutshell/flagship-initiatives/index_en.htm"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fr/publications/manuel-de-frascati-2015-9789264257252-fr.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fr" TargetMode="External"/><Relationship Id="rId24" Type="http://schemas.openxmlformats.org/officeDocument/2006/relationships/hyperlink" Target="https://enrd.ec.europa.eu/evaluation/publications/guidelines-evaluation-national-rural-networks-2014-2020_fr"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fr" TargetMode="External"/><Relationship Id="rId28" Type="http://schemas.openxmlformats.org/officeDocument/2006/relationships/hyperlink" Target="http://ec.europa.eu/eurostat/statistics-explained/index.php/R_%26_D_expenditure/fr" TargetMode="External"/><Relationship Id="rId10" Type="http://schemas.openxmlformats.org/officeDocument/2006/relationships/hyperlink" Target="https://enrd.ec.europa.eu/evaluation/publications/guidelines-assessment-rdp-results-how-prepare-reporting-evaluation-2017_fr"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fr"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fr" TargetMode="External"/><Relationship Id="rId22" Type="http://schemas.openxmlformats.org/officeDocument/2006/relationships/hyperlink" Target="http://enrd.ec.europa.eu/evaluation/publications/working-document-common-evaluation-questions-rural-development-programmes_fr"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26_D_(GERD)/fr"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A0A18-AB86-4531-B82B-72B881F0B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86</Pages>
  <Words>23012</Words>
  <Characters>131172</Characters>
  <Application>Microsoft Office Word</Application>
  <DocSecurity>0</DocSecurity>
  <Lines>1093</Lines>
  <Paragraphs>307</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European Commission</Company>
  <LinksUpToDate>false</LinksUpToDate>
  <CharactersWithSpaces>153877</CharactersWithSpaces>
  <SharedDoc>false</SharedDoc>
  <HLinks>
    <vt:vector size="864" baseType="variant">
      <vt:variant>
        <vt:i4>458759</vt:i4>
      </vt:variant>
      <vt:variant>
        <vt:i4>396</vt:i4>
      </vt:variant>
      <vt:variant>
        <vt:i4>0</vt:i4>
      </vt:variant>
      <vt:variant>
        <vt:i4>5</vt:i4>
      </vt:variant>
      <vt:variant>
        <vt:lpwstr>http://enrd.ec.europa.eu/enrd-static/app_templates/enrd_assets/pdf/guidebook/nrn_handbook_webversion.pdf</vt:lpwstr>
      </vt:variant>
      <vt:variant>
        <vt:lpwstr/>
      </vt:variant>
      <vt:variant>
        <vt:i4>3473457</vt:i4>
      </vt:variant>
      <vt:variant>
        <vt:i4>393</vt:i4>
      </vt:variant>
      <vt:variant>
        <vt:i4>0</vt:i4>
      </vt:variant>
      <vt:variant>
        <vt:i4>5</vt:i4>
      </vt:variant>
      <vt:variant>
        <vt:lpwstr>https://ec.europa.eu/eip/agriculture/en/content/innovation-support-services</vt:lpwstr>
      </vt:variant>
      <vt:variant>
        <vt:lpwstr/>
      </vt:variant>
      <vt:variant>
        <vt:i4>7536708</vt:i4>
      </vt:variant>
      <vt:variant>
        <vt:i4>390</vt:i4>
      </vt:variant>
      <vt:variant>
        <vt:i4>0</vt:i4>
      </vt:variant>
      <vt:variant>
        <vt:i4>5</vt:i4>
      </vt:variant>
      <vt:variant>
        <vt:lpwstr>http://ec.europa.eu/eip/agriculture/sites/agri-eip/files/eip-guidelines-july-2014_en.pdf</vt:lpwstr>
      </vt:variant>
      <vt:variant>
        <vt:lpwstr/>
      </vt:variant>
      <vt:variant>
        <vt:i4>3473457</vt:i4>
      </vt:variant>
      <vt:variant>
        <vt:i4>387</vt:i4>
      </vt:variant>
      <vt:variant>
        <vt:i4>0</vt:i4>
      </vt:variant>
      <vt:variant>
        <vt:i4>5</vt:i4>
      </vt:variant>
      <vt:variant>
        <vt:lpwstr>https://ec.europa.eu/eip/agriculture/en/content/innovation-support-services</vt:lpwstr>
      </vt:variant>
      <vt:variant>
        <vt:lpwstr/>
      </vt:variant>
      <vt:variant>
        <vt:i4>4849756</vt:i4>
      </vt:variant>
      <vt:variant>
        <vt:i4>384</vt:i4>
      </vt:variant>
      <vt:variant>
        <vt:i4>0</vt:i4>
      </vt:variant>
      <vt:variant>
        <vt:i4>5</vt:i4>
      </vt:variant>
      <vt:variant>
        <vt:lpwstr>https://ec.europa.eu/eip/agriculture/sites/agri-eip/files/communication_on_eip_-_en.pdf</vt:lpwstr>
      </vt:variant>
      <vt:variant>
        <vt:lpwstr/>
      </vt:variant>
      <vt:variant>
        <vt:i4>2424911</vt:i4>
      </vt:variant>
      <vt:variant>
        <vt:i4>381</vt:i4>
      </vt:variant>
      <vt:variant>
        <vt:i4>0</vt:i4>
      </vt:variant>
      <vt:variant>
        <vt:i4>5</vt:i4>
      </vt:variant>
      <vt:variant>
        <vt:lpwstr>https://ec.europa.eu/research/innovation-union/pdf/innovation-union-communication_fr.pdf</vt:lpwstr>
      </vt:variant>
      <vt:variant>
        <vt:lpwstr/>
      </vt:variant>
      <vt:variant>
        <vt:i4>655392</vt:i4>
      </vt:variant>
      <vt:variant>
        <vt:i4>378</vt:i4>
      </vt:variant>
      <vt:variant>
        <vt:i4>0</vt:i4>
      </vt:variant>
      <vt:variant>
        <vt:i4>5</vt:i4>
      </vt:variant>
      <vt:variant>
        <vt:lpwstr>http://ec.europa.eu/eip/agriculture/sites/agri-eip/files/16_measure_fiche_art_35_co-operation.pdf</vt:lpwstr>
      </vt:variant>
      <vt:variant>
        <vt:lpwstr/>
      </vt:variant>
      <vt:variant>
        <vt:i4>1769482</vt:i4>
      </vt:variant>
      <vt:variant>
        <vt:i4>375</vt:i4>
      </vt:variant>
      <vt:variant>
        <vt:i4>0</vt:i4>
      </vt:variant>
      <vt:variant>
        <vt:i4>5</vt:i4>
      </vt:variant>
      <vt:variant>
        <vt:lpwstr/>
      </vt:variant>
      <vt:variant>
        <vt:lpwstr>Pathways</vt:lpwstr>
      </vt:variant>
      <vt:variant>
        <vt:i4>2752590</vt:i4>
      </vt:variant>
      <vt:variant>
        <vt:i4>372</vt:i4>
      </vt:variant>
      <vt:variant>
        <vt:i4>0</vt:i4>
      </vt:variant>
      <vt:variant>
        <vt:i4>5</vt:i4>
      </vt:variant>
      <vt:variant>
        <vt:lpwstr>https://enrd.ec.europa.eu/sites/enrd/files/uploaded-files/wp_evaluation_questions_2015.pdf</vt:lpwstr>
      </vt:variant>
      <vt:variant>
        <vt:lpwstr/>
      </vt:variant>
      <vt:variant>
        <vt:i4>2752590</vt:i4>
      </vt:variant>
      <vt:variant>
        <vt:i4>366</vt:i4>
      </vt:variant>
      <vt:variant>
        <vt:i4>0</vt:i4>
      </vt:variant>
      <vt:variant>
        <vt:i4>5</vt:i4>
      </vt:variant>
      <vt:variant>
        <vt:lpwstr>https://enrd.ec.europa.eu/sites/enrd/files/uploaded-files/wp_evaluation_questions_2015.pdf</vt:lpwstr>
      </vt:variant>
      <vt:variant>
        <vt:lpwstr/>
      </vt:variant>
      <vt:variant>
        <vt:i4>3997707</vt:i4>
      </vt:variant>
      <vt:variant>
        <vt:i4>363</vt:i4>
      </vt:variant>
      <vt:variant>
        <vt:i4>0</vt:i4>
      </vt:variant>
      <vt:variant>
        <vt:i4>5</vt:i4>
      </vt:variant>
      <vt:variant>
        <vt:lpwstr/>
      </vt:variant>
      <vt:variant>
        <vt:lpwstr>CEQ_fostering</vt:lpwstr>
      </vt:variant>
      <vt:variant>
        <vt:i4>2752590</vt:i4>
      </vt:variant>
      <vt:variant>
        <vt:i4>360</vt:i4>
      </vt:variant>
      <vt:variant>
        <vt:i4>0</vt:i4>
      </vt:variant>
      <vt:variant>
        <vt:i4>5</vt:i4>
      </vt:variant>
      <vt:variant>
        <vt:lpwstr>https://enrd.ec.europa.eu/sites/enrd/files/uploaded-files/wp_evaluation_questions_2015.pdf</vt:lpwstr>
      </vt:variant>
      <vt:variant>
        <vt:lpwstr/>
      </vt:variant>
      <vt:variant>
        <vt:i4>4849784</vt:i4>
      </vt:variant>
      <vt:variant>
        <vt:i4>354</vt:i4>
      </vt:variant>
      <vt:variant>
        <vt:i4>0</vt:i4>
      </vt:variant>
      <vt:variant>
        <vt:i4>5</vt:i4>
      </vt:variant>
      <vt:variant>
        <vt:lpwstr/>
      </vt:variant>
      <vt:variant>
        <vt:lpwstr>Example_IL</vt:lpwstr>
      </vt:variant>
      <vt:variant>
        <vt:i4>1769482</vt:i4>
      </vt:variant>
      <vt:variant>
        <vt:i4>351</vt:i4>
      </vt:variant>
      <vt:variant>
        <vt:i4>0</vt:i4>
      </vt:variant>
      <vt:variant>
        <vt:i4>5</vt:i4>
      </vt:variant>
      <vt:variant>
        <vt:lpwstr/>
      </vt:variant>
      <vt:variant>
        <vt:lpwstr>Pathways</vt:lpwstr>
      </vt:variant>
      <vt:variant>
        <vt:i4>4587625</vt:i4>
      </vt:variant>
      <vt:variant>
        <vt:i4>345</vt:i4>
      </vt:variant>
      <vt:variant>
        <vt:i4>0</vt:i4>
      </vt:variant>
      <vt:variant>
        <vt:i4>5</vt:i4>
      </vt:variant>
      <vt:variant>
        <vt:lpwstr/>
      </vt:variant>
      <vt:variant>
        <vt:lpwstr>Screening_Potential</vt:lpwstr>
      </vt:variant>
      <vt:variant>
        <vt:i4>1900556</vt:i4>
      </vt:variant>
      <vt:variant>
        <vt:i4>342</vt:i4>
      </vt:variant>
      <vt:variant>
        <vt:i4>0</vt:i4>
      </vt:variant>
      <vt:variant>
        <vt:i4>5</vt:i4>
      </vt:variant>
      <vt:variant>
        <vt:lpwstr/>
      </vt:variant>
      <vt:variant>
        <vt:lpwstr>JC_Indic_data</vt:lpwstr>
      </vt:variant>
      <vt:variant>
        <vt:i4>2752590</vt:i4>
      </vt:variant>
      <vt:variant>
        <vt:i4>339</vt:i4>
      </vt:variant>
      <vt:variant>
        <vt:i4>0</vt:i4>
      </vt:variant>
      <vt:variant>
        <vt:i4>5</vt:i4>
      </vt:variant>
      <vt:variant>
        <vt:lpwstr>https://enrd.ec.europa.eu/sites/enrd/files/uploaded-files/wp_evaluation_questions_2015.pdf</vt:lpwstr>
      </vt:variant>
      <vt:variant>
        <vt:lpwstr/>
      </vt:variant>
      <vt:variant>
        <vt:i4>4587625</vt:i4>
      </vt:variant>
      <vt:variant>
        <vt:i4>336</vt:i4>
      </vt:variant>
      <vt:variant>
        <vt:i4>0</vt:i4>
      </vt:variant>
      <vt:variant>
        <vt:i4>5</vt:i4>
      </vt:variant>
      <vt:variant>
        <vt:lpwstr/>
      </vt:variant>
      <vt:variant>
        <vt:lpwstr>Screening_Potential</vt:lpwstr>
      </vt:variant>
      <vt:variant>
        <vt:i4>4587625</vt:i4>
      </vt:variant>
      <vt:variant>
        <vt:i4>333</vt:i4>
      </vt:variant>
      <vt:variant>
        <vt:i4>0</vt:i4>
      </vt:variant>
      <vt:variant>
        <vt:i4>5</vt:i4>
      </vt:variant>
      <vt:variant>
        <vt:lpwstr/>
      </vt:variant>
      <vt:variant>
        <vt:lpwstr>Screening_Potential</vt:lpwstr>
      </vt:variant>
      <vt:variant>
        <vt:i4>6815775</vt:i4>
      </vt:variant>
      <vt:variant>
        <vt:i4>327</vt:i4>
      </vt:variant>
      <vt:variant>
        <vt:i4>0</vt:i4>
      </vt:variant>
      <vt:variant>
        <vt:i4>5</vt:i4>
      </vt:variant>
      <vt:variant>
        <vt:lpwstr>https://enrd.ec.europa.eu/evaluation/publications/guidelines-evaluation-national-rural-networks-2014-2020_en</vt:lpwstr>
      </vt:variant>
      <vt:variant>
        <vt:lpwstr/>
      </vt:variant>
      <vt:variant>
        <vt:i4>6815775</vt:i4>
      </vt:variant>
      <vt:variant>
        <vt:i4>324</vt:i4>
      </vt:variant>
      <vt:variant>
        <vt:i4>0</vt:i4>
      </vt:variant>
      <vt:variant>
        <vt:i4>5</vt:i4>
      </vt:variant>
      <vt:variant>
        <vt:lpwstr>https://enrd.ec.europa.eu/evaluation/publications/guidelines-evaluation-national-rural-networks-2014-2020_en.</vt:lpwstr>
      </vt:variant>
      <vt:variant>
        <vt:lpwstr/>
      </vt:variant>
      <vt:variant>
        <vt:i4>4587625</vt:i4>
      </vt:variant>
      <vt:variant>
        <vt:i4>318</vt:i4>
      </vt:variant>
      <vt:variant>
        <vt:i4>0</vt:i4>
      </vt:variant>
      <vt:variant>
        <vt:i4>5</vt:i4>
      </vt:variant>
      <vt:variant>
        <vt:lpwstr/>
      </vt:variant>
      <vt:variant>
        <vt:lpwstr>Screening_Potential</vt:lpwstr>
      </vt:variant>
      <vt:variant>
        <vt:i4>1376309</vt:i4>
      </vt:variant>
      <vt:variant>
        <vt:i4>315</vt:i4>
      </vt:variant>
      <vt:variant>
        <vt:i4>0</vt:i4>
      </vt:variant>
      <vt:variant>
        <vt:i4>5</vt:i4>
      </vt:variant>
      <vt:variant>
        <vt:lpwstr/>
      </vt:variant>
      <vt:variant>
        <vt:lpwstr>Innovation_RD</vt:lpwstr>
      </vt:variant>
      <vt:variant>
        <vt:i4>7340037</vt:i4>
      </vt:variant>
      <vt:variant>
        <vt:i4>306</vt:i4>
      </vt:variant>
      <vt:variant>
        <vt:i4>0</vt:i4>
      </vt:variant>
      <vt:variant>
        <vt:i4>5</vt:i4>
      </vt:variant>
      <vt:variant>
        <vt:lpwstr>https://enrd.ec.europa.eu/evaluation/publications/guidelines-assessment-rdp-results-how-prepare-reporting-evaluation-2017_fr</vt:lpwstr>
      </vt:variant>
      <vt:variant>
        <vt:lpwstr/>
      </vt:variant>
      <vt:variant>
        <vt:i4>5898351</vt:i4>
      </vt:variant>
      <vt:variant>
        <vt:i4>297</vt:i4>
      </vt:variant>
      <vt:variant>
        <vt:i4>0</vt:i4>
      </vt:variant>
      <vt:variant>
        <vt:i4>5</vt:i4>
      </vt:variant>
      <vt:variant>
        <vt:lpwstr/>
      </vt:variant>
      <vt:variant>
        <vt:lpwstr>Recommended_Methods</vt:lpwstr>
      </vt:variant>
      <vt:variant>
        <vt:i4>7340037</vt:i4>
      </vt:variant>
      <vt:variant>
        <vt:i4>294</vt:i4>
      </vt:variant>
      <vt:variant>
        <vt:i4>0</vt:i4>
      </vt:variant>
      <vt:variant>
        <vt:i4>5</vt:i4>
      </vt:variant>
      <vt:variant>
        <vt:lpwstr>https://enrd.ec.europa.eu/evaluation/publications/guidelines-assessment-rdp-results-how-prepare-reporting-evaluation-2017_fr</vt:lpwstr>
      </vt:variant>
      <vt:variant>
        <vt:lpwstr/>
      </vt:variant>
      <vt:variant>
        <vt:i4>7143514</vt:i4>
      </vt:variant>
      <vt:variant>
        <vt:i4>291</vt:i4>
      </vt:variant>
      <vt:variant>
        <vt:i4>0</vt:i4>
      </vt:variant>
      <vt:variant>
        <vt:i4>5</vt:i4>
      </vt:variant>
      <vt:variant>
        <vt:lpwstr/>
      </vt:variant>
      <vt:variant>
        <vt:lpwstr>Evaluation_elements</vt:lpwstr>
      </vt:variant>
      <vt:variant>
        <vt:i4>4587625</vt:i4>
      </vt:variant>
      <vt:variant>
        <vt:i4>288</vt:i4>
      </vt:variant>
      <vt:variant>
        <vt:i4>0</vt:i4>
      </vt:variant>
      <vt:variant>
        <vt:i4>5</vt:i4>
      </vt:variant>
      <vt:variant>
        <vt:lpwstr/>
      </vt:variant>
      <vt:variant>
        <vt:lpwstr>Screening_Potential</vt:lpwstr>
      </vt:variant>
      <vt:variant>
        <vt:i4>1376309</vt:i4>
      </vt:variant>
      <vt:variant>
        <vt:i4>285</vt:i4>
      </vt:variant>
      <vt:variant>
        <vt:i4>0</vt:i4>
      </vt:variant>
      <vt:variant>
        <vt:i4>5</vt:i4>
      </vt:variant>
      <vt:variant>
        <vt:lpwstr/>
      </vt:variant>
      <vt:variant>
        <vt:lpwstr>Innovation_RD</vt:lpwstr>
      </vt:variant>
      <vt:variant>
        <vt:i4>4587625</vt:i4>
      </vt:variant>
      <vt:variant>
        <vt:i4>282</vt:i4>
      </vt:variant>
      <vt:variant>
        <vt:i4>0</vt:i4>
      </vt:variant>
      <vt:variant>
        <vt:i4>5</vt:i4>
      </vt:variant>
      <vt:variant>
        <vt:lpwstr/>
      </vt:variant>
      <vt:variant>
        <vt:lpwstr>Screening_Potential</vt:lpwstr>
      </vt:variant>
      <vt:variant>
        <vt:i4>7340037</vt:i4>
      </vt:variant>
      <vt:variant>
        <vt:i4>279</vt:i4>
      </vt:variant>
      <vt:variant>
        <vt:i4>0</vt:i4>
      </vt:variant>
      <vt:variant>
        <vt:i4>5</vt:i4>
      </vt:variant>
      <vt:variant>
        <vt:lpwstr>https://enrd.ec.europa.eu/evaluation/publications/guidelines-assessment-rdp-results-how-prepare-reporting-evaluation-2017_fr</vt:lpwstr>
      </vt:variant>
      <vt:variant>
        <vt:lpwstr/>
      </vt:variant>
      <vt:variant>
        <vt:i4>4587625</vt:i4>
      </vt:variant>
      <vt:variant>
        <vt:i4>276</vt:i4>
      </vt:variant>
      <vt:variant>
        <vt:i4>0</vt:i4>
      </vt:variant>
      <vt:variant>
        <vt:i4>5</vt:i4>
      </vt:variant>
      <vt:variant>
        <vt:lpwstr/>
      </vt:variant>
      <vt:variant>
        <vt:lpwstr>Screening_Potential</vt:lpwstr>
      </vt:variant>
      <vt:variant>
        <vt:i4>2752590</vt:i4>
      </vt:variant>
      <vt:variant>
        <vt:i4>273</vt:i4>
      </vt:variant>
      <vt:variant>
        <vt:i4>0</vt:i4>
      </vt:variant>
      <vt:variant>
        <vt:i4>5</vt:i4>
      </vt:variant>
      <vt:variant>
        <vt:lpwstr>https://enrd.ec.europa.eu/sites/enrd/files/uploaded-files/wp_evaluation_questions_2015.pdf</vt:lpwstr>
      </vt:variant>
      <vt:variant>
        <vt:lpwstr/>
      </vt:variant>
      <vt:variant>
        <vt:i4>1638458</vt:i4>
      </vt:variant>
      <vt:variant>
        <vt:i4>270</vt:i4>
      </vt:variant>
      <vt:variant>
        <vt:i4>0</vt:i4>
      </vt:variant>
      <vt:variant>
        <vt:i4>5</vt:i4>
      </vt:variant>
      <vt:variant>
        <vt:lpwstr/>
      </vt:variant>
      <vt:variant>
        <vt:lpwstr>Policy_framework</vt:lpwstr>
      </vt:variant>
      <vt:variant>
        <vt:i4>4718716</vt:i4>
      </vt:variant>
      <vt:variant>
        <vt:i4>267</vt:i4>
      </vt:variant>
      <vt:variant>
        <vt:i4>0</vt:i4>
      </vt:variant>
      <vt:variant>
        <vt:i4>5</vt:i4>
      </vt:variant>
      <vt:variant>
        <vt:lpwstr/>
      </vt:variant>
      <vt:variant>
        <vt:lpwstr>CEQ_NRN</vt:lpwstr>
      </vt:variant>
      <vt:variant>
        <vt:i4>1376309</vt:i4>
      </vt:variant>
      <vt:variant>
        <vt:i4>264</vt:i4>
      </vt:variant>
      <vt:variant>
        <vt:i4>0</vt:i4>
      </vt:variant>
      <vt:variant>
        <vt:i4>5</vt:i4>
      </vt:variant>
      <vt:variant>
        <vt:lpwstr/>
      </vt:variant>
      <vt:variant>
        <vt:lpwstr>Innovation_RD</vt:lpwstr>
      </vt:variant>
      <vt:variant>
        <vt:i4>2162698</vt:i4>
      </vt:variant>
      <vt:variant>
        <vt:i4>261</vt:i4>
      </vt:variant>
      <vt:variant>
        <vt:i4>0</vt:i4>
      </vt:variant>
      <vt:variant>
        <vt:i4>5</vt:i4>
      </vt:variant>
      <vt:variant>
        <vt:lpwstr/>
      </vt:variant>
      <vt:variant>
        <vt:lpwstr>Steps_of_the_screenig</vt:lpwstr>
      </vt:variant>
      <vt:variant>
        <vt:i4>327710</vt:i4>
      </vt:variant>
      <vt:variant>
        <vt:i4>258</vt:i4>
      </vt:variant>
      <vt:variant>
        <vt:i4>0</vt:i4>
      </vt:variant>
      <vt:variant>
        <vt:i4>5</vt:i4>
      </vt:variant>
      <vt:variant>
        <vt:lpwstr/>
      </vt:variant>
      <vt:variant>
        <vt:lpwstr>Answering</vt:lpwstr>
      </vt:variant>
      <vt:variant>
        <vt:i4>327688</vt:i4>
      </vt:variant>
      <vt:variant>
        <vt:i4>255</vt:i4>
      </vt:variant>
      <vt:variant>
        <vt:i4>0</vt:i4>
      </vt:variant>
      <vt:variant>
        <vt:i4>5</vt:i4>
      </vt:variant>
      <vt:variant>
        <vt:lpwstr/>
      </vt:variant>
      <vt:variant>
        <vt:lpwstr>Complementing</vt:lpwstr>
      </vt:variant>
      <vt:variant>
        <vt:i4>4587625</vt:i4>
      </vt:variant>
      <vt:variant>
        <vt:i4>252</vt:i4>
      </vt:variant>
      <vt:variant>
        <vt:i4>0</vt:i4>
      </vt:variant>
      <vt:variant>
        <vt:i4>5</vt:i4>
      </vt:variant>
      <vt:variant>
        <vt:lpwstr/>
      </vt:variant>
      <vt:variant>
        <vt:lpwstr>Screening_Potential</vt:lpwstr>
      </vt:variant>
      <vt:variant>
        <vt:i4>1769482</vt:i4>
      </vt:variant>
      <vt:variant>
        <vt:i4>246</vt:i4>
      </vt:variant>
      <vt:variant>
        <vt:i4>0</vt:i4>
      </vt:variant>
      <vt:variant>
        <vt:i4>5</vt:i4>
      </vt:variant>
      <vt:variant>
        <vt:lpwstr/>
      </vt:variant>
      <vt:variant>
        <vt:lpwstr>Pathways</vt:lpwstr>
      </vt:variant>
      <vt:variant>
        <vt:i4>1638458</vt:i4>
      </vt:variant>
      <vt:variant>
        <vt:i4>243</vt:i4>
      </vt:variant>
      <vt:variant>
        <vt:i4>0</vt:i4>
      </vt:variant>
      <vt:variant>
        <vt:i4>5</vt:i4>
      </vt:variant>
      <vt:variant>
        <vt:lpwstr/>
      </vt:variant>
      <vt:variant>
        <vt:lpwstr>Policy_framework</vt:lpwstr>
      </vt:variant>
      <vt:variant>
        <vt:i4>1966129</vt:i4>
      </vt:variant>
      <vt:variant>
        <vt:i4>236</vt:i4>
      </vt:variant>
      <vt:variant>
        <vt:i4>0</vt:i4>
      </vt:variant>
      <vt:variant>
        <vt:i4>5</vt:i4>
      </vt:variant>
      <vt:variant>
        <vt:lpwstr/>
      </vt:variant>
      <vt:variant>
        <vt:lpwstr>_Toc508894556</vt:lpwstr>
      </vt:variant>
      <vt:variant>
        <vt:i4>1966129</vt:i4>
      </vt:variant>
      <vt:variant>
        <vt:i4>230</vt:i4>
      </vt:variant>
      <vt:variant>
        <vt:i4>0</vt:i4>
      </vt:variant>
      <vt:variant>
        <vt:i4>5</vt:i4>
      </vt:variant>
      <vt:variant>
        <vt:lpwstr/>
      </vt:variant>
      <vt:variant>
        <vt:lpwstr>_Toc508894555</vt:lpwstr>
      </vt:variant>
      <vt:variant>
        <vt:i4>1966129</vt:i4>
      </vt:variant>
      <vt:variant>
        <vt:i4>224</vt:i4>
      </vt:variant>
      <vt:variant>
        <vt:i4>0</vt:i4>
      </vt:variant>
      <vt:variant>
        <vt:i4>5</vt:i4>
      </vt:variant>
      <vt:variant>
        <vt:lpwstr/>
      </vt:variant>
      <vt:variant>
        <vt:lpwstr>_Toc508894554</vt:lpwstr>
      </vt:variant>
      <vt:variant>
        <vt:i4>1966129</vt:i4>
      </vt:variant>
      <vt:variant>
        <vt:i4>218</vt:i4>
      </vt:variant>
      <vt:variant>
        <vt:i4>0</vt:i4>
      </vt:variant>
      <vt:variant>
        <vt:i4>5</vt:i4>
      </vt:variant>
      <vt:variant>
        <vt:lpwstr/>
      </vt:variant>
      <vt:variant>
        <vt:lpwstr>_Toc508894553</vt:lpwstr>
      </vt:variant>
      <vt:variant>
        <vt:i4>1966129</vt:i4>
      </vt:variant>
      <vt:variant>
        <vt:i4>212</vt:i4>
      </vt:variant>
      <vt:variant>
        <vt:i4>0</vt:i4>
      </vt:variant>
      <vt:variant>
        <vt:i4>5</vt:i4>
      </vt:variant>
      <vt:variant>
        <vt:lpwstr/>
      </vt:variant>
      <vt:variant>
        <vt:lpwstr>_Toc508894552</vt:lpwstr>
      </vt:variant>
      <vt:variant>
        <vt:i4>1966129</vt:i4>
      </vt:variant>
      <vt:variant>
        <vt:i4>206</vt:i4>
      </vt:variant>
      <vt:variant>
        <vt:i4>0</vt:i4>
      </vt:variant>
      <vt:variant>
        <vt:i4>5</vt:i4>
      </vt:variant>
      <vt:variant>
        <vt:lpwstr/>
      </vt:variant>
      <vt:variant>
        <vt:lpwstr>_Toc508894551</vt:lpwstr>
      </vt:variant>
      <vt:variant>
        <vt:i4>1966129</vt:i4>
      </vt:variant>
      <vt:variant>
        <vt:i4>200</vt:i4>
      </vt:variant>
      <vt:variant>
        <vt:i4>0</vt:i4>
      </vt:variant>
      <vt:variant>
        <vt:i4>5</vt:i4>
      </vt:variant>
      <vt:variant>
        <vt:lpwstr/>
      </vt:variant>
      <vt:variant>
        <vt:lpwstr>_Toc508894550</vt:lpwstr>
      </vt:variant>
      <vt:variant>
        <vt:i4>2031665</vt:i4>
      </vt:variant>
      <vt:variant>
        <vt:i4>194</vt:i4>
      </vt:variant>
      <vt:variant>
        <vt:i4>0</vt:i4>
      </vt:variant>
      <vt:variant>
        <vt:i4>5</vt:i4>
      </vt:variant>
      <vt:variant>
        <vt:lpwstr/>
      </vt:variant>
      <vt:variant>
        <vt:lpwstr>_Toc508894549</vt:lpwstr>
      </vt:variant>
      <vt:variant>
        <vt:i4>2031665</vt:i4>
      </vt:variant>
      <vt:variant>
        <vt:i4>188</vt:i4>
      </vt:variant>
      <vt:variant>
        <vt:i4>0</vt:i4>
      </vt:variant>
      <vt:variant>
        <vt:i4>5</vt:i4>
      </vt:variant>
      <vt:variant>
        <vt:lpwstr/>
      </vt:variant>
      <vt:variant>
        <vt:lpwstr>_Toc508894548</vt:lpwstr>
      </vt:variant>
      <vt:variant>
        <vt:i4>2031665</vt:i4>
      </vt:variant>
      <vt:variant>
        <vt:i4>182</vt:i4>
      </vt:variant>
      <vt:variant>
        <vt:i4>0</vt:i4>
      </vt:variant>
      <vt:variant>
        <vt:i4>5</vt:i4>
      </vt:variant>
      <vt:variant>
        <vt:lpwstr/>
      </vt:variant>
      <vt:variant>
        <vt:lpwstr>_Toc508894547</vt:lpwstr>
      </vt:variant>
      <vt:variant>
        <vt:i4>2031665</vt:i4>
      </vt:variant>
      <vt:variant>
        <vt:i4>176</vt:i4>
      </vt:variant>
      <vt:variant>
        <vt:i4>0</vt:i4>
      </vt:variant>
      <vt:variant>
        <vt:i4>5</vt:i4>
      </vt:variant>
      <vt:variant>
        <vt:lpwstr/>
      </vt:variant>
      <vt:variant>
        <vt:lpwstr>_Toc508894546</vt:lpwstr>
      </vt:variant>
      <vt:variant>
        <vt:i4>1245232</vt:i4>
      </vt:variant>
      <vt:variant>
        <vt:i4>167</vt:i4>
      </vt:variant>
      <vt:variant>
        <vt:i4>0</vt:i4>
      </vt:variant>
      <vt:variant>
        <vt:i4>5</vt:i4>
      </vt:variant>
      <vt:variant>
        <vt:lpwstr/>
      </vt:variant>
      <vt:variant>
        <vt:lpwstr>_Toc508894482</vt:lpwstr>
      </vt:variant>
      <vt:variant>
        <vt:i4>1245232</vt:i4>
      </vt:variant>
      <vt:variant>
        <vt:i4>161</vt:i4>
      </vt:variant>
      <vt:variant>
        <vt:i4>0</vt:i4>
      </vt:variant>
      <vt:variant>
        <vt:i4>5</vt:i4>
      </vt:variant>
      <vt:variant>
        <vt:lpwstr/>
      </vt:variant>
      <vt:variant>
        <vt:lpwstr>_Toc508894481</vt:lpwstr>
      </vt:variant>
      <vt:variant>
        <vt:i4>1245232</vt:i4>
      </vt:variant>
      <vt:variant>
        <vt:i4>155</vt:i4>
      </vt:variant>
      <vt:variant>
        <vt:i4>0</vt:i4>
      </vt:variant>
      <vt:variant>
        <vt:i4>5</vt:i4>
      </vt:variant>
      <vt:variant>
        <vt:lpwstr/>
      </vt:variant>
      <vt:variant>
        <vt:lpwstr>_Toc508894480</vt:lpwstr>
      </vt:variant>
      <vt:variant>
        <vt:i4>1835056</vt:i4>
      </vt:variant>
      <vt:variant>
        <vt:i4>149</vt:i4>
      </vt:variant>
      <vt:variant>
        <vt:i4>0</vt:i4>
      </vt:variant>
      <vt:variant>
        <vt:i4>5</vt:i4>
      </vt:variant>
      <vt:variant>
        <vt:lpwstr/>
      </vt:variant>
      <vt:variant>
        <vt:lpwstr>_Toc508894479</vt:lpwstr>
      </vt:variant>
      <vt:variant>
        <vt:i4>1835056</vt:i4>
      </vt:variant>
      <vt:variant>
        <vt:i4>143</vt:i4>
      </vt:variant>
      <vt:variant>
        <vt:i4>0</vt:i4>
      </vt:variant>
      <vt:variant>
        <vt:i4>5</vt:i4>
      </vt:variant>
      <vt:variant>
        <vt:lpwstr/>
      </vt:variant>
      <vt:variant>
        <vt:lpwstr>_Toc508894478</vt:lpwstr>
      </vt:variant>
      <vt:variant>
        <vt:i4>1835056</vt:i4>
      </vt:variant>
      <vt:variant>
        <vt:i4>137</vt:i4>
      </vt:variant>
      <vt:variant>
        <vt:i4>0</vt:i4>
      </vt:variant>
      <vt:variant>
        <vt:i4>5</vt:i4>
      </vt:variant>
      <vt:variant>
        <vt:lpwstr/>
      </vt:variant>
      <vt:variant>
        <vt:lpwstr>_Toc508894477</vt:lpwstr>
      </vt:variant>
      <vt:variant>
        <vt:i4>1835056</vt:i4>
      </vt:variant>
      <vt:variant>
        <vt:i4>131</vt:i4>
      </vt:variant>
      <vt:variant>
        <vt:i4>0</vt:i4>
      </vt:variant>
      <vt:variant>
        <vt:i4>5</vt:i4>
      </vt:variant>
      <vt:variant>
        <vt:lpwstr/>
      </vt:variant>
      <vt:variant>
        <vt:lpwstr>_Toc508894476</vt:lpwstr>
      </vt:variant>
      <vt:variant>
        <vt:i4>1835056</vt:i4>
      </vt:variant>
      <vt:variant>
        <vt:i4>125</vt:i4>
      </vt:variant>
      <vt:variant>
        <vt:i4>0</vt:i4>
      </vt:variant>
      <vt:variant>
        <vt:i4>5</vt:i4>
      </vt:variant>
      <vt:variant>
        <vt:lpwstr/>
      </vt:variant>
      <vt:variant>
        <vt:lpwstr>_Toc508894475</vt:lpwstr>
      </vt:variant>
      <vt:variant>
        <vt:i4>1835056</vt:i4>
      </vt:variant>
      <vt:variant>
        <vt:i4>119</vt:i4>
      </vt:variant>
      <vt:variant>
        <vt:i4>0</vt:i4>
      </vt:variant>
      <vt:variant>
        <vt:i4>5</vt:i4>
      </vt:variant>
      <vt:variant>
        <vt:lpwstr/>
      </vt:variant>
      <vt:variant>
        <vt:lpwstr>_Toc508894474</vt:lpwstr>
      </vt:variant>
      <vt:variant>
        <vt:i4>1179699</vt:i4>
      </vt:variant>
      <vt:variant>
        <vt:i4>110</vt:i4>
      </vt:variant>
      <vt:variant>
        <vt:i4>0</vt:i4>
      </vt:variant>
      <vt:variant>
        <vt:i4>5</vt:i4>
      </vt:variant>
      <vt:variant>
        <vt:lpwstr/>
      </vt:variant>
      <vt:variant>
        <vt:lpwstr>_Toc508889643</vt:lpwstr>
      </vt:variant>
      <vt:variant>
        <vt:i4>1179699</vt:i4>
      </vt:variant>
      <vt:variant>
        <vt:i4>104</vt:i4>
      </vt:variant>
      <vt:variant>
        <vt:i4>0</vt:i4>
      </vt:variant>
      <vt:variant>
        <vt:i4>5</vt:i4>
      </vt:variant>
      <vt:variant>
        <vt:lpwstr/>
      </vt:variant>
      <vt:variant>
        <vt:lpwstr>_Toc508889642</vt:lpwstr>
      </vt:variant>
      <vt:variant>
        <vt:i4>1179699</vt:i4>
      </vt:variant>
      <vt:variant>
        <vt:i4>98</vt:i4>
      </vt:variant>
      <vt:variant>
        <vt:i4>0</vt:i4>
      </vt:variant>
      <vt:variant>
        <vt:i4>5</vt:i4>
      </vt:variant>
      <vt:variant>
        <vt:lpwstr/>
      </vt:variant>
      <vt:variant>
        <vt:lpwstr>_Toc508889641</vt:lpwstr>
      </vt:variant>
      <vt:variant>
        <vt:i4>1179699</vt:i4>
      </vt:variant>
      <vt:variant>
        <vt:i4>92</vt:i4>
      </vt:variant>
      <vt:variant>
        <vt:i4>0</vt:i4>
      </vt:variant>
      <vt:variant>
        <vt:i4>5</vt:i4>
      </vt:variant>
      <vt:variant>
        <vt:lpwstr/>
      </vt:variant>
      <vt:variant>
        <vt:lpwstr>_Toc508889640</vt:lpwstr>
      </vt:variant>
      <vt:variant>
        <vt:i4>1376307</vt:i4>
      </vt:variant>
      <vt:variant>
        <vt:i4>86</vt:i4>
      </vt:variant>
      <vt:variant>
        <vt:i4>0</vt:i4>
      </vt:variant>
      <vt:variant>
        <vt:i4>5</vt:i4>
      </vt:variant>
      <vt:variant>
        <vt:lpwstr/>
      </vt:variant>
      <vt:variant>
        <vt:lpwstr>_Toc508889639</vt:lpwstr>
      </vt:variant>
      <vt:variant>
        <vt:i4>1376307</vt:i4>
      </vt:variant>
      <vt:variant>
        <vt:i4>80</vt:i4>
      </vt:variant>
      <vt:variant>
        <vt:i4>0</vt:i4>
      </vt:variant>
      <vt:variant>
        <vt:i4>5</vt:i4>
      </vt:variant>
      <vt:variant>
        <vt:lpwstr/>
      </vt:variant>
      <vt:variant>
        <vt:lpwstr>_Toc508889638</vt:lpwstr>
      </vt:variant>
      <vt:variant>
        <vt:i4>1376307</vt:i4>
      </vt:variant>
      <vt:variant>
        <vt:i4>74</vt:i4>
      </vt:variant>
      <vt:variant>
        <vt:i4>0</vt:i4>
      </vt:variant>
      <vt:variant>
        <vt:i4>5</vt:i4>
      </vt:variant>
      <vt:variant>
        <vt:lpwstr/>
      </vt:variant>
      <vt:variant>
        <vt:lpwstr>_Toc508889637</vt:lpwstr>
      </vt:variant>
      <vt:variant>
        <vt:i4>1376307</vt:i4>
      </vt:variant>
      <vt:variant>
        <vt:i4>68</vt:i4>
      </vt:variant>
      <vt:variant>
        <vt:i4>0</vt:i4>
      </vt:variant>
      <vt:variant>
        <vt:i4>5</vt:i4>
      </vt:variant>
      <vt:variant>
        <vt:lpwstr/>
      </vt:variant>
      <vt:variant>
        <vt:lpwstr>_Toc508889636</vt:lpwstr>
      </vt:variant>
      <vt:variant>
        <vt:i4>1376307</vt:i4>
      </vt:variant>
      <vt:variant>
        <vt:i4>62</vt:i4>
      </vt:variant>
      <vt:variant>
        <vt:i4>0</vt:i4>
      </vt:variant>
      <vt:variant>
        <vt:i4>5</vt:i4>
      </vt:variant>
      <vt:variant>
        <vt:lpwstr/>
      </vt:variant>
      <vt:variant>
        <vt:lpwstr>_Toc508889635</vt:lpwstr>
      </vt:variant>
      <vt:variant>
        <vt:i4>1376307</vt:i4>
      </vt:variant>
      <vt:variant>
        <vt:i4>56</vt:i4>
      </vt:variant>
      <vt:variant>
        <vt:i4>0</vt:i4>
      </vt:variant>
      <vt:variant>
        <vt:i4>5</vt:i4>
      </vt:variant>
      <vt:variant>
        <vt:lpwstr/>
      </vt:variant>
      <vt:variant>
        <vt:lpwstr>_Toc508889634</vt:lpwstr>
      </vt:variant>
      <vt:variant>
        <vt:i4>1376307</vt:i4>
      </vt:variant>
      <vt:variant>
        <vt:i4>50</vt:i4>
      </vt:variant>
      <vt:variant>
        <vt:i4>0</vt:i4>
      </vt:variant>
      <vt:variant>
        <vt:i4>5</vt:i4>
      </vt:variant>
      <vt:variant>
        <vt:lpwstr/>
      </vt:variant>
      <vt:variant>
        <vt:lpwstr>_Toc508889633</vt:lpwstr>
      </vt:variant>
      <vt:variant>
        <vt:i4>1376307</vt:i4>
      </vt:variant>
      <vt:variant>
        <vt:i4>44</vt:i4>
      </vt:variant>
      <vt:variant>
        <vt:i4>0</vt:i4>
      </vt:variant>
      <vt:variant>
        <vt:i4>5</vt:i4>
      </vt:variant>
      <vt:variant>
        <vt:lpwstr/>
      </vt:variant>
      <vt:variant>
        <vt:lpwstr>_Toc508889632</vt:lpwstr>
      </vt:variant>
      <vt:variant>
        <vt:i4>1376307</vt:i4>
      </vt:variant>
      <vt:variant>
        <vt:i4>38</vt:i4>
      </vt:variant>
      <vt:variant>
        <vt:i4>0</vt:i4>
      </vt:variant>
      <vt:variant>
        <vt:i4>5</vt:i4>
      </vt:variant>
      <vt:variant>
        <vt:lpwstr/>
      </vt:variant>
      <vt:variant>
        <vt:lpwstr>_Toc508889631</vt:lpwstr>
      </vt:variant>
      <vt:variant>
        <vt:i4>1376307</vt:i4>
      </vt:variant>
      <vt:variant>
        <vt:i4>32</vt:i4>
      </vt:variant>
      <vt:variant>
        <vt:i4>0</vt:i4>
      </vt:variant>
      <vt:variant>
        <vt:i4>5</vt:i4>
      </vt:variant>
      <vt:variant>
        <vt:lpwstr/>
      </vt:variant>
      <vt:variant>
        <vt:lpwstr>_Toc508889630</vt:lpwstr>
      </vt:variant>
      <vt:variant>
        <vt:i4>1310771</vt:i4>
      </vt:variant>
      <vt:variant>
        <vt:i4>26</vt:i4>
      </vt:variant>
      <vt:variant>
        <vt:i4>0</vt:i4>
      </vt:variant>
      <vt:variant>
        <vt:i4>5</vt:i4>
      </vt:variant>
      <vt:variant>
        <vt:lpwstr/>
      </vt:variant>
      <vt:variant>
        <vt:lpwstr>_Toc508889629</vt:lpwstr>
      </vt:variant>
      <vt:variant>
        <vt:i4>1310771</vt:i4>
      </vt:variant>
      <vt:variant>
        <vt:i4>20</vt:i4>
      </vt:variant>
      <vt:variant>
        <vt:i4>0</vt:i4>
      </vt:variant>
      <vt:variant>
        <vt:i4>5</vt:i4>
      </vt:variant>
      <vt:variant>
        <vt:lpwstr/>
      </vt:variant>
      <vt:variant>
        <vt:lpwstr>_Toc508889628</vt:lpwstr>
      </vt:variant>
      <vt:variant>
        <vt:i4>1310771</vt:i4>
      </vt:variant>
      <vt:variant>
        <vt:i4>14</vt:i4>
      </vt:variant>
      <vt:variant>
        <vt:i4>0</vt:i4>
      </vt:variant>
      <vt:variant>
        <vt:i4>5</vt:i4>
      </vt:variant>
      <vt:variant>
        <vt:lpwstr/>
      </vt:variant>
      <vt:variant>
        <vt:lpwstr>_Toc508889627</vt:lpwstr>
      </vt:variant>
      <vt:variant>
        <vt:i4>1310771</vt:i4>
      </vt:variant>
      <vt:variant>
        <vt:i4>8</vt:i4>
      </vt:variant>
      <vt:variant>
        <vt:i4>0</vt:i4>
      </vt:variant>
      <vt:variant>
        <vt:i4>5</vt:i4>
      </vt:variant>
      <vt:variant>
        <vt:lpwstr/>
      </vt:variant>
      <vt:variant>
        <vt:lpwstr>_Toc508889626</vt:lpwstr>
      </vt:variant>
      <vt:variant>
        <vt:i4>1310771</vt:i4>
      </vt:variant>
      <vt:variant>
        <vt:i4>2</vt:i4>
      </vt:variant>
      <vt:variant>
        <vt:i4>0</vt:i4>
      </vt:variant>
      <vt:variant>
        <vt:i4>5</vt:i4>
      </vt:variant>
      <vt:variant>
        <vt:lpwstr/>
      </vt:variant>
      <vt:variant>
        <vt:lpwstr>_Toc508889625</vt:lpwstr>
      </vt:variant>
      <vt:variant>
        <vt:i4>2228266</vt:i4>
      </vt:variant>
      <vt:variant>
        <vt:i4>102</vt:i4>
      </vt:variant>
      <vt:variant>
        <vt:i4>0</vt:i4>
      </vt:variant>
      <vt:variant>
        <vt:i4>5</vt:i4>
      </vt:variant>
      <vt:variant>
        <vt:lpwstr>http://www.socialresearchmethods.net/kb/scallik.php</vt:lpwstr>
      </vt:variant>
      <vt:variant>
        <vt:lpwstr/>
      </vt:variant>
      <vt:variant>
        <vt:i4>2752553</vt:i4>
      </vt:variant>
      <vt:variant>
        <vt:i4>99</vt:i4>
      </vt:variant>
      <vt:variant>
        <vt:i4>0</vt:i4>
      </vt:variant>
      <vt:variant>
        <vt:i4>5</vt:i4>
      </vt:variant>
      <vt:variant>
        <vt:lpwstr>http://www.betterevaluation.org/en/resources/tools/innovation_history/innovation_timeline</vt:lpwstr>
      </vt:variant>
      <vt:variant>
        <vt:lpwstr/>
      </vt:variant>
      <vt:variant>
        <vt:i4>4784128</vt:i4>
      </vt:variant>
      <vt:variant>
        <vt:i4>96</vt:i4>
      </vt:variant>
      <vt:variant>
        <vt:i4>0</vt:i4>
      </vt:variant>
      <vt:variant>
        <vt:i4>5</vt:i4>
      </vt:variant>
      <vt:variant>
        <vt:lpwstr>http://www.betterevaluation.org/en/evaluation-options/processtracing</vt:lpwstr>
      </vt:variant>
      <vt:variant>
        <vt:lpwstr/>
      </vt:variant>
      <vt:variant>
        <vt:i4>7602288</vt:i4>
      </vt:variant>
      <vt:variant>
        <vt:i4>93</vt:i4>
      </vt:variant>
      <vt:variant>
        <vt:i4>0</vt:i4>
      </vt:variant>
      <vt:variant>
        <vt:i4>5</vt:i4>
      </vt:variant>
      <vt:variant>
        <vt:lpwstr>http://www.analytictech.com/networks/whatis.htm</vt:lpwstr>
      </vt:variant>
      <vt:variant>
        <vt:lpwstr/>
      </vt:variant>
      <vt:variant>
        <vt:i4>4915326</vt:i4>
      </vt:variant>
      <vt:variant>
        <vt:i4>90</vt:i4>
      </vt:variant>
      <vt:variant>
        <vt:i4>0</vt:i4>
      </vt:variant>
      <vt:variant>
        <vt:i4>5</vt:i4>
      </vt:variant>
      <vt:variant>
        <vt:lpwstr>http://enrd.ec.europa.eu/evaluation/publications/working-document-common-evaluation-questions-rural-development-programmes_fr</vt:lpwstr>
      </vt:variant>
      <vt:variant>
        <vt:lpwstr/>
      </vt:variant>
      <vt:variant>
        <vt:i4>5242987</vt:i4>
      </vt:variant>
      <vt:variant>
        <vt:i4>87</vt:i4>
      </vt:variant>
      <vt:variant>
        <vt:i4>0</vt:i4>
      </vt:variant>
      <vt:variant>
        <vt:i4>5</vt:i4>
      </vt:variant>
      <vt:variant>
        <vt:lpwstr>http://ec.europa.eu/eurostat/statistics-explained/index.php/Glossary:Gross_domestic_expenditure_on_R_%26_D_(GERD)/fr</vt:lpwstr>
      </vt:variant>
      <vt:variant>
        <vt:lpwstr/>
      </vt:variant>
      <vt:variant>
        <vt:i4>5242906</vt:i4>
      </vt:variant>
      <vt:variant>
        <vt:i4>84</vt:i4>
      </vt:variant>
      <vt:variant>
        <vt:i4>0</vt:i4>
      </vt:variant>
      <vt:variant>
        <vt:i4>5</vt:i4>
      </vt:variant>
      <vt:variant>
        <vt:lpwstr>http://www.oecd.org/fr/publications/manuel-de-frascati-2015-9789264257252-fr.htm</vt:lpwstr>
      </vt:variant>
      <vt:variant>
        <vt:lpwstr/>
      </vt:variant>
      <vt:variant>
        <vt:i4>1048703</vt:i4>
      </vt:variant>
      <vt:variant>
        <vt:i4>81</vt:i4>
      </vt:variant>
      <vt:variant>
        <vt:i4>0</vt:i4>
      </vt:variant>
      <vt:variant>
        <vt:i4>5</vt:i4>
      </vt:variant>
      <vt:variant>
        <vt:lpwstr>http://ec.europa.eu/eurostat/statistics-explained/index.php/R_%26_D_expenditure/fr</vt:lpwstr>
      </vt:variant>
      <vt:variant>
        <vt:lpwstr/>
      </vt:variant>
      <vt:variant>
        <vt:i4>1310828</vt:i4>
      </vt:variant>
      <vt:variant>
        <vt:i4>78</vt:i4>
      </vt:variant>
      <vt:variant>
        <vt:i4>0</vt:i4>
      </vt:variant>
      <vt:variant>
        <vt:i4>5</vt:i4>
      </vt:variant>
      <vt:variant>
        <vt:lpwstr>http://ec.europa.eu/europe2020/targets/eu-targets/index_en.htm</vt:lpwstr>
      </vt:variant>
      <vt:variant>
        <vt:lpwstr/>
      </vt:variant>
      <vt:variant>
        <vt:i4>6815848</vt:i4>
      </vt:variant>
      <vt:variant>
        <vt:i4>75</vt:i4>
      </vt:variant>
      <vt:variant>
        <vt:i4>0</vt:i4>
      </vt:variant>
      <vt:variant>
        <vt:i4>5</vt:i4>
      </vt:variant>
      <vt:variant>
        <vt:lpwstr>http://eur-lex.europa.eu/legal-content/en/ALL/?uri=CELEX%3A52010DC2020</vt:lpwstr>
      </vt:variant>
      <vt:variant>
        <vt:lpwstr/>
      </vt:variant>
      <vt:variant>
        <vt:i4>4259849</vt:i4>
      </vt:variant>
      <vt:variant>
        <vt:i4>72</vt:i4>
      </vt:variant>
      <vt:variant>
        <vt:i4>0</vt:i4>
      </vt:variant>
      <vt:variant>
        <vt:i4>5</vt:i4>
      </vt:variant>
      <vt:variant>
        <vt:lpwstr>http://www.reterurale.it/flex/cm/pages/ServeBLOB.php/L/IT/IDPagina/16281</vt:lpwstr>
      </vt:variant>
      <vt:variant>
        <vt:lpwstr/>
      </vt:variant>
      <vt:variant>
        <vt:i4>7602204</vt:i4>
      </vt:variant>
      <vt:variant>
        <vt:i4>69</vt:i4>
      </vt:variant>
      <vt:variant>
        <vt:i4>0</vt:i4>
      </vt:variant>
      <vt:variant>
        <vt:i4>5</vt:i4>
      </vt:variant>
      <vt:variant>
        <vt:lpwstr>https://enrd.ec.europa.eu/evaluation/publications/guidelines-evaluation-national-rural-networks-2014-2020_fr</vt:lpwstr>
      </vt:variant>
      <vt:variant>
        <vt:lpwstr/>
      </vt:variant>
      <vt:variant>
        <vt:i4>7602204</vt:i4>
      </vt:variant>
      <vt:variant>
        <vt:i4>66</vt:i4>
      </vt:variant>
      <vt:variant>
        <vt:i4>0</vt:i4>
      </vt:variant>
      <vt:variant>
        <vt:i4>5</vt:i4>
      </vt:variant>
      <vt:variant>
        <vt:lpwstr>https://enrd.ec.europa.eu/evaluation/publications/guidelines-evaluation-national-rural-networks-2014-2020_fr</vt:lpwstr>
      </vt:variant>
      <vt:variant>
        <vt:lpwstr/>
      </vt:variant>
      <vt:variant>
        <vt:i4>4915326</vt:i4>
      </vt:variant>
      <vt:variant>
        <vt:i4>63</vt:i4>
      </vt:variant>
      <vt:variant>
        <vt:i4>0</vt:i4>
      </vt:variant>
      <vt:variant>
        <vt:i4>5</vt:i4>
      </vt:variant>
      <vt:variant>
        <vt:lpwstr>http://enrd.ec.europa.eu/evaluation/publications/working-document-common-evaluation-questions-rural-development-programmes_fr</vt:lpwstr>
      </vt:variant>
      <vt:variant>
        <vt:lpwstr/>
      </vt:variant>
      <vt:variant>
        <vt:i4>7340037</vt:i4>
      </vt:variant>
      <vt:variant>
        <vt:i4>60</vt:i4>
      </vt:variant>
      <vt:variant>
        <vt:i4>0</vt:i4>
      </vt:variant>
      <vt:variant>
        <vt:i4>5</vt:i4>
      </vt:variant>
      <vt:variant>
        <vt:lpwstr>https://enrd.ec.europa.eu/evaluation/publications/guidelines-assessment-rdp-results-how-prepare-reporting-evaluation-2017_fr</vt:lpwstr>
      </vt:variant>
      <vt:variant>
        <vt:lpwstr/>
      </vt:variant>
      <vt:variant>
        <vt:i4>8192037</vt:i4>
      </vt:variant>
      <vt:variant>
        <vt:i4>57</vt:i4>
      </vt:variant>
      <vt:variant>
        <vt:i4>0</vt:i4>
      </vt:variant>
      <vt:variant>
        <vt:i4>5</vt:i4>
      </vt:variant>
      <vt:variant>
        <vt:lpwstr>http://enrd.ec.europa.eu/sites/enrd/files/w10_m16.5_hesse_de_vonkutzleben.pdf</vt:lpwstr>
      </vt:variant>
      <vt:variant>
        <vt:lpwstr/>
      </vt:variant>
      <vt:variant>
        <vt:i4>393240</vt:i4>
      </vt:variant>
      <vt:variant>
        <vt:i4>54</vt:i4>
      </vt:variant>
      <vt:variant>
        <vt:i4>0</vt:i4>
      </vt:variant>
      <vt:variant>
        <vt:i4>5</vt:i4>
      </vt:variant>
      <vt:variant>
        <vt:lpwstr>https://ec.europa.eu/eip/agriculture/en/content/innovative-stable-reducing-ammonia-emissions</vt:lpwstr>
      </vt:variant>
      <vt:variant>
        <vt:lpwstr/>
      </vt:variant>
      <vt:variant>
        <vt:i4>1048695</vt:i4>
      </vt:variant>
      <vt:variant>
        <vt:i4>51</vt:i4>
      </vt:variant>
      <vt:variant>
        <vt:i4>0</vt:i4>
      </vt:variant>
      <vt:variant>
        <vt:i4>5</vt:i4>
      </vt:variant>
      <vt:variant>
        <vt:lpwstr>http://enrd.ec.europa.eu/sites/enrd/files/w10_m16_finland_karlsson.pdf</vt:lpwstr>
      </vt:variant>
      <vt:variant>
        <vt:lpwstr/>
      </vt:variant>
      <vt:variant>
        <vt:i4>6160481</vt:i4>
      </vt:variant>
      <vt:variant>
        <vt:i4>48</vt:i4>
      </vt:variant>
      <vt:variant>
        <vt:i4>0</vt:i4>
      </vt:variant>
      <vt:variant>
        <vt:i4>5</vt:i4>
      </vt:variant>
      <vt:variant>
        <vt:lpwstr>https://ec.europa.eu/eip/agriculture/sites/agri-eip/files/16_measure_fiche_art_35_co-operation.pdf</vt:lpwstr>
      </vt:variant>
      <vt:variant>
        <vt:lpwstr/>
      </vt:variant>
      <vt:variant>
        <vt:i4>4718718</vt:i4>
      </vt:variant>
      <vt:variant>
        <vt:i4>45</vt:i4>
      </vt:variant>
      <vt:variant>
        <vt:i4>0</vt:i4>
      </vt:variant>
      <vt:variant>
        <vt:i4>5</vt:i4>
      </vt:variant>
      <vt:variant>
        <vt:lpwstr>http://enrd.ec.europa.eu/evaluation/publications/working-document-common-evaluation-questions-rural-development-programmes_en</vt:lpwstr>
      </vt:variant>
      <vt:variant>
        <vt:lpwstr/>
      </vt:variant>
      <vt:variant>
        <vt:i4>1310828</vt:i4>
      </vt:variant>
      <vt:variant>
        <vt:i4>42</vt:i4>
      </vt:variant>
      <vt:variant>
        <vt:i4>0</vt:i4>
      </vt:variant>
      <vt:variant>
        <vt:i4>5</vt:i4>
      </vt:variant>
      <vt:variant>
        <vt:lpwstr>http://ec.europa.eu/europe2020/targets/eu-targets/index_en.htm</vt:lpwstr>
      </vt:variant>
      <vt:variant>
        <vt:lpwstr/>
      </vt:variant>
      <vt:variant>
        <vt:i4>7340037</vt:i4>
      </vt:variant>
      <vt:variant>
        <vt:i4>39</vt:i4>
      </vt:variant>
      <vt:variant>
        <vt:i4>0</vt:i4>
      </vt:variant>
      <vt:variant>
        <vt:i4>5</vt:i4>
      </vt:variant>
      <vt:variant>
        <vt:lpwstr>https://enrd.ec.europa.eu/evaluation/publications/guidelines-assessment-rdp-results-how-prepare-reporting-evaluation-2017_fr</vt:lpwstr>
      </vt:variant>
      <vt:variant>
        <vt:lpwstr/>
      </vt:variant>
      <vt:variant>
        <vt:i4>1310752</vt:i4>
      </vt:variant>
      <vt:variant>
        <vt:i4>36</vt:i4>
      </vt:variant>
      <vt:variant>
        <vt:i4>0</vt:i4>
      </vt:variant>
      <vt:variant>
        <vt:i4>5</vt:i4>
      </vt:variant>
      <vt:variant>
        <vt:lpwstr>https://enrd.ec.europa.eu/evaluation/publications/working-document-common-evaluation-questions-rural-development-programmes_fr</vt:lpwstr>
      </vt:variant>
      <vt:variant>
        <vt:lpwstr/>
      </vt:variant>
      <vt:variant>
        <vt:i4>6946935</vt:i4>
      </vt:variant>
      <vt:variant>
        <vt:i4>33</vt:i4>
      </vt:variant>
      <vt:variant>
        <vt:i4>0</vt:i4>
      </vt:variant>
      <vt:variant>
        <vt:i4>5</vt:i4>
      </vt:variant>
      <vt:variant>
        <vt:lpwstr>https://www.jordbruksverket.se/utvardering</vt:lpwstr>
      </vt:variant>
      <vt:variant>
        <vt:lpwstr/>
      </vt:variant>
      <vt:variant>
        <vt:i4>7340037</vt:i4>
      </vt:variant>
      <vt:variant>
        <vt:i4>30</vt:i4>
      </vt:variant>
      <vt:variant>
        <vt:i4>0</vt:i4>
      </vt:variant>
      <vt:variant>
        <vt:i4>5</vt:i4>
      </vt:variant>
      <vt:variant>
        <vt:lpwstr>https://enrd.ec.europa.eu/evaluation/publications/guidelines-assessment-rdp-results-how-prepare-reporting-evaluation-2017_fr</vt:lpwstr>
      </vt:variant>
      <vt:variant>
        <vt:lpwstr/>
      </vt:variant>
      <vt:variant>
        <vt:i4>7340037</vt:i4>
      </vt:variant>
      <vt:variant>
        <vt:i4>27</vt:i4>
      </vt:variant>
      <vt:variant>
        <vt:i4>0</vt:i4>
      </vt:variant>
      <vt:variant>
        <vt:i4>5</vt:i4>
      </vt:variant>
      <vt:variant>
        <vt:lpwstr>https://enrd.ec.europa.eu/evaluation/publications/guidelines-assessment-rdp-results-how-prepare-reporting-evaluation-2017_fr</vt:lpwstr>
      </vt:variant>
      <vt:variant>
        <vt:lpwstr/>
      </vt:variant>
      <vt:variant>
        <vt:i4>1114133</vt:i4>
      </vt:variant>
      <vt:variant>
        <vt:i4>24</vt:i4>
      </vt:variant>
      <vt:variant>
        <vt:i4>0</vt:i4>
      </vt:variant>
      <vt:variant>
        <vt:i4>5</vt:i4>
      </vt:variant>
      <vt:variant>
        <vt:lpwstr>https://ec.europa.eu/eip/agriculture/sites/agri-eip/files/field_event_attachments/sem-knowledge-20151203-pres02-inge_van_oost.pdf</vt:lpwstr>
      </vt:variant>
      <vt:variant>
        <vt:lpwstr/>
      </vt:variant>
      <vt:variant>
        <vt:i4>5767293</vt:i4>
      </vt:variant>
      <vt:variant>
        <vt:i4>21</vt:i4>
      </vt:variant>
      <vt:variant>
        <vt:i4>0</vt:i4>
      </vt:variant>
      <vt:variant>
        <vt:i4>5</vt:i4>
      </vt:variant>
      <vt:variant>
        <vt:lpwstr>http://ec.europa.eu/europe2020/europe-2020-in-a-nutshell/targets/index_en.htm</vt:lpwstr>
      </vt:variant>
      <vt:variant>
        <vt:lpwstr/>
      </vt:variant>
      <vt:variant>
        <vt:i4>5570611</vt:i4>
      </vt:variant>
      <vt:variant>
        <vt:i4>18</vt:i4>
      </vt:variant>
      <vt:variant>
        <vt:i4>0</vt:i4>
      </vt:variant>
      <vt:variant>
        <vt:i4>5</vt:i4>
      </vt:variant>
      <vt:variant>
        <vt:lpwstr>http://ec.europa.eu/europe2020/europe-2020-in-a-nutshell/flagship-initiatives/index_en.htm</vt:lpwstr>
      </vt:variant>
      <vt:variant>
        <vt:lpwstr/>
      </vt:variant>
      <vt:variant>
        <vt:i4>5701722</vt:i4>
      </vt:variant>
      <vt:variant>
        <vt:i4>15</vt:i4>
      </vt:variant>
      <vt:variant>
        <vt:i4>0</vt:i4>
      </vt:variant>
      <vt:variant>
        <vt:i4>5</vt:i4>
      </vt:variant>
      <vt:variant>
        <vt:lpwstr>https://ec.europa.eu/eip/agriculture/sites/agri-eip/files/eip-agri_factsheet_cities_and_food_en_web.pdf</vt:lpwstr>
      </vt:variant>
      <vt:variant>
        <vt:lpwstr/>
      </vt:variant>
      <vt:variant>
        <vt:i4>6488105</vt:i4>
      </vt:variant>
      <vt:variant>
        <vt:i4>12</vt:i4>
      </vt:variant>
      <vt:variant>
        <vt:i4>0</vt:i4>
      </vt:variant>
      <vt:variant>
        <vt:i4>5</vt:i4>
      </vt:variant>
      <vt:variant>
        <vt:lpwstr>https://ec.europa.eu/research/scar/pdf/akis-3_end_report.pdf</vt:lpwstr>
      </vt:variant>
      <vt:variant>
        <vt:lpwstr>view=fit&amp;pagemode=none</vt:lpwstr>
      </vt:variant>
      <vt:variant>
        <vt:i4>4128883</vt:i4>
      </vt:variant>
      <vt:variant>
        <vt:i4>9</vt:i4>
      </vt:variant>
      <vt:variant>
        <vt:i4>0</vt:i4>
      </vt:variant>
      <vt:variant>
        <vt:i4>5</vt:i4>
      </vt:variant>
      <vt:variant>
        <vt:lpwstr>http://www.gppq.fct.pt/h2020/_docs/brochuras/bioeco/agricultural-knowledge-innovation-systems-towards-2020_en.pdf</vt:lpwstr>
      </vt:variant>
      <vt:variant>
        <vt:lpwstr/>
      </vt:variant>
      <vt:variant>
        <vt:i4>3932283</vt:i4>
      </vt:variant>
      <vt:variant>
        <vt:i4>6</vt:i4>
      </vt:variant>
      <vt:variant>
        <vt:i4>0</vt:i4>
      </vt:variant>
      <vt:variant>
        <vt:i4>5</vt:i4>
      </vt:variant>
      <vt:variant>
        <vt:lpwstr>https://ec.europa.eu/eip/agriculture/sites/agri-eip/files/eip-agri_brochure_multi-actor_projects_2017_en_web.pdf</vt:lpwstr>
      </vt:variant>
      <vt:variant>
        <vt:lpwstr/>
      </vt:variant>
      <vt:variant>
        <vt:i4>6946899</vt:i4>
      </vt:variant>
      <vt:variant>
        <vt:i4>3</vt:i4>
      </vt:variant>
      <vt:variant>
        <vt:i4>0</vt:i4>
      </vt:variant>
      <vt:variant>
        <vt:i4>5</vt:i4>
      </vt:variant>
      <vt:variant>
        <vt:lpwstr>http://ec.europa.eu/research/participants/data/ref/h2020/wp/2018-2020/main/h2020-wp1820-food_en.pdf</vt:lpwstr>
      </vt:variant>
      <vt:variant>
        <vt:lpwstr/>
      </vt:variant>
      <vt:variant>
        <vt:i4>5505079</vt:i4>
      </vt:variant>
      <vt:variant>
        <vt:i4>0</vt:i4>
      </vt:variant>
      <vt:variant>
        <vt:i4>0</vt:i4>
      </vt:variant>
      <vt:variant>
        <vt:i4>5</vt:i4>
      </vt:variant>
      <vt:variant>
        <vt:lpwstr>https://ec.europa.eu/eip/agriculture/sites/agri-eip/files/pb_guidelines_eip_implementation_2014_en.pdf</vt:lpwstr>
      </vt:variant>
      <vt:variant>
        <vt:lpwstr/>
      </vt:variant>
      <vt:variant>
        <vt:i4>4128863</vt:i4>
      </vt:variant>
      <vt:variant>
        <vt:i4>81</vt:i4>
      </vt:variant>
      <vt:variant>
        <vt:i4>0</vt:i4>
      </vt:variant>
      <vt:variant>
        <vt:i4>5</vt:i4>
      </vt:variant>
      <vt:variant>
        <vt:lpwstr>http://betterevaluation.org/plan/approach/outcome_harvesting</vt:lpwstr>
      </vt:variant>
      <vt:variant>
        <vt:lpwstr/>
      </vt:variant>
      <vt:variant>
        <vt:i4>589905</vt:i4>
      </vt:variant>
      <vt:variant>
        <vt:i4>78</vt:i4>
      </vt:variant>
      <vt:variant>
        <vt:i4>0</vt:i4>
      </vt:variant>
      <vt:variant>
        <vt:i4>5</vt:i4>
      </vt:variant>
      <vt:variant>
        <vt:lpwstr>https://www.ncbi.nlm.nih.gov/pubmed/16053581</vt:lpwstr>
      </vt:variant>
      <vt:variant>
        <vt:lpwstr/>
      </vt:variant>
      <vt:variant>
        <vt:i4>1835012</vt:i4>
      </vt:variant>
      <vt:variant>
        <vt:i4>75</vt:i4>
      </vt:variant>
      <vt:variant>
        <vt:i4>0</vt:i4>
      </vt:variant>
      <vt:variant>
        <vt:i4>5</vt:i4>
      </vt:variant>
      <vt:variant>
        <vt:lpwstr>http://journals.sagepub.com/doi/abs/10.1177/1356389012451663</vt:lpwstr>
      </vt:variant>
      <vt:variant>
        <vt:lpwstr/>
      </vt:variant>
      <vt:variant>
        <vt:i4>3997815</vt:i4>
      </vt:variant>
      <vt:variant>
        <vt:i4>72</vt:i4>
      </vt:variant>
      <vt:variant>
        <vt:i4>0</vt:i4>
      </vt:variant>
      <vt:variant>
        <vt:i4>5</vt:i4>
      </vt:variant>
      <vt:variant>
        <vt:lpwstr>http://www.tandfonline.com/doi/abs/10.1080/135467896394447</vt:lpwstr>
      </vt:variant>
      <vt:variant>
        <vt:lpwstr/>
      </vt:variant>
      <vt:variant>
        <vt:i4>4259862</vt:i4>
      </vt:variant>
      <vt:variant>
        <vt:i4>69</vt:i4>
      </vt:variant>
      <vt:variant>
        <vt:i4>0</vt:i4>
      </vt:variant>
      <vt:variant>
        <vt:i4>5</vt:i4>
      </vt:variant>
      <vt:variant>
        <vt:lpwstr>https://www.gao.gov/products/GAO/PEMD-10.1.9</vt:lpwstr>
      </vt:variant>
      <vt:variant>
        <vt:lpwstr/>
      </vt:variant>
      <vt:variant>
        <vt:i4>1900565</vt:i4>
      </vt:variant>
      <vt:variant>
        <vt:i4>66</vt:i4>
      </vt:variant>
      <vt:variant>
        <vt:i4>0</vt:i4>
      </vt:variant>
      <vt:variant>
        <vt:i4>5</vt:i4>
      </vt:variant>
      <vt:variant>
        <vt:lpwstr>http://ageconsearch.umn.edu/bitstream/52515/2/ILAC_Brief05_Histories.pdf</vt:lpwstr>
      </vt:variant>
      <vt:variant>
        <vt:lpwstr/>
      </vt:variant>
      <vt:variant>
        <vt:i4>262211</vt:i4>
      </vt:variant>
      <vt:variant>
        <vt:i4>63</vt:i4>
      </vt:variant>
      <vt:variant>
        <vt:i4>0</vt:i4>
      </vt:variant>
      <vt:variant>
        <vt:i4>5</vt:i4>
      </vt:variant>
      <vt:variant>
        <vt:lpwstr>https://www.cambridge.org/core/journals/ps-political-science-and-politics/article/understanding-process-tracing/183A057AD6A36783E678CB37440346D1</vt:lpwstr>
      </vt:variant>
      <vt:variant>
        <vt:lpwstr/>
      </vt:variant>
      <vt:variant>
        <vt:i4>6815796</vt:i4>
      </vt:variant>
      <vt:variant>
        <vt:i4>60</vt:i4>
      </vt:variant>
      <vt:variant>
        <vt:i4>0</vt:i4>
      </vt:variant>
      <vt:variant>
        <vt:i4>5</vt:i4>
      </vt:variant>
      <vt:variant>
        <vt:lpwstr>http://asq.org/quality-progress/2007/07/statistics/likert-scales-and-data-analyses.html</vt:lpwstr>
      </vt:variant>
      <vt:variant>
        <vt:lpwstr/>
      </vt:variant>
      <vt:variant>
        <vt:i4>4587625</vt:i4>
      </vt:variant>
      <vt:variant>
        <vt:i4>57</vt:i4>
      </vt:variant>
      <vt:variant>
        <vt:i4>0</vt:i4>
      </vt:variant>
      <vt:variant>
        <vt:i4>5</vt:i4>
      </vt:variant>
      <vt:variant>
        <vt:lpwstr/>
      </vt:variant>
      <vt:variant>
        <vt:lpwstr>Screening_Potential</vt:lpwstr>
      </vt:variant>
      <vt:variant>
        <vt:i4>196698</vt:i4>
      </vt:variant>
      <vt:variant>
        <vt:i4>54</vt:i4>
      </vt:variant>
      <vt:variant>
        <vt:i4>0</vt:i4>
      </vt:variant>
      <vt:variant>
        <vt:i4>5</vt:i4>
      </vt:variant>
      <vt:variant>
        <vt:lpwstr>http://www.hnvlink.eu/download/D1.3BAcomplete.pdf</vt:lpwstr>
      </vt:variant>
      <vt:variant>
        <vt:lpwstr/>
      </vt:variant>
      <vt:variant>
        <vt:i4>8192103</vt:i4>
      </vt:variant>
      <vt:variant>
        <vt:i4>51</vt:i4>
      </vt:variant>
      <vt:variant>
        <vt:i4>0</vt:i4>
      </vt:variant>
      <vt:variant>
        <vt:i4>5</vt:i4>
      </vt:variant>
      <vt:variant>
        <vt:lpwstr>http://www.hnvlink.eu/</vt:lpwstr>
      </vt:variant>
      <vt:variant>
        <vt:lpwstr/>
      </vt:variant>
      <vt:variant>
        <vt:i4>2162773</vt:i4>
      </vt:variant>
      <vt:variant>
        <vt:i4>48</vt:i4>
      </vt:variant>
      <vt:variant>
        <vt:i4>0</vt:i4>
      </vt:variant>
      <vt:variant>
        <vt:i4>5</vt:i4>
      </vt:variant>
      <vt:variant>
        <vt:lpwstr>http://www.men-d.de/index.php?id=81&amp;tx_ttnews%5btt_news%5d=195&amp;tx_ttnews%5bbackPid%5d=85&amp;cHash=08539b2ad7</vt:lpwstr>
      </vt:variant>
      <vt:variant>
        <vt:lpwstr/>
      </vt:variant>
      <vt:variant>
        <vt:i4>2818134</vt:i4>
      </vt:variant>
      <vt:variant>
        <vt:i4>45</vt:i4>
      </vt:variant>
      <vt:variant>
        <vt:i4>0</vt:i4>
      </vt:variant>
      <vt:variant>
        <vt:i4>5</vt:i4>
      </vt:variant>
      <vt:variant>
        <vt:lpwstr>http://www.men-d.de/index.php?id=81&amp;tx_ttnews%5btt_news%5d=150&amp;tx_ttnews%5bbackPid%5d=85&amp;cHash=41ecd4ea5c</vt:lpwstr>
      </vt:variant>
      <vt:variant>
        <vt:lpwstr/>
      </vt:variant>
      <vt:variant>
        <vt:i4>4522009</vt:i4>
      </vt:variant>
      <vt:variant>
        <vt:i4>42</vt:i4>
      </vt:variant>
      <vt:variant>
        <vt:i4>0</vt:i4>
      </vt:variant>
      <vt:variant>
        <vt:i4>5</vt:i4>
      </vt:variant>
      <vt:variant>
        <vt:lpwstr>http://www.men-d.de/uploads/media/MEN-D_Jahresveranstaltung_2017.pdf</vt:lpwstr>
      </vt:variant>
      <vt:variant>
        <vt:lpwstr/>
      </vt:variant>
      <vt:variant>
        <vt:i4>6750290</vt:i4>
      </vt:variant>
      <vt:variant>
        <vt:i4>39</vt:i4>
      </vt:variant>
      <vt:variant>
        <vt:i4>0</vt:i4>
      </vt:variant>
      <vt:variant>
        <vt:i4>5</vt:i4>
      </vt:variant>
      <vt:variant>
        <vt:lpwstr>http://ec.europa.eu/eurostat/statistics-explained/index.php/Smarter,_greener,_more_inclusive_-_indicators_to_support_the_Europe_2020_strategy</vt:lpwstr>
      </vt:variant>
      <vt:variant>
        <vt:lpwstr/>
      </vt:variant>
      <vt:variant>
        <vt:i4>7995516</vt:i4>
      </vt:variant>
      <vt:variant>
        <vt:i4>36</vt:i4>
      </vt:variant>
      <vt:variant>
        <vt:i4>0</vt:i4>
      </vt:variant>
      <vt:variant>
        <vt:i4>5</vt:i4>
      </vt:variant>
      <vt:variant>
        <vt:lpwstr>http://eur-lex.europa.eu/LexUriServ/LexUriServ.do?uri=COM:2010:2020:FIN:FR:PDF</vt:lpwstr>
      </vt:variant>
      <vt:variant>
        <vt:lpwstr/>
      </vt:variant>
      <vt:variant>
        <vt:i4>5242984</vt:i4>
      </vt:variant>
      <vt:variant>
        <vt:i4>33</vt:i4>
      </vt:variant>
      <vt:variant>
        <vt:i4>0</vt:i4>
      </vt:variant>
      <vt:variant>
        <vt:i4>5</vt:i4>
      </vt:variant>
      <vt:variant>
        <vt:lpwstr>http://enrd.ec.europa.eu/enrd-static/evaluation/good-practices-workshops/national-rural-networks/en/national-rural-networks_en.html</vt:lpwstr>
      </vt:variant>
      <vt:variant>
        <vt:lpwstr/>
      </vt:variant>
      <vt:variant>
        <vt:i4>8192053</vt:i4>
      </vt:variant>
      <vt:variant>
        <vt:i4>30</vt:i4>
      </vt:variant>
      <vt:variant>
        <vt:i4>0</vt:i4>
      </vt:variant>
      <vt:variant>
        <vt:i4>5</vt:i4>
      </vt:variant>
      <vt:variant>
        <vt:lpwstr>https://ec.europa.eu/eip/agriculture/en/publications/guidelines-programming-innovation-and</vt:lpwstr>
      </vt:variant>
      <vt:variant>
        <vt:lpwstr/>
      </vt:variant>
      <vt:variant>
        <vt:i4>8126574</vt:i4>
      </vt:variant>
      <vt:variant>
        <vt:i4>27</vt:i4>
      </vt:variant>
      <vt:variant>
        <vt:i4>0</vt:i4>
      </vt:variant>
      <vt:variant>
        <vt:i4>5</vt:i4>
      </vt:variant>
      <vt:variant>
        <vt:lpwstr>https://enrd.ec.europa.eu/sites/enrd/files/twg-02-nrn-july2016.pdf</vt:lpwstr>
      </vt:variant>
      <vt:variant>
        <vt:lpwstr/>
      </vt:variant>
      <vt:variant>
        <vt:i4>458759</vt:i4>
      </vt:variant>
      <vt:variant>
        <vt:i4>24</vt:i4>
      </vt:variant>
      <vt:variant>
        <vt:i4>0</vt:i4>
      </vt:variant>
      <vt:variant>
        <vt:i4>5</vt:i4>
      </vt:variant>
      <vt:variant>
        <vt:lpwstr>http://enrd.ec.europa.eu/enrd-static/app_templates/enrd_assets/pdf/guidebook/nrn_handbook_webversion.pdf</vt:lpwstr>
      </vt:variant>
      <vt:variant>
        <vt:lpwstr/>
      </vt:variant>
      <vt:variant>
        <vt:i4>7340037</vt:i4>
      </vt:variant>
      <vt:variant>
        <vt:i4>21</vt:i4>
      </vt:variant>
      <vt:variant>
        <vt:i4>0</vt:i4>
      </vt:variant>
      <vt:variant>
        <vt:i4>5</vt:i4>
      </vt:variant>
      <vt:variant>
        <vt:lpwstr>https://enrd.ec.europa.eu/evaluation/publications/guidelines-assessment-rdp-results-how-prepare-reporting-evaluation-2017_fr</vt:lpwstr>
      </vt:variant>
      <vt:variant>
        <vt:lpwstr/>
      </vt:variant>
      <vt:variant>
        <vt:i4>6357072</vt:i4>
      </vt:variant>
      <vt:variant>
        <vt:i4>18</vt:i4>
      </vt:variant>
      <vt:variant>
        <vt:i4>0</vt:i4>
      </vt:variant>
      <vt:variant>
        <vt:i4>5</vt:i4>
      </vt:variant>
      <vt:variant>
        <vt:lpwstr>http://enrd.ec.europa.eu/news-events/events/enrd-workshop-measure-16-cooperation_fr</vt:lpwstr>
      </vt:variant>
      <vt:variant>
        <vt:lpwstr/>
      </vt:variant>
      <vt:variant>
        <vt:i4>6160481</vt:i4>
      </vt:variant>
      <vt:variant>
        <vt:i4>15</vt:i4>
      </vt:variant>
      <vt:variant>
        <vt:i4>0</vt:i4>
      </vt:variant>
      <vt:variant>
        <vt:i4>5</vt:i4>
      </vt:variant>
      <vt:variant>
        <vt:lpwstr>https://ec.europa.eu/eip/agriculture/sites/agri-eip/files/16_measure_fiche_art_35_co-operation.pdf</vt:lpwstr>
      </vt:variant>
      <vt:variant>
        <vt:lpwstr/>
      </vt:variant>
      <vt:variant>
        <vt:i4>7340037</vt:i4>
      </vt:variant>
      <vt:variant>
        <vt:i4>12</vt:i4>
      </vt:variant>
      <vt:variant>
        <vt:i4>0</vt:i4>
      </vt:variant>
      <vt:variant>
        <vt:i4>5</vt:i4>
      </vt:variant>
      <vt:variant>
        <vt:lpwstr>https://enrd.ec.europa.eu/evaluation/publications/guidelines-assessment-rdp-results-how-prepare-reporting-evaluation-2017_fr</vt:lpwstr>
      </vt:variant>
      <vt:variant>
        <vt:lpwstr/>
      </vt:variant>
      <vt:variant>
        <vt:i4>6357072</vt:i4>
      </vt:variant>
      <vt:variant>
        <vt:i4>9</vt:i4>
      </vt:variant>
      <vt:variant>
        <vt:i4>0</vt:i4>
      </vt:variant>
      <vt:variant>
        <vt:i4>5</vt:i4>
      </vt:variant>
      <vt:variant>
        <vt:lpwstr>http://enrd.ec.europa.eu/news-events/events/enrd-workshop-measure-16-cooperation_fr</vt:lpwstr>
      </vt:variant>
      <vt:variant>
        <vt:lpwstr/>
      </vt:variant>
      <vt:variant>
        <vt:i4>6160481</vt:i4>
      </vt:variant>
      <vt:variant>
        <vt:i4>6</vt:i4>
      </vt:variant>
      <vt:variant>
        <vt:i4>0</vt:i4>
      </vt:variant>
      <vt:variant>
        <vt:i4>5</vt:i4>
      </vt:variant>
      <vt:variant>
        <vt:lpwstr>https://ec.europa.eu/eip/agriculture/sites/agri-eip/files/16_measure_fiche_art_35_co-operation.pdf</vt:lpwstr>
      </vt:variant>
      <vt:variant>
        <vt:lpwstr/>
      </vt:variant>
      <vt:variant>
        <vt:i4>7340037</vt:i4>
      </vt:variant>
      <vt:variant>
        <vt:i4>3</vt:i4>
      </vt:variant>
      <vt:variant>
        <vt:i4>0</vt:i4>
      </vt:variant>
      <vt:variant>
        <vt:i4>5</vt:i4>
      </vt:variant>
      <vt:variant>
        <vt:lpwstr>https://enrd.ec.europa.eu/evaluation/publications/guidelines-assessment-rdp-results-how-prepare-reporting-evaluation-2017_fr</vt:lpwstr>
      </vt:variant>
      <vt:variant>
        <vt:lpwstr/>
      </vt:variant>
      <vt:variant>
        <vt:i4>5046321</vt:i4>
      </vt:variant>
      <vt:variant>
        <vt:i4>0</vt:i4>
      </vt:variant>
      <vt:variant>
        <vt:i4>0</vt:i4>
      </vt:variant>
      <vt:variant>
        <vt:i4>5</vt:i4>
      </vt:variant>
      <vt:variant>
        <vt:lpwstr>https://enrd.ec.europa.eu/evaluation/publications/evaluation-innovation-rural-development-programmes-2014-2020_en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Myles Stiffler</dc:creator>
  <cp:keywords/>
  <cp:lastModifiedBy>Valerie Dumont</cp:lastModifiedBy>
  <cp:revision>9</cp:revision>
  <cp:lastPrinted>2018-01-12T09:16:00Z</cp:lastPrinted>
  <dcterms:created xsi:type="dcterms:W3CDTF">2018-03-20T09:41:00Z</dcterms:created>
  <dcterms:modified xsi:type="dcterms:W3CDTF">2018-03-20T10:36:00Z</dcterms:modified>
</cp:coreProperties>
</file>