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5D08" w:rsidRPr="009E6414" w:rsidRDefault="00E05D08" w:rsidP="00E05D08">
      <w:pPr>
        <w:spacing w:after="120" w:line="280" w:lineRule="atLeast"/>
        <w:mirrorIndents/>
        <w:rPr>
          <w:rFonts w:eastAsia="Times New Roman" w:cs="Times New Roman"/>
          <w:noProof/>
          <w:szCs w:val="20"/>
          <w:lang w:val="es-ES_tradnl"/>
        </w:rPr>
      </w:pPr>
      <w:r w:rsidRPr="009E6414">
        <w:rPr>
          <w:rFonts w:eastAsia="Times New Roman" w:cs="Times New Roman"/>
          <w:noProof/>
          <w:szCs w:val="24"/>
          <w:lang w:val="en-GB" w:eastAsia="en-GB" w:bidi="ar-SA"/>
        </w:rPr>
        <mc:AlternateContent>
          <mc:Choice Requires="wps">
            <w:drawing>
              <wp:anchor distT="0" distB="0" distL="114300" distR="114300" simplePos="0" relativeHeight="251647488" behindDoc="1" locked="0" layoutInCell="1" allowOverlap="1" wp14:anchorId="54169367" wp14:editId="0121ACD0">
                <wp:simplePos x="0" y="0"/>
                <wp:positionH relativeFrom="page">
                  <wp:posOffset>2052320</wp:posOffset>
                </wp:positionH>
                <wp:positionV relativeFrom="page">
                  <wp:posOffset>5022850</wp:posOffset>
                </wp:positionV>
                <wp:extent cx="4958080" cy="3855720"/>
                <wp:effectExtent l="0" t="0" r="13970" b="11430"/>
                <wp:wrapTight wrapText="bothSides">
                  <wp:wrapPolygon edited="0">
                    <wp:start x="0" y="0"/>
                    <wp:lineTo x="0" y="21557"/>
                    <wp:lineTo x="21578" y="21557"/>
                    <wp:lineTo x="21578"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E0D" w:rsidRPr="00DD6E53" w:rsidRDefault="008D2E0D" w:rsidP="00E05D08">
                            <w:pPr>
                              <w:pStyle w:val="HTitle1"/>
                            </w:pPr>
                            <w:r>
                              <w:t xml:space="preserve">Directrices </w:t>
                            </w:r>
                          </w:p>
                          <w:p w:rsidR="008D2E0D" w:rsidRPr="00DD6E53" w:rsidRDefault="008D2E0D" w:rsidP="00C947BA">
                            <w:pPr>
                              <w:pStyle w:val="HTitle2"/>
                              <w:jc w:val="left"/>
                            </w:pPr>
                            <w:r>
                              <w:t xml:space="preserve">Evaluación de la innovación en los programas de desarrollo rural 2014-2020 </w:t>
                            </w:r>
                          </w:p>
                          <w:p w:rsidR="008D2E0D" w:rsidRPr="00DD6E53" w:rsidRDefault="008D2E0D" w:rsidP="00E05D08">
                            <w:pPr>
                              <w:rPr>
                                <w:color w:val="6F6F6F"/>
                                <w:sz w:val="28"/>
                                <w:szCs w:val="28"/>
                              </w:rPr>
                            </w:pPr>
                          </w:p>
                          <w:p w:rsidR="008D2E0D" w:rsidRDefault="008D2E0D" w:rsidP="00E05D08">
                            <w:pPr>
                              <w:pStyle w:val="HTitle3"/>
                            </w:pPr>
                            <w:r>
                              <w:t xml:space="preserve">Diciembre de 2017 </w:t>
                            </w:r>
                          </w:p>
                          <w:p w:rsidR="008D2E0D" w:rsidRDefault="008D2E0D" w:rsidP="00E05D08">
                            <w:pPr>
                              <w:pStyle w:val="HTitle3"/>
                            </w:pPr>
                          </w:p>
                          <w:p w:rsidR="008D2E0D" w:rsidRDefault="008D2E0D" w:rsidP="00E05D08">
                            <w:pPr>
                              <w:pStyle w:val="HTitle3"/>
                            </w:pPr>
                          </w:p>
                          <w:p w:rsidR="008D2E0D" w:rsidRDefault="008D2E0D" w:rsidP="00E05D08">
                            <w:pPr>
                              <w:pStyle w:val="HTitle3"/>
                            </w:pPr>
                          </w:p>
                          <w:p w:rsidR="008D2E0D" w:rsidRPr="00912430" w:rsidRDefault="008D2E0D" w:rsidP="00912430">
                            <w:pPr>
                              <w:rPr>
                                <w:color w:val="auto"/>
                                <w:sz w:val="18"/>
                                <w:szCs w:val="18"/>
                              </w:rPr>
                            </w:pPr>
                            <w:r>
                              <w:rPr>
                                <w:i/>
                                <w:sz w:val="18"/>
                              </w:rPr>
                              <w:t xml:space="preserve">El presente documento contiene la traducción de la versión de diciembre de 2017 de las «Directrices: Evaluación de la innovación en los programas de desarrollo rural 2014-2020». Esta traducción se facilita con el fin de que las Directrices sean más útiles y accesibles para todas las partes interesadas. Cabe señalar que la versión inglesa debe utilizarse como texto de referencia definitivo. </w:t>
                            </w:r>
                            <w:r>
                              <w:t xml:space="preserve">La versión inglesa puede consultarse en el </w:t>
                            </w:r>
                            <w:hyperlink r:id="rId8">
                              <w:r>
                                <w:rPr>
                                  <w:rStyle w:val="Hyperlink"/>
                                  <w:i/>
                                  <w:sz w:val="18"/>
                                </w:rPr>
                                <w:t>siguiente enlace</w:t>
                              </w:r>
                            </w:hyperlink>
                            <w:r>
                              <w:rPr>
                                <w:rStyle w:val="Hyperlink"/>
                                <w:color w:val="auto"/>
                                <w:sz w:val="18"/>
                                <w:u w:val="non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169367" id="_x0000_t202" coordsize="21600,21600" o:spt="202" path="m,l,21600r21600,l21600,xe">
                <v:stroke joinstyle="miter"/>
                <v:path gradientshapeok="t" o:connecttype="rect"/>
              </v:shapetype>
              <v:shape id="Text Box 5" o:spid="_x0000_s1026" type="#_x0000_t202" style="position:absolute;left:0;text-align:left;margin-left:161.6pt;margin-top:395.5pt;width:390.4pt;height:303.6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DQrwIAAKo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" filled="f" stroked="f">
                <v:textbox inset="0,0,0,0">
                  <w:txbxContent>
                    <w:p w:rsidR="008D2E0D" w:rsidRPr="00DD6E53" w:rsidRDefault="008D2E0D" w:rsidP="00E05D08">
                      <w:pPr>
                        <w:pStyle w:val="HTitle1"/>
                      </w:pPr>
                      <w:r>
                        <w:t xml:space="preserve">Directrices </w:t>
                      </w:r>
                    </w:p>
                    <w:p w:rsidR="008D2E0D" w:rsidRPr="00DD6E53" w:rsidRDefault="008D2E0D" w:rsidP="00C947BA">
                      <w:pPr>
                        <w:pStyle w:val="HTitle2"/>
                        <w:jc w:val="left"/>
                      </w:pPr>
                      <w:r>
                        <w:t xml:space="preserve">Evaluación de la innovación en los programas de desarrollo rural 2014-2020 </w:t>
                      </w:r>
                    </w:p>
                    <w:p w:rsidR="008D2E0D" w:rsidRPr="00DD6E53" w:rsidRDefault="008D2E0D" w:rsidP="00E05D08">
                      <w:pPr>
                        <w:rPr>
                          <w:color w:val="6F6F6F"/>
                          <w:sz w:val="28"/>
                          <w:szCs w:val="28"/>
                        </w:rPr>
                      </w:pPr>
                    </w:p>
                    <w:p w:rsidR="008D2E0D" w:rsidRDefault="008D2E0D" w:rsidP="00E05D08">
                      <w:pPr>
                        <w:pStyle w:val="HTitle3"/>
                      </w:pPr>
                      <w:r>
                        <w:t xml:space="preserve">Diciembre de 2017 </w:t>
                      </w:r>
                    </w:p>
                    <w:p w:rsidR="008D2E0D" w:rsidRDefault="008D2E0D" w:rsidP="00E05D08">
                      <w:pPr>
                        <w:pStyle w:val="HTitle3"/>
                      </w:pPr>
                    </w:p>
                    <w:p w:rsidR="008D2E0D" w:rsidRDefault="008D2E0D" w:rsidP="00E05D08">
                      <w:pPr>
                        <w:pStyle w:val="HTitle3"/>
                      </w:pPr>
                    </w:p>
                    <w:p w:rsidR="008D2E0D" w:rsidRDefault="008D2E0D" w:rsidP="00E05D08">
                      <w:pPr>
                        <w:pStyle w:val="HTitle3"/>
                      </w:pPr>
                    </w:p>
                    <w:p w:rsidR="008D2E0D" w:rsidRPr="00912430" w:rsidRDefault="008D2E0D" w:rsidP="00912430">
                      <w:pPr>
                        <w:rPr>
                          <w:color w:val="auto"/>
                          <w:sz w:val="18"/>
                          <w:szCs w:val="18"/>
                        </w:rPr>
                      </w:pPr>
                      <w:r>
                        <w:rPr>
                          <w:i/>
                          <w:sz w:val="18"/>
                        </w:rPr>
                        <w:t xml:space="preserve">El presente documento contiene la traducción de la versión de diciembre de 2017 de las «Directrices: Evaluación de la innovación en los programas de desarrollo rural 2014-2020». Esta traducción se facilita con el fin de que las Directrices sean más útiles y accesibles para todas las partes interesadas. Cabe señalar que la versión inglesa debe utilizarse como texto de referencia definitivo. </w:t>
                      </w:r>
                      <w:r>
                        <w:t xml:space="preserve">La versión inglesa puede consultarse en el </w:t>
                      </w:r>
                      <w:hyperlink r:id="rId9">
                        <w:r>
                          <w:rPr>
                            <w:rStyle w:val="Hyperlink"/>
                            <w:i/>
                            <w:sz w:val="18"/>
                          </w:rPr>
                          <w:t>siguiente enlace</w:t>
                        </w:r>
                      </w:hyperlink>
                      <w:r>
                        <w:rPr>
                          <w:rStyle w:val="Hyperlink"/>
                          <w:color w:val="auto"/>
                          <w:sz w:val="18"/>
                          <w:u w:val="none"/>
                        </w:rPr>
                        <w:t>.</w:t>
                      </w:r>
                    </w:p>
                  </w:txbxContent>
                </v:textbox>
                <w10:wrap type="tight" anchorx="page" anchory="page"/>
              </v:shape>
            </w:pict>
          </mc:Fallback>
        </mc:AlternateContent>
      </w:r>
      <w:r w:rsidRPr="009E6414">
        <w:rPr>
          <w:noProof/>
          <w:lang w:val="es-ES_tradnl"/>
        </w:rPr>
        <w:br w:type="page"/>
      </w:r>
    </w:p>
    <w:p w:rsidR="00E05D08" w:rsidRPr="009E6414" w:rsidRDefault="00E05D08" w:rsidP="00E05D08">
      <w:pPr>
        <w:spacing w:after="120" w:line="280" w:lineRule="atLeast"/>
        <w:mirrorIndents/>
        <w:rPr>
          <w:rFonts w:eastAsia="Times New Roman" w:cs="Times New Roman"/>
          <w:noProof/>
          <w:szCs w:val="20"/>
          <w:lang w:val="es-ES_tradnl"/>
        </w:rPr>
      </w:pPr>
      <w:r w:rsidRPr="009E6414">
        <w:rPr>
          <w:rFonts w:eastAsia="Times New Roman" w:cs="Times New Roman"/>
          <w:noProof/>
          <w:szCs w:val="20"/>
          <w:lang w:val="en-GB" w:eastAsia="en-GB" w:bidi="ar-SA"/>
        </w:rPr>
        <w:lastRenderedPageBreak/>
        <mc:AlternateContent>
          <mc:Choice Requires="wps">
            <w:drawing>
              <wp:anchor distT="0" distB="0" distL="114300" distR="114300" simplePos="0" relativeHeight="251648512" behindDoc="0" locked="0" layoutInCell="1" allowOverlap="1" wp14:anchorId="7438DF10" wp14:editId="44D24BC1">
                <wp:simplePos x="0" y="0"/>
                <wp:positionH relativeFrom="margin">
                  <wp:posOffset>-426085</wp:posOffset>
                </wp:positionH>
                <wp:positionV relativeFrom="paragraph">
                  <wp:posOffset>4095115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8D2E0D" w:rsidRPr="007F1B7F" w:rsidRDefault="008D2E0D" w:rsidP="00E05D08">
                            <w:pPr>
                              <w:pStyle w:val="Normal12PTcouleurgris"/>
                              <w:rPr>
                                <w:sz w:val="18"/>
                              </w:rPr>
                            </w:pPr>
                            <w:r>
                              <w:rPr>
                                <w:sz w:val="18"/>
                              </w:rPr>
                              <w:t>Aviso de derechos de autor</w:t>
                            </w:r>
                          </w:p>
                          <w:p w:rsidR="008D2E0D" w:rsidRPr="007F1B7F" w:rsidRDefault="008D2E0D" w:rsidP="00E05D08">
                            <w:pPr>
                              <w:pStyle w:val="Normal12PTcouleurgris"/>
                              <w:rPr>
                                <w:sz w:val="18"/>
                              </w:rPr>
                            </w:pPr>
                            <w:r>
                              <w:rPr>
                                <w:sz w:val="18"/>
                              </w:rPr>
                              <w:t>© Unión Europea, 2017</w:t>
                            </w:r>
                          </w:p>
                          <w:p w:rsidR="008D2E0D" w:rsidRPr="007F1B7F" w:rsidRDefault="008D2E0D" w:rsidP="00E05D08">
                            <w:pPr>
                              <w:pStyle w:val="Normal12PTcouleurgris"/>
                              <w:rPr>
                                <w:sz w:val="18"/>
                              </w:rPr>
                            </w:pPr>
                            <w:r>
                              <w:rPr>
                                <w:sz w:val="18"/>
                              </w:rPr>
                              <w:t>Se autoriza la reproducción siempre que se cite la fuente.</w:t>
                            </w:r>
                          </w:p>
                          <w:p w:rsidR="008D2E0D" w:rsidRPr="0002668A" w:rsidRDefault="008D2E0D" w:rsidP="00E05D08">
                            <w:pPr>
                              <w:pStyle w:val="Normal12PTcouleurgris"/>
                              <w:rPr>
                                <w:sz w:val="18"/>
                              </w:rPr>
                            </w:pPr>
                            <w:r>
                              <w:rPr>
                                <w:u w:val="single"/>
                              </w:rPr>
                              <w:t>Cita recomendada</w:t>
                            </w:r>
                            <w:r>
                              <w:t>:</w:t>
                            </w:r>
                            <w:r>
                              <w:rPr>
                                <w:sz w:val="18"/>
                              </w:rPr>
                              <w:t xml:space="preserve"> </w:t>
                            </w:r>
                          </w:p>
                          <w:p w:rsidR="008D2E0D" w:rsidRPr="0002668A" w:rsidRDefault="008D2E0D" w:rsidP="00E05D08">
                            <w:pPr>
                              <w:pStyle w:val="Normal12PTcouleurgris"/>
                              <w:rPr>
                                <w:sz w:val="18"/>
                              </w:rPr>
                            </w:pPr>
                            <w:r>
                              <w:rPr>
                                <w:sz w:val="18"/>
                              </w:rPr>
                              <w:t xml:space="preserve">COMISIÓN EUROPEA – Dirección General de Agricultura y Desarrollo Rural – Unidad </w:t>
                            </w:r>
                            <w:proofErr w:type="spellStart"/>
                            <w:r>
                              <w:rPr>
                                <w:sz w:val="18"/>
                              </w:rPr>
                              <w:t>C.4</w:t>
                            </w:r>
                            <w:proofErr w:type="spellEnd"/>
                            <w:r>
                              <w:rPr>
                                <w:sz w:val="18"/>
                              </w:rPr>
                              <w:t xml:space="preserve"> (2017): Directrices: Evaluación de la innovación en los programas de desarrollo rural 2014-2020</w:t>
                            </w:r>
                          </w:p>
                          <w:p w:rsidR="008D2E0D" w:rsidRPr="0002668A" w:rsidRDefault="008D2E0D" w:rsidP="00E05D08">
                            <w:pPr>
                              <w:pStyle w:val="Normal12PTcouleurgris"/>
                              <w:rPr>
                                <w:bCs/>
                                <w:sz w:val="18"/>
                                <w:u w:val="single"/>
                              </w:rPr>
                            </w:pPr>
                            <w:r>
                              <w:rPr>
                                <w:sz w:val="18"/>
                                <w:u w:val="single"/>
                              </w:rPr>
                              <w:t>Exención de responsabilidad:</w:t>
                            </w:r>
                          </w:p>
                          <w:p w:rsidR="008D2E0D" w:rsidRPr="0002668A" w:rsidRDefault="008D2E0D" w:rsidP="00E05D08">
                            <w:pPr>
                              <w:pStyle w:val="Normal12PTcouleurgris"/>
                              <w:rPr>
                                <w:sz w:val="18"/>
                              </w:rPr>
                            </w:pPr>
                            <w:r>
                              <w:rPr>
                                <w:sz w:val="18"/>
                              </w:rPr>
                              <w:t>La información y las opiniones expresadas en el presente informe son las del autor o autores y no reflejan necesariamente la posición oficial de la Comisión. La Comisión no garantiza la exactitud de los datos que figuran en el presente informe. Ni la Comisión ni ninguna persona que actúe en su nombre podrán ser consideradas responsables del uso que pudiera hacerse de la información que contiene.</w:t>
                            </w:r>
                          </w:p>
                          <w:p w:rsidR="008D2E0D" w:rsidRPr="000B1DDA" w:rsidRDefault="008D2E0D" w:rsidP="00E05D08">
                            <w:pPr>
                              <w:pStyle w:val="Normal12PTcouleurgris"/>
                              <w:rPr>
                                <w:noProof/>
                              </w:rPr>
                            </w:pPr>
                          </w:p>
                          <w:p w:rsidR="008D2E0D" w:rsidRPr="004D4D87" w:rsidRDefault="008D2E0D" w:rsidP="00E05D08">
                            <w:pPr>
                              <w:pStyle w:val="Normal12PTcouleurgris"/>
                            </w:pPr>
                            <w:r>
                              <w:rPr>
                                <w:noProof/>
                                <w:lang w:val="en-GB" w:eastAsia="en-GB" w:bidi="ar-SA"/>
                              </w:rPr>
                              <w:drawing>
                                <wp:inline distT="0" distB="0" distL="0" distR="0" wp14:anchorId="101EEC29" wp14:editId="0D56AAA1">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bidi="ar-SA"/>
                              </w:rPr>
                              <w:drawing>
                                <wp:inline distT="0" distB="0" distL="0" distR="0" wp14:anchorId="50DC8BC6" wp14:editId="37EB07FE">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8D2E0D" w:rsidRPr="00E05D08" w:rsidRDefault="008D2E0D" w:rsidP="00E05D08">
                            <w:pPr>
                              <w:pStyle w:val="Normal12PTcouleurgris"/>
                              <w:rPr>
                                <w:color w:val="BFBFBF"/>
                              </w:rPr>
                            </w:pPr>
                          </w:p>
                          <w:p w:rsidR="008D2E0D" w:rsidRPr="007F1B7F" w:rsidRDefault="008D2E0D" w:rsidP="00E05D08">
                            <w:pPr>
                              <w:pStyle w:val="Normal12PTcouleurgris"/>
                              <w:rPr>
                                <w:sz w:val="18"/>
                              </w:rPr>
                            </w:pPr>
                            <w:r>
                              <w:rPr>
                                <w:sz w:val="18"/>
                              </w:rPr>
                              <w:t>El Servicio de asistencia de evaluación es responsable de la función de evaluación dentro de la Red Europea de Desarrollo Rural (</w:t>
                            </w:r>
                            <w:proofErr w:type="spellStart"/>
                            <w:r>
                              <w:rPr>
                                <w:sz w:val="18"/>
                              </w:rPr>
                              <w:t>REDR</w:t>
                            </w:r>
                            <w:proofErr w:type="spellEnd"/>
                            <w:r>
                              <w:rPr>
                                <w:sz w:val="18"/>
                              </w:rPr>
                              <w:t xml:space="preserve">) proporcionando orientación sobre la evaluación de los </w:t>
                            </w:r>
                            <w:proofErr w:type="spellStart"/>
                            <w:r>
                              <w:rPr>
                                <w:sz w:val="18"/>
                              </w:rPr>
                              <w:t>PDR</w:t>
                            </w:r>
                            <w:proofErr w:type="spellEnd"/>
                            <w:r>
                              <w:rPr>
                                <w:sz w:val="18"/>
                              </w:rPr>
                              <w:t xml:space="preserve"> y las políticas que recaen en el ámbito de competencias y orientación de la Unidad </w:t>
                            </w:r>
                            <w:proofErr w:type="spellStart"/>
                            <w:r>
                              <w:rPr>
                                <w:sz w:val="18"/>
                              </w:rPr>
                              <w:t>C.4</w:t>
                            </w:r>
                            <w:proofErr w:type="spellEnd"/>
                            <w:r>
                              <w:rPr>
                                <w:sz w:val="18"/>
                              </w:rPr>
                              <w:t xml:space="preserve"> de la DG AGRI «Seguimiento y evaluación» de la Comisión Europea (CE). Para mejorar la evaluación de la política de desarrollo rural de la Unión Europea, el Servicio de asistencia de evaluación presta apoyo a todas las partes interesadas en la evaluación, en particular a la DG AGRI, a las autoridades nacionales, a las autoridades de gestión y a los evaluadores de los </w:t>
                            </w:r>
                            <w:proofErr w:type="spellStart"/>
                            <w:r>
                              <w:rPr>
                                <w:sz w:val="18"/>
                              </w:rPr>
                              <w:t>PDR</w:t>
                            </w:r>
                            <w:proofErr w:type="spellEnd"/>
                            <w:r>
                              <w:rPr>
                                <w:sz w:val="18"/>
                              </w:rPr>
                              <w:t>, mediante el desarrollo y la difusión de metodologías y herramientas adecuadas, la recopilación y el intercambio de buenas prácticas, el desarrollo de capacidades y la comunicación con los miembros de la red sobre temas relacionados con la evaluación.</w:t>
                            </w:r>
                          </w:p>
                          <w:p w:rsidR="008D2E0D" w:rsidRPr="007F1B7F" w:rsidRDefault="008D2E0D" w:rsidP="00E05D08">
                            <w:pPr>
                              <w:pStyle w:val="Normal12PTcouleurgris"/>
                              <w:rPr>
                                <w:sz w:val="18"/>
                              </w:rPr>
                            </w:pPr>
                            <w:r>
                              <w:rPr>
                                <w:sz w:val="18"/>
                              </w:rPr>
                              <w:t>En el servidor Europa de Internet se puede consultar información adicional sobre las actividades del Servicio de asistencia de evaluación europeo para el desarrollo rural (http://enrd.ec.europa.eu).</w:t>
                            </w:r>
                          </w:p>
                          <w:p w:rsidR="008D2E0D" w:rsidRPr="00811EF1" w:rsidRDefault="008D2E0D" w:rsidP="00E05D08">
                            <w:pPr>
                              <w:pStyle w:val="Hdisclaim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8DF10" id="Text Box 7" o:spid="_x0000_s1027" type="#_x0000_t202" style="position:absolute;left:0;text-align:left;margin-left:-33.55pt;margin-top:322.45pt;width:518.4pt;height:406.4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y6GQ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" stroked="f">
                <v:fill opacity="0"/>
                <v:textbox>
                  <w:txbxContent>
                    <w:p w:rsidR="008D2E0D" w:rsidRPr="007F1B7F" w:rsidRDefault="008D2E0D" w:rsidP="00E05D08">
                      <w:pPr>
                        <w:pStyle w:val="Normal12PTcouleurgris"/>
                        <w:rPr>
                          <w:sz w:val="18"/>
                        </w:rPr>
                      </w:pPr>
                      <w:r>
                        <w:rPr>
                          <w:sz w:val="18"/>
                        </w:rPr>
                        <w:t>Aviso de derechos de autor</w:t>
                      </w:r>
                    </w:p>
                    <w:p w:rsidR="008D2E0D" w:rsidRPr="007F1B7F" w:rsidRDefault="008D2E0D" w:rsidP="00E05D08">
                      <w:pPr>
                        <w:pStyle w:val="Normal12PTcouleurgris"/>
                        <w:rPr>
                          <w:sz w:val="18"/>
                        </w:rPr>
                      </w:pPr>
                      <w:r>
                        <w:rPr>
                          <w:sz w:val="18"/>
                        </w:rPr>
                        <w:t>© Unión Europea, 2017</w:t>
                      </w:r>
                    </w:p>
                    <w:p w:rsidR="008D2E0D" w:rsidRPr="007F1B7F" w:rsidRDefault="008D2E0D" w:rsidP="00E05D08">
                      <w:pPr>
                        <w:pStyle w:val="Normal12PTcouleurgris"/>
                        <w:rPr>
                          <w:sz w:val="18"/>
                        </w:rPr>
                      </w:pPr>
                      <w:r>
                        <w:rPr>
                          <w:sz w:val="18"/>
                        </w:rPr>
                        <w:t>Se autoriza la reproducción siempre que se cite la fuente.</w:t>
                      </w:r>
                    </w:p>
                    <w:p w:rsidR="008D2E0D" w:rsidRPr="0002668A" w:rsidRDefault="008D2E0D" w:rsidP="00E05D08">
                      <w:pPr>
                        <w:pStyle w:val="Normal12PTcouleurgris"/>
                        <w:rPr>
                          <w:sz w:val="18"/>
                        </w:rPr>
                      </w:pPr>
                      <w:r>
                        <w:rPr>
                          <w:u w:val="single"/>
                        </w:rPr>
                        <w:t>Cita recomendada</w:t>
                      </w:r>
                      <w:r>
                        <w:t>:</w:t>
                      </w:r>
                      <w:r>
                        <w:rPr>
                          <w:sz w:val="18"/>
                        </w:rPr>
                        <w:t xml:space="preserve"> </w:t>
                      </w:r>
                    </w:p>
                    <w:p w:rsidR="008D2E0D" w:rsidRPr="0002668A" w:rsidRDefault="008D2E0D" w:rsidP="00E05D08">
                      <w:pPr>
                        <w:pStyle w:val="Normal12PTcouleurgris"/>
                        <w:rPr>
                          <w:sz w:val="18"/>
                        </w:rPr>
                      </w:pPr>
                      <w:r>
                        <w:rPr>
                          <w:sz w:val="18"/>
                        </w:rPr>
                        <w:t xml:space="preserve">COMISIÓN EUROPEA – Dirección General de Agricultura y Desarrollo Rural – Unidad </w:t>
                      </w:r>
                      <w:proofErr w:type="spellStart"/>
                      <w:r>
                        <w:rPr>
                          <w:sz w:val="18"/>
                        </w:rPr>
                        <w:t>C.4</w:t>
                      </w:r>
                      <w:proofErr w:type="spellEnd"/>
                      <w:r>
                        <w:rPr>
                          <w:sz w:val="18"/>
                        </w:rPr>
                        <w:t xml:space="preserve"> (2017): Directrices: Evaluación de la innovación en los programas de desarrollo rural 2014-2020</w:t>
                      </w:r>
                    </w:p>
                    <w:p w:rsidR="008D2E0D" w:rsidRPr="0002668A" w:rsidRDefault="008D2E0D" w:rsidP="00E05D08">
                      <w:pPr>
                        <w:pStyle w:val="Normal12PTcouleurgris"/>
                        <w:rPr>
                          <w:bCs/>
                          <w:sz w:val="18"/>
                          <w:u w:val="single"/>
                        </w:rPr>
                      </w:pPr>
                      <w:r>
                        <w:rPr>
                          <w:sz w:val="18"/>
                          <w:u w:val="single"/>
                        </w:rPr>
                        <w:t>Exención de responsabilidad:</w:t>
                      </w:r>
                    </w:p>
                    <w:p w:rsidR="008D2E0D" w:rsidRPr="0002668A" w:rsidRDefault="008D2E0D" w:rsidP="00E05D08">
                      <w:pPr>
                        <w:pStyle w:val="Normal12PTcouleurgris"/>
                        <w:rPr>
                          <w:sz w:val="18"/>
                        </w:rPr>
                      </w:pPr>
                      <w:r>
                        <w:rPr>
                          <w:sz w:val="18"/>
                        </w:rPr>
                        <w:t>La información y las opiniones expresadas en el presente informe son las del autor o autores y no reflejan necesariamente la posición oficial de la Comisión. La Comisión no garantiza la exactitud de los datos que figuran en el presente informe. Ni la Comisión ni ninguna persona que actúe en su nombre podrán ser consideradas responsables del uso que pudiera hacerse de la información que contiene.</w:t>
                      </w:r>
                    </w:p>
                    <w:p w:rsidR="008D2E0D" w:rsidRPr="000B1DDA" w:rsidRDefault="008D2E0D" w:rsidP="00E05D08">
                      <w:pPr>
                        <w:pStyle w:val="Normal12PTcouleurgris"/>
                        <w:rPr>
                          <w:noProof/>
                        </w:rPr>
                      </w:pPr>
                    </w:p>
                    <w:p w:rsidR="008D2E0D" w:rsidRPr="004D4D87" w:rsidRDefault="008D2E0D" w:rsidP="00E05D08">
                      <w:pPr>
                        <w:pStyle w:val="Normal12PTcouleurgris"/>
                      </w:pPr>
                      <w:r>
                        <w:rPr>
                          <w:noProof/>
                          <w:lang w:val="en-GB" w:eastAsia="en-GB" w:bidi="ar-SA"/>
                        </w:rPr>
                        <w:drawing>
                          <wp:inline distT="0" distB="0" distL="0" distR="0" wp14:anchorId="101EEC29" wp14:editId="0D56AAA1">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bidi="ar-SA"/>
                        </w:rPr>
                        <w:drawing>
                          <wp:inline distT="0" distB="0" distL="0" distR="0" wp14:anchorId="50DC8BC6" wp14:editId="37EB07FE">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8D2E0D" w:rsidRPr="00E05D08" w:rsidRDefault="008D2E0D" w:rsidP="00E05D08">
                      <w:pPr>
                        <w:pStyle w:val="Normal12PTcouleurgris"/>
                        <w:rPr>
                          <w:color w:val="BFBFBF"/>
                        </w:rPr>
                      </w:pPr>
                    </w:p>
                    <w:p w:rsidR="008D2E0D" w:rsidRPr="007F1B7F" w:rsidRDefault="008D2E0D" w:rsidP="00E05D08">
                      <w:pPr>
                        <w:pStyle w:val="Normal12PTcouleurgris"/>
                        <w:rPr>
                          <w:sz w:val="18"/>
                        </w:rPr>
                      </w:pPr>
                      <w:r>
                        <w:rPr>
                          <w:sz w:val="18"/>
                        </w:rPr>
                        <w:t>El Servicio de asistencia de evaluación es responsable de la función de evaluación dentro de la Red Europea de Desarrollo Rural (</w:t>
                      </w:r>
                      <w:proofErr w:type="spellStart"/>
                      <w:r>
                        <w:rPr>
                          <w:sz w:val="18"/>
                        </w:rPr>
                        <w:t>REDR</w:t>
                      </w:r>
                      <w:proofErr w:type="spellEnd"/>
                      <w:r>
                        <w:rPr>
                          <w:sz w:val="18"/>
                        </w:rPr>
                        <w:t xml:space="preserve">) proporcionando orientación sobre la evaluación de los </w:t>
                      </w:r>
                      <w:proofErr w:type="spellStart"/>
                      <w:r>
                        <w:rPr>
                          <w:sz w:val="18"/>
                        </w:rPr>
                        <w:t>PDR</w:t>
                      </w:r>
                      <w:proofErr w:type="spellEnd"/>
                      <w:r>
                        <w:rPr>
                          <w:sz w:val="18"/>
                        </w:rPr>
                        <w:t xml:space="preserve"> y las políticas que recaen en el ámbito de competencias y orientación de la Unidad </w:t>
                      </w:r>
                      <w:proofErr w:type="spellStart"/>
                      <w:r>
                        <w:rPr>
                          <w:sz w:val="18"/>
                        </w:rPr>
                        <w:t>C.4</w:t>
                      </w:r>
                      <w:proofErr w:type="spellEnd"/>
                      <w:r>
                        <w:rPr>
                          <w:sz w:val="18"/>
                        </w:rPr>
                        <w:t xml:space="preserve"> de la DG AGRI «Seguimiento y evaluación» de la Comisión Europea (CE). Para mejorar la evaluación de la política de desarrollo rural de la Unión Europea, el Servicio de asistencia de evaluación presta apoyo a todas las partes interesadas en la evaluación, en particular a la DG AGRI, a las autoridades nacionales, a las autoridades de gestión y a los evaluadores de los </w:t>
                      </w:r>
                      <w:proofErr w:type="spellStart"/>
                      <w:r>
                        <w:rPr>
                          <w:sz w:val="18"/>
                        </w:rPr>
                        <w:t>PDR</w:t>
                      </w:r>
                      <w:proofErr w:type="spellEnd"/>
                      <w:r>
                        <w:rPr>
                          <w:sz w:val="18"/>
                        </w:rPr>
                        <w:t>, mediante el desarrollo y la difusión de metodologías y herramientas adecuadas, la recopilación y el intercambio de buenas prácticas, el desarrollo de capacidades y la comunicación con los miembros de la red sobre temas relacionados con la evaluación.</w:t>
                      </w:r>
                    </w:p>
                    <w:p w:rsidR="008D2E0D" w:rsidRPr="007F1B7F" w:rsidRDefault="008D2E0D" w:rsidP="00E05D08">
                      <w:pPr>
                        <w:pStyle w:val="Normal12PTcouleurgris"/>
                        <w:rPr>
                          <w:sz w:val="18"/>
                        </w:rPr>
                      </w:pPr>
                      <w:r>
                        <w:rPr>
                          <w:sz w:val="18"/>
                        </w:rPr>
                        <w:t>En el servidor Europa de Internet se puede consultar información adicional sobre las actividades del Servicio de asistencia de evaluación europeo para el desarrollo rural (http://enrd.ec.europa.eu).</w:t>
                      </w:r>
                    </w:p>
                    <w:p w:rsidR="008D2E0D" w:rsidRPr="00811EF1" w:rsidRDefault="008D2E0D" w:rsidP="00E05D08">
                      <w:pPr>
                        <w:pStyle w:val="Hdisclaimer"/>
                      </w:pPr>
                    </w:p>
                  </w:txbxContent>
                </v:textbox>
                <w10:wrap anchorx="margin"/>
              </v:shape>
            </w:pict>
          </mc:Fallback>
        </mc:AlternateContent>
      </w:r>
      <w:r w:rsidRPr="009E6414">
        <w:rPr>
          <w:noProof/>
          <w:lang w:val="es-ES_tradnl"/>
        </w:rPr>
        <w:br w:type="page"/>
      </w:r>
    </w:p>
    <w:p w:rsidR="00E05D08" w:rsidRPr="009E6414" w:rsidRDefault="00E05D08" w:rsidP="00E05D08">
      <w:pPr>
        <w:spacing w:after="120" w:line="280" w:lineRule="atLeast"/>
        <w:mirrorIndents/>
        <w:rPr>
          <w:rFonts w:eastAsia="Times New Roman" w:cs="Times New Roman"/>
          <w:noProof/>
          <w:szCs w:val="20"/>
          <w:lang w:val="es-ES_tradnl"/>
        </w:rPr>
      </w:pPr>
    </w:p>
    <w:p w:rsidR="00E05D08" w:rsidRPr="009E6414" w:rsidRDefault="00E05D08" w:rsidP="00E05D08">
      <w:pPr>
        <w:spacing w:after="120" w:line="280" w:lineRule="atLeast"/>
        <w:mirrorIndents/>
        <w:rPr>
          <w:rFonts w:eastAsia="Times New Roman" w:cs="Times New Roman"/>
          <w:noProof/>
          <w:szCs w:val="20"/>
          <w:lang w:val="es-ES_tradnl"/>
        </w:rPr>
      </w:pPr>
    </w:p>
    <w:p w:rsidR="00E05D08" w:rsidRPr="009E6414" w:rsidRDefault="00E05D08" w:rsidP="00E05D08">
      <w:pPr>
        <w:spacing w:after="120" w:line="280" w:lineRule="atLeast"/>
        <w:mirrorIndents/>
        <w:rPr>
          <w:rFonts w:eastAsia="Times New Roman" w:cs="Times New Roman"/>
          <w:noProof/>
          <w:szCs w:val="20"/>
          <w:lang w:val="es-ES_tradnl"/>
        </w:rPr>
      </w:pPr>
    </w:p>
    <w:p w:rsidR="00E05D08" w:rsidRPr="009E6414" w:rsidRDefault="00E05D08" w:rsidP="00E05D08">
      <w:pPr>
        <w:spacing w:after="120" w:line="280" w:lineRule="atLeast"/>
        <w:mirrorIndents/>
        <w:rPr>
          <w:rFonts w:eastAsia="Times New Roman" w:cs="Times New Roman"/>
          <w:noProof/>
          <w:szCs w:val="20"/>
          <w:lang w:val="es-ES_tradnl"/>
        </w:rPr>
      </w:pPr>
      <w:r w:rsidRPr="009E6414">
        <w:rPr>
          <w:rFonts w:eastAsia="Times New Roman" w:cs="Times New Roman"/>
          <w:noProof/>
          <w:szCs w:val="20"/>
          <w:lang w:val="en-GB" w:eastAsia="en-GB" w:bidi="ar-SA"/>
        </w:rPr>
        <mc:AlternateContent>
          <mc:Choice Requires="wps">
            <w:drawing>
              <wp:anchor distT="0" distB="0" distL="114300" distR="114300" simplePos="0" relativeHeight="251649536" behindDoc="1" locked="0" layoutInCell="1" allowOverlap="1" wp14:anchorId="52B11297" wp14:editId="6E22FEC6">
                <wp:simplePos x="0" y="0"/>
                <wp:positionH relativeFrom="page">
                  <wp:posOffset>2204720</wp:posOffset>
                </wp:positionH>
                <wp:positionV relativeFrom="page">
                  <wp:posOffset>5175250</wp:posOffset>
                </wp:positionV>
                <wp:extent cx="4958080" cy="3855720"/>
                <wp:effectExtent l="4445" t="3175" r="0" b="0"/>
                <wp:wrapTight wrapText="bothSides">
                  <wp:wrapPolygon edited="0">
                    <wp:start x="0" y="0"/>
                    <wp:lineTo x="21600" y="0"/>
                    <wp:lineTo x="21600" y="21600"/>
                    <wp:lineTo x="0" y="21600"/>
                    <wp:lineTo x="0" y="0"/>
                  </wp:wrapPolygon>
                </wp:wrapTight>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E0D" w:rsidRPr="002D3552" w:rsidRDefault="008D2E0D" w:rsidP="00E05D08">
                            <w:pPr>
                              <w:pStyle w:val="HTitle1"/>
                            </w:pPr>
                            <w:r>
                              <w:t xml:space="preserve">Directrices </w:t>
                            </w:r>
                          </w:p>
                          <w:p w:rsidR="008D2E0D" w:rsidRPr="00DD6E53" w:rsidRDefault="008D2E0D" w:rsidP="00C947BA">
                            <w:pPr>
                              <w:pStyle w:val="HTitle2"/>
                              <w:jc w:val="left"/>
                            </w:pPr>
                            <w:r>
                              <w:t xml:space="preserve">Evaluación de la innovación en los programas de desarrollo rural 2014-2020 </w:t>
                            </w:r>
                          </w:p>
                          <w:p w:rsidR="008D2E0D" w:rsidRPr="00DD6E53" w:rsidRDefault="008D2E0D" w:rsidP="00E05D08">
                            <w:pPr>
                              <w:rPr>
                                <w:color w:val="6F6F6F"/>
                                <w:sz w:val="28"/>
                                <w:szCs w:val="28"/>
                              </w:rPr>
                            </w:pPr>
                          </w:p>
                          <w:p w:rsidR="008D2E0D" w:rsidRDefault="008D2E0D" w:rsidP="00E05D08">
                            <w:pPr>
                              <w:pStyle w:val="HTitle3"/>
                            </w:pPr>
                            <w:r>
                              <w:t xml:space="preserve">Diciembre de 2017 </w:t>
                            </w:r>
                          </w:p>
                          <w:p w:rsidR="008D2E0D" w:rsidRPr="00BE49CF" w:rsidRDefault="008D2E0D" w:rsidP="00E05D08">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11297" id="Text Box 16" o:spid="_x0000_s1028" type="#_x0000_t202" style="position:absolute;left:0;text-align:left;margin-left:173.6pt;margin-top:407.5pt;width:390.4pt;height:303.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Gt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cxdRrbMCAACy&#10;BQAADgAAAAAAAAAAAAAAAAAuAgAAZHJzL2Uyb0RvYy54bWxQSwECLQAUAAYACAAAACEAec+11OEA&#10;AAANAQAADwAAAAAAAAAAAAAAAAANBQAAZHJzL2Rvd25yZXYueG1sUEsFBgAAAAAEAAQA8wAAABsG&#10;AAAAAA==&#10;" filled="f" stroked="f">
                <v:textbox inset="0,0,0,0">
                  <w:txbxContent>
                    <w:p w:rsidR="008D2E0D" w:rsidRPr="002D3552" w:rsidRDefault="008D2E0D" w:rsidP="00E05D08">
                      <w:pPr>
                        <w:pStyle w:val="HTitle1"/>
                      </w:pPr>
                      <w:r>
                        <w:t xml:space="preserve">Directrices </w:t>
                      </w:r>
                    </w:p>
                    <w:p w:rsidR="008D2E0D" w:rsidRPr="00DD6E53" w:rsidRDefault="008D2E0D" w:rsidP="00C947BA">
                      <w:pPr>
                        <w:pStyle w:val="HTitle2"/>
                        <w:jc w:val="left"/>
                      </w:pPr>
                      <w:r>
                        <w:t xml:space="preserve">Evaluación de la innovación en los programas de desarrollo rural 2014-2020 </w:t>
                      </w:r>
                    </w:p>
                    <w:p w:rsidR="008D2E0D" w:rsidRPr="00DD6E53" w:rsidRDefault="008D2E0D" w:rsidP="00E05D08">
                      <w:pPr>
                        <w:rPr>
                          <w:color w:val="6F6F6F"/>
                          <w:sz w:val="28"/>
                          <w:szCs w:val="28"/>
                        </w:rPr>
                      </w:pPr>
                    </w:p>
                    <w:p w:rsidR="008D2E0D" w:rsidRDefault="008D2E0D" w:rsidP="00E05D08">
                      <w:pPr>
                        <w:pStyle w:val="HTitle3"/>
                      </w:pPr>
                      <w:r>
                        <w:t xml:space="preserve">Diciembre de 2017 </w:t>
                      </w:r>
                    </w:p>
                    <w:p w:rsidR="008D2E0D" w:rsidRPr="00BE49CF" w:rsidRDefault="008D2E0D" w:rsidP="00E05D08">
                      <w:pPr>
                        <w:pStyle w:val="HTitle3"/>
                      </w:pPr>
                    </w:p>
                  </w:txbxContent>
                </v:textbox>
                <w10:wrap type="tight" anchorx="page" anchory="page"/>
              </v:shape>
            </w:pict>
          </mc:Fallback>
        </mc:AlternateContent>
      </w:r>
    </w:p>
    <w:p w:rsidR="00E05D08" w:rsidRPr="009E6414" w:rsidRDefault="00E05D08" w:rsidP="00E05D08">
      <w:pPr>
        <w:spacing w:after="120" w:line="280" w:lineRule="atLeast"/>
        <w:mirrorIndents/>
        <w:rPr>
          <w:rFonts w:eastAsia="Times New Roman" w:cs="Times New Roman"/>
          <w:noProof/>
          <w:szCs w:val="20"/>
          <w:lang w:val="es-ES_tradnl"/>
        </w:rPr>
        <w:sectPr w:rsidR="00E05D08" w:rsidRPr="009E6414" w:rsidSect="00BC211C">
          <w:headerReference w:type="default" r:id="rId12"/>
          <w:endnotePr>
            <w:numFmt w:val="decimal"/>
          </w:endnotePr>
          <w:pgSz w:w="11906" w:h="16838" w:code="9"/>
          <w:pgMar w:top="1440" w:right="1440" w:bottom="1134" w:left="1440" w:header="624" w:footer="709" w:gutter="0"/>
          <w:cols w:space="708"/>
          <w:titlePg/>
          <w:docGrid w:linePitch="360"/>
        </w:sectPr>
      </w:pPr>
    </w:p>
    <w:p w:rsidR="00405B0B" w:rsidRPr="009E6414" w:rsidRDefault="00405B0B" w:rsidP="00E05D08">
      <w:pPr>
        <w:keepNext/>
        <w:pageBreakBefore/>
        <w:tabs>
          <w:tab w:val="left" w:pos="227"/>
        </w:tabs>
        <w:suppressAutoHyphens/>
        <w:spacing w:before="360" w:after="360" w:line="280" w:lineRule="atLeast"/>
        <w:outlineLvl w:val="0"/>
        <w:rPr>
          <w:rFonts w:eastAsia="Times New Roman" w:cs="Arial"/>
          <w:b/>
          <w:bCs/>
          <w:caps/>
          <w:noProof/>
          <w:color w:val="F07E31"/>
          <w:kern w:val="32"/>
          <w:szCs w:val="32"/>
          <w:lang w:val="es-ES_tradnl"/>
        </w:rPr>
      </w:pPr>
      <w:r w:rsidRPr="009E6414">
        <w:rPr>
          <w:noProof/>
          <w:lang w:val="es-ES_tradnl"/>
        </w:rPr>
        <w:lastRenderedPageBreak/>
        <w:br w:type="page"/>
      </w:r>
    </w:p>
    <w:p w:rsidR="00E05D08" w:rsidRPr="009E6414" w:rsidRDefault="00E05D08" w:rsidP="00E05D08">
      <w:pPr>
        <w:keepNext/>
        <w:pageBreakBefore/>
        <w:tabs>
          <w:tab w:val="left" w:pos="227"/>
        </w:tabs>
        <w:suppressAutoHyphens/>
        <w:spacing w:before="360" w:after="360" w:line="280" w:lineRule="atLeast"/>
        <w:outlineLvl w:val="0"/>
        <w:rPr>
          <w:rFonts w:eastAsia="Times New Roman" w:cs="Arial"/>
          <w:b/>
          <w:bCs/>
          <w:caps/>
          <w:noProof/>
          <w:color w:val="F07E31"/>
          <w:kern w:val="32"/>
          <w:szCs w:val="32"/>
          <w:lang w:val="es-ES_tradnl"/>
        </w:rPr>
      </w:pPr>
      <w:r w:rsidRPr="009E6414">
        <w:rPr>
          <w:b/>
          <w:caps/>
          <w:noProof/>
          <w:color w:val="F07E31"/>
          <w:kern w:val="32"/>
          <w:lang w:val="es-ES_tradnl"/>
        </w:rPr>
        <w:lastRenderedPageBreak/>
        <w:t>Índice</w:t>
      </w:r>
    </w:p>
    <w:p w:rsidR="00C929DF" w:rsidRPr="009E6414" w:rsidRDefault="009837FF">
      <w:pPr>
        <w:pStyle w:val="TOC1"/>
        <w:tabs>
          <w:tab w:val="right" w:leader="dot" w:pos="9040"/>
        </w:tabs>
        <w:rPr>
          <w:rFonts w:asciiTheme="minorHAnsi" w:eastAsiaTheme="minorEastAsia" w:hAnsiTheme="minorHAnsi"/>
          <w:b w:val="0"/>
          <w:caps w:val="0"/>
          <w:noProof/>
          <w:color w:val="auto"/>
          <w:sz w:val="22"/>
          <w:lang w:val="es-ES_tradnl" w:eastAsia="es-ES_tradnl" w:bidi="ar-SA"/>
        </w:rPr>
      </w:pPr>
      <w:r w:rsidRPr="009E6414">
        <w:rPr>
          <w:rFonts w:ascii="Helvetica LT Pro" w:eastAsia="Times New Roman" w:hAnsi="Helvetica LT Pro" w:cs="Times New Roman"/>
          <w:caps w:val="0"/>
          <w:noProof/>
          <w:color w:val="000000" w:themeColor="text1"/>
          <w:szCs w:val="20"/>
          <w:lang w:val="es-ES_tradnl"/>
        </w:rPr>
        <w:fldChar w:fldCharType="begin"/>
      </w:r>
      <w:r w:rsidRPr="009E6414">
        <w:rPr>
          <w:rFonts w:ascii="Helvetica LT Pro" w:eastAsia="Times New Roman" w:hAnsi="Helvetica LT Pro" w:cs="Times New Roman"/>
          <w:caps w:val="0"/>
          <w:noProof/>
          <w:color w:val="000000" w:themeColor="text1"/>
          <w:szCs w:val="20"/>
          <w:lang w:val="es-ES_tradnl"/>
        </w:rPr>
        <w:instrText xml:space="preserve"> TOC \h \z \t "H_Heading 1;1;H_Heading 2;2;H_Heading 3;3" </w:instrText>
      </w:r>
      <w:r w:rsidRPr="009E6414">
        <w:rPr>
          <w:rFonts w:ascii="Helvetica LT Pro" w:eastAsia="Times New Roman" w:hAnsi="Helvetica LT Pro" w:cs="Times New Roman"/>
          <w:caps w:val="0"/>
          <w:noProof/>
          <w:color w:val="000000" w:themeColor="text1"/>
          <w:szCs w:val="20"/>
          <w:lang w:val="es-ES_tradnl"/>
        </w:rPr>
        <w:fldChar w:fldCharType="separate"/>
      </w:r>
      <w:hyperlink w:anchor="_Toc508707909" w:history="1">
        <w:r w:rsidR="00C929DF" w:rsidRPr="009E6414">
          <w:rPr>
            <w:rStyle w:val="Hyperlink"/>
            <w:noProof/>
            <w:lang w:val="es-ES_tradnl"/>
          </w:rPr>
          <w:t>1.</w:t>
        </w:r>
        <w:r w:rsidR="00C929DF" w:rsidRPr="009E6414">
          <w:rPr>
            <w:rFonts w:asciiTheme="minorHAnsi" w:eastAsiaTheme="minorEastAsia" w:hAnsiTheme="minorHAnsi"/>
            <w:b w:val="0"/>
            <w:caps w:val="0"/>
            <w:noProof/>
            <w:color w:val="auto"/>
            <w:sz w:val="22"/>
            <w:lang w:val="es-ES_tradnl" w:eastAsia="es-ES_tradnl" w:bidi="ar-SA"/>
          </w:rPr>
          <w:tab/>
        </w:r>
        <w:r w:rsidR="00C929DF" w:rsidRPr="009E6414">
          <w:rPr>
            <w:rStyle w:val="Hyperlink"/>
            <w:noProof/>
            <w:lang w:val="es-ES_tradnl"/>
          </w:rPr>
          <w:t>MARCO CONCEPTUAL</w:t>
        </w:r>
        <w:r w:rsidR="00C929DF" w:rsidRPr="009E6414">
          <w:rPr>
            <w:noProof/>
            <w:webHidden/>
            <w:lang w:val="es-ES_tradnl"/>
          </w:rPr>
          <w:tab/>
        </w:r>
        <w:r w:rsidR="00C929DF" w:rsidRPr="009E6414">
          <w:rPr>
            <w:noProof/>
            <w:webHidden/>
            <w:lang w:val="es-ES_tradnl"/>
          </w:rPr>
          <w:fldChar w:fldCharType="begin"/>
        </w:r>
        <w:r w:rsidR="00C929DF" w:rsidRPr="009E6414">
          <w:rPr>
            <w:noProof/>
            <w:webHidden/>
            <w:lang w:val="es-ES_tradnl"/>
          </w:rPr>
          <w:instrText xml:space="preserve"> PAGEREF _Toc508707909 \h </w:instrText>
        </w:r>
        <w:r w:rsidR="00C929DF" w:rsidRPr="009E6414">
          <w:rPr>
            <w:noProof/>
            <w:webHidden/>
            <w:lang w:val="es-ES_tradnl"/>
          </w:rPr>
        </w:r>
        <w:r w:rsidR="00C929DF" w:rsidRPr="009E6414">
          <w:rPr>
            <w:noProof/>
            <w:webHidden/>
            <w:lang w:val="es-ES_tradnl"/>
          </w:rPr>
          <w:fldChar w:fldCharType="separate"/>
        </w:r>
        <w:r w:rsidR="00F631AE">
          <w:rPr>
            <w:noProof/>
            <w:webHidden/>
            <w:lang w:val="es-ES_tradnl"/>
          </w:rPr>
          <w:t>3</w:t>
        </w:r>
        <w:r w:rsidR="00C929DF" w:rsidRPr="009E6414">
          <w:rPr>
            <w:noProof/>
            <w:webHidden/>
            <w:lang w:val="es-ES_tradnl"/>
          </w:rPr>
          <w:fldChar w:fldCharType="end"/>
        </w:r>
      </w:hyperlink>
    </w:p>
    <w:p w:rsidR="00C929DF" w:rsidRPr="009E6414" w:rsidRDefault="008D2E0D">
      <w:pPr>
        <w:pStyle w:val="TOC2"/>
        <w:tabs>
          <w:tab w:val="right" w:leader="dot" w:pos="9040"/>
        </w:tabs>
        <w:rPr>
          <w:rFonts w:asciiTheme="minorHAnsi" w:eastAsiaTheme="minorEastAsia" w:hAnsiTheme="minorHAnsi"/>
          <w:noProof/>
          <w:color w:val="auto"/>
          <w:sz w:val="22"/>
          <w:lang w:val="es-ES_tradnl" w:eastAsia="es-ES_tradnl" w:bidi="ar-SA"/>
        </w:rPr>
      </w:pPr>
      <w:hyperlink w:anchor="_Toc508707910" w:history="1">
        <w:r w:rsidR="00C929DF" w:rsidRPr="009E6414">
          <w:rPr>
            <w:rStyle w:val="Hyperlink"/>
            <w:noProof/>
            <w:lang w:val="es-ES_tradnl"/>
          </w:rPr>
          <w:t>1.1</w:t>
        </w:r>
        <w:r w:rsidR="00C929DF" w:rsidRPr="009E6414">
          <w:rPr>
            <w:rFonts w:asciiTheme="minorHAnsi" w:eastAsiaTheme="minorEastAsia" w:hAnsiTheme="minorHAnsi"/>
            <w:noProof/>
            <w:color w:val="auto"/>
            <w:sz w:val="22"/>
            <w:lang w:val="es-ES_tradnl" w:eastAsia="es-ES_tradnl" w:bidi="ar-SA"/>
          </w:rPr>
          <w:tab/>
        </w:r>
        <w:r w:rsidR="00C929DF" w:rsidRPr="009E6414">
          <w:rPr>
            <w:rStyle w:val="Hyperlink"/>
            <w:noProof/>
            <w:lang w:val="es-ES_tradnl"/>
          </w:rPr>
          <w:t>Innovación y desarrollo rural</w:t>
        </w:r>
        <w:r w:rsidR="00C929DF" w:rsidRPr="009E6414">
          <w:rPr>
            <w:noProof/>
            <w:webHidden/>
            <w:lang w:val="es-ES_tradnl"/>
          </w:rPr>
          <w:tab/>
        </w:r>
        <w:r w:rsidR="00C929DF" w:rsidRPr="009E6414">
          <w:rPr>
            <w:noProof/>
            <w:webHidden/>
            <w:lang w:val="es-ES_tradnl"/>
          </w:rPr>
          <w:fldChar w:fldCharType="begin"/>
        </w:r>
        <w:r w:rsidR="00C929DF" w:rsidRPr="009E6414">
          <w:rPr>
            <w:noProof/>
            <w:webHidden/>
            <w:lang w:val="es-ES_tradnl"/>
          </w:rPr>
          <w:instrText xml:space="preserve"> PAGEREF _Toc508707910 \h </w:instrText>
        </w:r>
        <w:r w:rsidR="00C929DF" w:rsidRPr="009E6414">
          <w:rPr>
            <w:noProof/>
            <w:webHidden/>
            <w:lang w:val="es-ES_tradnl"/>
          </w:rPr>
        </w:r>
        <w:r w:rsidR="00C929DF" w:rsidRPr="009E6414">
          <w:rPr>
            <w:noProof/>
            <w:webHidden/>
            <w:lang w:val="es-ES_tradnl"/>
          </w:rPr>
          <w:fldChar w:fldCharType="separate"/>
        </w:r>
        <w:r w:rsidR="00F631AE">
          <w:rPr>
            <w:noProof/>
            <w:webHidden/>
            <w:lang w:val="es-ES_tradnl"/>
          </w:rPr>
          <w:t>3</w:t>
        </w:r>
        <w:r w:rsidR="00C929DF" w:rsidRPr="009E6414">
          <w:rPr>
            <w:noProof/>
            <w:webHidden/>
            <w:lang w:val="es-ES_tradnl"/>
          </w:rPr>
          <w:fldChar w:fldCharType="end"/>
        </w:r>
      </w:hyperlink>
    </w:p>
    <w:p w:rsidR="00C929DF" w:rsidRPr="009E6414" w:rsidRDefault="008D2E0D">
      <w:pPr>
        <w:pStyle w:val="TOC2"/>
        <w:tabs>
          <w:tab w:val="right" w:leader="dot" w:pos="9040"/>
        </w:tabs>
        <w:rPr>
          <w:rFonts w:asciiTheme="minorHAnsi" w:eastAsiaTheme="minorEastAsia" w:hAnsiTheme="minorHAnsi"/>
          <w:noProof/>
          <w:color w:val="auto"/>
          <w:sz w:val="22"/>
          <w:lang w:val="es-ES_tradnl" w:eastAsia="es-ES_tradnl" w:bidi="ar-SA"/>
        </w:rPr>
      </w:pPr>
      <w:hyperlink w:anchor="_Toc508707911" w:history="1">
        <w:r w:rsidR="00C929DF" w:rsidRPr="009E6414">
          <w:rPr>
            <w:rStyle w:val="Hyperlink"/>
            <w:noProof/>
            <w:lang w:val="es-ES_tradnl"/>
          </w:rPr>
          <w:t>1.2</w:t>
        </w:r>
        <w:r w:rsidR="00C929DF" w:rsidRPr="009E6414">
          <w:rPr>
            <w:rFonts w:asciiTheme="minorHAnsi" w:eastAsiaTheme="minorEastAsia" w:hAnsiTheme="minorHAnsi"/>
            <w:noProof/>
            <w:color w:val="auto"/>
            <w:sz w:val="22"/>
            <w:lang w:val="es-ES_tradnl" w:eastAsia="es-ES_tradnl" w:bidi="ar-SA"/>
          </w:rPr>
          <w:tab/>
        </w:r>
        <w:r w:rsidR="00C929DF" w:rsidRPr="009E6414">
          <w:rPr>
            <w:rStyle w:val="Hyperlink"/>
            <w:noProof/>
            <w:lang w:val="es-ES_tradnl"/>
          </w:rPr>
          <w:t>Marco político de la UE</w:t>
        </w:r>
        <w:r w:rsidR="00C929DF" w:rsidRPr="009E6414">
          <w:rPr>
            <w:noProof/>
            <w:webHidden/>
            <w:lang w:val="es-ES_tradnl"/>
          </w:rPr>
          <w:tab/>
        </w:r>
        <w:r w:rsidR="00C929DF" w:rsidRPr="009E6414">
          <w:rPr>
            <w:noProof/>
            <w:webHidden/>
            <w:lang w:val="es-ES_tradnl"/>
          </w:rPr>
          <w:fldChar w:fldCharType="begin"/>
        </w:r>
        <w:r w:rsidR="00C929DF" w:rsidRPr="009E6414">
          <w:rPr>
            <w:noProof/>
            <w:webHidden/>
            <w:lang w:val="es-ES_tradnl"/>
          </w:rPr>
          <w:instrText xml:space="preserve"> PAGEREF _Toc508707911 \h </w:instrText>
        </w:r>
        <w:r w:rsidR="00C929DF" w:rsidRPr="009E6414">
          <w:rPr>
            <w:noProof/>
            <w:webHidden/>
            <w:lang w:val="es-ES_tradnl"/>
          </w:rPr>
        </w:r>
        <w:r w:rsidR="00C929DF" w:rsidRPr="009E6414">
          <w:rPr>
            <w:noProof/>
            <w:webHidden/>
            <w:lang w:val="es-ES_tradnl"/>
          </w:rPr>
          <w:fldChar w:fldCharType="separate"/>
        </w:r>
        <w:r w:rsidR="00F631AE">
          <w:rPr>
            <w:noProof/>
            <w:webHidden/>
            <w:lang w:val="es-ES_tradnl"/>
          </w:rPr>
          <w:t>9</w:t>
        </w:r>
        <w:r w:rsidR="00C929DF" w:rsidRPr="009E6414">
          <w:rPr>
            <w:noProof/>
            <w:webHidden/>
            <w:lang w:val="es-ES_tradnl"/>
          </w:rPr>
          <w:fldChar w:fldCharType="end"/>
        </w:r>
      </w:hyperlink>
    </w:p>
    <w:p w:rsidR="00C929DF" w:rsidRPr="009E6414" w:rsidRDefault="008D2E0D">
      <w:pPr>
        <w:pStyle w:val="TOC3"/>
        <w:tabs>
          <w:tab w:val="right" w:leader="dot" w:pos="9040"/>
        </w:tabs>
        <w:rPr>
          <w:rFonts w:asciiTheme="minorHAnsi" w:eastAsiaTheme="minorEastAsia" w:hAnsiTheme="minorHAnsi"/>
          <w:noProof/>
          <w:color w:val="auto"/>
          <w:sz w:val="22"/>
          <w:lang w:val="es-ES_tradnl" w:eastAsia="es-ES_tradnl" w:bidi="ar-SA"/>
        </w:rPr>
      </w:pPr>
      <w:hyperlink w:anchor="_Toc508707912" w:history="1">
        <w:r w:rsidR="00C929DF" w:rsidRPr="009E6414">
          <w:rPr>
            <w:rStyle w:val="Hyperlink"/>
            <w:noProof/>
            <w:lang w:val="es-ES_tradnl"/>
          </w:rPr>
          <w:t>1.2.1</w:t>
        </w:r>
        <w:r w:rsidR="00C929DF" w:rsidRPr="009E6414">
          <w:rPr>
            <w:rFonts w:asciiTheme="minorHAnsi" w:eastAsiaTheme="minorEastAsia" w:hAnsiTheme="minorHAnsi"/>
            <w:noProof/>
            <w:color w:val="auto"/>
            <w:sz w:val="22"/>
            <w:lang w:val="es-ES_tradnl" w:eastAsia="es-ES_tradnl" w:bidi="ar-SA"/>
          </w:rPr>
          <w:tab/>
        </w:r>
        <w:r w:rsidR="00C929DF" w:rsidRPr="009E6414">
          <w:rPr>
            <w:rStyle w:val="Hyperlink"/>
            <w:noProof/>
            <w:lang w:val="es-ES_tradnl"/>
          </w:rPr>
          <w:t>Marco político para la innovación en la UE y política de desarrollo rural</w:t>
        </w:r>
        <w:r w:rsidR="00C929DF" w:rsidRPr="009E6414">
          <w:rPr>
            <w:noProof/>
            <w:webHidden/>
            <w:lang w:val="es-ES_tradnl"/>
          </w:rPr>
          <w:tab/>
        </w:r>
        <w:r w:rsidR="00C929DF" w:rsidRPr="009E6414">
          <w:rPr>
            <w:noProof/>
            <w:webHidden/>
            <w:lang w:val="es-ES_tradnl"/>
          </w:rPr>
          <w:fldChar w:fldCharType="begin"/>
        </w:r>
        <w:r w:rsidR="00C929DF" w:rsidRPr="009E6414">
          <w:rPr>
            <w:noProof/>
            <w:webHidden/>
            <w:lang w:val="es-ES_tradnl"/>
          </w:rPr>
          <w:instrText xml:space="preserve"> PAGEREF _Toc508707912 \h </w:instrText>
        </w:r>
        <w:r w:rsidR="00C929DF" w:rsidRPr="009E6414">
          <w:rPr>
            <w:noProof/>
            <w:webHidden/>
            <w:lang w:val="es-ES_tradnl"/>
          </w:rPr>
        </w:r>
        <w:r w:rsidR="00C929DF" w:rsidRPr="009E6414">
          <w:rPr>
            <w:noProof/>
            <w:webHidden/>
            <w:lang w:val="es-ES_tradnl"/>
          </w:rPr>
          <w:fldChar w:fldCharType="separate"/>
        </w:r>
        <w:r w:rsidR="00F631AE">
          <w:rPr>
            <w:noProof/>
            <w:webHidden/>
            <w:lang w:val="es-ES_tradnl"/>
          </w:rPr>
          <w:t>9</w:t>
        </w:r>
        <w:r w:rsidR="00C929DF" w:rsidRPr="009E6414">
          <w:rPr>
            <w:noProof/>
            <w:webHidden/>
            <w:lang w:val="es-ES_tradnl"/>
          </w:rPr>
          <w:fldChar w:fldCharType="end"/>
        </w:r>
      </w:hyperlink>
    </w:p>
    <w:p w:rsidR="00C929DF" w:rsidRPr="009E6414" w:rsidRDefault="008D2E0D">
      <w:pPr>
        <w:pStyle w:val="TOC3"/>
        <w:tabs>
          <w:tab w:val="right" w:leader="dot" w:pos="9040"/>
        </w:tabs>
        <w:rPr>
          <w:rFonts w:asciiTheme="minorHAnsi" w:eastAsiaTheme="minorEastAsia" w:hAnsiTheme="minorHAnsi"/>
          <w:noProof/>
          <w:color w:val="auto"/>
          <w:sz w:val="22"/>
          <w:lang w:val="es-ES_tradnl" w:eastAsia="es-ES_tradnl" w:bidi="ar-SA"/>
        </w:rPr>
      </w:pPr>
      <w:hyperlink w:anchor="_Toc508707913" w:history="1">
        <w:r w:rsidR="00C929DF" w:rsidRPr="009E6414">
          <w:rPr>
            <w:rStyle w:val="Hyperlink"/>
            <w:noProof/>
            <w:lang w:val="es-ES_tradnl"/>
          </w:rPr>
          <w:t>1.2.2</w:t>
        </w:r>
        <w:r w:rsidR="00C929DF" w:rsidRPr="009E6414">
          <w:rPr>
            <w:rFonts w:asciiTheme="minorHAnsi" w:eastAsiaTheme="minorEastAsia" w:hAnsiTheme="minorHAnsi"/>
            <w:noProof/>
            <w:color w:val="auto"/>
            <w:sz w:val="22"/>
            <w:lang w:val="es-ES_tradnl" w:eastAsia="es-ES_tradnl" w:bidi="ar-SA"/>
          </w:rPr>
          <w:tab/>
        </w:r>
        <w:r w:rsidR="00C929DF" w:rsidRPr="009E6414">
          <w:rPr>
            <w:rStyle w:val="Hyperlink"/>
            <w:noProof/>
            <w:lang w:val="es-ES_tradnl"/>
          </w:rPr>
          <w:t>Elementos comunes de evaluación para la innovación</w:t>
        </w:r>
        <w:r w:rsidR="00C929DF" w:rsidRPr="009E6414">
          <w:rPr>
            <w:noProof/>
            <w:webHidden/>
            <w:lang w:val="es-ES_tradnl"/>
          </w:rPr>
          <w:tab/>
        </w:r>
        <w:r w:rsidR="00C929DF" w:rsidRPr="009E6414">
          <w:rPr>
            <w:noProof/>
            <w:webHidden/>
            <w:lang w:val="es-ES_tradnl"/>
          </w:rPr>
          <w:fldChar w:fldCharType="begin"/>
        </w:r>
        <w:r w:rsidR="00C929DF" w:rsidRPr="009E6414">
          <w:rPr>
            <w:noProof/>
            <w:webHidden/>
            <w:lang w:val="es-ES_tradnl"/>
          </w:rPr>
          <w:instrText xml:space="preserve"> PAGEREF _Toc508707913 \h </w:instrText>
        </w:r>
        <w:r w:rsidR="00C929DF" w:rsidRPr="009E6414">
          <w:rPr>
            <w:noProof/>
            <w:webHidden/>
            <w:lang w:val="es-ES_tradnl"/>
          </w:rPr>
        </w:r>
        <w:r w:rsidR="00C929DF" w:rsidRPr="009E6414">
          <w:rPr>
            <w:noProof/>
            <w:webHidden/>
            <w:lang w:val="es-ES_tradnl"/>
          </w:rPr>
          <w:fldChar w:fldCharType="separate"/>
        </w:r>
        <w:r w:rsidR="00F631AE">
          <w:rPr>
            <w:noProof/>
            <w:webHidden/>
            <w:lang w:val="es-ES_tradnl"/>
          </w:rPr>
          <w:t>12</w:t>
        </w:r>
        <w:r w:rsidR="00C929DF" w:rsidRPr="009E6414">
          <w:rPr>
            <w:noProof/>
            <w:webHidden/>
            <w:lang w:val="es-ES_tradnl"/>
          </w:rPr>
          <w:fldChar w:fldCharType="end"/>
        </w:r>
      </w:hyperlink>
    </w:p>
    <w:p w:rsidR="00C929DF" w:rsidRPr="009E6414" w:rsidRDefault="008D2E0D">
      <w:pPr>
        <w:pStyle w:val="TOC2"/>
        <w:tabs>
          <w:tab w:val="right" w:leader="dot" w:pos="9040"/>
        </w:tabs>
        <w:rPr>
          <w:rFonts w:asciiTheme="minorHAnsi" w:eastAsiaTheme="minorEastAsia" w:hAnsiTheme="minorHAnsi"/>
          <w:noProof/>
          <w:color w:val="auto"/>
          <w:sz w:val="22"/>
          <w:lang w:val="es-ES_tradnl" w:eastAsia="es-ES_tradnl" w:bidi="ar-SA"/>
        </w:rPr>
      </w:pPr>
      <w:hyperlink w:anchor="_Toc508707914" w:history="1">
        <w:r w:rsidR="00C929DF" w:rsidRPr="009E6414">
          <w:rPr>
            <w:rStyle w:val="Hyperlink"/>
            <w:noProof/>
            <w:lang w:val="es-ES_tradnl"/>
          </w:rPr>
          <w:t>1.3</w:t>
        </w:r>
        <w:r w:rsidR="00C929DF" w:rsidRPr="009E6414">
          <w:rPr>
            <w:rFonts w:asciiTheme="minorHAnsi" w:eastAsiaTheme="minorEastAsia" w:hAnsiTheme="minorHAnsi"/>
            <w:noProof/>
            <w:color w:val="auto"/>
            <w:sz w:val="22"/>
            <w:lang w:val="es-ES_tradnl" w:eastAsia="es-ES_tradnl" w:bidi="ar-SA"/>
          </w:rPr>
          <w:tab/>
        </w:r>
        <w:r w:rsidR="00C929DF" w:rsidRPr="009E6414">
          <w:rPr>
            <w:rStyle w:val="Hyperlink"/>
            <w:noProof/>
            <w:lang w:val="es-ES_tradnl"/>
          </w:rPr>
          <w:t>Retos en la evaluación de la innovación</w:t>
        </w:r>
        <w:r w:rsidR="00C929DF" w:rsidRPr="009E6414">
          <w:rPr>
            <w:noProof/>
            <w:webHidden/>
            <w:lang w:val="es-ES_tradnl"/>
          </w:rPr>
          <w:tab/>
        </w:r>
        <w:r w:rsidR="00C929DF" w:rsidRPr="009E6414">
          <w:rPr>
            <w:noProof/>
            <w:webHidden/>
            <w:lang w:val="es-ES_tradnl"/>
          </w:rPr>
          <w:fldChar w:fldCharType="begin"/>
        </w:r>
        <w:r w:rsidR="00C929DF" w:rsidRPr="009E6414">
          <w:rPr>
            <w:noProof/>
            <w:webHidden/>
            <w:lang w:val="es-ES_tradnl"/>
          </w:rPr>
          <w:instrText xml:space="preserve"> PAGEREF _Toc508707914 \h </w:instrText>
        </w:r>
        <w:r w:rsidR="00C929DF" w:rsidRPr="009E6414">
          <w:rPr>
            <w:noProof/>
            <w:webHidden/>
            <w:lang w:val="es-ES_tradnl"/>
          </w:rPr>
        </w:r>
        <w:r w:rsidR="00C929DF" w:rsidRPr="009E6414">
          <w:rPr>
            <w:noProof/>
            <w:webHidden/>
            <w:lang w:val="es-ES_tradnl"/>
          </w:rPr>
          <w:fldChar w:fldCharType="separate"/>
        </w:r>
        <w:r w:rsidR="00F631AE">
          <w:rPr>
            <w:noProof/>
            <w:webHidden/>
            <w:lang w:val="es-ES_tradnl"/>
          </w:rPr>
          <w:t>14</w:t>
        </w:r>
        <w:r w:rsidR="00C929DF" w:rsidRPr="009E6414">
          <w:rPr>
            <w:noProof/>
            <w:webHidden/>
            <w:lang w:val="es-ES_tradnl"/>
          </w:rPr>
          <w:fldChar w:fldCharType="end"/>
        </w:r>
      </w:hyperlink>
    </w:p>
    <w:p w:rsidR="00C929DF" w:rsidRPr="009E6414" w:rsidRDefault="008D2E0D">
      <w:pPr>
        <w:pStyle w:val="TOC1"/>
        <w:tabs>
          <w:tab w:val="right" w:leader="dot" w:pos="9040"/>
        </w:tabs>
        <w:rPr>
          <w:rFonts w:asciiTheme="minorHAnsi" w:eastAsiaTheme="minorEastAsia" w:hAnsiTheme="minorHAnsi"/>
          <w:b w:val="0"/>
          <w:caps w:val="0"/>
          <w:noProof/>
          <w:color w:val="auto"/>
          <w:sz w:val="22"/>
          <w:lang w:val="es-ES_tradnl" w:eastAsia="es-ES_tradnl" w:bidi="ar-SA"/>
        </w:rPr>
      </w:pPr>
      <w:hyperlink w:anchor="_Toc508707915" w:history="1">
        <w:r w:rsidR="00C929DF" w:rsidRPr="009E6414">
          <w:rPr>
            <w:rStyle w:val="Hyperlink"/>
            <w:noProof/>
            <w:lang w:val="es-ES_tradnl"/>
          </w:rPr>
          <w:t>2.</w:t>
        </w:r>
        <w:r w:rsidR="00C929DF" w:rsidRPr="009E6414">
          <w:rPr>
            <w:rFonts w:asciiTheme="minorHAnsi" w:eastAsiaTheme="minorEastAsia" w:hAnsiTheme="minorHAnsi"/>
            <w:b w:val="0"/>
            <w:caps w:val="0"/>
            <w:noProof/>
            <w:color w:val="auto"/>
            <w:sz w:val="22"/>
            <w:lang w:val="es-ES_tradnl" w:eastAsia="es-ES_tradnl" w:bidi="ar-SA"/>
          </w:rPr>
          <w:tab/>
        </w:r>
        <w:r w:rsidR="00C929DF" w:rsidRPr="009E6414">
          <w:rPr>
            <w:rStyle w:val="Hyperlink"/>
            <w:noProof/>
            <w:lang w:val="es-ES_tradnl"/>
          </w:rPr>
          <w:t>¿Cómo evaluar la innovación en los PDR?</w:t>
        </w:r>
        <w:r w:rsidR="00C929DF" w:rsidRPr="009E6414">
          <w:rPr>
            <w:noProof/>
            <w:webHidden/>
            <w:lang w:val="es-ES_tradnl"/>
          </w:rPr>
          <w:tab/>
        </w:r>
        <w:r w:rsidR="00C929DF" w:rsidRPr="009E6414">
          <w:rPr>
            <w:noProof/>
            <w:webHidden/>
            <w:lang w:val="es-ES_tradnl"/>
          </w:rPr>
          <w:fldChar w:fldCharType="begin"/>
        </w:r>
        <w:r w:rsidR="00C929DF" w:rsidRPr="009E6414">
          <w:rPr>
            <w:noProof/>
            <w:webHidden/>
            <w:lang w:val="es-ES_tradnl"/>
          </w:rPr>
          <w:instrText xml:space="preserve"> PAGEREF _Toc508707915 \h </w:instrText>
        </w:r>
        <w:r w:rsidR="00C929DF" w:rsidRPr="009E6414">
          <w:rPr>
            <w:noProof/>
            <w:webHidden/>
            <w:lang w:val="es-ES_tradnl"/>
          </w:rPr>
        </w:r>
        <w:r w:rsidR="00C929DF" w:rsidRPr="009E6414">
          <w:rPr>
            <w:noProof/>
            <w:webHidden/>
            <w:lang w:val="es-ES_tradnl"/>
          </w:rPr>
          <w:fldChar w:fldCharType="separate"/>
        </w:r>
        <w:r w:rsidR="00F631AE">
          <w:rPr>
            <w:noProof/>
            <w:webHidden/>
            <w:lang w:val="es-ES_tradnl"/>
          </w:rPr>
          <w:t>16</w:t>
        </w:r>
        <w:r w:rsidR="00C929DF" w:rsidRPr="009E6414">
          <w:rPr>
            <w:noProof/>
            <w:webHidden/>
            <w:lang w:val="es-ES_tradnl"/>
          </w:rPr>
          <w:fldChar w:fldCharType="end"/>
        </w:r>
      </w:hyperlink>
    </w:p>
    <w:p w:rsidR="00C929DF" w:rsidRPr="009E6414" w:rsidRDefault="008D2E0D">
      <w:pPr>
        <w:pStyle w:val="TOC2"/>
        <w:tabs>
          <w:tab w:val="right" w:leader="dot" w:pos="9040"/>
        </w:tabs>
        <w:rPr>
          <w:rFonts w:asciiTheme="minorHAnsi" w:eastAsiaTheme="minorEastAsia" w:hAnsiTheme="minorHAnsi"/>
          <w:noProof/>
          <w:color w:val="auto"/>
          <w:sz w:val="22"/>
          <w:lang w:val="es-ES_tradnl" w:eastAsia="es-ES_tradnl" w:bidi="ar-SA"/>
        </w:rPr>
      </w:pPr>
      <w:hyperlink w:anchor="_Toc508707916" w:history="1">
        <w:r w:rsidR="00C929DF" w:rsidRPr="009E6414">
          <w:rPr>
            <w:rStyle w:val="Hyperlink"/>
            <w:noProof/>
            <w:lang w:val="es-ES_tradnl"/>
          </w:rPr>
          <w:t>2.1</w:t>
        </w:r>
        <w:r w:rsidR="00C929DF" w:rsidRPr="009E6414">
          <w:rPr>
            <w:rFonts w:asciiTheme="minorHAnsi" w:eastAsiaTheme="minorEastAsia" w:hAnsiTheme="minorHAnsi"/>
            <w:noProof/>
            <w:color w:val="auto"/>
            <w:sz w:val="22"/>
            <w:lang w:val="es-ES_tradnl" w:eastAsia="es-ES_tradnl" w:bidi="ar-SA"/>
          </w:rPr>
          <w:tab/>
        </w:r>
        <w:r w:rsidR="00C929DF" w:rsidRPr="009E6414">
          <w:rPr>
            <w:rStyle w:val="Hyperlink"/>
            <w:noProof/>
            <w:lang w:val="es-ES_tradnl"/>
          </w:rPr>
          <w:t>Planteamiento sugerido para evaluar la innovación en los PDR 2014-2020 (resumen)</w:t>
        </w:r>
        <w:r w:rsidR="00C929DF" w:rsidRPr="009E6414">
          <w:rPr>
            <w:noProof/>
            <w:webHidden/>
            <w:lang w:val="es-ES_tradnl"/>
          </w:rPr>
          <w:tab/>
        </w:r>
        <w:r w:rsidR="00C929DF" w:rsidRPr="009E6414">
          <w:rPr>
            <w:noProof/>
            <w:webHidden/>
            <w:lang w:val="es-ES_tradnl"/>
          </w:rPr>
          <w:fldChar w:fldCharType="begin"/>
        </w:r>
        <w:r w:rsidR="00C929DF" w:rsidRPr="009E6414">
          <w:rPr>
            <w:noProof/>
            <w:webHidden/>
            <w:lang w:val="es-ES_tradnl"/>
          </w:rPr>
          <w:instrText xml:space="preserve"> PAGEREF _Toc508707916 \h </w:instrText>
        </w:r>
        <w:r w:rsidR="00C929DF" w:rsidRPr="009E6414">
          <w:rPr>
            <w:noProof/>
            <w:webHidden/>
            <w:lang w:val="es-ES_tradnl"/>
          </w:rPr>
        </w:r>
        <w:r w:rsidR="00C929DF" w:rsidRPr="009E6414">
          <w:rPr>
            <w:noProof/>
            <w:webHidden/>
            <w:lang w:val="es-ES_tradnl"/>
          </w:rPr>
          <w:fldChar w:fldCharType="separate"/>
        </w:r>
        <w:r w:rsidR="00F631AE">
          <w:rPr>
            <w:noProof/>
            <w:webHidden/>
            <w:lang w:val="es-ES_tradnl"/>
          </w:rPr>
          <w:t>16</w:t>
        </w:r>
        <w:r w:rsidR="00C929DF" w:rsidRPr="009E6414">
          <w:rPr>
            <w:noProof/>
            <w:webHidden/>
            <w:lang w:val="es-ES_tradnl"/>
          </w:rPr>
          <w:fldChar w:fldCharType="end"/>
        </w:r>
      </w:hyperlink>
    </w:p>
    <w:p w:rsidR="00C929DF" w:rsidRPr="009E6414" w:rsidRDefault="008D2E0D">
      <w:pPr>
        <w:pStyle w:val="TOC2"/>
        <w:tabs>
          <w:tab w:val="right" w:leader="dot" w:pos="9040"/>
        </w:tabs>
        <w:rPr>
          <w:rFonts w:asciiTheme="minorHAnsi" w:eastAsiaTheme="minorEastAsia" w:hAnsiTheme="minorHAnsi"/>
          <w:noProof/>
          <w:color w:val="auto"/>
          <w:sz w:val="22"/>
          <w:lang w:val="es-ES_tradnl" w:eastAsia="es-ES_tradnl" w:bidi="ar-SA"/>
        </w:rPr>
      </w:pPr>
      <w:hyperlink w:anchor="_Toc508707917" w:history="1">
        <w:r w:rsidR="00C929DF" w:rsidRPr="009E6414">
          <w:rPr>
            <w:rStyle w:val="Hyperlink"/>
            <w:noProof/>
            <w:lang w:val="es-ES_tradnl"/>
          </w:rPr>
          <w:t>2.2</w:t>
        </w:r>
        <w:r w:rsidR="00C929DF" w:rsidRPr="009E6414">
          <w:rPr>
            <w:rFonts w:asciiTheme="minorHAnsi" w:eastAsiaTheme="minorEastAsia" w:hAnsiTheme="minorHAnsi"/>
            <w:noProof/>
            <w:color w:val="auto"/>
            <w:sz w:val="22"/>
            <w:lang w:val="es-ES_tradnl" w:eastAsia="es-ES_tradnl" w:bidi="ar-SA"/>
          </w:rPr>
          <w:tab/>
        </w:r>
        <w:r w:rsidR="00C929DF" w:rsidRPr="009E6414">
          <w:rPr>
            <w:rStyle w:val="Hyperlink"/>
            <w:noProof/>
            <w:lang w:val="es-ES_tradnl"/>
          </w:rPr>
          <w:t>Examinar el potencial de innovación de las medidas/submedidas del PDR (recomendada)</w:t>
        </w:r>
        <w:r w:rsidR="00C929DF" w:rsidRPr="009E6414">
          <w:rPr>
            <w:noProof/>
            <w:webHidden/>
            <w:lang w:val="es-ES_tradnl"/>
          </w:rPr>
          <w:tab/>
        </w:r>
        <w:r w:rsidR="00C929DF" w:rsidRPr="009E6414">
          <w:rPr>
            <w:noProof/>
            <w:webHidden/>
            <w:lang w:val="es-ES_tradnl"/>
          </w:rPr>
          <w:fldChar w:fldCharType="begin"/>
        </w:r>
        <w:r w:rsidR="00C929DF" w:rsidRPr="009E6414">
          <w:rPr>
            <w:noProof/>
            <w:webHidden/>
            <w:lang w:val="es-ES_tradnl"/>
          </w:rPr>
          <w:instrText xml:space="preserve"> PAGEREF _Toc508707917 \h </w:instrText>
        </w:r>
        <w:r w:rsidR="00C929DF" w:rsidRPr="009E6414">
          <w:rPr>
            <w:noProof/>
            <w:webHidden/>
            <w:lang w:val="es-ES_tradnl"/>
          </w:rPr>
        </w:r>
        <w:r w:rsidR="00C929DF" w:rsidRPr="009E6414">
          <w:rPr>
            <w:noProof/>
            <w:webHidden/>
            <w:lang w:val="es-ES_tradnl"/>
          </w:rPr>
          <w:fldChar w:fldCharType="separate"/>
        </w:r>
        <w:r w:rsidR="00F631AE">
          <w:rPr>
            <w:noProof/>
            <w:webHidden/>
            <w:lang w:val="es-ES_tradnl"/>
          </w:rPr>
          <w:t>19</w:t>
        </w:r>
        <w:r w:rsidR="00C929DF" w:rsidRPr="009E6414">
          <w:rPr>
            <w:noProof/>
            <w:webHidden/>
            <w:lang w:val="es-ES_tradnl"/>
          </w:rPr>
          <w:fldChar w:fldCharType="end"/>
        </w:r>
      </w:hyperlink>
    </w:p>
    <w:p w:rsidR="00C929DF" w:rsidRPr="009E6414" w:rsidRDefault="008D2E0D">
      <w:pPr>
        <w:pStyle w:val="TOC2"/>
        <w:tabs>
          <w:tab w:val="right" w:leader="dot" w:pos="9040"/>
        </w:tabs>
        <w:rPr>
          <w:rFonts w:asciiTheme="minorHAnsi" w:eastAsiaTheme="minorEastAsia" w:hAnsiTheme="minorHAnsi"/>
          <w:noProof/>
          <w:color w:val="auto"/>
          <w:sz w:val="22"/>
          <w:lang w:val="es-ES_tradnl" w:eastAsia="es-ES_tradnl" w:bidi="ar-SA"/>
        </w:rPr>
      </w:pPr>
      <w:hyperlink w:anchor="_Toc508707918" w:history="1">
        <w:r w:rsidR="00C929DF" w:rsidRPr="009E6414">
          <w:rPr>
            <w:rStyle w:val="Hyperlink"/>
            <w:noProof/>
            <w:lang w:val="es-ES_tradnl"/>
          </w:rPr>
          <w:t>2.3</w:t>
        </w:r>
        <w:r w:rsidR="00C929DF" w:rsidRPr="009E6414">
          <w:rPr>
            <w:rFonts w:asciiTheme="minorHAnsi" w:eastAsiaTheme="minorEastAsia" w:hAnsiTheme="minorHAnsi"/>
            <w:noProof/>
            <w:color w:val="auto"/>
            <w:sz w:val="22"/>
            <w:lang w:val="es-ES_tradnl" w:eastAsia="es-ES_tradnl" w:bidi="ar-SA"/>
          </w:rPr>
          <w:tab/>
        </w:r>
        <w:r w:rsidR="00C929DF" w:rsidRPr="009E6414">
          <w:rPr>
            <w:rStyle w:val="Hyperlink"/>
            <w:noProof/>
            <w:lang w:val="es-ES_tradnl"/>
          </w:rPr>
          <w:t>Complementar los elementos comunes de evaluación para la innovación (recomendada)</w:t>
        </w:r>
        <w:r w:rsidR="00C929DF" w:rsidRPr="009E6414">
          <w:rPr>
            <w:noProof/>
            <w:webHidden/>
            <w:lang w:val="es-ES_tradnl"/>
          </w:rPr>
          <w:tab/>
        </w:r>
        <w:r w:rsidR="00C929DF" w:rsidRPr="009E6414">
          <w:rPr>
            <w:noProof/>
            <w:webHidden/>
            <w:lang w:val="es-ES_tradnl"/>
          </w:rPr>
          <w:fldChar w:fldCharType="begin"/>
        </w:r>
        <w:r w:rsidR="00C929DF" w:rsidRPr="009E6414">
          <w:rPr>
            <w:noProof/>
            <w:webHidden/>
            <w:lang w:val="es-ES_tradnl"/>
          </w:rPr>
          <w:instrText xml:space="preserve"> PAGEREF _Toc508707918 \h </w:instrText>
        </w:r>
        <w:r w:rsidR="00C929DF" w:rsidRPr="009E6414">
          <w:rPr>
            <w:noProof/>
            <w:webHidden/>
            <w:lang w:val="es-ES_tradnl"/>
          </w:rPr>
        </w:r>
        <w:r w:rsidR="00C929DF" w:rsidRPr="009E6414">
          <w:rPr>
            <w:noProof/>
            <w:webHidden/>
            <w:lang w:val="es-ES_tradnl"/>
          </w:rPr>
          <w:fldChar w:fldCharType="separate"/>
        </w:r>
        <w:r w:rsidR="00F631AE">
          <w:rPr>
            <w:noProof/>
            <w:webHidden/>
            <w:lang w:val="es-ES_tradnl"/>
          </w:rPr>
          <w:t>22</w:t>
        </w:r>
        <w:r w:rsidR="00C929DF" w:rsidRPr="009E6414">
          <w:rPr>
            <w:noProof/>
            <w:webHidden/>
            <w:lang w:val="es-ES_tradnl"/>
          </w:rPr>
          <w:fldChar w:fldCharType="end"/>
        </w:r>
      </w:hyperlink>
    </w:p>
    <w:p w:rsidR="00C929DF" w:rsidRPr="009E6414" w:rsidRDefault="008D2E0D">
      <w:pPr>
        <w:pStyle w:val="TOC2"/>
        <w:tabs>
          <w:tab w:val="right" w:leader="dot" w:pos="9040"/>
        </w:tabs>
        <w:rPr>
          <w:rFonts w:asciiTheme="minorHAnsi" w:eastAsiaTheme="minorEastAsia" w:hAnsiTheme="minorHAnsi"/>
          <w:noProof/>
          <w:color w:val="auto"/>
          <w:sz w:val="22"/>
          <w:lang w:val="es-ES_tradnl" w:eastAsia="es-ES_tradnl" w:bidi="ar-SA"/>
        </w:rPr>
      </w:pPr>
      <w:hyperlink w:anchor="_Toc508707919" w:history="1">
        <w:r w:rsidR="00C929DF" w:rsidRPr="009E6414">
          <w:rPr>
            <w:rStyle w:val="Hyperlink"/>
            <w:noProof/>
            <w:snapToGrid w:val="0"/>
            <w:lang w:val="es-ES_tradnl"/>
          </w:rPr>
          <w:t>2.4</w:t>
        </w:r>
        <w:r w:rsidR="00C929DF" w:rsidRPr="009E6414">
          <w:rPr>
            <w:rFonts w:asciiTheme="minorHAnsi" w:eastAsiaTheme="minorEastAsia" w:hAnsiTheme="minorHAnsi"/>
            <w:noProof/>
            <w:color w:val="auto"/>
            <w:sz w:val="22"/>
            <w:lang w:val="es-ES_tradnl" w:eastAsia="es-ES_tradnl" w:bidi="ar-SA"/>
          </w:rPr>
          <w:tab/>
        </w:r>
        <w:r w:rsidR="00C929DF" w:rsidRPr="009E6414">
          <w:rPr>
            <w:rStyle w:val="Hyperlink"/>
            <w:noProof/>
            <w:lang w:val="es-ES_tradnl"/>
          </w:rPr>
          <w:t>Responder a las preguntas comunes de evaluación pertinentes (obligatoria)</w:t>
        </w:r>
        <w:r w:rsidR="00C929DF" w:rsidRPr="009E6414">
          <w:rPr>
            <w:noProof/>
            <w:webHidden/>
            <w:lang w:val="es-ES_tradnl"/>
          </w:rPr>
          <w:tab/>
        </w:r>
        <w:r w:rsidR="00C929DF" w:rsidRPr="009E6414">
          <w:rPr>
            <w:noProof/>
            <w:webHidden/>
            <w:lang w:val="es-ES_tradnl"/>
          </w:rPr>
          <w:fldChar w:fldCharType="begin"/>
        </w:r>
        <w:r w:rsidR="00C929DF" w:rsidRPr="009E6414">
          <w:rPr>
            <w:noProof/>
            <w:webHidden/>
            <w:lang w:val="es-ES_tradnl"/>
          </w:rPr>
          <w:instrText xml:space="preserve"> PAGEREF _Toc508707919 \h </w:instrText>
        </w:r>
        <w:r w:rsidR="00C929DF" w:rsidRPr="009E6414">
          <w:rPr>
            <w:noProof/>
            <w:webHidden/>
            <w:lang w:val="es-ES_tradnl"/>
          </w:rPr>
        </w:r>
        <w:r w:rsidR="00C929DF" w:rsidRPr="009E6414">
          <w:rPr>
            <w:noProof/>
            <w:webHidden/>
            <w:lang w:val="es-ES_tradnl"/>
          </w:rPr>
          <w:fldChar w:fldCharType="separate"/>
        </w:r>
        <w:r w:rsidR="00F631AE">
          <w:rPr>
            <w:noProof/>
            <w:webHidden/>
            <w:lang w:val="es-ES_tradnl"/>
          </w:rPr>
          <w:t>23</w:t>
        </w:r>
        <w:r w:rsidR="00C929DF" w:rsidRPr="009E6414">
          <w:rPr>
            <w:noProof/>
            <w:webHidden/>
            <w:lang w:val="es-ES_tradnl"/>
          </w:rPr>
          <w:fldChar w:fldCharType="end"/>
        </w:r>
      </w:hyperlink>
    </w:p>
    <w:p w:rsidR="00C929DF" w:rsidRPr="009E6414" w:rsidRDefault="008D2E0D">
      <w:pPr>
        <w:pStyle w:val="TOC3"/>
        <w:tabs>
          <w:tab w:val="right" w:leader="dot" w:pos="9040"/>
        </w:tabs>
        <w:rPr>
          <w:rFonts w:asciiTheme="minorHAnsi" w:eastAsiaTheme="minorEastAsia" w:hAnsiTheme="minorHAnsi"/>
          <w:noProof/>
          <w:color w:val="auto"/>
          <w:sz w:val="22"/>
          <w:lang w:val="es-ES_tradnl" w:eastAsia="es-ES_tradnl" w:bidi="ar-SA"/>
        </w:rPr>
      </w:pPr>
      <w:hyperlink w:anchor="_Toc508707920" w:history="1">
        <w:r w:rsidR="00C929DF" w:rsidRPr="009E6414">
          <w:rPr>
            <w:rStyle w:val="Hyperlink"/>
            <w:noProof/>
            <w:lang w:val="es-ES_tradnl"/>
          </w:rPr>
          <w:t>2.4.1</w:t>
        </w:r>
        <w:r w:rsidR="00C929DF" w:rsidRPr="009E6414">
          <w:rPr>
            <w:rFonts w:asciiTheme="minorHAnsi" w:eastAsiaTheme="minorEastAsia" w:hAnsiTheme="minorHAnsi"/>
            <w:noProof/>
            <w:color w:val="auto"/>
            <w:sz w:val="22"/>
            <w:lang w:val="es-ES_tradnl" w:eastAsia="es-ES_tradnl" w:bidi="ar-SA"/>
          </w:rPr>
          <w:tab/>
        </w:r>
        <w:r w:rsidR="00C929DF" w:rsidRPr="009E6414">
          <w:rPr>
            <w:rStyle w:val="Hyperlink"/>
            <w:noProof/>
            <w:lang w:val="es-ES_tradnl"/>
          </w:rPr>
          <w:t>PCE n.º 1: «¿En qué medida las intervenciones del PDR han apoyado la innovación, la cooperación y el desarrollo de la base de conocimientos en las zonas rurales?»</w:t>
        </w:r>
        <w:r w:rsidR="00C929DF" w:rsidRPr="009E6414">
          <w:rPr>
            <w:noProof/>
            <w:webHidden/>
            <w:lang w:val="es-ES_tradnl"/>
          </w:rPr>
          <w:tab/>
        </w:r>
        <w:r w:rsidR="00C929DF" w:rsidRPr="009E6414">
          <w:rPr>
            <w:noProof/>
            <w:webHidden/>
            <w:lang w:val="es-ES_tradnl"/>
          </w:rPr>
          <w:fldChar w:fldCharType="begin"/>
        </w:r>
        <w:r w:rsidR="00C929DF" w:rsidRPr="009E6414">
          <w:rPr>
            <w:noProof/>
            <w:webHidden/>
            <w:lang w:val="es-ES_tradnl"/>
          </w:rPr>
          <w:instrText xml:space="preserve"> PAGEREF _Toc508707920 \h </w:instrText>
        </w:r>
        <w:r w:rsidR="00C929DF" w:rsidRPr="009E6414">
          <w:rPr>
            <w:noProof/>
            <w:webHidden/>
            <w:lang w:val="es-ES_tradnl"/>
          </w:rPr>
        </w:r>
        <w:r w:rsidR="00C929DF" w:rsidRPr="009E6414">
          <w:rPr>
            <w:noProof/>
            <w:webHidden/>
            <w:lang w:val="es-ES_tradnl"/>
          </w:rPr>
          <w:fldChar w:fldCharType="separate"/>
        </w:r>
        <w:r w:rsidR="00F631AE">
          <w:rPr>
            <w:noProof/>
            <w:webHidden/>
            <w:lang w:val="es-ES_tradnl"/>
          </w:rPr>
          <w:t>24</w:t>
        </w:r>
        <w:r w:rsidR="00C929DF" w:rsidRPr="009E6414">
          <w:rPr>
            <w:noProof/>
            <w:webHidden/>
            <w:lang w:val="es-ES_tradnl"/>
          </w:rPr>
          <w:fldChar w:fldCharType="end"/>
        </w:r>
      </w:hyperlink>
    </w:p>
    <w:p w:rsidR="00C929DF" w:rsidRPr="009E6414" w:rsidRDefault="008D2E0D">
      <w:pPr>
        <w:pStyle w:val="TOC3"/>
        <w:tabs>
          <w:tab w:val="right" w:leader="dot" w:pos="9040"/>
        </w:tabs>
        <w:rPr>
          <w:rFonts w:asciiTheme="minorHAnsi" w:eastAsiaTheme="minorEastAsia" w:hAnsiTheme="minorHAnsi"/>
          <w:noProof/>
          <w:color w:val="auto"/>
          <w:sz w:val="22"/>
          <w:lang w:val="es-ES_tradnl" w:eastAsia="es-ES_tradnl" w:bidi="ar-SA"/>
        </w:rPr>
      </w:pPr>
      <w:hyperlink w:anchor="_Toc508707921" w:history="1">
        <w:r w:rsidR="00C929DF" w:rsidRPr="009E6414">
          <w:rPr>
            <w:rStyle w:val="Hyperlink"/>
            <w:noProof/>
            <w:lang w:val="es-ES_tradnl"/>
          </w:rPr>
          <w:t>2.4.2</w:t>
        </w:r>
        <w:r w:rsidR="00C929DF" w:rsidRPr="009E6414">
          <w:rPr>
            <w:rFonts w:asciiTheme="minorHAnsi" w:eastAsiaTheme="minorEastAsia" w:hAnsiTheme="minorHAnsi"/>
            <w:noProof/>
            <w:color w:val="auto"/>
            <w:sz w:val="22"/>
            <w:lang w:val="es-ES_tradnl" w:eastAsia="es-ES_tradnl" w:bidi="ar-SA"/>
          </w:rPr>
          <w:tab/>
        </w:r>
        <w:r w:rsidR="00C929DF" w:rsidRPr="009E6414">
          <w:rPr>
            <w:rStyle w:val="Hyperlink"/>
            <w:noProof/>
            <w:lang w:val="es-ES_tradnl"/>
          </w:rPr>
          <w:t>PCE n.º 2: «¿En qué medida las intervenciones del PDR han apoyado el refuerzo de los lazos entre la agricultura, la producción de alimentos y la silvicultura, por una parte, y la investigación y la innovación, por otra, también a efectos de conseguir una mejor gestión y mejores resultados medioambientales?»</w:t>
        </w:r>
        <w:r w:rsidR="00C929DF" w:rsidRPr="009E6414">
          <w:rPr>
            <w:noProof/>
            <w:webHidden/>
            <w:lang w:val="es-ES_tradnl"/>
          </w:rPr>
          <w:tab/>
        </w:r>
        <w:r w:rsidR="00C929DF" w:rsidRPr="009E6414">
          <w:rPr>
            <w:noProof/>
            <w:webHidden/>
            <w:lang w:val="es-ES_tradnl"/>
          </w:rPr>
          <w:fldChar w:fldCharType="begin"/>
        </w:r>
        <w:r w:rsidR="00C929DF" w:rsidRPr="009E6414">
          <w:rPr>
            <w:noProof/>
            <w:webHidden/>
            <w:lang w:val="es-ES_tradnl"/>
          </w:rPr>
          <w:instrText xml:space="preserve"> PAGEREF _Toc508707921 \h </w:instrText>
        </w:r>
        <w:r w:rsidR="00C929DF" w:rsidRPr="009E6414">
          <w:rPr>
            <w:noProof/>
            <w:webHidden/>
            <w:lang w:val="es-ES_tradnl"/>
          </w:rPr>
        </w:r>
        <w:r w:rsidR="00C929DF" w:rsidRPr="009E6414">
          <w:rPr>
            <w:noProof/>
            <w:webHidden/>
            <w:lang w:val="es-ES_tradnl"/>
          </w:rPr>
          <w:fldChar w:fldCharType="separate"/>
        </w:r>
        <w:r w:rsidR="00F631AE">
          <w:rPr>
            <w:noProof/>
            <w:webHidden/>
            <w:lang w:val="es-ES_tradnl"/>
          </w:rPr>
          <w:t>34</w:t>
        </w:r>
        <w:r w:rsidR="00C929DF" w:rsidRPr="009E6414">
          <w:rPr>
            <w:noProof/>
            <w:webHidden/>
            <w:lang w:val="es-ES_tradnl"/>
          </w:rPr>
          <w:fldChar w:fldCharType="end"/>
        </w:r>
      </w:hyperlink>
    </w:p>
    <w:p w:rsidR="00C929DF" w:rsidRPr="009E6414" w:rsidRDefault="008D2E0D">
      <w:pPr>
        <w:pStyle w:val="TOC3"/>
        <w:tabs>
          <w:tab w:val="right" w:leader="dot" w:pos="9040"/>
        </w:tabs>
        <w:rPr>
          <w:rFonts w:asciiTheme="minorHAnsi" w:eastAsiaTheme="minorEastAsia" w:hAnsiTheme="minorHAnsi"/>
          <w:noProof/>
          <w:color w:val="auto"/>
          <w:sz w:val="22"/>
          <w:lang w:val="es-ES_tradnl" w:eastAsia="es-ES_tradnl" w:bidi="ar-SA"/>
        </w:rPr>
      </w:pPr>
      <w:hyperlink w:anchor="_Toc508707922" w:history="1">
        <w:r w:rsidR="00C929DF" w:rsidRPr="009E6414">
          <w:rPr>
            <w:rStyle w:val="Hyperlink"/>
            <w:noProof/>
            <w:lang w:val="es-ES_tradnl"/>
          </w:rPr>
          <w:t>2.4.3</w:t>
        </w:r>
        <w:r w:rsidR="00C929DF" w:rsidRPr="009E6414">
          <w:rPr>
            <w:rFonts w:asciiTheme="minorHAnsi" w:eastAsiaTheme="minorEastAsia" w:hAnsiTheme="minorHAnsi"/>
            <w:noProof/>
            <w:color w:val="auto"/>
            <w:sz w:val="22"/>
            <w:lang w:val="es-ES_tradnl" w:eastAsia="es-ES_tradnl" w:bidi="ar-SA"/>
          </w:rPr>
          <w:tab/>
        </w:r>
        <w:r w:rsidR="00C929DF" w:rsidRPr="009E6414">
          <w:rPr>
            <w:rStyle w:val="Hyperlink"/>
            <w:noProof/>
            <w:lang w:val="es-ES_tradnl"/>
          </w:rPr>
          <w:t>PCE n.º 21: «¿En qué medida la red rural nacional ha contribuido a la consecución de los objetivos fijados en el artículo 54, apartado 2, del Reglamento (UE) n.º 1305/2013?»</w:t>
        </w:r>
        <w:r w:rsidR="00C929DF" w:rsidRPr="009E6414">
          <w:rPr>
            <w:noProof/>
            <w:webHidden/>
            <w:lang w:val="es-ES_tradnl"/>
          </w:rPr>
          <w:tab/>
        </w:r>
        <w:r w:rsidR="00C929DF" w:rsidRPr="009E6414">
          <w:rPr>
            <w:noProof/>
            <w:webHidden/>
            <w:lang w:val="es-ES_tradnl"/>
          </w:rPr>
          <w:fldChar w:fldCharType="begin"/>
        </w:r>
        <w:r w:rsidR="00C929DF" w:rsidRPr="009E6414">
          <w:rPr>
            <w:noProof/>
            <w:webHidden/>
            <w:lang w:val="es-ES_tradnl"/>
          </w:rPr>
          <w:instrText xml:space="preserve"> PAGEREF _Toc508707922 \h </w:instrText>
        </w:r>
        <w:r w:rsidR="00C929DF" w:rsidRPr="009E6414">
          <w:rPr>
            <w:noProof/>
            <w:webHidden/>
            <w:lang w:val="es-ES_tradnl"/>
          </w:rPr>
        </w:r>
        <w:r w:rsidR="00C929DF" w:rsidRPr="009E6414">
          <w:rPr>
            <w:noProof/>
            <w:webHidden/>
            <w:lang w:val="es-ES_tradnl"/>
          </w:rPr>
          <w:fldChar w:fldCharType="separate"/>
        </w:r>
        <w:r w:rsidR="00F631AE">
          <w:rPr>
            <w:noProof/>
            <w:webHidden/>
            <w:lang w:val="es-ES_tradnl"/>
          </w:rPr>
          <w:t>43</w:t>
        </w:r>
        <w:r w:rsidR="00C929DF" w:rsidRPr="009E6414">
          <w:rPr>
            <w:noProof/>
            <w:webHidden/>
            <w:lang w:val="es-ES_tradnl"/>
          </w:rPr>
          <w:fldChar w:fldCharType="end"/>
        </w:r>
      </w:hyperlink>
    </w:p>
    <w:p w:rsidR="00C929DF" w:rsidRPr="009E6414" w:rsidRDefault="008D2E0D">
      <w:pPr>
        <w:pStyle w:val="TOC3"/>
        <w:tabs>
          <w:tab w:val="right" w:leader="dot" w:pos="9040"/>
        </w:tabs>
        <w:rPr>
          <w:rFonts w:asciiTheme="minorHAnsi" w:eastAsiaTheme="minorEastAsia" w:hAnsiTheme="minorHAnsi"/>
          <w:noProof/>
          <w:color w:val="auto"/>
          <w:sz w:val="22"/>
          <w:lang w:val="es-ES_tradnl" w:eastAsia="es-ES_tradnl" w:bidi="ar-SA"/>
        </w:rPr>
      </w:pPr>
      <w:hyperlink w:anchor="_Toc508707923" w:history="1">
        <w:r w:rsidR="00C929DF" w:rsidRPr="009E6414">
          <w:rPr>
            <w:rStyle w:val="Hyperlink"/>
            <w:noProof/>
            <w:lang w:val="es-ES_tradnl"/>
          </w:rPr>
          <w:t>2.4.4</w:t>
        </w:r>
        <w:r w:rsidR="00C929DF" w:rsidRPr="009E6414">
          <w:rPr>
            <w:rFonts w:asciiTheme="minorHAnsi" w:eastAsiaTheme="minorEastAsia" w:hAnsiTheme="minorHAnsi"/>
            <w:noProof/>
            <w:color w:val="auto"/>
            <w:sz w:val="22"/>
            <w:lang w:val="es-ES_tradnl" w:eastAsia="es-ES_tradnl" w:bidi="ar-SA"/>
          </w:rPr>
          <w:tab/>
        </w:r>
        <w:r w:rsidR="00C929DF" w:rsidRPr="009E6414">
          <w:rPr>
            <w:rStyle w:val="Hyperlink"/>
            <w:noProof/>
            <w:lang w:val="es-ES_tradnl"/>
          </w:rPr>
          <w:t>PCE n.º 23: «¿En qué medida ha contribuido el PDR a la consecución del objetivo principal de la Estrategia Europa 2020 de invertir el 3 % del PIB de la UE en investigación y desarrollo e innovación?»</w:t>
        </w:r>
        <w:r w:rsidR="00C929DF" w:rsidRPr="009E6414">
          <w:rPr>
            <w:noProof/>
            <w:webHidden/>
            <w:lang w:val="es-ES_tradnl"/>
          </w:rPr>
          <w:tab/>
        </w:r>
        <w:r w:rsidR="00C929DF" w:rsidRPr="009E6414">
          <w:rPr>
            <w:noProof/>
            <w:webHidden/>
            <w:lang w:val="es-ES_tradnl"/>
          </w:rPr>
          <w:fldChar w:fldCharType="begin"/>
        </w:r>
        <w:r w:rsidR="00C929DF" w:rsidRPr="009E6414">
          <w:rPr>
            <w:noProof/>
            <w:webHidden/>
            <w:lang w:val="es-ES_tradnl"/>
          </w:rPr>
          <w:instrText xml:space="preserve"> PAGEREF _Toc508707923 \h </w:instrText>
        </w:r>
        <w:r w:rsidR="00C929DF" w:rsidRPr="009E6414">
          <w:rPr>
            <w:noProof/>
            <w:webHidden/>
            <w:lang w:val="es-ES_tradnl"/>
          </w:rPr>
        </w:r>
        <w:r w:rsidR="00C929DF" w:rsidRPr="009E6414">
          <w:rPr>
            <w:noProof/>
            <w:webHidden/>
            <w:lang w:val="es-ES_tradnl"/>
          </w:rPr>
          <w:fldChar w:fldCharType="separate"/>
        </w:r>
        <w:r w:rsidR="00F631AE">
          <w:rPr>
            <w:noProof/>
            <w:webHidden/>
            <w:lang w:val="es-ES_tradnl"/>
          </w:rPr>
          <w:t>56</w:t>
        </w:r>
        <w:r w:rsidR="00C929DF" w:rsidRPr="009E6414">
          <w:rPr>
            <w:noProof/>
            <w:webHidden/>
            <w:lang w:val="es-ES_tradnl"/>
          </w:rPr>
          <w:fldChar w:fldCharType="end"/>
        </w:r>
      </w:hyperlink>
    </w:p>
    <w:p w:rsidR="00C929DF" w:rsidRPr="009E6414" w:rsidRDefault="008D2E0D">
      <w:pPr>
        <w:pStyle w:val="TOC3"/>
        <w:tabs>
          <w:tab w:val="right" w:leader="dot" w:pos="9040"/>
        </w:tabs>
        <w:rPr>
          <w:rFonts w:asciiTheme="minorHAnsi" w:eastAsiaTheme="minorEastAsia" w:hAnsiTheme="minorHAnsi"/>
          <w:noProof/>
          <w:color w:val="auto"/>
          <w:sz w:val="22"/>
          <w:lang w:val="es-ES_tradnl" w:eastAsia="es-ES_tradnl" w:bidi="ar-SA"/>
        </w:rPr>
      </w:pPr>
      <w:hyperlink w:anchor="_Toc508707924" w:history="1">
        <w:r w:rsidR="00C929DF" w:rsidRPr="009E6414">
          <w:rPr>
            <w:rStyle w:val="Hyperlink"/>
            <w:noProof/>
            <w:lang w:val="es-ES_tradnl"/>
          </w:rPr>
          <w:t>2.4.5</w:t>
        </w:r>
        <w:r w:rsidR="00C929DF" w:rsidRPr="009E6414">
          <w:rPr>
            <w:rFonts w:asciiTheme="minorHAnsi" w:eastAsiaTheme="minorEastAsia" w:hAnsiTheme="minorHAnsi"/>
            <w:noProof/>
            <w:color w:val="auto"/>
            <w:sz w:val="22"/>
            <w:lang w:val="es-ES_tradnl" w:eastAsia="es-ES_tradnl" w:bidi="ar-SA"/>
          </w:rPr>
          <w:tab/>
        </w:r>
        <w:r w:rsidR="00C929DF" w:rsidRPr="009E6414">
          <w:rPr>
            <w:rStyle w:val="Hyperlink"/>
            <w:noProof/>
            <w:lang w:val="es-ES_tradnl"/>
          </w:rPr>
          <w:t>PCE n.º 30: «¿En qué medida han contribuido las intervenciones de los PDR a potenciar la innovación?»</w:t>
        </w:r>
        <w:r w:rsidR="00C929DF" w:rsidRPr="009E6414">
          <w:rPr>
            <w:noProof/>
            <w:webHidden/>
            <w:lang w:val="es-ES_tradnl"/>
          </w:rPr>
          <w:tab/>
        </w:r>
        <w:r w:rsidR="00C929DF" w:rsidRPr="009E6414">
          <w:rPr>
            <w:noProof/>
            <w:webHidden/>
            <w:lang w:val="es-ES_tradnl"/>
          </w:rPr>
          <w:fldChar w:fldCharType="begin"/>
        </w:r>
        <w:r w:rsidR="00C929DF" w:rsidRPr="009E6414">
          <w:rPr>
            <w:noProof/>
            <w:webHidden/>
            <w:lang w:val="es-ES_tradnl"/>
          </w:rPr>
          <w:instrText xml:space="preserve"> PAGEREF _Toc508707924 \h </w:instrText>
        </w:r>
        <w:r w:rsidR="00C929DF" w:rsidRPr="009E6414">
          <w:rPr>
            <w:noProof/>
            <w:webHidden/>
            <w:lang w:val="es-ES_tradnl"/>
          </w:rPr>
        </w:r>
        <w:r w:rsidR="00C929DF" w:rsidRPr="009E6414">
          <w:rPr>
            <w:noProof/>
            <w:webHidden/>
            <w:lang w:val="es-ES_tradnl"/>
          </w:rPr>
          <w:fldChar w:fldCharType="separate"/>
        </w:r>
        <w:r w:rsidR="00F631AE">
          <w:rPr>
            <w:noProof/>
            <w:webHidden/>
            <w:lang w:val="es-ES_tradnl"/>
          </w:rPr>
          <w:t>62</w:t>
        </w:r>
        <w:r w:rsidR="00C929DF" w:rsidRPr="009E6414">
          <w:rPr>
            <w:noProof/>
            <w:webHidden/>
            <w:lang w:val="es-ES_tradnl"/>
          </w:rPr>
          <w:fldChar w:fldCharType="end"/>
        </w:r>
      </w:hyperlink>
    </w:p>
    <w:p w:rsidR="00C929DF" w:rsidRPr="009E6414" w:rsidRDefault="008D2E0D">
      <w:pPr>
        <w:pStyle w:val="TOC1"/>
        <w:tabs>
          <w:tab w:val="right" w:leader="dot" w:pos="9040"/>
        </w:tabs>
        <w:rPr>
          <w:rFonts w:asciiTheme="minorHAnsi" w:eastAsiaTheme="minorEastAsia" w:hAnsiTheme="minorHAnsi"/>
          <w:b w:val="0"/>
          <w:caps w:val="0"/>
          <w:noProof/>
          <w:color w:val="auto"/>
          <w:sz w:val="22"/>
          <w:lang w:val="es-ES_tradnl" w:eastAsia="es-ES_tradnl" w:bidi="ar-SA"/>
        </w:rPr>
      </w:pPr>
      <w:hyperlink w:anchor="_Toc508707925" w:history="1">
        <w:r w:rsidR="00C929DF" w:rsidRPr="009E6414">
          <w:rPr>
            <w:rStyle w:val="Hyperlink"/>
            <w:noProof/>
            <w:lang w:val="es-ES_tradnl"/>
          </w:rPr>
          <w:t>3.</w:t>
        </w:r>
        <w:r w:rsidR="00C929DF" w:rsidRPr="009E6414">
          <w:rPr>
            <w:rFonts w:asciiTheme="minorHAnsi" w:eastAsiaTheme="minorEastAsia" w:hAnsiTheme="minorHAnsi"/>
            <w:b w:val="0"/>
            <w:caps w:val="0"/>
            <w:noProof/>
            <w:color w:val="auto"/>
            <w:sz w:val="22"/>
            <w:lang w:val="es-ES_tradnl" w:eastAsia="es-ES_tradnl" w:bidi="ar-SA"/>
          </w:rPr>
          <w:tab/>
        </w:r>
        <w:r w:rsidR="00C929DF" w:rsidRPr="009E6414">
          <w:rPr>
            <w:rStyle w:val="Hyperlink"/>
            <w:noProof/>
            <w:lang w:val="es-ES_tradnl"/>
          </w:rPr>
          <w:t>ANEXOS</w:t>
        </w:r>
        <w:r w:rsidR="00C929DF" w:rsidRPr="009E6414">
          <w:rPr>
            <w:noProof/>
            <w:webHidden/>
            <w:lang w:val="es-ES_tradnl"/>
          </w:rPr>
          <w:tab/>
        </w:r>
        <w:r w:rsidR="00C929DF" w:rsidRPr="009E6414">
          <w:rPr>
            <w:noProof/>
            <w:webHidden/>
            <w:lang w:val="es-ES_tradnl"/>
          </w:rPr>
          <w:fldChar w:fldCharType="begin"/>
        </w:r>
        <w:r w:rsidR="00C929DF" w:rsidRPr="009E6414">
          <w:rPr>
            <w:noProof/>
            <w:webHidden/>
            <w:lang w:val="es-ES_tradnl"/>
          </w:rPr>
          <w:instrText xml:space="preserve"> PAGEREF _Toc508707925 \h </w:instrText>
        </w:r>
        <w:r w:rsidR="00C929DF" w:rsidRPr="009E6414">
          <w:rPr>
            <w:noProof/>
            <w:webHidden/>
            <w:lang w:val="es-ES_tradnl"/>
          </w:rPr>
        </w:r>
        <w:r w:rsidR="00C929DF" w:rsidRPr="009E6414">
          <w:rPr>
            <w:noProof/>
            <w:webHidden/>
            <w:lang w:val="es-ES_tradnl"/>
          </w:rPr>
          <w:fldChar w:fldCharType="separate"/>
        </w:r>
        <w:r w:rsidR="00F631AE">
          <w:rPr>
            <w:noProof/>
            <w:webHidden/>
            <w:lang w:val="es-ES_tradnl"/>
          </w:rPr>
          <w:t>74</w:t>
        </w:r>
        <w:r w:rsidR="00C929DF" w:rsidRPr="009E6414">
          <w:rPr>
            <w:noProof/>
            <w:webHidden/>
            <w:lang w:val="es-ES_tradnl"/>
          </w:rPr>
          <w:fldChar w:fldCharType="end"/>
        </w:r>
      </w:hyperlink>
    </w:p>
    <w:p w:rsidR="00C929DF" w:rsidRPr="009E6414" w:rsidRDefault="008D2E0D">
      <w:pPr>
        <w:pStyle w:val="TOC2"/>
        <w:tabs>
          <w:tab w:val="right" w:leader="dot" w:pos="9040"/>
        </w:tabs>
        <w:rPr>
          <w:rFonts w:asciiTheme="minorHAnsi" w:eastAsiaTheme="minorEastAsia" w:hAnsiTheme="minorHAnsi"/>
          <w:noProof/>
          <w:color w:val="auto"/>
          <w:sz w:val="22"/>
          <w:lang w:val="es-ES_tradnl" w:eastAsia="es-ES_tradnl" w:bidi="ar-SA"/>
        </w:rPr>
      </w:pPr>
      <w:hyperlink w:anchor="_Toc508707926" w:history="1">
        <w:r w:rsidR="00C929DF" w:rsidRPr="009E6414">
          <w:rPr>
            <w:rStyle w:val="Hyperlink"/>
            <w:noProof/>
            <w:lang w:val="es-ES_tradnl"/>
          </w:rPr>
          <w:t>3.1</w:t>
        </w:r>
        <w:r w:rsidR="00C929DF" w:rsidRPr="009E6414">
          <w:rPr>
            <w:rFonts w:asciiTheme="minorHAnsi" w:eastAsiaTheme="minorEastAsia" w:hAnsiTheme="minorHAnsi"/>
            <w:noProof/>
            <w:color w:val="auto"/>
            <w:sz w:val="22"/>
            <w:lang w:val="es-ES_tradnl" w:eastAsia="es-ES_tradnl" w:bidi="ar-SA"/>
          </w:rPr>
          <w:tab/>
        </w:r>
        <w:r w:rsidR="00C929DF" w:rsidRPr="009E6414">
          <w:rPr>
            <w:rStyle w:val="Hyperlink"/>
            <w:noProof/>
            <w:lang w:val="es-ES_tradnl"/>
          </w:rPr>
          <w:t>Glosario</w:t>
        </w:r>
        <w:r w:rsidR="00C929DF" w:rsidRPr="009E6414">
          <w:rPr>
            <w:noProof/>
            <w:webHidden/>
            <w:lang w:val="es-ES_tradnl"/>
          </w:rPr>
          <w:tab/>
        </w:r>
        <w:r w:rsidR="00C929DF" w:rsidRPr="009E6414">
          <w:rPr>
            <w:noProof/>
            <w:webHidden/>
            <w:lang w:val="es-ES_tradnl"/>
          </w:rPr>
          <w:fldChar w:fldCharType="begin"/>
        </w:r>
        <w:r w:rsidR="00C929DF" w:rsidRPr="009E6414">
          <w:rPr>
            <w:noProof/>
            <w:webHidden/>
            <w:lang w:val="es-ES_tradnl"/>
          </w:rPr>
          <w:instrText xml:space="preserve"> PAGEREF _Toc508707926 \h </w:instrText>
        </w:r>
        <w:r w:rsidR="00C929DF" w:rsidRPr="009E6414">
          <w:rPr>
            <w:noProof/>
            <w:webHidden/>
            <w:lang w:val="es-ES_tradnl"/>
          </w:rPr>
        </w:r>
        <w:r w:rsidR="00C929DF" w:rsidRPr="009E6414">
          <w:rPr>
            <w:noProof/>
            <w:webHidden/>
            <w:lang w:val="es-ES_tradnl"/>
          </w:rPr>
          <w:fldChar w:fldCharType="separate"/>
        </w:r>
        <w:r w:rsidR="00F631AE">
          <w:rPr>
            <w:noProof/>
            <w:webHidden/>
            <w:lang w:val="es-ES_tradnl"/>
          </w:rPr>
          <w:t>74</w:t>
        </w:r>
        <w:r w:rsidR="00C929DF" w:rsidRPr="009E6414">
          <w:rPr>
            <w:noProof/>
            <w:webHidden/>
            <w:lang w:val="es-ES_tradnl"/>
          </w:rPr>
          <w:fldChar w:fldCharType="end"/>
        </w:r>
      </w:hyperlink>
    </w:p>
    <w:p w:rsidR="00C929DF" w:rsidRPr="009E6414" w:rsidRDefault="008D2E0D">
      <w:pPr>
        <w:pStyle w:val="TOC2"/>
        <w:tabs>
          <w:tab w:val="right" w:leader="dot" w:pos="9040"/>
        </w:tabs>
        <w:rPr>
          <w:rFonts w:asciiTheme="minorHAnsi" w:eastAsiaTheme="minorEastAsia" w:hAnsiTheme="minorHAnsi"/>
          <w:noProof/>
          <w:color w:val="auto"/>
          <w:sz w:val="22"/>
          <w:lang w:val="es-ES_tradnl" w:eastAsia="es-ES_tradnl" w:bidi="ar-SA"/>
        </w:rPr>
      </w:pPr>
      <w:hyperlink w:anchor="_Toc508707927" w:history="1">
        <w:r w:rsidR="00C929DF" w:rsidRPr="009E6414">
          <w:rPr>
            <w:rStyle w:val="Hyperlink"/>
            <w:noProof/>
            <w:lang w:val="es-ES_tradnl"/>
          </w:rPr>
          <w:t>3.2</w:t>
        </w:r>
        <w:r w:rsidR="00C929DF" w:rsidRPr="009E6414">
          <w:rPr>
            <w:rFonts w:asciiTheme="minorHAnsi" w:eastAsiaTheme="minorEastAsia" w:hAnsiTheme="minorHAnsi"/>
            <w:noProof/>
            <w:color w:val="auto"/>
            <w:sz w:val="22"/>
            <w:lang w:val="es-ES_tradnl" w:eastAsia="es-ES_tradnl" w:bidi="ar-SA"/>
          </w:rPr>
          <w:tab/>
        </w:r>
        <w:r w:rsidR="00C929DF" w:rsidRPr="009E6414">
          <w:rPr>
            <w:rStyle w:val="Hyperlink"/>
            <w:noProof/>
            <w:lang w:val="es-ES_tradnl"/>
          </w:rPr>
          <w:t>Fases para identificar el potencial de innovación del PDR</w:t>
        </w:r>
        <w:r w:rsidR="00C929DF" w:rsidRPr="009E6414">
          <w:rPr>
            <w:noProof/>
            <w:webHidden/>
            <w:lang w:val="es-ES_tradnl"/>
          </w:rPr>
          <w:tab/>
        </w:r>
        <w:r w:rsidR="00C929DF" w:rsidRPr="009E6414">
          <w:rPr>
            <w:noProof/>
            <w:webHidden/>
            <w:lang w:val="es-ES_tradnl"/>
          </w:rPr>
          <w:fldChar w:fldCharType="begin"/>
        </w:r>
        <w:r w:rsidR="00C929DF" w:rsidRPr="009E6414">
          <w:rPr>
            <w:noProof/>
            <w:webHidden/>
            <w:lang w:val="es-ES_tradnl"/>
          </w:rPr>
          <w:instrText xml:space="preserve"> PAGEREF _Toc508707927 \h </w:instrText>
        </w:r>
        <w:r w:rsidR="00C929DF" w:rsidRPr="009E6414">
          <w:rPr>
            <w:noProof/>
            <w:webHidden/>
            <w:lang w:val="es-ES_tradnl"/>
          </w:rPr>
        </w:r>
        <w:r w:rsidR="00C929DF" w:rsidRPr="009E6414">
          <w:rPr>
            <w:noProof/>
            <w:webHidden/>
            <w:lang w:val="es-ES_tradnl"/>
          </w:rPr>
          <w:fldChar w:fldCharType="separate"/>
        </w:r>
        <w:r w:rsidR="00F631AE">
          <w:rPr>
            <w:noProof/>
            <w:webHidden/>
            <w:lang w:val="es-ES_tradnl"/>
          </w:rPr>
          <w:t>76</w:t>
        </w:r>
        <w:r w:rsidR="00C929DF" w:rsidRPr="009E6414">
          <w:rPr>
            <w:noProof/>
            <w:webHidden/>
            <w:lang w:val="es-ES_tradnl"/>
          </w:rPr>
          <w:fldChar w:fldCharType="end"/>
        </w:r>
      </w:hyperlink>
    </w:p>
    <w:p w:rsidR="0025413B" w:rsidRPr="009E6414" w:rsidRDefault="009837FF">
      <w:pPr>
        <w:pStyle w:val="TOC1"/>
        <w:tabs>
          <w:tab w:val="right" w:leader="dot" w:pos="9040"/>
        </w:tabs>
        <w:rPr>
          <w:rFonts w:asciiTheme="minorHAnsi" w:eastAsiaTheme="minorEastAsia" w:hAnsiTheme="minorHAnsi"/>
          <w:b w:val="0"/>
          <w:caps w:val="0"/>
          <w:noProof/>
          <w:color w:val="auto"/>
          <w:sz w:val="22"/>
          <w:lang w:val="es-ES_tradnl"/>
        </w:rPr>
      </w:pPr>
      <w:r w:rsidRPr="009E6414">
        <w:rPr>
          <w:rFonts w:ascii="Helvetica LT Pro" w:eastAsia="Times New Roman" w:hAnsi="Helvetica LT Pro" w:cs="Times New Roman"/>
          <w:b w:val="0"/>
          <w:noProof/>
          <w:color w:val="000000" w:themeColor="text1"/>
          <w:szCs w:val="20"/>
          <w:lang w:val="es-ES_tradnl"/>
        </w:rPr>
        <w:fldChar w:fldCharType="end"/>
      </w:r>
    </w:p>
    <w:p w:rsidR="00E05D08" w:rsidRPr="009E6414" w:rsidRDefault="00E05D08" w:rsidP="00E05D08">
      <w:pPr>
        <w:keepNext/>
        <w:pageBreakBefore/>
        <w:tabs>
          <w:tab w:val="left" w:pos="227"/>
        </w:tabs>
        <w:suppressAutoHyphens/>
        <w:spacing w:before="360" w:after="360" w:line="280" w:lineRule="atLeast"/>
        <w:outlineLvl w:val="0"/>
        <w:rPr>
          <w:rFonts w:eastAsia="Times New Roman" w:cs="Arial"/>
          <w:b/>
          <w:bCs/>
          <w:caps/>
          <w:noProof/>
          <w:color w:val="F07E31"/>
          <w:kern w:val="32"/>
          <w:szCs w:val="32"/>
          <w:lang w:val="es-ES_tradnl"/>
        </w:rPr>
      </w:pPr>
      <w:r w:rsidRPr="009E6414">
        <w:rPr>
          <w:b/>
          <w:caps/>
          <w:noProof/>
          <w:color w:val="F07E31"/>
          <w:kern w:val="32"/>
          <w:lang w:val="es-ES_tradnl"/>
        </w:rPr>
        <w:lastRenderedPageBreak/>
        <w:t>Cuadros y figuras</w:t>
      </w:r>
    </w:p>
    <w:p w:rsidR="00C929DF" w:rsidRPr="009E6414" w:rsidRDefault="002F11D9" w:rsidP="00C929DF">
      <w:pPr>
        <w:pStyle w:val="TOC4"/>
        <w:tabs>
          <w:tab w:val="left" w:pos="1100"/>
          <w:tab w:val="right" w:leader="dot" w:pos="9040"/>
        </w:tabs>
        <w:rPr>
          <w:rFonts w:asciiTheme="minorHAnsi" w:eastAsiaTheme="minorEastAsia" w:hAnsiTheme="minorHAnsi"/>
          <w:color w:val="auto"/>
          <w:sz w:val="22"/>
          <w:lang w:val="es-ES_tradnl" w:eastAsia="es-ES_tradnl" w:bidi="ar-SA"/>
        </w:rPr>
      </w:pPr>
      <w:r w:rsidRPr="009E6414">
        <w:rPr>
          <w:rStyle w:val="Hyperlink"/>
          <w:lang w:val="es-ES_tradnl"/>
          <w14:scene3d>
            <w14:camera w14:prst="orthographicFront"/>
            <w14:lightRig w14:rig="threePt" w14:dir="t">
              <w14:rot w14:lat="0" w14:lon="0" w14:rev="0"/>
            </w14:lightRig>
          </w14:scene3d>
        </w:rPr>
        <w:fldChar w:fldCharType="begin"/>
      </w:r>
      <w:r w:rsidRPr="009E6414">
        <w:rPr>
          <w:rStyle w:val="Hyperlink"/>
          <w:lang w:val="es-ES_tradnl"/>
          <w14:scene3d>
            <w14:camera w14:prst="orthographicFront"/>
            <w14:lightRig w14:rig="threePt" w14:dir="t">
              <w14:rot w14:lat="0" w14:lon="0" w14:rev="0"/>
            </w14:lightRig>
          </w14:scene3d>
        </w:rPr>
        <w:instrText xml:space="preserve"> TOC \h \z \t "H_Heading_figures;4" </w:instrText>
      </w:r>
      <w:r w:rsidRPr="009E6414">
        <w:rPr>
          <w:rStyle w:val="Hyperlink"/>
          <w:lang w:val="es-ES_tradnl"/>
          <w14:scene3d>
            <w14:camera w14:prst="orthographicFront"/>
            <w14:lightRig w14:rig="threePt" w14:dir="t">
              <w14:rot w14:lat="0" w14:lon="0" w14:rev="0"/>
            </w14:lightRig>
          </w14:scene3d>
        </w:rPr>
        <w:fldChar w:fldCharType="separate"/>
      </w:r>
      <w:hyperlink w:anchor="_Toc508707928" w:history="1">
        <w:r w:rsidR="00C929DF" w:rsidRPr="009E6414">
          <w:rPr>
            <w:rStyle w:val="Hyperlink"/>
            <w:lang w:val="es-ES_tradnl"/>
          </w:rPr>
          <w:t>Figura 1.</w:t>
        </w:r>
        <w:r w:rsidR="00C929DF" w:rsidRPr="009E6414">
          <w:rPr>
            <w:rFonts w:asciiTheme="minorHAnsi" w:eastAsiaTheme="minorEastAsia" w:hAnsiTheme="minorHAnsi"/>
            <w:color w:val="auto"/>
            <w:sz w:val="22"/>
            <w:lang w:val="es-ES_tradnl" w:eastAsia="es-ES_tradnl" w:bidi="ar-SA"/>
          </w:rPr>
          <w:tab/>
        </w:r>
        <w:r w:rsidR="00C929DF" w:rsidRPr="009E6414">
          <w:rPr>
            <w:rStyle w:val="Hyperlink"/>
            <w:lang w:val="es-ES_tradnl"/>
          </w:rPr>
          <w:t>Imagen simplificada de cómo los PDR fomentan la innovación</w:t>
        </w:r>
        <w:r w:rsidR="00C929DF" w:rsidRPr="009E6414">
          <w:rPr>
            <w:webHidden/>
            <w:lang w:val="es-ES_tradnl"/>
          </w:rPr>
          <w:tab/>
        </w:r>
        <w:r w:rsidR="00C929DF" w:rsidRPr="009E6414">
          <w:rPr>
            <w:webHidden/>
            <w:lang w:val="es-ES_tradnl"/>
          </w:rPr>
          <w:fldChar w:fldCharType="begin"/>
        </w:r>
        <w:r w:rsidR="00C929DF" w:rsidRPr="009E6414">
          <w:rPr>
            <w:webHidden/>
            <w:lang w:val="es-ES_tradnl"/>
          </w:rPr>
          <w:instrText xml:space="preserve"> PAGEREF _Toc508707928 \h </w:instrText>
        </w:r>
        <w:r w:rsidR="00C929DF" w:rsidRPr="009E6414">
          <w:rPr>
            <w:webHidden/>
            <w:lang w:val="es-ES_tradnl"/>
          </w:rPr>
        </w:r>
        <w:r w:rsidR="00C929DF" w:rsidRPr="009E6414">
          <w:rPr>
            <w:webHidden/>
            <w:lang w:val="es-ES_tradnl"/>
          </w:rPr>
          <w:fldChar w:fldCharType="separate"/>
        </w:r>
        <w:r w:rsidR="00F631AE">
          <w:rPr>
            <w:webHidden/>
            <w:lang w:val="es-ES_tradnl"/>
          </w:rPr>
          <w:t>4</w:t>
        </w:r>
        <w:r w:rsidR="00C929DF" w:rsidRPr="009E6414">
          <w:rPr>
            <w:webHidden/>
            <w:lang w:val="es-ES_tradnl"/>
          </w:rPr>
          <w:fldChar w:fldCharType="end"/>
        </w:r>
      </w:hyperlink>
    </w:p>
    <w:p w:rsidR="00C929DF" w:rsidRPr="009E6414" w:rsidRDefault="008D2E0D" w:rsidP="00C929DF">
      <w:pPr>
        <w:pStyle w:val="TOC4"/>
        <w:tabs>
          <w:tab w:val="left" w:pos="1100"/>
          <w:tab w:val="right" w:leader="dot" w:pos="9040"/>
        </w:tabs>
        <w:rPr>
          <w:rFonts w:asciiTheme="minorHAnsi" w:eastAsiaTheme="minorEastAsia" w:hAnsiTheme="minorHAnsi"/>
          <w:color w:val="auto"/>
          <w:sz w:val="22"/>
          <w:lang w:val="es-ES_tradnl" w:eastAsia="es-ES_tradnl" w:bidi="ar-SA"/>
        </w:rPr>
      </w:pPr>
      <w:hyperlink w:anchor="_Toc508707929" w:history="1">
        <w:r w:rsidR="00C929DF" w:rsidRPr="009E6414">
          <w:rPr>
            <w:rStyle w:val="Hyperlink"/>
            <w:lang w:val="es-ES_tradnl"/>
          </w:rPr>
          <w:t>Figura 2.</w:t>
        </w:r>
        <w:r w:rsidR="00C929DF" w:rsidRPr="009E6414">
          <w:rPr>
            <w:rFonts w:asciiTheme="minorHAnsi" w:eastAsiaTheme="minorEastAsia" w:hAnsiTheme="minorHAnsi"/>
            <w:color w:val="auto"/>
            <w:sz w:val="22"/>
            <w:lang w:val="es-ES_tradnl" w:eastAsia="es-ES_tradnl" w:bidi="ar-SA"/>
          </w:rPr>
          <w:tab/>
        </w:r>
        <w:r w:rsidR="00C929DF" w:rsidRPr="009E6414">
          <w:rPr>
            <w:rStyle w:val="Hyperlink"/>
            <w:lang w:val="es-ES_tradnl"/>
          </w:rPr>
          <w:t>Marco político para la innovación en la UE y política de desarrollo rural</w:t>
        </w:r>
        <w:r w:rsidR="00C929DF" w:rsidRPr="009E6414">
          <w:rPr>
            <w:webHidden/>
            <w:lang w:val="es-ES_tradnl"/>
          </w:rPr>
          <w:tab/>
        </w:r>
        <w:r w:rsidR="00C929DF" w:rsidRPr="009E6414">
          <w:rPr>
            <w:webHidden/>
            <w:lang w:val="es-ES_tradnl"/>
          </w:rPr>
          <w:fldChar w:fldCharType="begin"/>
        </w:r>
        <w:r w:rsidR="00C929DF" w:rsidRPr="009E6414">
          <w:rPr>
            <w:webHidden/>
            <w:lang w:val="es-ES_tradnl"/>
          </w:rPr>
          <w:instrText xml:space="preserve"> PAGEREF _Toc508707929 \h </w:instrText>
        </w:r>
        <w:r w:rsidR="00C929DF" w:rsidRPr="009E6414">
          <w:rPr>
            <w:webHidden/>
            <w:lang w:val="es-ES_tradnl"/>
          </w:rPr>
        </w:r>
        <w:r w:rsidR="00C929DF" w:rsidRPr="009E6414">
          <w:rPr>
            <w:webHidden/>
            <w:lang w:val="es-ES_tradnl"/>
          </w:rPr>
          <w:fldChar w:fldCharType="separate"/>
        </w:r>
        <w:r w:rsidR="00F631AE">
          <w:rPr>
            <w:webHidden/>
            <w:lang w:val="es-ES_tradnl"/>
          </w:rPr>
          <w:t>9</w:t>
        </w:r>
        <w:r w:rsidR="00C929DF" w:rsidRPr="009E6414">
          <w:rPr>
            <w:webHidden/>
            <w:lang w:val="es-ES_tradnl"/>
          </w:rPr>
          <w:fldChar w:fldCharType="end"/>
        </w:r>
      </w:hyperlink>
    </w:p>
    <w:p w:rsidR="00C929DF" w:rsidRPr="009E6414" w:rsidRDefault="008D2E0D" w:rsidP="00C929DF">
      <w:pPr>
        <w:pStyle w:val="TOC4"/>
        <w:tabs>
          <w:tab w:val="left" w:pos="1100"/>
          <w:tab w:val="right" w:leader="dot" w:pos="9040"/>
        </w:tabs>
        <w:rPr>
          <w:rFonts w:asciiTheme="minorHAnsi" w:eastAsiaTheme="minorEastAsia" w:hAnsiTheme="minorHAnsi"/>
          <w:color w:val="auto"/>
          <w:sz w:val="22"/>
          <w:lang w:val="es-ES_tradnl" w:eastAsia="es-ES_tradnl" w:bidi="ar-SA"/>
        </w:rPr>
      </w:pPr>
      <w:hyperlink w:anchor="_Toc508707930" w:history="1">
        <w:r w:rsidR="00C929DF" w:rsidRPr="009E6414">
          <w:rPr>
            <w:rStyle w:val="Hyperlink"/>
            <w:lang w:val="es-ES_tradnl"/>
          </w:rPr>
          <w:t>Figura 3.</w:t>
        </w:r>
        <w:r w:rsidR="00C929DF" w:rsidRPr="009E6414">
          <w:rPr>
            <w:rFonts w:asciiTheme="minorHAnsi" w:eastAsiaTheme="minorEastAsia" w:hAnsiTheme="minorHAnsi"/>
            <w:color w:val="auto"/>
            <w:sz w:val="22"/>
            <w:lang w:val="es-ES_tradnl" w:eastAsia="es-ES_tradnl" w:bidi="ar-SA"/>
          </w:rPr>
          <w:tab/>
        </w:r>
        <w:r w:rsidR="00C929DF" w:rsidRPr="009E6414">
          <w:rPr>
            <w:rStyle w:val="Hyperlink"/>
            <w:lang w:val="es-ES_tradnl"/>
          </w:rPr>
          <w:t>Elementos comunes de evaluación para la evaluación de la innovación</w:t>
        </w:r>
        <w:r w:rsidR="00C929DF" w:rsidRPr="009E6414">
          <w:rPr>
            <w:webHidden/>
            <w:lang w:val="es-ES_tradnl"/>
          </w:rPr>
          <w:tab/>
        </w:r>
        <w:r w:rsidR="00C929DF" w:rsidRPr="009E6414">
          <w:rPr>
            <w:webHidden/>
            <w:lang w:val="es-ES_tradnl"/>
          </w:rPr>
          <w:fldChar w:fldCharType="begin"/>
        </w:r>
        <w:r w:rsidR="00C929DF" w:rsidRPr="009E6414">
          <w:rPr>
            <w:webHidden/>
            <w:lang w:val="es-ES_tradnl"/>
          </w:rPr>
          <w:instrText xml:space="preserve"> PAGEREF _Toc508707930 \h </w:instrText>
        </w:r>
        <w:r w:rsidR="00C929DF" w:rsidRPr="009E6414">
          <w:rPr>
            <w:webHidden/>
            <w:lang w:val="es-ES_tradnl"/>
          </w:rPr>
        </w:r>
        <w:r w:rsidR="00C929DF" w:rsidRPr="009E6414">
          <w:rPr>
            <w:webHidden/>
            <w:lang w:val="es-ES_tradnl"/>
          </w:rPr>
          <w:fldChar w:fldCharType="separate"/>
        </w:r>
        <w:r w:rsidR="00F631AE">
          <w:rPr>
            <w:webHidden/>
            <w:lang w:val="es-ES_tradnl"/>
          </w:rPr>
          <w:t>13</w:t>
        </w:r>
        <w:r w:rsidR="00C929DF" w:rsidRPr="009E6414">
          <w:rPr>
            <w:webHidden/>
            <w:lang w:val="es-ES_tradnl"/>
          </w:rPr>
          <w:fldChar w:fldCharType="end"/>
        </w:r>
      </w:hyperlink>
    </w:p>
    <w:p w:rsidR="00C929DF" w:rsidRPr="009E6414" w:rsidRDefault="008D2E0D" w:rsidP="00C929DF">
      <w:pPr>
        <w:pStyle w:val="TOC4"/>
        <w:tabs>
          <w:tab w:val="left" w:pos="1100"/>
          <w:tab w:val="right" w:leader="dot" w:pos="9040"/>
        </w:tabs>
        <w:rPr>
          <w:rFonts w:asciiTheme="minorHAnsi" w:eastAsiaTheme="minorEastAsia" w:hAnsiTheme="minorHAnsi"/>
          <w:color w:val="auto"/>
          <w:sz w:val="22"/>
          <w:lang w:val="es-ES_tradnl" w:eastAsia="es-ES_tradnl" w:bidi="ar-SA"/>
        </w:rPr>
      </w:pPr>
      <w:hyperlink w:anchor="_Toc508707931" w:history="1">
        <w:r w:rsidR="00C929DF" w:rsidRPr="009E6414">
          <w:rPr>
            <w:rStyle w:val="Hyperlink"/>
            <w:lang w:val="es-ES_tradnl"/>
          </w:rPr>
          <w:t>Figura 4.</w:t>
        </w:r>
        <w:r w:rsidR="00C929DF" w:rsidRPr="009E6414">
          <w:rPr>
            <w:rFonts w:asciiTheme="minorHAnsi" w:eastAsiaTheme="minorEastAsia" w:hAnsiTheme="minorHAnsi"/>
            <w:color w:val="auto"/>
            <w:sz w:val="22"/>
            <w:lang w:val="es-ES_tradnl" w:eastAsia="es-ES_tradnl" w:bidi="ar-SA"/>
          </w:rPr>
          <w:tab/>
        </w:r>
        <w:r w:rsidR="00C929DF" w:rsidRPr="009E6414">
          <w:rPr>
            <w:rStyle w:val="Hyperlink"/>
            <w:lang w:val="es-ES_tradnl"/>
          </w:rPr>
          <w:t>Gestionar la evaluación de la innovación en los PDR 2014-2020</w:t>
        </w:r>
        <w:r w:rsidR="00C929DF" w:rsidRPr="009E6414">
          <w:rPr>
            <w:webHidden/>
            <w:lang w:val="es-ES_tradnl"/>
          </w:rPr>
          <w:tab/>
        </w:r>
        <w:r w:rsidR="00C929DF" w:rsidRPr="009E6414">
          <w:rPr>
            <w:webHidden/>
            <w:lang w:val="es-ES_tradnl"/>
          </w:rPr>
          <w:fldChar w:fldCharType="begin"/>
        </w:r>
        <w:r w:rsidR="00C929DF" w:rsidRPr="009E6414">
          <w:rPr>
            <w:webHidden/>
            <w:lang w:val="es-ES_tradnl"/>
          </w:rPr>
          <w:instrText xml:space="preserve"> PAGEREF _Toc508707931 \h </w:instrText>
        </w:r>
        <w:r w:rsidR="00C929DF" w:rsidRPr="009E6414">
          <w:rPr>
            <w:webHidden/>
            <w:lang w:val="es-ES_tradnl"/>
          </w:rPr>
        </w:r>
        <w:r w:rsidR="00C929DF" w:rsidRPr="009E6414">
          <w:rPr>
            <w:webHidden/>
            <w:lang w:val="es-ES_tradnl"/>
          </w:rPr>
          <w:fldChar w:fldCharType="separate"/>
        </w:r>
        <w:r w:rsidR="00F631AE">
          <w:rPr>
            <w:webHidden/>
            <w:lang w:val="es-ES_tradnl"/>
          </w:rPr>
          <w:t>16</w:t>
        </w:r>
        <w:r w:rsidR="00C929DF" w:rsidRPr="009E6414">
          <w:rPr>
            <w:webHidden/>
            <w:lang w:val="es-ES_tradnl"/>
          </w:rPr>
          <w:fldChar w:fldCharType="end"/>
        </w:r>
      </w:hyperlink>
    </w:p>
    <w:p w:rsidR="00C929DF" w:rsidRPr="009E6414" w:rsidRDefault="008D2E0D" w:rsidP="00C929DF">
      <w:pPr>
        <w:pStyle w:val="TOC4"/>
        <w:tabs>
          <w:tab w:val="left" w:pos="1100"/>
          <w:tab w:val="right" w:leader="dot" w:pos="9040"/>
        </w:tabs>
        <w:rPr>
          <w:rFonts w:asciiTheme="minorHAnsi" w:eastAsiaTheme="minorEastAsia" w:hAnsiTheme="minorHAnsi"/>
          <w:color w:val="auto"/>
          <w:sz w:val="22"/>
          <w:lang w:val="es-ES_tradnl" w:eastAsia="es-ES_tradnl" w:bidi="ar-SA"/>
        </w:rPr>
      </w:pPr>
      <w:hyperlink w:anchor="_Toc508707932" w:history="1">
        <w:r w:rsidR="00C929DF" w:rsidRPr="009E6414">
          <w:rPr>
            <w:rStyle w:val="Hyperlink"/>
            <w:lang w:val="es-ES_tradnl"/>
          </w:rPr>
          <w:t>Figura 5.</w:t>
        </w:r>
        <w:r w:rsidR="00C929DF" w:rsidRPr="009E6414">
          <w:rPr>
            <w:rFonts w:asciiTheme="minorHAnsi" w:eastAsiaTheme="minorEastAsia" w:hAnsiTheme="minorHAnsi"/>
            <w:color w:val="auto"/>
            <w:sz w:val="22"/>
            <w:lang w:val="es-ES_tradnl" w:eastAsia="es-ES_tradnl" w:bidi="ar-SA"/>
          </w:rPr>
          <w:tab/>
        </w:r>
        <w:r w:rsidR="00C929DF" w:rsidRPr="009E6414">
          <w:rPr>
            <w:rStyle w:val="Hyperlink"/>
            <w:lang w:val="es-ES_tradnl"/>
          </w:rPr>
          <w:t>Requisitos de información en relación con la innovación</w:t>
        </w:r>
        <w:r w:rsidR="00C929DF" w:rsidRPr="009E6414">
          <w:rPr>
            <w:webHidden/>
            <w:lang w:val="es-ES_tradnl"/>
          </w:rPr>
          <w:tab/>
        </w:r>
        <w:r w:rsidR="00C929DF" w:rsidRPr="009E6414">
          <w:rPr>
            <w:webHidden/>
            <w:lang w:val="es-ES_tradnl"/>
          </w:rPr>
          <w:fldChar w:fldCharType="begin"/>
        </w:r>
        <w:r w:rsidR="00C929DF" w:rsidRPr="009E6414">
          <w:rPr>
            <w:webHidden/>
            <w:lang w:val="es-ES_tradnl"/>
          </w:rPr>
          <w:instrText xml:space="preserve"> PAGEREF _Toc508707932 \h </w:instrText>
        </w:r>
        <w:r w:rsidR="00C929DF" w:rsidRPr="009E6414">
          <w:rPr>
            <w:webHidden/>
            <w:lang w:val="es-ES_tradnl"/>
          </w:rPr>
        </w:r>
        <w:r w:rsidR="00C929DF" w:rsidRPr="009E6414">
          <w:rPr>
            <w:webHidden/>
            <w:lang w:val="es-ES_tradnl"/>
          </w:rPr>
          <w:fldChar w:fldCharType="separate"/>
        </w:r>
        <w:r w:rsidR="00F631AE">
          <w:rPr>
            <w:webHidden/>
            <w:lang w:val="es-ES_tradnl"/>
          </w:rPr>
          <w:t>17</w:t>
        </w:r>
        <w:r w:rsidR="00C929DF" w:rsidRPr="009E6414">
          <w:rPr>
            <w:webHidden/>
            <w:lang w:val="es-ES_tradnl"/>
          </w:rPr>
          <w:fldChar w:fldCharType="end"/>
        </w:r>
      </w:hyperlink>
    </w:p>
    <w:p w:rsidR="00C929DF" w:rsidRPr="009E6414" w:rsidRDefault="008D2E0D" w:rsidP="00C929DF">
      <w:pPr>
        <w:pStyle w:val="TOC4"/>
        <w:tabs>
          <w:tab w:val="left" w:pos="1100"/>
          <w:tab w:val="right" w:leader="dot" w:pos="9040"/>
        </w:tabs>
        <w:rPr>
          <w:rFonts w:asciiTheme="minorHAnsi" w:eastAsiaTheme="minorEastAsia" w:hAnsiTheme="minorHAnsi"/>
          <w:color w:val="auto"/>
          <w:sz w:val="22"/>
          <w:lang w:val="es-ES_tradnl" w:eastAsia="es-ES_tradnl" w:bidi="ar-SA"/>
        </w:rPr>
      </w:pPr>
      <w:hyperlink w:anchor="_Toc508707933" w:history="1">
        <w:r w:rsidR="00C929DF" w:rsidRPr="009E6414">
          <w:rPr>
            <w:rStyle w:val="Hyperlink"/>
            <w:lang w:val="es-ES_tradnl"/>
          </w:rPr>
          <w:t>Figura 6.</w:t>
        </w:r>
        <w:r w:rsidR="00C929DF" w:rsidRPr="009E6414">
          <w:rPr>
            <w:rFonts w:asciiTheme="minorHAnsi" w:eastAsiaTheme="minorEastAsia" w:hAnsiTheme="minorHAnsi"/>
            <w:color w:val="auto"/>
            <w:sz w:val="22"/>
            <w:lang w:val="es-ES_tradnl" w:eastAsia="es-ES_tradnl" w:bidi="ar-SA"/>
          </w:rPr>
          <w:tab/>
        </w:r>
        <w:r w:rsidR="00C929DF" w:rsidRPr="009E6414">
          <w:rPr>
            <w:rStyle w:val="Hyperlink"/>
            <w:lang w:val="es-ES_tradnl"/>
          </w:rPr>
          <w:t>Planteamiento de la evaluación de la innovación en los PDR</w:t>
        </w:r>
        <w:r w:rsidR="00C929DF" w:rsidRPr="009E6414">
          <w:rPr>
            <w:webHidden/>
            <w:lang w:val="es-ES_tradnl"/>
          </w:rPr>
          <w:tab/>
        </w:r>
        <w:r w:rsidR="00C929DF" w:rsidRPr="009E6414">
          <w:rPr>
            <w:webHidden/>
            <w:lang w:val="es-ES_tradnl"/>
          </w:rPr>
          <w:fldChar w:fldCharType="begin"/>
        </w:r>
        <w:r w:rsidR="00C929DF" w:rsidRPr="009E6414">
          <w:rPr>
            <w:webHidden/>
            <w:lang w:val="es-ES_tradnl"/>
          </w:rPr>
          <w:instrText xml:space="preserve"> PAGEREF _Toc508707933 \h </w:instrText>
        </w:r>
        <w:r w:rsidR="00C929DF" w:rsidRPr="009E6414">
          <w:rPr>
            <w:webHidden/>
            <w:lang w:val="es-ES_tradnl"/>
          </w:rPr>
        </w:r>
        <w:r w:rsidR="00C929DF" w:rsidRPr="009E6414">
          <w:rPr>
            <w:webHidden/>
            <w:lang w:val="es-ES_tradnl"/>
          </w:rPr>
          <w:fldChar w:fldCharType="separate"/>
        </w:r>
        <w:r w:rsidR="00F631AE">
          <w:rPr>
            <w:webHidden/>
            <w:lang w:val="es-ES_tradnl"/>
          </w:rPr>
          <w:t>19</w:t>
        </w:r>
        <w:r w:rsidR="00C929DF" w:rsidRPr="009E6414">
          <w:rPr>
            <w:webHidden/>
            <w:lang w:val="es-ES_tradnl"/>
          </w:rPr>
          <w:fldChar w:fldCharType="end"/>
        </w:r>
      </w:hyperlink>
    </w:p>
    <w:p w:rsidR="00C929DF" w:rsidRPr="009E6414" w:rsidRDefault="008D2E0D" w:rsidP="00C929DF">
      <w:pPr>
        <w:pStyle w:val="TOC4"/>
        <w:tabs>
          <w:tab w:val="left" w:pos="1100"/>
          <w:tab w:val="right" w:leader="dot" w:pos="9040"/>
        </w:tabs>
        <w:rPr>
          <w:rFonts w:asciiTheme="minorHAnsi" w:eastAsiaTheme="minorEastAsia" w:hAnsiTheme="minorHAnsi"/>
          <w:color w:val="auto"/>
          <w:sz w:val="22"/>
          <w:lang w:val="es-ES_tradnl" w:eastAsia="es-ES_tradnl" w:bidi="ar-SA"/>
        </w:rPr>
      </w:pPr>
      <w:hyperlink w:anchor="_Toc508707934" w:history="1">
        <w:r w:rsidR="00C929DF" w:rsidRPr="009E6414">
          <w:rPr>
            <w:rStyle w:val="Hyperlink"/>
            <w:lang w:val="es-ES_tradnl"/>
          </w:rPr>
          <w:t>Figura 7.</w:t>
        </w:r>
        <w:r w:rsidR="00C929DF" w:rsidRPr="009E6414">
          <w:rPr>
            <w:rFonts w:asciiTheme="minorHAnsi" w:eastAsiaTheme="minorEastAsia" w:hAnsiTheme="minorHAnsi"/>
            <w:color w:val="auto"/>
            <w:sz w:val="22"/>
            <w:lang w:val="es-ES_tradnl" w:eastAsia="es-ES_tradnl" w:bidi="ar-SA"/>
          </w:rPr>
          <w:tab/>
        </w:r>
        <w:r w:rsidR="00C929DF" w:rsidRPr="009E6414">
          <w:rPr>
            <w:rStyle w:val="Hyperlink"/>
            <w:lang w:val="es-ES_tradnl"/>
          </w:rPr>
          <w:t>Fases del examen de las medidas/submedidas del PDR para su potencial de innovación</w:t>
        </w:r>
        <w:r w:rsidR="00C929DF" w:rsidRPr="009E6414">
          <w:rPr>
            <w:webHidden/>
            <w:lang w:val="es-ES_tradnl"/>
          </w:rPr>
          <w:tab/>
        </w:r>
        <w:r w:rsidR="00C929DF" w:rsidRPr="009E6414">
          <w:rPr>
            <w:webHidden/>
            <w:lang w:val="es-ES_tradnl"/>
          </w:rPr>
          <w:tab/>
        </w:r>
        <w:r w:rsidR="00C929DF" w:rsidRPr="009E6414">
          <w:rPr>
            <w:webHidden/>
            <w:lang w:val="es-ES_tradnl"/>
          </w:rPr>
          <w:tab/>
        </w:r>
        <w:bookmarkStart w:id="0" w:name="_GoBack"/>
        <w:bookmarkEnd w:id="0"/>
        <w:r w:rsidR="00C929DF" w:rsidRPr="009E6414">
          <w:rPr>
            <w:webHidden/>
            <w:lang w:val="es-ES_tradnl"/>
          </w:rPr>
          <w:fldChar w:fldCharType="begin"/>
        </w:r>
        <w:r w:rsidR="00C929DF" w:rsidRPr="009E6414">
          <w:rPr>
            <w:webHidden/>
            <w:lang w:val="es-ES_tradnl"/>
          </w:rPr>
          <w:instrText xml:space="preserve"> PAGEREF _Toc508707934 \h </w:instrText>
        </w:r>
        <w:r w:rsidR="00C929DF" w:rsidRPr="009E6414">
          <w:rPr>
            <w:webHidden/>
            <w:lang w:val="es-ES_tradnl"/>
          </w:rPr>
        </w:r>
        <w:r w:rsidR="00C929DF" w:rsidRPr="009E6414">
          <w:rPr>
            <w:webHidden/>
            <w:lang w:val="es-ES_tradnl"/>
          </w:rPr>
          <w:fldChar w:fldCharType="separate"/>
        </w:r>
        <w:r w:rsidR="00F631AE">
          <w:rPr>
            <w:webHidden/>
            <w:lang w:val="es-ES_tradnl"/>
          </w:rPr>
          <w:t>20</w:t>
        </w:r>
        <w:r w:rsidR="00C929DF" w:rsidRPr="009E6414">
          <w:rPr>
            <w:webHidden/>
            <w:lang w:val="es-ES_tradnl"/>
          </w:rPr>
          <w:fldChar w:fldCharType="end"/>
        </w:r>
      </w:hyperlink>
    </w:p>
    <w:p w:rsidR="00C929DF" w:rsidRPr="009E6414" w:rsidRDefault="008D2E0D" w:rsidP="00C929DF">
      <w:pPr>
        <w:pStyle w:val="TOC4"/>
        <w:tabs>
          <w:tab w:val="left" w:pos="1100"/>
          <w:tab w:val="right" w:leader="dot" w:pos="9040"/>
        </w:tabs>
        <w:rPr>
          <w:rFonts w:asciiTheme="minorHAnsi" w:eastAsiaTheme="minorEastAsia" w:hAnsiTheme="minorHAnsi"/>
          <w:color w:val="auto"/>
          <w:sz w:val="22"/>
          <w:lang w:val="es-ES_tradnl" w:eastAsia="es-ES_tradnl" w:bidi="ar-SA"/>
        </w:rPr>
      </w:pPr>
      <w:hyperlink w:anchor="_Toc508707935" w:history="1">
        <w:r w:rsidR="00C929DF" w:rsidRPr="009E6414">
          <w:rPr>
            <w:rStyle w:val="Hyperlink"/>
            <w:lang w:val="es-ES_tradnl"/>
          </w:rPr>
          <w:t>Figura 8.</w:t>
        </w:r>
        <w:r w:rsidR="00C929DF" w:rsidRPr="009E6414">
          <w:rPr>
            <w:rFonts w:asciiTheme="minorHAnsi" w:eastAsiaTheme="minorEastAsia" w:hAnsiTheme="minorHAnsi"/>
            <w:color w:val="auto"/>
            <w:sz w:val="22"/>
            <w:lang w:val="es-ES_tradnl" w:eastAsia="es-ES_tradnl" w:bidi="ar-SA"/>
          </w:rPr>
          <w:tab/>
        </w:r>
        <w:r w:rsidR="00C929DF" w:rsidRPr="009E6414">
          <w:rPr>
            <w:rStyle w:val="Hyperlink"/>
            <w:lang w:val="es-ES_tradnl"/>
          </w:rPr>
          <w:t>Ejemplo de una lógica de intervención vinculada a la PCE n.º 1</w:t>
        </w:r>
        <w:r w:rsidR="00C929DF" w:rsidRPr="009E6414">
          <w:rPr>
            <w:webHidden/>
            <w:lang w:val="es-ES_tradnl"/>
          </w:rPr>
          <w:tab/>
        </w:r>
        <w:r w:rsidR="00C929DF" w:rsidRPr="009E6414">
          <w:rPr>
            <w:webHidden/>
            <w:lang w:val="es-ES_tradnl"/>
          </w:rPr>
          <w:fldChar w:fldCharType="begin"/>
        </w:r>
        <w:r w:rsidR="00C929DF" w:rsidRPr="009E6414">
          <w:rPr>
            <w:webHidden/>
            <w:lang w:val="es-ES_tradnl"/>
          </w:rPr>
          <w:instrText xml:space="preserve"> PAGEREF _Toc508707935 \h </w:instrText>
        </w:r>
        <w:r w:rsidR="00C929DF" w:rsidRPr="009E6414">
          <w:rPr>
            <w:webHidden/>
            <w:lang w:val="es-ES_tradnl"/>
          </w:rPr>
        </w:r>
        <w:r w:rsidR="00C929DF" w:rsidRPr="009E6414">
          <w:rPr>
            <w:webHidden/>
            <w:lang w:val="es-ES_tradnl"/>
          </w:rPr>
          <w:fldChar w:fldCharType="separate"/>
        </w:r>
        <w:r w:rsidR="00F631AE">
          <w:rPr>
            <w:webHidden/>
            <w:lang w:val="es-ES_tradnl"/>
          </w:rPr>
          <w:t>26</w:t>
        </w:r>
        <w:r w:rsidR="00C929DF" w:rsidRPr="009E6414">
          <w:rPr>
            <w:webHidden/>
            <w:lang w:val="es-ES_tradnl"/>
          </w:rPr>
          <w:fldChar w:fldCharType="end"/>
        </w:r>
      </w:hyperlink>
    </w:p>
    <w:p w:rsidR="00C929DF" w:rsidRPr="009E6414" w:rsidRDefault="008D2E0D" w:rsidP="00C929DF">
      <w:pPr>
        <w:pStyle w:val="TOC4"/>
        <w:tabs>
          <w:tab w:val="left" w:pos="1100"/>
          <w:tab w:val="right" w:leader="dot" w:pos="9040"/>
        </w:tabs>
        <w:rPr>
          <w:rFonts w:asciiTheme="minorHAnsi" w:eastAsiaTheme="minorEastAsia" w:hAnsiTheme="minorHAnsi"/>
          <w:color w:val="auto"/>
          <w:sz w:val="22"/>
          <w:lang w:val="es-ES_tradnl" w:eastAsia="es-ES_tradnl" w:bidi="ar-SA"/>
        </w:rPr>
      </w:pPr>
      <w:hyperlink w:anchor="_Toc508707936" w:history="1">
        <w:r w:rsidR="00C929DF" w:rsidRPr="009E6414">
          <w:rPr>
            <w:rStyle w:val="Hyperlink"/>
            <w:lang w:val="es-ES_tradnl"/>
          </w:rPr>
          <w:t>Figura 9.</w:t>
        </w:r>
        <w:r w:rsidR="00C929DF" w:rsidRPr="009E6414">
          <w:rPr>
            <w:rFonts w:asciiTheme="minorHAnsi" w:eastAsiaTheme="minorEastAsia" w:hAnsiTheme="minorHAnsi"/>
            <w:color w:val="auto"/>
            <w:sz w:val="22"/>
            <w:lang w:val="es-ES_tradnl" w:eastAsia="es-ES_tradnl" w:bidi="ar-SA"/>
          </w:rPr>
          <w:tab/>
        </w:r>
        <w:r w:rsidR="00C929DF" w:rsidRPr="009E6414">
          <w:rPr>
            <w:rStyle w:val="Hyperlink"/>
            <w:lang w:val="es-ES_tradnl"/>
          </w:rPr>
          <w:t>Ejemplo del potencial de innovación de cada submedida de la M16</w:t>
        </w:r>
        <w:r w:rsidR="00C929DF" w:rsidRPr="009E6414">
          <w:rPr>
            <w:webHidden/>
            <w:lang w:val="es-ES_tradnl"/>
          </w:rPr>
          <w:tab/>
        </w:r>
        <w:r w:rsidR="00C929DF" w:rsidRPr="009E6414">
          <w:rPr>
            <w:webHidden/>
            <w:lang w:val="es-ES_tradnl"/>
          </w:rPr>
          <w:fldChar w:fldCharType="begin"/>
        </w:r>
        <w:r w:rsidR="00C929DF" w:rsidRPr="009E6414">
          <w:rPr>
            <w:webHidden/>
            <w:lang w:val="es-ES_tradnl"/>
          </w:rPr>
          <w:instrText xml:space="preserve"> PAGEREF _Toc508707936 \h </w:instrText>
        </w:r>
        <w:r w:rsidR="00C929DF" w:rsidRPr="009E6414">
          <w:rPr>
            <w:webHidden/>
            <w:lang w:val="es-ES_tradnl"/>
          </w:rPr>
        </w:r>
        <w:r w:rsidR="00C929DF" w:rsidRPr="009E6414">
          <w:rPr>
            <w:webHidden/>
            <w:lang w:val="es-ES_tradnl"/>
          </w:rPr>
          <w:fldChar w:fldCharType="separate"/>
        </w:r>
        <w:r w:rsidR="00F631AE">
          <w:rPr>
            <w:webHidden/>
            <w:lang w:val="es-ES_tradnl"/>
          </w:rPr>
          <w:t>37</w:t>
        </w:r>
        <w:r w:rsidR="00C929DF" w:rsidRPr="009E6414">
          <w:rPr>
            <w:webHidden/>
            <w:lang w:val="es-ES_tradnl"/>
          </w:rPr>
          <w:fldChar w:fldCharType="end"/>
        </w:r>
      </w:hyperlink>
    </w:p>
    <w:p w:rsidR="00C929DF" w:rsidRPr="009E6414" w:rsidRDefault="008D2E0D" w:rsidP="00C929DF">
      <w:pPr>
        <w:pStyle w:val="TOC4"/>
        <w:tabs>
          <w:tab w:val="left" w:pos="1100"/>
          <w:tab w:val="left" w:pos="1320"/>
          <w:tab w:val="right" w:leader="dot" w:pos="9040"/>
        </w:tabs>
        <w:rPr>
          <w:rFonts w:asciiTheme="minorHAnsi" w:eastAsiaTheme="minorEastAsia" w:hAnsiTheme="minorHAnsi"/>
          <w:color w:val="auto"/>
          <w:sz w:val="22"/>
          <w:lang w:val="es-ES_tradnl" w:eastAsia="es-ES_tradnl" w:bidi="ar-SA"/>
        </w:rPr>
      </w:pPr>
      <w:hyperlink w:anchor="_Toc508707937" w:history="1">
        <w:r w:rsidR="00C929DF" w:rsidRPr="009E6414">
          <w:rPr>
            <w:rStyle w:val="Hyperlink"/>
            <w:lang w:val="es-ES_tradnl"/>
          </w:rPr>
          <w:t>Figura 10.</w:t>
        </w:r>
        <w:r w:rsidR="00C929DF" w:rsidRPr="009E6414">
          <w:rPr>
            <w:rFonts w:asciiTheme="minorHAnsi" w:eastAsiaTheme="minorEastAsia" w:hAnsiTheme="minorHAnsi"/>
            <w:color w:val="auto"/>
            <w:sz w:val="22"/>
            <w:lang w:val="es-ES_tradnl" w:eastAsia="es-ES_tradnl" w:bidi="ar-SA"/>
          </w:rPr>
          <w:tab/>
        </w:r>
        <w:r w:rsidR="00C929DF" w:rsidRPr="009E6414">
          <w:rPr>
            <w:rStyle w:val="Hyperlink"/>
            <w:lang w:val="es-ES_tradnl"/>
          </w:rPr>
          <w:t>Lógica de intervención de la RRN con respecto a la innovación</w:t>
        </w:r>
        <w:r w:rsidR="00C929DF" w:rsidRPr="009E6414">
          <w:rPr>
            <w:webHidden/>
            <w:lang w:val="es-ES_tradnl"/>
          </w:rPr>
          <w:tab/>
        </w:r>
        <w:r w:rsidR="00C929DF" w:rsidRPr="009E6414">
          <w:rPr>
            <w:webHidden/>
            <w:lang w:val="es-ES_tradnl"/>
          </w:rPr>
          <w:fldChar w:fldCharType="begin"/>
        </w:r>
        <w:r w:rsidR="00C929DF" w:rsidRPr="009E6414">
          <w:rPr>
            <w:webHidden/>
            <w:lang w:val="es-ES_tradnl"/>
          </w:rPr>
          <w:instrText xml:space="preserve"> PAGEREF _Toc508707937 \h </w:instrText>
        </w:r>
        <w:r w:rsidR="00C929DF" w:rsidRPr="009E6414">
          <w:rPr>
            <w:webHidden/>
            <w:lang w:val="es-ES_tradnl"/>
          </w:rPr>
        </w:r>
        <w:r w:rsidR="00C929DF" w:rsidRPr="009E6414">
          <w:rPr>
            <w:webHidden/>
            <w:lang w:val="es-ES_tradnl"/>
          </w:rPr>
          <w:fldChar w:fldCharType="separate"/>
        </w:r>
        <w:r w:rsidR="00F631AE">
          <w:rPr>
            <w:webHidden/>
            <w:lang w:val="es-ES_tradnl"/>
          </w:rPr>
          <w:t>47</w:t>
        </w:r>
        <w:r w:rsidR="00C929DF" w:rsidRPr="009E6414">
          <w:rPr>
            <w:webHidden/>
            <w:lang w:val="es-ES_tradnl"/>
          </w:rPr>
          <w:fldChar w:fldCharType="end"/>
        </w:r>
      </w:hyperlink>
    </w:p>
    <w:p w:rsidR="00C929DF" w:rsidRPr="009E6414" w:rsidRDefault="008D2E0D" w:rsidP="00C929DF">
      <w:pPr>
        <w:pStyle w:val="TOC4"/>
        <w:tabs>
          <w:tab w:val="left" w:pos="1100"/>
          <w:tab w:val="left" w:pos="1320"/>
          <w:tab w:val="right" w:leader="dot" w:pos="9040"/>
        </w:tabs>
        <w:rPr>
          <w:rFonts w:asciiTheme="minorHAnsi" w:eastAsiaTheme="minorEastAsia" w:hAnsiTheme="minorHAnsi"/>
          <w:color w:val="auto"/>
          <w:sz w:val="22"/>
          <w:lang w:val="es-ES_tradnl" w:eastAsia="es-ES_tradnl" w:bidi="ar-SA"/>
        </w:rPr>
      </w:pPr>
      <w:hyperlink w:anchor="_Toc508707938" w:history="1">
        <w:r w:rsidR="00C929DF" w:rsidRPr="009E6414">
          <w:rPr>
            <w:rStyle w:val="Hyperlink"/>
            <w:lang w:val="es-ES_tradnl"/>
          </w:rPr>
          <w:t>Figura 11.</w:t>
        </w:r>
        <w:r w:rsidR="00C929DF" w:rsidRPr="009E6414">
          <w:rPr>
            <w:rFonts w:asciiTheme="minorHAnsi" w:eastAsiaTheme="minorEastAsia" w:hAnsiTheme="minorHAnsi"/>
            <w:color w:val="auto"/>
            <w:sz w:val="22"/>
            <w:lang w:val="es-ES_tradnl" w:eastAsia="es-ES_tradnl" w:bidi="ar-SA"/>
          </w:rPr>
          <w:tab/>
        </w:r>
        <w:r w:rsidR="00C929DF" w:rsidRPr="009E6414">
          <w:rPr>
            <w:rStyle w:val="Hyperlink"/>
            <w:lang w:val="es-ES_tradnl"/>
          </w:rPr>
          <w:t>Ejemplo de lógica de intervención para la PCE n.º 30</w:t>
        </w:r>
        <w:r w:rsidR="00C929DF" w:rsidRPr="009E6414">
          <w:rPr>
            <w:webHidden/>
            <w:lang w:val="es-ES_tradnl"/>
          </w:rPr>
          <w:tab/>
        </w:r>
        <w:r w:rsidR="00C929DF" w:rsidRPr="009E6414">
          <w:rPr>
            <w:webHidden/>
            <w:lang w:val="es-ES_tradnl"/>
          </w:rPr>
          <w:fldChar w:fldCharType="begin"/>
        </w:r>
        <w:r w:rsidR="00C929DF" w:rsidRPr="009E6414">
          <w:rPr>
            <w:webHidden/>
            <w:lang w:val="es-ES_tradnl"/>
          </w:rPr>
          <w:instrText xml:space="preserve"> PAGEREF _Toc508707938 \h </w:instrText>
        </w:r>
        <w:r w:rsidR="00C929DF" w:rsidRPr="009E6414">
          <w:rPr>
            <w:webHidden/>
            <w:lang w:val="es-ES_tradnl"/>
          </w:rPr>
        </w:r>
        <w:r w:rsidR="00C929DF" w:rsidRPr="009E6414">
          <w:rPr>
            <w:webHidden/>
            <w:lang w:val="es-ES_tradnl"/>
          </w:rPr>
          <w:fldChar w:fldCharType="separate"/>
        </w:r>
        <w:r w:rsidR="00F631AE">
          <w:rPr>
            <w:webHidden/>
            <w:lang w:val="es-ES_tradnl"/>
          </w:rPr>
          <w:t>64</w:t>
        </w:r>
        <w:r w:rsidR="00C929DF" w:rsidRPr="009E6414">
          <w:rPr>
            <w:webHidden/>
            <w:lang w:val="es-ES_tradnl"/>
          </w:rPr>
          <w:fldChar w:fldCharType="end"/>
        </w:r>
      </w:hyperlink>
    </w:p>
    <w:p w:rsidR="008D178A" w:rsidRPr="009E6414" w:rsidRDefault="002F11D9" w:rsidP="008518F2">
      <w:pPr>
        <w:pStyle w:val="TOC4"/>
        <w:tabs>
          <w:tab w:val="left" w:pos="1276"/>
          <w:tab w:val="right" w:leader="dot" w:pos="9323"/>
        </w:tabs>
        <w:rPr>
          <w:rFonts w:asciiTheme="minorHAnsi" w:eastAsiaTheme="minorEastAsia" w:hAnsiTheme="minorHAnsi"/>
          <w:color w:val="auto"/>
          <w:sz w:val="22"/>
          <w:lang w:val="es-ES_tradnl"/>
        </w:rPr>
      </w:pPr>
      <w:r w:rsidRPr="009E6414">
        <w:rPr>
          <w:rStyle w:val="Hyperlink"/>
          <w:lang w:val="es-ES_tradnl"/>
          <w14:scene3d>
            <w14:camera w14:prst="orthographicFront"/>
            <w14:lightRig w14:rig="threePt" w14:dir="t">
              <w14:rot w14:lat="0" w14:lon="0" w14:rev="0"/>
            </w14:lightRig>
          </w14:scene3d>
        </w:rPr>
        <w:fldChar w:fldCharType="end"/>
      </w:r>
    </w:p>
    <w:p w:rsidR="00E05D08" w:rsidRPr="009E6414" w:rsidRDefault="00E05D08" w:rsidP="00E05D08">
      <w:pPr>
        <w:spacing w:after="120" w:line="280" w:lineRule="atLeast"/>
        <w:mirrorIndents/>
        <w:rPr>
          <w:rFonts w:eastAsia="Times New Roman" w:cs="Times New Roman"/>
          <w:noProof/>
          <w:szCs w:val="20"/>
          <w:lang w:val="es-ES_tradnl"/>
        </w:rPr>
        <w:sectPr w:rsidR="00E05D08" w:rsidRPr="009E6414" w:rsidSect="00400064">
          <w:headerReference w:type="even" r:id="rId13"/>
          <w:footerReference w:type="even" r:id="rId14"/>
          <w:footerReference w:type="default" r:id="rId15"/>
          <w:headerReference w:type="first" r:id="rId16"/>
          <w:footerReference w:type="first" r:id="rId17"/>
          <w:endnotePr>
            <w:numFmt w:val="decimal"/>
          </w:endnotePr>
          <w:pgSz w:w="11906" w:h="16838" w:code="9"/>
          <w:pgMar w:top="1440" w:right="1416" w:bottom="1134" w:left="1440" w:header="567" w:footer="1021" w:gutter="0"/>
          <w:pgNumType w:start="3"/>
          <w:cols w:space="708"/>
          <w:titlePg/>
          <w:docGrid w:linePitch="360"/>
        </w:sectPr>
      </w:pPr>
    </w:p>
    <w:p w:rsidR="006D209F" w:rsidRPr="009E6414" w:rsidRDefault="006D209F" w:rsidP="00E05D08">
      <w:pPr>
        <w:keepNext/>
        <w:spacing w:before="360" w:after="360" w:line="280" w:lineRule="atLeast"/>
        <w:outlineLvl w:val="0"/>
        <w:rPr>
          <w:rFonts w:ascii="Helvetica" w:eastAsia="Times New Roman" w:hAnsi="Helvetica" w:cs="Times New Roman"/>
          <w:b/>
          <w:bCs/>
          <w:caps/>
          <w:noProof/>
          <w:color w:val="F07E31"/>
          <w:kern w:val="32"/>
          <w:sz w:val="24"/>
          <w:szCs w:val="24"/>
          <w:lang w:val="es-ES_tradnl"/>
        </w:rPr>
      </w:pPr>
      <w:r w:rsidRPr="009E6414">
        <w:rPr>
          <w:noProof/>
          <w:lang w:val="es-ES_tradnl"/>
        </w:rPr>
        <w:lastRenderedPageBreak/>
        <w:br w:type="page"/>
      </w:r>
    </w:p>
    <w:p w:rsidR="00E05D08" w:rsidRPr="009E6414" w:rsidRDefault="00E05D08" w:rsidP="00E05D08">
      <w:pPr>
        <w:keepNext/>
        <w:spacing w:before="360" w:after="360" w:line="280" w:lineRule="atLeast"/>
        <w:outlineLvl w:val="0"/>
        <w:rPr>
          <w:rFonts w:ascii="Helvetica" w:eastAsia="Times New Roman" w:hAnsi="Helvetica" w:cs="Times New Roman"/>
          <w:b/>
          <w:bCs/>
          <w:caps/>
          <w:noProof/>
          <w:color w:val="F07E31"/>
          <w:kern w:val="32"/>
          <w:sz w:val="24"/>
          <w:szCs w:val="24"/>
          <w:lang w:val="es-ES_tradnl"/>
        </w:rPr>
      </w:pPr>
      <w:r w:rsidRPr="009E6414">
        <w:rPr>
          <w:rFonts w:ascii="Helvetica" w:hAnsi="Helvetica"/>
          <w:b/>
          <w:caps/>
          <w:noProof/>
          <w:color w:val="F07E31"/>
          <w:kern w:val="32"/>
          <w:sz w:val="24"/>
          <w:lang w:val="es-ES_tradnl"/>
        </w:rPr>
        <w:lastRenderedPageBreak/>
        <w:t>Agradecimientos</w:t>
      </w:r>
    </w:p>
    <w:p w:rsidR="00E05D08" w:rsidRPr="009E6414" w:rsidRDefault="00E05D08" w:rsidP="00E05D08">
      <w:pPr>
        <w:spacing w:after="120" w:line="280" w:lineRule="atLeast"/>
        <w:mirrorIndents/>
        <w:rPr>
          <w:rFonts w:eastAsia="Times New Roman" w:cs="Times New Roman"/>
          <w:i/>
          <w:noProof/>
          <w:szCs w:val="20"/>
          <w:lang w:val="es-ES_tradnl"/>
        </w:rPr>
      </w:pPr>
      <w:r w:rsidRPr="009E6414">
        <w:rPr>
          <w:i/>
          <w:noProof/>
          <w:lang w:val="es-ES_tradnl"/>
        </w:rPr>
        <w:t xml:space="preserve">Las directrices han sido elaboradas por un equipo de expertos del Servicio de asistencia de evaluación europeo para el desarrollo rural, entre los que figuran Boru Douthwaite, Marili Parissaki, Andreas Resch, Jela Tvrdonova, Valérie Dumont, Matteo Metta, Myles Stiffler y Hannes Wimmer. </w:t>
      </w:r>
    </w:p>
    <w:p w:rsidR="00E05D08" w:rsidRPr="009E6414" w:rsidRDefault="00E05D08" w:rsidP="00E05D08">
      <w:pPr>
        <w:spacing w:after="120" w:line="280" w:lineRule="atLeast"/>
        <w:mirrorIndents/>
        <w:rPr>
          <w:rFonts w:eastAsia="Times New Roman" w:cs="Times New Roman"/>
          <w:i/>
          <w:noProof/>
          <w:szCs w:val="20"/>
          <w:lang w:val="es-ES_tradnl"/>
        </w:rPr>
      </w:pPr>
      <w:r w:rsidRPr="009E6414">
        <w:rPr>
          <w:i/>
          <w:noProof/>
          <w:lang w:val="es-ES_tradnl"/>
        </w:rPr>
        <w:t xml:space="preserve">Varios expertos han actuado como revisores homólogos (Anna Maria Augustyn, Simona Cristiano, Anikó Juhász y Bill Slee) o han contribuido con sus conocimientos sobre prácticas de evaluación (Bart Van Herck y Dimitris Skuras). </w:t>
      </w:r>
    </w:p>
    <w:p w:rsidR="00E05D08" w:rsidRPr="009E6414" w:rsidRDefault="00E05D08" w:rsidP="00E05D08">
      <w:pPr>
        <w:spacing w:after="120" w:line="280" w:lineRule="atLeast"/>
        <w:mirrorIndents/>
        <w:rPr>
          <w:rFonts w:eastAsia="Times New Roman" w:cs="Times New Roman"/>
          <w:i/>
          <w:noProof/>
          <w:szCs w:val="20"/>
          <w:lang w:val="es-ES_tradnl"/>
        </w:rPr>
      </w:pPr>
      <w:r w:rsidRPr="009E6414">
        <w:rPr>
          <w:i/>
          <w:noProof/>
          <w:lang w:val="es-ES_tradnl"/>
        </w:rPr>
        <w:t>Representantes de la DG de Agricultura y Desarrollo Rural han garantizado la coherencia de las directrices con el marco político de la UE.</w:t>
      </w:r>
    </w:p>
    <w:p w:rsidR="00E05D08" w:rsidRPr="009E6414" w:rsidRDefault="00E05D08" w:rsidP="00E05D08">
      <w:pPr>
        <w:spacing w:after="120" w:line="280" w:lineRule="atLeast"/>
        <w:mirrorIndents/>
        <w:rPr>
          <w:rFonts w:eastAsia="Times New Roman" w:cs="Times New Roman"/>
          <w:i/>
          <w:noProof/>
          <w:szCs w:val="20"/>
          <w:lang w:val="es-ES_tradnl"/>
        </w:rPr>
      </w:pPr>
      <w:r w:rsidRPr="009E6414">
        <w:rPr>
          <w:i/>
          <w:noProof/>
          <w:lang w:val="es-ES_tradnl"/>
        </w:rPr>
        <w:t>Los representantes de los Estados miembros han formulado observaciones sobre las versiones del proyecto de directrices en la reunión del Grupo consultivo celebrada el 22 de marzo de 2017 y en la 11.ª reunión del Grupo de expertos sobre el seguimiento y la evaluación de la PAC celebrada el 10 de mayo de 2017.</w:t>
      </w:r>
      <w:r w:rsidR="00D558C2">
        <w:rPr>
          <w:i/>
          <w:noProof/>
          <w:lang w:val="es-ES_tradnl"/>
        </w:rPr>
        <w:t xml:space="preserve"> </w:t>
      </w:r>
    </w:p>
    <w:p w:rsidR="00E05D08" w:rsidRPr="009E6414" w:rsidRDefault="00E05D08" w:rsidP="00E05D08">
      <w:pPr>
        <w:spacing w:after="120" w:line="280" w:lineRule="atLeast"/>
        <w:mirrorIndents/>
        <w:rPr>
          <w:rFonts w:eastAsia="Times New Roman" w:cs="Times New Roman"/>
          <w:i/>
          <w:noProof/>
          <w:szCs w:val="20"/>
          <w:lang w:val="es-ES_tradnl"/>
        </w:rPr>
      </w:pPr>
      <w:r w:rsidRPr="009E6414">
        <w:rPr>
          <w:i/>
          <w:noProof/>
          <w:lang w:val="es-ES_tradnl"/>
        </w:rPr>
        <w:t>El Punto de contacto de la REDR y el Punto de servicio de la AEI también fueron invitados a formular observaciones sobre las directrices.</w:t>
      </w:r>
    </w:p>
    <w:p w:rsidR="00E05D08" w:rsidRPr="009E6414" w:rsidRDefault="00E05D08" w:rsidP="00E05D08">
      <w:pPr>
        <w:spacing w:after="0" w:line="240" w:lineRule="auto"/>
        <w:rPr>
          <w:rFonts w:eastAsia="Times New Roman" w:cs="Times New Roman"/>
          <w:noProof/>
          <w:szCs w:val="20"/>
          <w:lang w:val="es-ES_tradnl"/>
        </w:rPr>
      </w:pPr>
      <w:r w:rsidRPr="009E6414">
        <w:rPr>
          <w:noProof/>
          <w:lang w:val="es-ES_tradnl"/>
        </w:rPr>
        <w:br w:type="page"/>
      </w:r>
    </w:p>
    <w:p w:rsidR="00E05D08" w:rsidRPr="009E6414" w:rsidRDefault="00E05D08" w:rsidP="00E05D08">
      <w:pPr>
        <w:spacing w:after="120" w:line="280" w:lineRule="atLeast"/>
        <w:mirrorIndents/>
        <w:rPr>
          <w:rFonts w:eastAsia="Times New Roman" w:cs="Arial"/>
          <w:smallCaps/>
          <w:noProof/>
          <w:color w:val="F07E31"/>
          <w:sz w:val="36"/>
          <w:szCs w:val="60"/>
          <w:lang w:val="es-ES_tradnl"/>
        </w:rPr>
        <w:sectPr w:rsidR="00E05D08" w:rsidRPr="009E6414" w:rsidSect="006D209F">
          <w:headerReference w:type="default" r:id="rId18"/>
          <w:footerReference w:type="default" r:id="rId19"/>
          <w:headerReference w:type="first" r:id="rId20"/>
          <w:footerReference w:type="first" r:id="rId21"/>
          <w:endnotePr>
            <w:numFmt w:val="decimal"/>
          </w:endnotePr>
          <w:pgSz w:w="11906" w:h="16838" w:code="9"/>
          <w:pgMar w:top="1440" w:right="1440" w:bottom="1134" w:left="1440" w:header="567" w:footer="1021" w:gutter="0"/>
          <w:cols w:space="708"/>
          <w:noEndnote/>
          <w:titlePg/>
          <w:docGrid w:linePitch="360"/>
        </w:sectPr>
      </w:pPr>
    </w:p>
    <w:p w:rsidR="00E05D08" w:rsidRPr="009E6414" w:rsidRDefault="00E05D08" w:rsidP="00E05D08">
      <w:pPr>
        <w:spacing w:after="120" w:line="280" w:lineRule="atLeast"/>
        <w:mirrorIndents/>
        <w:rPr>
          <w:rFonts w:eastAsia="Times New Roman" w:cs="Arial"/>
          <w:smallCaps/>
          <w:noProof/>
          <w:color w:val="F07E31"/>
          <w:sz w:val="36"/>
          <w:szCs w:val="60"/>
          <w:lang w:val="es-ES_tradnl"/>
        </w:rPr>
      </w:pPr>
      <w:r w:rsidRPr="009E6414">
        <w:rPr>
          <w:smallCaps/>
          <w:noProof/>
          <w:color w:val="F07E31"/>
          <w:sz w:val="36"/>
          <w:lang w:val="es-ES_tradnl"/>
        </w:rPr>
        <w:lastRenderedPageBreak/>
        <w:t xml:space="preserve">INTRODUCCIÓN </w:t>
      </w:r>
    </w:p>
    <w:p w:rsidR="00E05D08" w:rsidRPr="009E6414" w:rsidRDefault="00E05D08" w:rsidP="00E05D08">
      <w:pPr>
        <w:keepNext/>
        <w:spacing w:before="240" w:after="240" w:line="280" w:lineRule="atLeast"/>
        <w:outlineLvl w:val="3"/>
        <w:rPr>
          <w:rFonts w:eastAsia="Times New Roman" w:cs="Times New Roman"/>
          <w:b/>
          <w:bCs/>
          <w:noProof/>
          <w:color w:val="57825E"/>
          <w:kern w:val="32"/>
          <w:szCs w:val="24"/>
          <w:lang w:val="es-ES_tradnl"/>
        </w:rPr>
      </w:pPr>
      <w:r w:rsidRPr="009E6414">
        <w:rPr>
          <w:b/>
          <w:noProof/>
          <w:color w:val="57825E"/>
          <w:kern w:val="32"/>
          <w:lang w:val="es-ES_tradnl"/>
        </w:rPr>
        <w:t xml:space="preserve">¿Por qué evaluar la innovación en los PDR? </w:t>
      </w:r>
    </w:p>
    <w:p w:rsidR="00A45935" w:rsidRPr="009E6414" w:rsidRDefault="00E05D08" w:rsidP="00E05D08">
      <w:pPr>
        <w:spacing w:after="120" w:line="280" w:lineRule="atLeast"/>
        <w:mirrorIndents/>
        <w:rPr>
          <w:rFonts w:eastAsia="Times New Roman" w:cs="Times New Roman"/>
          <w:bCs/>
          <w:iCs/>
          <w:noProof/>
          <w:color w:val="000000"/>
          <w:szCs w:val="20"/>
          <w:lang w:val="es-ES_tradnl"/>
        </w:rPr>
      </w:pPr>
      <w:r w:rsidRPr="009E6414">
        <w:rPr>
          <w:b/>
          <w:i/>
          <w:noProof/>
          <w:lang w:val="es-ES_tradnl"/>
        </w:rPr>
        <w:t>La innovación es uno de los tres objetivos transversales de la política rural</w:t>
      </w:r>
      <w:r w:rsidRPr="009E6414">
        <w:rPr>
          <w:b/>
          <w:noProof/>
          <w:color w:val="000000"/>
          <w:vertAlign w:val="superscript"/>
          <w:lang w:val="es-ES_tradnl"/>
        </w:rPr>
        <w:footnoteReference w:id="1"/>
      </w:r>
      <w:r w:rsidRPr="009E6414">
        <w:rPr>
          <w:b/>
          <w:i/>
          <w:noProof/>
          <w:lang w:val="es-ES_tradnl"/>
        </w:rPr>
        <w:t xml:space="preserve"> y puede abordarse con las intervenciones realizadas en virtud de las medidas y los ámbitos de interés (AI) en los programas de desarrollo rural (PDR) 2014-2020</w:t>
      </w:r>
      <w:r w:rsidRPr="009E6414">
        <w:rPr>
          <w:b/>
          <w:i/>
          <w:noProof/>
          <w:vertAlign w:val="superscript"/>
          <w:lang w:val="es-ES_tradnl"/>
        </w:rPr>
        <w:footnoteReference w:id="2"/>
      </w:r>
      <w:r w:rsidRPr="009E6414">
        <w:rPr>
          <w:b/>
          <w:i/>
          <w:noProof/>
          <w:lang w:val="es-ES_tradnl"/>
        </w:rPr>
        <w:t>.</w:t>
      </w:r>
      <w:r w:rsidRPr="009E6414">
        <w:rPr>
          <w:b/>
          <w:i/>
          <w:noProof/>
          <w:color w:val="000000"/>
          <w:lang w:val="es-ES_tradnl"/>
        </w:rPr>
        <w:t xml:space="preserve">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b/>
          <w:noProof/>
          <w:lang w:val="es-ES_tradnl"/>
        </w:rPr>
        <w:t>Los logros de este objetivo transversal son objeto de la evaluación de innovación</w:t>
      </w:r>
      <w:r w:rsidRPr="009E6414">
        <w:rPr>
          <w:noProof/>
          <w:color w:val="000000"/>
          <w:vertAlign w:val="superscript"/>
          <w:lang w:val="es-ES_tradnl"/>
        </w:rPr>
        <w:footnoteReference w:id="3"/>
      </w:r>
      <w:r w:rsidRPr="009E6414">
        <w:rPr>
          <w:noProof/>
          <w:lang w:val="es-ES_tradnl"/>
        </w:rPr>
        <w:t>. En este contexto, las contribuciones de las innovaciones financiadas por el Fondo Europeo Agrícola de Desarrollo Rural (Feader) a los PDR y a los objetivos políticos de la UE son evaluadas para responder a las preguntas comunes de evaluación relacionadas con la innovación.</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Las razones por las que debe evaluarse la innovación son las siguientes:</w:t>
      </w:r>
    </w:p>
    <w:p w:rsidR="00A45935" w:rsidRPr="009E6414" w:rsidRDefault="00A45935" w:rsidP="00D77B96">
      <w:pPr>
        <w:pStyle w:val="Hlistbullet"/>
        <w:rPr>
          <w:noProof/>
          <w:lang w:val="es-ES_tradnl"/>
        </w:rPr>
      </w:pPr>
      <w:r w:rsidRPr="009E6414">
        <w:rPr>
          <w:b/>
          <w:noProof/>
          <w:lang w:val="es-ES_tradnl"/>
        </w:rPr>
        <w:t>Rendir cuentas de las intervenciones de desarrollo rural</w:t>
      </w:r>
      <w:r w:rsidRPr="009E6414">
        <w:rPr>
          <w:noProof/>
          <w:lang w:val="es-ES_tradnl"/>
        </w:rPr>
        <w:t xml:space="preserve"> y demostrar cómo han fomentado la innovación en las zonas rurales y contribuido a los resultados y las repercusiones del programa en la política rural y en los objetivos de la Estrategia Europa 2020. </w:t>
      </w:r>
    </w:p>
    <w:p w:rsidR="00A45935" w:rsidRPr="009E6414" w:rsidRDefault="00A45935" w:rsidP="00D77B96">
      <w:pPr>
        <w:pStyle w:val="Hlistbullet"/>
        <w:rPr>
          <w:noProof/>
          <w:lang w:val="es-ES_tradnl"/>
        </w:rPr>
      </w:pPr>
      <w:r w:rsidRPr="009E6414">
        <w:rPr>
          <w:b/>
          <w:noProof/>
          <w:lang w:val="es-ES_tradnl"/>
        </w:rPr>
        <w:t xml:space="preserve">Destinar mejor el apoyo del Feader a la innovación </w:t>
      </w:r>
      <w:r w:rsidRPr="009E6414">
        <w:rPr>
          <w:noProof/>
          <w:lang w:val="es-ES_tradnl"/>
        </w:rPr>
        <w:t xml:space="preserve">mediante la selección de los beneficiarios y territorios del programa más relevantes y las acciones más idóneas y subvencionables. </w:t>
      </w:r>
    </w:p>
    <w:p w:rsidR="00A45935" w:rsidRPr="009E6414" w:rsidRDefault="00A45935" w:rsidP="00D77B96">
      <w:pPr>
        <w:pStyle w:val="Hlistbullet"/>
        <w:rPr>
          <w:noProof/>
          <w:lang w:val="es-ES_tradnl"/>
        </w:rPr>
      </w:pPr>
      <w:r w:rsidRPr="009E6414">
        <w:rPr>
          <w:b/>
          <w:noProof/>
          <w:lang w:val="es-ES_tradnl"/>
        </w:rPr>
        <w:t>Mejorar el aprendizaje común entre las partes interesadas</w:t>
      </w:r>
      <w:r w:rsidRPr="009E6414">
        <w:rPr>
          <w:noProof/>
          <w:lang w:val="es-ES_tradnl"/>
        </w:rPr>
        <w:t xml:space="preserve"> sobre la mejor manera de apoyar y ejecutar proyectos innovadores aprendiendo de las experiencias pasadas y entendiendo las condiciones para el éxito. </w:t>
      </w:r>
    </w:p>
    <w:p w:rsidR="00A45935" w:rsidRPr="009E6414" w:rsidRDefault="00D66182" w:rsidP="00E05D08">
      <w:pPr>
        <w:keepNext/>
        <w:keepLines/>
        <w:tabs>
          <w:tab w:val="left" w:pos="680"/>
        </w:tabs>
        <w:spacing w:before="240" w:after="240" w:line="280" w:lineRule="atLeast"/>
        <w:mirrorIndents/>
        <w:outlineLvl w:val="3"/>
        <w:rPr>
          <w:rFonts w:eastAsia="Times New Roman" w:cs="Arial"/>
          <w:b/>
          <w:noProof/>
          <w:color w:val="57825E"/>
          <w:szCs w:val="20"/>
          <w:lang w:val="es-ES_tradnl"/>
          <w14:textFill>
            <w14:solidFill>
              <w14:srgbClr w14:val="57825E">
                <w14:lumMod w14:val="75000"/>
              </w14:srgbClr>
            </w14:solidFill>
          </w14:textFill>
        </w:rPr>
      </w:pPr>
      <w:r w:rsidRPr="009E6414">
        <w:rPr>
          <w:b/>
          <w:noProof/>
          <w:lang w:val="en-GB" w:eastAsia="en-GB" w:bidi="ar-SA"/>
        </w:rPr>
        <mc:AlternateContent>
          <mc:Choice Requires="wps">
            <w:drawing>
              <wp:anchor distT="0" distB="0" distL="114300" distR="114300" simplePos="0" relativeHeight="251653632" behindDoc="0" locked="0" layoutInCell="1" allowOverlap="1" wp14:anchorId="4F94DC8D" wp14:editId="1CDDF959">
                <wp:simplePos x="0" y="0"/>
                <wp:positionH relativeFrom="column">
                  <wp:posOffset>3114675</wp:posOffset>
                </wp:positionH>
                <wp:positionV relativeFrom="paragraph">
                  <wp:posOffset>184785</wp:posOffset>
                </wp:positionV>
                <wp:extent cx="2649855" cy="3228975"/>
                <wp:effectExtent l="0" t="0" r="17145" b="28575"/>
                <wp:wrapSquare wrapText="bothSides"/>
                <wp:docPr id="90" name="Rectangle: Diagonal Corners Rounded 90"/>
                <wp:cNvGraphicFramePr/>
                <a:graphic xmlns:a="http://schemas.openxmlformats.org/drawingml/2006/main">
                  <a:graphicData uri="http://schemas.microsoft.com/office/word/2010/wordprocessingShape">
                    <wps:wsp>
                      <wps:cNvSpPr/>
                      <wps:spPr>
                        <a:xfrm>
                          <a:off x="0" y="0"/>
                          <a:ext cx="2649855" cy="3228975"/>
                        </a:xfrm>
                        <a:prstGeom prst="round2DiagRect">
                          <a:avLst>
                            <a:gd name="adj1" fmla="val 8733"/>
                            <a:gd name="adj2" fmla="val 0"/>
                          </a:avLst>
                        </a:prstGeom>
                        <a:noFill/>
                        <a:ln w="25400" cap="flat" cmpd="sng" algn="ctr">
                          <a:solidFill>
                            <a:srgbClr val="BE4A35"/>
                          </a:solidFill>
                          <a:prstDash val="solid"/>
                        </a:ln>
                        <a:effectLst/>
                      </wps:spPr>
                      <wps:txbx>
                        <w:txbxContent>
                          <w:p w:rsidR="008D2E0D" w:rsidRPr="00D74B10" w:rsidRDefault="008D2E0D" w:rsidP="00E05D08">
                            <w:pPr>
                              <w:pStyle w:val="HBox"/>
                            </w:pPr>
                            <w:r>
                              <w:rPr>
                                <w:noProof/>
                                <w:lang w:val="en-GB" w:eastAsia="en-GB" w:bidi="ar-SA"/>
                              </w:rPr>
                              <w:drawing>
                                <wp:inline distT="0" distB="0" distL="0" distR="0" wp14:anchorId="31D6F950" wp14:editId="1F2748E8">
                                  <wp:extent cx="664845" cy="487680"/>
                                  <wp:effectExtent l="0" t="0" r="0" b="7620"/>
                                  <wp:docPr id="72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El objetivo principal del documento es complementar otras directrices y prestar asesoramiento a las partes interesadas en la evaluación de los </w:t>
                            </w:r>
                            <w:proofErr w:type="spellStart"/>
                            <w:r>
                              <w:t>PDR</w:t>
                            </w:r>
                            <w:proofErr w:type="spellEnd"/>
                            <w:r>
                              <w:t xml:space="preserve"> sobre cómo llevar a cabo las actividades de evaluación para </w:t>
                            </w:r>
                            <w:r>
                              <w:rPr>
                                <w:b/>
                              </w:rPr>
                              <w:t>responder a las preguntas comunes de evaluación relacionadas con la innovación</w:t>
                            </w:r>
                            <w:r>
                              <w:t>.</w:t>
                            </w:r>
                            <w:r>
                              <w:rPr>
                                <w:b/>
                              </w:rPr>
                              <w:t xml:space="preserve"> </w:t>
                            </w:r>
                            <w:r>
                              <w:t xml:space="preserve">Dado que cabe esperar que los efectos del </w:t>
                            </w:r>
                            <w:proofErr w:type="spellStart"/>
                            <w:r>
                              <w:t>PDR</w:t>
                            </w:r>
                            <w:proofErr w:type="spellEnd"/>
                            <w:r>
                              <w:t xml:space="preserve"> sobre la innovación en las zonas rurales se produzcan, muy probablemente, </w:t>
                            </w:r>
                            <w:r>
                              <w:rPr>
                                <w:b/>
                              </w:rPr>
                              <w:t>a largo plazo</w:t>
                            </w:r>
                            <w:r>
                              <w:t>, las directrices se centran en particular en aquellas actividades relacionadas con la evaluación que se incluirán en el Informe anual de ejecución (</w:t>
                            </w:r>
                            <w:proofErr w:type="spellStart"/>
                            <w:r>
                              <w:t>IAE</w:t>
                            </w:r>
                            <w:proofErr w:type="spellEnd"/>
                            <w:r>
                              <w:t xml:space="preserve">) que se presentará en 2019 y en la evaluación </w:t>
                            </w:r>
                            <w:r>
                              <w:rPr>
                                <w:i/>
                              </w:rPr>
                              <w:t>a posteriori</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4DC8D" id="Rectangle: Diagonal Corners Rounded 90" o:spid="_x0000_s1029" style="position:absolute;left:0;text-align:left;margin-left:245.25pt;margin-top:14.55pt;width:208.65pt;height:25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9855,3228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" adj="-11796480,,5400" path="m231412,l2649855,r,l2649855,2997563v,127805,-103607,231412,-231412,231412l,3228975r,l,231412c,103607,103607,,231412,xe" filled="f" strokecolor="#be4a35" strokeweight="2pt">
                <v:stroke joinstyle="miter"/>
                <v:formulas/>
                <v:path arrowok="t" o:connecttype="custom" o:connectlocs="231412,0;2649855,0;2649855,0;2649855,2997563;2418443,3228975;0,3228975;0,3228975;0,231412;231412,0" o:connectangles="0,0,0,0,0,0,0,0,0" textboxrect="0,0,2649855,3228975"/>
                <v:textbox>
                  <w:txbxContent>
                    <w:p w:rsidR="008D2E0D" w:rsidRPr="00D74B10" w:rsidRDefault="008D2E0D" w:rsidP="00E05D08">
                      <w:pPr>
                        <w:pStyle w:val="HBox"/>
                      </w:pPr>
                      <w:r>
                        <w:rPr>
                          <w:noProof/>
                          <w:lang w:val="en-GB" w:eastAsia="en-GB" w:bidi="ar-SA"/>
                        </w:rPr>
                        <w:drawing>
                          <wp:inline distT="0" distB="0" distL="0" distR="0" wp14:anchorId="31D6F950" wp14:editId="1F2748E8">
                            <wp:extent cx="664845" cy="487680"/>
                            <wp:effectExtent l="0" t="0" r="0" b="7620"/>
                            <wp:docPr id="72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El objetivo principal del documento es complementar otras directrices y prestar asesoramiento a las partes interesadas en la evaluación de los </w:t>
                      </w:r>
                      <w:proofErr w:type="spellStart"/>
                      <w:r>
                        <w:t>PDR</w:t>
                      </w:r>
                      <w:proofErr w:type="spellEnd"/>
                      <w:r>
                        <w:t xml:space="preserve"> sobre cómo llevar a cabo las actividades de evaluación para </w:t>
                      </w:r>
                      <w:r>
                        <w:rPr>
                          <w:b/>
                        </w:rPr>
                        <w:t>responder a las preguntas comunes de evaluación relacionadas con la innovación</w:t>
                      </w:r>
                      <w:r>
                        <w:t>.</w:t>
                      </w:r>
                      <w:r>
                        <w:rPr>
                          <w:b/>
                        </w:rPr>
                        <w:t xml:space="preserve"> </w:t>
                      </w:r>
                      <w:r>
                        <w:t xml:space="preserve">Dado que cabe esperar que los efectos del </w:t>
                      </w:r>
                      <w:proofErr w:type="spellStart"/>
                      <w:r>
                        <w:t>PDR</w:t>
                      </w:r>
                      <w:proofErr w:type="spellEnd"/>
                      <w:r>
                        <w:t xml:space="preserve"> sobre la innovación en las zonas rurales se produzcan, muy probablemente, </w:t>
                      </w:r>
                      <w:r>
                        <w:rPr>
                          <w:b/>
                        </w:rPr>
                        <w:t>a largo plazo</w:t>
                      </w:r>
                      <w:r>
                        <w:t>, las directrices se centran en particular en aquellas actividades relacionadas con la evaluación que se incluirán en el Informe anual de ejecución (</w:t>
                      </w:r>
                      <w:proofErr w:type="spellStart"/>
                      <w:r>
                        <w:t>IAE</w:t>
                      </w:r>
                      <w:proofErr w:type="spellEnd"/>
                      <w:r>
                        <w:t xml:space="preserve">) que se presentará en 2019 y en la evaluación </w:t>
                      </w:r>
                      <w:r>
                        <w:rPr>
                          <w:i/>
                        </w:rPr>
                        <w:t>a posteriori</w:t>
                      </w:r>
                      <w:r>
                        <w:t>.</w:t>
                      </w:r>
                    </w:p>
                  </w:txbxContent>
                </v:textbox>
                <w10:wrap type="square"/>
              </v:shape>
            </w:pict>
          </mc:Fallback>
        </mc:AlternateContent>
      </w:r>
      <w:r w:rsidRPr="009E6414">
        <w:rPr>
          <w:b/>
          <w:noProof/>
          <w:color w:val="57825E"/>
          <w:lang w:val="es-ES_tradnl"/>
        </w:rPr>
        <w:t>¿Por qué estas directrices son necesarias?</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b/>
          <w:noProof/>
          <w:lang w:val="es-ES_tradnl"/>
        </w:rPr>
        <w:t>La evaluación de la innovación ha adquirido más importancia</w:t>
      </w:r>
      <w:r w:rsidRPr="009E6414">
        <w:rPr>
          <w:noProof/>
          <w:lang w:val="es-ES_tradnl"/>
        </w:rPr>
        <w:t xml:space="preserve"> en el período de programación 2014-2020, debido a la relevancia que el tema ha alcanzado en la agenda política general. Los programas de desarrollo rural pueden respaldar los procesos de innovación y generar distintos resultados tangibles e intangibles en el ámbito del programa y en el sistema de innovación en su conjunto.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b/>
          <w:noProof/>
          <w:lang w:val="es-ES_tradnl"/>
        </w:rPr>
        <w:t>La captación de estos efectos presenta varios retos metodológicos</w:t>
      </w:r>
      <w:r w:rsidRPr="009E6414">
        <w:rPr>
          <w:noProof/>
          <w:lang w:val="es-ES_tradnl"/>
        </w:rPr>
        <w:t xml:space="preserve"> para la evaluación:</w:t>
      </w:r>
      <w:r w:rsidRPr="009E6414">
        <w:rPr>
          <w:b/>
          <w:noProof/>
          <w:lang w:val="es-ES_tradnl"/>
        </w:rPr>
        <w:t xml:space="preserve"> </w:t>
      </w:r>
      <w:r w:rsidRPr="009E6414">
        <w:rPr>
          <w:noProof/>
          <w:lang w:val="es-ES_tradnl"/>
        </w:rPr>
        <w:t>¿Cómo identificar el objeto de evaluación? Entre los efectos que contribuyen a los procesos innovadores en las zonas rurales ¿cuáles pueden atribuirse al PDR? ¿Cómo pueden evaluarse las contribuciones de las innovaciones generadas por el apoyo del Feader a los resultados e impactos globales del PDR? ¿Cómo pueden medirse los logros de los objetivos políticos regionales/nacionales/de la UE?</w:t>
      </w:r>
    </w:p>
    <w:p w:rsidR="00055039" w:rsidRPr="009E6414" w:rsidRDefault="00A45935" w:rsidP="00A6785E">
      <w:pPr>
        <w:rPr>
          <w:noProof/>
          <w:lang w:val="es-ES_tradnl"/>
        </w:rPr>
      </w:pPr>
      <w:r w:rsidRPr="009E6414">
        <w:rPr>
          <w:noProof/>
          <w:lang w:val="es-ES_tradnl"/>
        </w:rPr>
        <w:lastRenderedPageBreak/>
        <w:t xml:space="preserve">El </w:t>
      </w:r>
      <w:r w:rsidRPr="009E6414">
        <w:rPr>
          <w:b/>
          <w:noProof/>
          <w:lang w:val="es-ES_tradnl"/>
        </w:rPr>
        <w:t>4.º grupo de trabajo temático «Evaluación de la innovación en los PDR 2014-2020» del Servicio de asistencia de evaluación</w:t>
      </w:r>
      <w:r w:rsidRPr="009E6414">
        <w:rPr>
          <w:noProof/>
          <w:lang w:val="es-ES_tradnl"/>
        </w:rPr>
        <w:t xml:space="preserve"> tenía como objetivos 1) examinar y abordar los principales retos en la evaluación de la innovación; 2) revisar las experiencias de evaluación existentes en este ámbito; 3) identificar y diseñar soluciones prácticas para la evaluación de la innovación dentro del PDR; 4) desarrollar </w:t>
      </w:r>
      <w:r w:rsidRPr="009E6414">
        <w:rPr>
          <w:b/>
          <w:noProof/>
          <w:lang w:val="es-ES_tradnl"/>
        </w:rPr>
        <w:t>directrices no vinculantes para responder a las preguntas comunes de evaluación relacionadas con la innovación</w:t>
      </w:r>
      <w:r w:rsidRPr="009E6414">
        <w:rPr>
          <w:noProof/>
          <w:lang w:val="es-ES_tradnl"/>
        </w:rPr>
        <w:t xml:space="preserve"> complementando las directrices existentes y el sistema común de seguimiento y evaluación (SCSE). </w:t>
      </w:r>
    </w:p>
    <w:p w:rsidR="00A45935" w:rsidRPr="009E6414" w:rsidRDefault="00A45935" w:rsidP="00055039">
      <w:pPr>
        <w:spacing w:after="120" w:line="280" w:lineRule="atLeast"/>
        <w:mirrorIndents/>
        <w:rPr>
          <w:rFonts w:eastAsia="Times New Roman" w:cs="Times New Roman"/>
          <w:b/>
          <w:noProof/>
          <w:color w:val="57825E"/>
          <w:szCs w:val="20"/>
          <w:lang w:val="es-ES_tradnl"/>
        </w:rPr>
      </w:pPr>
      <w:r w:rsidRPr="009E6414">
        <w:rPr>
          <w:b/>
          <w:noProof/>
          <w:color w:val="57825E"/>
          <w:lang w:val="es-ES_tradnl"/>
        </w:rPr>
        <w:t>¿Quiénes son los grupos destinatarios de estas directrices?</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 xml:space="preserve">Las directrices </w:t>
      </w:r>
      <w:r w:rsidRPr="009E6414">
        <w:rPr>
          <w:i/>
          <w:noProof/>
          <w:lang w:val="es-ES_tradnl"/>
        </w:rPr>
        <w:t>Evaluación de la innovación en los PDR 2014-2020</w:t>
      </w:r>
      <w:r w:rsidRPr="009E6414">
        <w:rPr>
          <w:noProof/>
          <w:lang w:val="es-ES_tradnl"/>
        </w:rPr>
        <w:t xml:space="preserve"> están dirigidas a distintos grupos de partes interesadas en el desarrollo rural:</w:t>
      </w:r>
    </w:p>
    <w:p w:rsidR="00A45935" w:rsidRPr="009E6414" w:rsidRDefault="00A45935" w:rsidP="00D77B96">
      <w:pPr>
        <w:rPr>
          <w:noProof/>
          <w:lang w:val="es-ES_tradnl"/>
        </w:rPr>
      </w:pPr>
      <w:r w:rsidRPr="009E6414">
        <w:rPr>
          <w:noProof/>
          <w:lang w:val="es-ES_tradnl"/>
        </w:rPr>
        <w:t xml:space="preserve">Las </w:t>
      </w:r>
      <w:r w:rsidRPr="009E6414">
        <w:rPr>
          <w:b/>
          <w:noProof/>
          <w:lang w:val="es-ES_tradnl"/>
        </w:rPr>
        <w:t>autoridades de gestión</w:t>
      </w:r>
      <w:r w:rsidRPr="009E6414">
        <w:rPr>
          <w:noProof/>
          <w:lang w:val="es-ES_tradnl"/>
        </w:rPr>
        <w:t xml:space="preserve"> encontrarán información sobre la evaluación de la innovación a nivel del PDR: el concepto, el marco político y el enfoque de las preguntas de evaluación relacionadas con la innovación. Se ofrece una orientación práctica para demostrar cómo preparar, gestionar y coordinar la evaluación y cómo valorar las contribuciones de las innovaciones en pos de los objetivos del PDR. </w:t>
      </w:r>
    </w:p>
    <w:p w:rsidR="00A45935" w:rsidRPr="009E6414" w:rsidRDefault="00A45935" w:rsidP="00C37C7A">
      <w:pPr>
        <w:rPr>
          <w:noProof/>
          <w:lang w:val="es-ES_tradnl"/>
        </w:rPr>
      </w:pPr>
      <w:r w:rsidRPr="009E6414">
        <w:rPr>
          <w:noProof/>
          <w:lang w:val="es-ES_tradnl"/>
        </w:rPr>
        <w:t xml:space="preserve">Los </w:t>
      </w:r>
      <w:r w:rsidRPr="009E6414">
        <w:rPr>
          <w:b/>
          <w:noProof/>
          <w:lang w:val="es-ES_tradnl"/>
        </w:rPr>
        <w:t>expertos en evaluación</w:t>
      </w:r>
      <w:r w:rsidRPr="009E6414">
        <w:rPr>
          <w:noProof/>
          <w:lang w:val="es-ES_tradnl"/>
        </w:rPr>
        <w:t xml:space="preserve"> encontrarán soluciones para los distintos retos vinculados a la evaluación de la innovación (por ejemplo, cómo seleccionar el potencial de innovación del PDR al definir la lógica de intervención de innovación del PDR, cómo analizar las contribuciones de las innovaciones a los logros de los objetivos del PDR y los resultados e impactos del PDR). Los evaluadores también encontrarán apoyo sobre cómo seleccionar el mejor enfoque de evaluación y recopilar las pruebas para responder a las preguntas de evaluación. </w:t>
      </w:r>
    </w:p>
    <w:p w:rsidR="00A45935" w:rsidRPr="009E6414" w:rsidRDefault="00A45935" w:rsidP="00AA5817">
      <w:pPr>
        <w:pStyle w:val="HStandard"/>
        <w:rPr>
          <w:noProof/>
          <w:lang w:val="es-ES_tradnl"/>
        </w:rPr>
      </w:pPr>
      <w:r w:rsidRPr="009E6414">
        <w:rPr>
          <w:b/>
          <w:noProof/>
          <w:lang w:val="es-ES_tradnl"/>
        </w:rPr>
        <w:t>Otras partes interesadas</w:t>
      </w:r>
      <w:r w:rsidRPr="009E6414">
        <w:rPr>
          <w:noProof/>
          <w:lang w:val="es-ES_tradnl"/>
        </w:rPr>
        <w:t xml:space="preserve"> también pueden utilizar las directrices como documento de referencia: </w:t>
      </w:r>
      <w:r w:rsidRPr="009E6414">
        <w:rPr>
          <w:b/>
          <w:noProof/>
          <w:lang w:val="es-ES_tradnl"/>
        </w:rPr>
        <w:t>Los funcionarios de la Comisión Europea (CE)</w:t>
      </w:r>
      <w:r w:rsidRPr="009E6414">
        <w:rPr>
          <w:noProof/>
          <w:lang w:val="es-ES_tradnl"/>
        </w:rPr>
        <w:t xml:space="preserve"> (para las cuestiones planteadas con respecto a la evaluación de la innovación); </w:t>
      </w:r>
      <w:r w:rsidRPr="009E6414">
        <w:rPr>
          <w:b/>
          <w:noProof/>
          <w:lang w:val="es-ES_tradnl"/>
        </w:rPr>
        <w:t>los grupos operativos (GO) de la Asociación Europea para la Innovación (AEI)</w:t>
      </w:r>
      <w:r w:rsidRPr="009E6414">
        <w:rPr>
          <w:noProof/>
          <w:lang w:val="es-ES_tradnl"/>
        </w:rPr>
        <w:t xml:space="preserve"> (como información de referencia al diseñar los proyectos y entender su potencial de innovación); </w:t>
      </w:r>
      <w:r w:rsidRPr="009E6414">
        <w:rPr>
          <w:b/>
          <w:noProof/>
          <w:lang w:val="es-ES_tradnl"/>
        </w:rPr>
        <w:t>los miembros de los grupos de acción local (GAL)</w:t>
      </w:r>
      <w:r w:rsidRPr="009E6414">
        <w:rPr>
          <w:noProof/>
          <w:lang w:val="es-ES_tradnl"/>
        </w:rPr>
        <w:t xml:space="preserve"> (cuando evalúen/autoevalúen aspectos innovadores en sus estrategias de desarrollo local participativo (DLP) y sus efectos sobre la innovación en las zonas rurales); </w:t>
      </w:r>
      <w:r w:rsidRPr="009E6414">
        <w:rPr>
          <w:b/>
          <w:noProof/>
          <w:lang w:val="es-ES_tradnl"/>
        </w:rPr>
        <w:t>las redes rurales nacionales (RRN)</w:t>
      </w:r>
      <w:r w:rsidRPr="009E6414">
        <w:rPr>
          <w:noProof/>
          <w:lang w:val="es-ES_tradnl"/>
        </w:rPr>
        <w:t xml:space="preserve"> al preparar y respaldar a los GAL y a los grupos operativos de la AEI. </w:t>
      </w:r>
    </w:p>
    <w:p w:rsidR="00A45935" w:rsidRPr="009E6414" w:rsidRDefault="00A45935" w:rsidP="00E05D08">
      <w:pPr>
        <w:keepNext/>
        <w:keepLines/>
        <w:tabs>
          <w:tab w:val="left" w:pos="680"/>
        </w:tabs>
        <w:spacing w:before="240" w:after="240" w:line="280" w:lineRule="atLeast"/>
        <w:mirrorIndents/>
        <w:outlineLvl w:val="3"/>
        <w:rPr>
          <w:rFonts w:eastAsia="Times New Roman" w:cs="Times New Roman"/>
          <w:b/>
          <w:noProof/>
          <w:color w:val="57825E"/>
          <w:szCs w:val="20"/>
          <w:lang w:val="es-ES_tradnl"/>
        </w:rPr>
      </w:pPr>
      <w:r w:rsidRPr="009E6414">
        <w:rPr>
          <w:b/>
          <w:noProof/>
          <w:color w:val="57825E"/>
          <w:lang w:val="es-ES_tradnl"/>
        </w:rPr>
        <w:t>¿Cómo están estructuradas las directrices?</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 xml:space="preserve">Las Directrices constan de tres partes: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 xml:space="preserve">En el </w:t>
      </w:r>
      <w:r w:rsidRPr="009E6414">
        <w:rPr>
          <w:b/>
          <w:noProof/>
          <w:color w:val="F07E31"/>
          <w:lang w:val="es-ES_tradnl"/>
        </w:rPr>
        <w:t>capítulo 1</w:t>
      </w:r>
      <w:r w:rsidRPr="009E6414">
        <w:rPr>
          <w:noProof/>
          <w:lang w:val="es-ES_tradnl"/>
        </w:rPr>
        <w:t xml:space="preserve"> se explica el sistema de innovación en zonas rurales y el concepto de la evaluación de la innovación en el desarrollo rural. El concepto presenta el marco político de la UE y del PDR y cómo se interrelacionan entre sí, así como una visión general de los elementos comunes de evaluación. El capítulo 1.3 también aborda los retos vinculados a la evaluación de la innovación en la política de desarrollo rural.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 xml:space="preserve">El </w:t>
      </w:r>
      <w:r w:rsidRPr="009E6414">
        <w:rPr>
          <w:b/>
          <w:noProof/>
          <w:color w:val="F07E31"/>
          <w:lang w:val="es-ES_tradnl"/>
        </w:rPr>
        <w:t>capítulo 2</w:t>
      </w:r>
      <w:r w:rsidRPr="009E6414">
        <w:rPr>
          <w:noProof/>
          <w:lang w:val="es-ES_tradnl"/>
        </w:rPr>
        <w:t xml:space="preserve"> informa a las autoridades de gestión sobre las características específicas vinculadas a la gestión de la evaluación de la innovación y los requisitos de presentación de informes. El capítulo 2.2 explica los enfoques para responder a las preguntas de evaluación relacionadas con la innovación y ofrece orientaciones específicas para cada una de las preguntas comunes de evaluación: las preguntas 1, 2, 21, 23 y 30 se refieren a estos aspectos relacionados con la innovación. Esto incluye la descripción de métodos adecuados para la evaluación de la innovación.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 xml:space="preserve">El </w:t>
      </w:r>
      <w:r w:rsidRPr="009E6414">
        <w:rPr>
          <w:b/>
          <w:noProof/>
          <w:color w:val="F07E31"/>
          <w:lang w:val="es-ES_tradnl"/>
        </w:rPr>
        <w:t>capítulo 3</w:t>
      </w:r>
      <w:r w:rsidRPr="009E6414">
        <w:rPr>
          <w:noProof/>
          <w:lang w:val="es-ES_tradnl"/>
        </w:rPr>
        <w:t xml:space="preserve"> (anexos) incluye el glosario y las fases para identificar el potencial de innovación del PDR. </w:t>
      </w:r>
    </w:p>
    <w:p w:rsidR="00A45935" w:rsidRPr="009E6414" w:rsidRDefault="00A45935" w:rsidP="00E05D08">
      <w:pPr>
        <w:spacing w:after="0" w:line="240" w:lineRule="auto"/>
        <w:rPr>
          <w:rFonts w:eastAsia="Calibri" w:cs="Arial"/>
          <w:noProof/>
          <w:szCs w:val="18"/>
          <w:lang w:val="es-ES_tradnl"/>
          <w14:textFill>
            <w14:solidFill>
              <w14:srgbClr w14:val="373737">
                <w14:lumMod w14:val="75000"/>
              </w14:srgbClr>
            </w14:solidFill>
          </w14:textFill>
        </w:rPr>
      </w:pPr>
    </w:p>
    <w:p w:rsidR="00A45935" w:rsidRPr="009E6414" w:rsidRDefault="00A45935" w:rsidP="00E05D08">
      <w:pPr>
        <w:keepNext/>
        <w:keepLines/>
        <w:pageBreakBefore/>
        <w:tabs>
          <w:tab w:val="left" w:pos="567"/>
        </w:tabs>
        <w:spacing w:before="360" w:after="360" w:line="280" w:lineRule="atLeast"/>
        <w:ind w:left="567" w:hanging="567"/>
        <w:mirrorIndents/>
        <w:outlineLvl w:val="0"/>
        <w:rPr>
          <w:rFonts w:eastAsia="Times New Roman" w:cs="Times New Roman"/>
          <w:b/>
          <w:caps/>
          <w:noProof/>
          <w:color w:val="F07E31"/>
          <w:szCs w:val="20"/>
          <w:lang w:val="es-ES_tradnl"/>
        </w:rPr>
        <w:sectPr w:rsidR="00A45935" w:rsidRPr="009E6414" w:rsidSect="00055039">
          <w:footerReference w:type="default" r:id="rId23"/>
          <w:endnotePr>
            <w:numFmt w:val="decimal"/>
          </w:endnotePr>
          <w:type w:val="continuous"/>
          <w:pgSz w:w="11906" w:h="16838" w:code="9"/>
          <w:pgMar w:top="1440" w:right="1440" w:bottom="1134" w:left="1440" w:header="567" w:footer="1021" w:gutter="0"/>
          <w:pgNumType w:start="1"/>
          <w:cols w:space="708"/>
          <w:noEndnote/>
          <w:docGrid w:linePitch="360"/>
        </w:sectPr>
      </w:pPr>
    </w:p>
    <w:p w:rsidR="00A45935" w:rsidRPr="009E6414" w:rsidRDefault="00A45935" w:rsidP="00582F60">
      <w:pPr>
        <w:pStyle w:val="HHeading1"/>
        <w:tabs>
          <w:tab w:val="clear" w:pos="567"/>
        </w:tabs>
        <w:rPr>
          <w:noProof/>
          <w:lang w:val="es-ES_tradnl"/>
        </w:rPr>
      </w:pPr>
      <w:bookmarkStart w:id="1" w:name="_Toc508707909"/>
      <w:r w:rsidRPr="009E6414">
        <w:rPr>
          <w:noProof/>
          <w:lang w:val="es-ES_tradnl"/>
        </w:rPr>
        <w:lastRenderedPageBreak/>
        <w:t>MARCO CONCEPTUAL</w:t>
      </w:r>
      <w:bookmarkEnd w:id="1"/>
    </w:p>
    <w:p w:rsidR="00A45935" w:rsidRPr="009E6414" w:rsidRDefault="00405B0B" w:rsidP="00C37C7A">
      <w:pPr>
        <w:pStyle w:val="HHeading2"/>
        <w:rPr>
          <w:noProof/>
          <w:lang w:val="es-ES_tradnl"/>
        </w:rPr>
      </w:pPr>
      <w:bookmarkStart w:id="2" w:name="_Toc508707910"/>
      <w:r w:rsidRPr="009E6414">
        <w:rPr>
          <w:noProof/>
          <w:lang w:val="en-GB" w:eastAsia="en-GB" w:bidi="ar-SA"/>
        </w:rPr>
        <mc:AlternateContent>
          <mc:Choice Requires="wps">
            <w:drawing>
              <wp:anchor distT="0" distB="0" distL="114300" distR="114300" simplePos="0" relativeHeight="251655680" behindDoc="0" locked="0" layoutInCell="1" allowOverlap="1" wp14:anchorId="0AB382EF" wp14:editId="23B2B5C3">
                <wp:simplePos x="0" y="0"/>
                <wp:positionH relativeFrom="column">
                  <wp:posOffset>2819400</wp:posOffset>
                </wp:positionH>
                <wp:positionV relativeFrom="paragraph">
                  <wp:posOffset>241300</wp:posOffset>
                </wp:positionV>
                <wp:extent cx="2846070" cy="2695575"/>
                <wp:effectExtent l="0" t="0" r="11430" b="28575"/>
                <wp:wrapSquare wrapText="bothSides"/>
                <wp:docPr id="32" name="Rectangle: Diagonal Corners Rounded 32"/>
                <wp:cNvGraphicFramePr/>
                <a:graphic xmlns:a="http://schemas.openxmlformats.org/drawingml/2006/main">
                  <a:graphicData uri="http://schemas.microsoft.com/office/word/2010/wordprocessingShape">
                    <wps:wsp>
                      <wps:cNvSpPr/>
                      <wps:spPr>
                        <a:xfrm>
                          <a:off x="0" y="0"/>
                          <a:ext cx="2846070" cy="2695575"/>
                        </a:xfrm>
                        <a:prstGeom prst="round2DiagRect">
                          <a:avLst>
                            <a:gd name="adj1" fmla="val 6695"/>
                            <a:gd name="adj2" fmla="val 0"/>
                          </a:avLst>
                        </a:prstGeom>
                        <a:noFill/>
                        <a:ln w="25400" cap="flat" cmpd="sng" algn="ctr">
                          <a:solidFill>
                            <a:srgbClr val="BE4A35"/>
                          </a:solidFill>
                          <a:prstDash val="solid"/>
                        </a:ln>
                        <a:effectLst/>
                      </wps:spPr>
                      <wps:txbx>
                        <w:txbxContent>
                          <w:p w:rsidR="008D2E0D" w:rsidRDefault="008D2E0D" w:rsidP="007B6E2F">
                            <w:pPr>
                              <w:pStyle w:val="HStandard"/>
                              <w:spacing w:line="240" w:lineRule="atLeast"/>
                            </w:pPr>
                            <w:r>
                              <w:rPr>
                                <w:noProof/>
                                <w:lang w:val="en-GB" w:eastAsia="en-GB" w:bidi="ar-SA"/>
                              </w:rPr>
                              <w:drawing>
                                <wp:inline distT="0" distB="0" distL="0" distR="0" wp14:anchorId="04B6A701" wp14:editId="6E319086">
                                  <wp:extent cx="554636" cy="442210"/>
                                  <wp:effectExtent l="0" t="0" r="0" b="0"/>
                                  <wp:docPr id="724"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5204" cy="442663"/>
                                          </a:xfrm>
                                          <a:prstGeom prst="rect">
                                            <a:avLst/>
                                          </a:prstGeom>
                                        </pic:spPr>
                                      </pic:pic>
                                    </a:graphicData>
                                  </a:graphic>
                                </wp:inline>
                              </w:drawing>
                            </w:r>
                            <w:r>
                              <w:rPr>
                                <w:color w:val="BE4A35"/>
                                <w:sz w:val="18"/>
                              </w:rPr>
                              <w:t>«La innovación se describe a menudo como una idea nueva que demuestra tener éxito en la práctica</w:t>
                            </w:r>
                            <w:r>
                              <w:rPr>
                                <w:b/>
                                <w:color w:val="BE4A35"/>
                                <w:sz w:val="18"/>
                              </w:rPr>
                              <w:t>.</w:t>
                            </w:r>
                            <w:r>
                              <w:rPr>
                                <w:sz w:val="18"/>
                              </w:rPr>
                              <w:t xml:space="preserve"> La innovación puede ser tecnológica, pero también no tecnológica, organizativa o social. La innovación puede basarse en nuevas prácticas, pero también en prácticas tradicionales en un nuevo contexto geográfica o medioambiental. La idea nueva puede ser un nuevo producto, práctica, servicio, proceso de producción o una nueva forma de organizar las cosas, etc. Esa idea nueva se convierte en innovación únicamente si es ampliamente adoptada y demuestra su utilidad en la </w:t>
                            </w:r>
                            <w:proofErr w:type="spellStart"/>
                            <w:r>
                              <w:rPr>
                                <w:sz w:val="18"/>
                              </w:rPr>
                              <w:t>práctica.»</w:t>
                            </w:r>
                            <w:r>
                              <w:rPr>
                                <w:sz w:val="18"/>
                                <w:vertAlign w:val="superscript"/>
                              </w:rPr>
                              <w:t>4</w:t>
                            </w:r>
                            <w:proofErr w:type="spellEnd"/>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382EF" id="Rectangle: Diagonal Corners Rounded 32" o:spid="_x0000_s1030" style="position:absolute;left:0;text-align:left;margin-left:222pt;margin-top:19pt;width:224.1pt;height:21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6070,2695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" adj="-11796480,,5400" path="m180469,l2846070,r,l2846070,2515106v,99670,-80799,180469,-180469,180469l,2695575r,l,180469c,80799,80799,,180469,xe" filled="f" strokecolor="#be4a35" strokeweight="2pt">
                <v:stroke joinstyle="miter"/>
                <v:formulas/>
                <v:path arrowok="t" o:connecttype="custom" o:connectlocs="180469,0;2846070,0;2846070,0;2846070,2515106;2665601,2695575;0,2695575;0,2695575;0,180469;180469,0" o:connectangles="0,0,0,0,0,0,0,0,0" textboxrect="0,0,2846070,2695575"/>
                <v:textbox>
                  <w:txbxContent>
                    <w:p w:rsidR="008D2E0D" w:rsidRDefault="008D2E0D" w:rsidP="007B6E2F">
                      <w:pPr>
                        <w:pStyle w:val="HStandard"/>
                        <w:spacing w:line="240" w:lineRule="atLeast"/>
                      </w:pPr>
                      <w:r>
                        <w:rPr>
                          <w:noProof/>
                          <w:lang w:val="en-GB" w:eastAsia="en-GB" w:bidi="ar-SA"/>
                        </w:rPr>
                        <w:drawing>
                          <wp:inline distT="0" distB="0" distL="0" distR="0" wp14:anchorId="04B6A701" wp14:editId="6E319086">
                            <wp:extent cx="554636" cy="442210"/>
                            <wp:effectExtent l="0" t="0" r="0" b="0"/>
                            <wp:docPr id="724"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5204" cy="442663"/>
                                    </a:xfrm>
                                    <a:prstGeom prst="rect">
                                      <a:avLst/>
                                    </a:prstGeom>
                                  </pic:spPr>
                                </pic:pic>
                              </a:graphicData>
                            </a:graphic>
                          </wp:inline>
                        </w:drawing>
                      </w:r>
                      <w:r>
                        <w:rPr>
                          <w:color w:val="BE4A35"/>
                          <w:sz w:val="18"/>
                        </w:rPr>
                        <w:t>«La innovación se describe a menudo como una idea nueva que demuestra tener éxito en la práctica</w:t>
                      </w:r>
                      <w:r>
                        <w:rPr>
                          <w:b/>
                          <w:color w:val="BE4A35"/>
                          <w:sz w:val="18"/>
                        </w:rPr>
                        <w:t>.</w:t>
                      </w:r>
                      <w:r>
                        <w:rPr>
                          <w:sz w:val="18"/>
                        </w:rPr>
                        <w:t xml:space="preserve"> La innovación puede ser tecnológica, pero también no tecnológica, organizativa o social. La innovación puede basarse en nuevas prácticas, pero también en prácticas tradicionales en un nuevo contexto geográfica o medioambiental. La idea nueva puede ser un nuevo producto, práctica, servicio, proceso de producción o una nueva forma de organizar las cosas, etc. Esa idea nueva se convierte en innovación únicamente si es ampliamente adoptada y demuestra su utilidad en la </w:t>
                      </w:r>
                      <w:proofErr w:type="spellStart"/>
                      <w:r>
                        <w:rPr>
                          <w:sz w:val="18"/>
                        </w:rPr>
                        <w:t>práctica.»</w:t>
                      </w:r>
                      <w:r>
                        <w:rPr>
                          <w:sz w:val="18"/>
                          <w:vertAlign w:val="superscript"/>
                        </w:rPr>
                        <w:t>4</w:t>
                      </w:r>
                      <w:proofErr w:type="spellEnd"/>
                      <w:r>
                        <w:rPr>
                          <w:sz w:val="18"/>
                        </w:rPr>
                        <w:t xml:space="preserve"> </w:t>
                      </w:r>
                    </w:p>
                  </w:txbxContent>
                </v:textbox>
                <w10:wrap type="square"/>
              </v:shape>
            </w:pict>
          </mc:Fallback>
        </mc:AlternateContent>
      </w:r>
      <w:r w:rsidRPr="009E6414">
        <w:rPr>
          <w:noProof/>
          <w:lang w:val="es-ES_tradnl"/>
        </w:rPr>
        <w:t>Innovación y desarrollo rural</w:t>
      </w:r>
      <w:bookmarkEnd w:id="2"/>
      <w:r w:rsidRPr="009E6414">
        <w:rPr>
          <w:noProof/>
          <w:lang w:val="es-ES_tradnl"/>
        </w:rPr>
        <w:t xml:space="preserve"> </w:t>
      </w:r>
    </w:p>
    <w:p w:rsidR="00A45935" w:rsidRPr="009E6414" w:rsidRDefault="00A45935" w:rsidP="00230C31">
      <w:pPr>
        <w:pStyle w:val="HHeading4"/>
        <w:rPr>
          <w:noProof/>
          <w:lang w:val="es-ES_tradnl"/>
        </w:rPr>
      </w:pPr>
      <w:r w:rsidRPr="009E6414">
        <w:rPr>
          <w:noProof/>
          <w:lang w:val="es-ES_tradnl"/>
        </w:rPr>
        <w:t>¿Cómo podemos entender la innovación?</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b/>
          <w:noProof/>
          <w:lang w:val="es-ES_tradnl"/>
        </w:rPr>
        <w:t>En el contexto del desarrollo rural de la UE</w:t>
      </w:r>
      <w:r w:rsidRPr="009E6414">
        <w:rPr>
          <w:noProof/>
          <w:lang w:val="es-ES_tradnl"/>
        </w:rPr>
        <w:t xml:space="preserve"> se ha adoptado una interpretación bastante amplia de la innovación</w:t>
      </w:r>
      <w:r w:rsidRPr="009E6414">
        <w:rPr>
          <w:rStyle w:val="FootnoteReference"/>
          <w:noProof/>
          <w:color w:val="FFFFFF" w:themeColor="background1"/>
          <w:lang w:val="es-ES_tradnl"/>
        </w:rPr>
        <w:footnoteReference w:id="4"/>
      </w:r>
      <w:r w:rsidRPr="009E6414">
        <w:rPr>
          <w:noProof/>
          <w:lang w:val="es-ES_tradnl"/>
        </w:rPr>
        <w:t xml:space="preserve">: la </w:t>
      </w:r>
      <w:r w:rsidRPr="009E6414">
        <w:rPr>
          <w:b/>
          <w:noProof/>
          <w:lang w:val="es-ES_tradnl"/>
        </w:rPr>
        <w:t>amplia interpretación de la innovación</w:t>
      </w:r>
      <w:r w:rsidRPr="009E6414">
        <w:rPr>
          <w:noProof/>
          <w:lang w:val="es-ES_tradnl"/>
        </w:rPr>
        <w:t xml:space="preserve"> descrita hace que sea adaptable a las diferentes situaciones socioeconómicas y medioambientales en toda la UE. Esa interpretración se relaciona con la arquitectura del PDR y con su capacidad para interactuar con el contexto existente y garantizar soluciones nuevas para los retos y necesidades rurales. Tales soluciones no son necesariamente radicales ni importantes, pero pueden implicar cambios menores que a veces preparan el terreno para cosas más grandes. </w:t>
      </w:r>
    </w:p>
    <w:p w:rsidR="00A45935" w:rsidRPr="009E6414" w:rsidRDefault="00A45935" w:rsidP="00230C31">
      <w:pPr>
        <w:pStyle w:val="HHeading4"/>
        <w:rPr>
          <w:noProof/>
          <w:lang w:val="es-ES_tradnl"/>
        </w:rPr>
      </w:pPr>
      <w:r w:rsidRPr="009E6414">
        <w:rPr>
          <w:noProof/>
          <w:lang w:val="es-ES_tradnl"/>
        </w:rPr>
        <w:t>¿De qué manera contribuyen las intervenciones de los PDR a la innovación?</w:t>
      </w:r>
    </w:p>
    <w:p w:rsidR="009E6414" w:rsidRPr="009E6414" w:rsidRDefault="00A45935" w:rsidP="00E05D08">
      <w:pPr>
        <w:spacing w:after="120" w:line="280" w:lineRule="atLeast"/>
        <w:mirrorIndents/>
        <w:rPr>
          <w:noProof/>
          <w:lang w:val="es-ES_tradnl"/>
        </w:rPr>
      </w:pPr>
      <w:r w:rsidRPr="009E6414">
        <w:rPr>
          <w:b/>
          <w:noProof/>
          <w:lang w:val="es-ES_tradnl"/>
        </w:rPr>
        <w:t>La política de desarrollo rural está concebida para potenciar la innovación</w:t>
      </w:r>
      <w:r w:rsidRPr="009E6414">
        <w:rPr>
          <w:noProof/>
          <w:lang w:val="es-ES_tradnl"/>
        </w:rPr>
        <w:t xml:space="preserve"> (tecnológica, institucional y social), como un factor que permite lograr los objetivos y prioridades del desarrollo rural, y para afrontar los retos rurales. Las medidas/submedidas y los beneficiarios de los PDR (por ejemplo, grupos operativos de la AEI, GAL, agricultores, etc.) dan lugar a realizaciones, resultados e impactos que contribuyen a la consecución de los objetivos del PDR, a la vez que influyen y se ven influidos por el sistema de innovación del que forman parte. </w:t>
      </w:r>
    </w:p>
    <w:p w:rsidR="009E6414" w:rsidRPr="009E6414" w:rsidRDefault="009E6414" w:rsidP="00E05D08">
      <w:pPr>
        <w:spacing w:after="120" w:line="280" w:lineRule="atLeast"/>
        <w:mirrorIndents/>
        <w:rPr>
          <w:noProof/>
          <w:lang w:val="es-ES_tradnl"/>
        </w:rPr>
      </w:pPr>
    </w:p>
    <w:p w:rsidR="00A45935" w:rsidRPr="009E6414" w:rsidRDefault="00674A4B" w:rsidP="00E05D08">
      <w:pPr>
        <w:spacing w:after="120" w:line="280" w:lineRule="atLeast"/>
        <w:mirrorIndents/>
        <w:rPr>
          <w:noProof/>
          <w:lang w:val="es-ES_tradnl"/>
        </w:rPr>
      </w:pPr>
      <w:r w:rsidRPr="009E6414">
        <w:rPr>
          <w:noProof/>
          <w:szCs w:val="20"/>
          <w:lang w:val="en-GB" w:eastAsia="en-GB" w:bidi="ar-SA"/>
        </w:rPr>
        <mc:AlternateContent>
          <mc:Choice Requires="wps">
            <w:drawing>
              <wp:inline distT="0" distB="0" distL="0" distR="0">
                <wp:extent cx="5811520" cy="2390775"/>
                <wp:effectExtent l="0" t="0" r="17780" b="28575"/>
                <wp:docPr id="53" name="Rectangle: Diagonal Corners Rounded 53"/>
                <wp:cNvGraphicFramePr/>
                <a:graphic xmlns:a="http://schemas.openxmlformats.org/drawingml/2006/main">
                  <a:graphicData uri="http://schemas.microsoft.com/office/word/2010/wordprocessingShape">
                    <wps:wsp>
                      <wps:cNvSpPr/>
                      <wps:spPr>
                        <a:xfrm>
                          <a:off x="0" y="0"/>
                          <a:ext cx="5811520" cy="2390775"/>
                        </a:xfrm>
                        <a:prstGeom prst="round2DiagRect">
                          <a:avLst>
                            <a:gd name="adj1" fmla="val 7093"/>
                            <a:gd name="adj2" fmla="val 0"/>
                          </a:avLst>
                        </a:prstGeom>
                        <a:noFill/>
                        <a:ln w="25400" cap="flat" cmpd="sng" algn="ctr">
                          <a:solidFill>
                            <a:srgbClr val="BE4A35"/>
                          </a:solidFill>
                          <a:prstDash val="solid"/>
                        </a:ln>
                        <a:effectLst/>
                      </wps:spPr>
                      <wps:txbx>
                        <w:txbxContent>
                          <w:p w:rsidR="008D2E0D" w:rsidRPr="00270814" w:rsidRDefault="008D2E0D" w:rsidP="00674A4B">
                            <w:pPr>
                              <w:pStyle w:val="HBox"/>
                            </w:pPr>
                            <w:r>
                              <w:rPr>
                                <w:noProof/>
                                <w:lang w:val="en-GB" w:eastAsia="en-GB" w:bidi="ar-SA"/>
                              </w:rPr>
                              <w:drawing>
                                <wp:inline distT="0" distB="0" distL="0" distR="0" wp14:anchorId="3B9A60BC" wp14:editId="2C7DE337">
                                  <wp:extent cx="664845" cy="487680"/>
                                  <wp:effectExtent l="0" t="0" r="0" b="7620"/>
                                  <wp:docPr id="6"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Además de la política de desarrollo rural, </w:t>
                            </w:r>
                            <w:r>
                              <w:rPr>
                                <w:b/>
                                <w:color w:val="BE4A35"/>
                              </w:rPr>
                              <w:t>el sistema de innovación puede verse afectado por otros muchos factores</w:t>
                            </w:r>
                            <w:r>
                              <w:t xml:space="preserve"> presentes en las zonas rurales, como las políticas en materia de investigación, educación y fiscal y otros programas financiados por fondos de la UE (Horizonte 2020, programas operativos financiados por los Fondos </w:t>
                            </w:r>
                            <w:proofErr w:type="spellStart"/>
                            <w:r>
                              <w:t>EIE</w:t>
                            </w:r>
                            <w:proofErr w:type="spellEnd"/>
                            <w:r>
                              <w:t>) que respaldan acciones y procesos innovadores. La demanda de innovaciones del mercado también puede desempeñar un papel definitorio.</w:t>
                            </w:r>
                          </w:p>
                          <w:p w:rsidR="008D2E0D" w:rsidRPr="00D74B10" w:rsidRDefault="008D2E0D" w:rsidP="00674A4B">
                            <w:pPr>
                              <w:pStyle w:val="HBox"/>
                            </w:pPr>
                            <w:r>
                              <w:t>Que una innovación se convierta en corriente principal no solo depende de la fuerza de una idea creativa sino también de las posibilidades del mercado, de la buena voluntad del sector para adoptarla, de su rentabilidad, conocimiento y percepciones, de factores accidentales externos, etc. Resulta imposible predecir cómo interactúan dichos factores para convertir una idea nueva en una innovación. Por lo tanto, solo cabe determinar después si una nueva idea ha dado lugar a una auténtica innovación.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ectangle: Diagonal Corners Rounded 53" o:spid="_x0000_s1031" style="width:457.6pt;height:188.25pt;visibility:visible;mso-wrap-style:square;mso-left-percent:-10001;mso-top-percent:-10001;mso-position-horizontal:absolute;mso-position-horizontal-relative:char;mso-position-vertical:absolute;mso-position-vertical-relative:line;mso-left-percent:-10001;mso-top-percent:-10001;v-text-anchor:middle" coordsize="5811520,2390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" adj="-11796480,,5400" path="m169578,l5811520,r,l5811520,2221197v,93655,-75923,169578,-169578,169578l,2390775r,l,169578c,75923,75923,,169578,xe" filled="f" strokecolor="#be4a35" strokeweight="2pt">
                <v:stroke joinstyle="miter"/>
                <v:formulas/>
                <v:path arrowok="t" o:connecttype="custom" o:connectlocs="169578,0;5811520,0;5811520,0;5811520,2221197;5641942,2390775;0,2390775;0,2390775;0,169578;169578,0" o:connectangles="0,0,0,0,0,0,0,0,0" textboxrect="0,0,5811520,2390775"/>
                <v:textbox>
                  <w:txbxContent>
                    <w:p w:rsidR="008D2E0D" w:rsidRPr="00270814" w:rsidRDefault="008D2E0D" w:rsidP="00674A4B">
                      <w:pPr>
                        <w:pStyle w:val="HBox"/>
                      </w:pPr>
                      <w:r>
                        <w:rPr>
                          <w:noProof/>
                          <w:lang w:val="en-GB" w:eastAsia="en-GB" w:bidi="ar-SA"/>
                        </w:rPr>
                        <w:drawing>
                          <wp:inline distT="0" distB="0" distL="0" distR="0" wp14:anchorId="3B9A60BC" wp14:editId="2C7DE337">
                            <wp:extent cx="664845" cy="487680"/>
                            <wp:effectExtent l="0" t="0" r="0" b="7620"/>
                            <wp:docPr id="6"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Además de la política de desarrollo rural, </w:t>
                      </w:r>
                      <w:r>
                        <w:rPr>
                          <w:b/>
                          <w:color w:val="BE4A35"/>
                        </w:rPr>
                        <w:t>el sistema de innovación puede verse afectado por otros muchos factores</w:t>
                      </w:r>
                      <w:r>
                        <w:t xml:space="preserve"> presentes en las zonas rurales, como las políticas en materia de investigación, educación y fiscal y otros programas financiados por fondos de la UE (Horizonte 2020, programas operativos financiados por los Fondos </w:t>
                      </w:r>
                      <w:proofErr w:type="spellStart"/>
                      <w:r>
                        <w:t>EIE</w:t>
                      </w:r>
                      <w:proofErr w:type="spellEnd"/>
                      <w:r>
                        <w:t>) que respaldan acciones y procesos innovadores. La demanda de innovaciones del mercado también puede desempeñar un papel definitorio.</w:t>
                      </w:r>
                    </w:p>
                    <w:p w:rsidR="008D2E0D" w:rsidRPr="00D74B10" w:rsidRDefault="008D2E0D" w:rsidP="00674A4B">
                      <w:pPr>
                        <w:pStyle w:val="HBox"/>
                      </w:pPr>
                      <w:r>
                        <w:t>Que una innovación se convierta en corriente principal no solo depende de la fuerza de una idea creativa sino también de las posibilidades del mercado, de la buena voluntad del sector para adoptarla, de su rentabilidad, conocimiento y percepciones, de factores accidentales externos, etc. Resulta imposible predecir cómo interactúan dichos factores para convertir una idea nueva en una innovación. Por lo tanto, solo cabe determinar después si una nueva idea ha dado lugar a una auténtica innovación.</w:t>
                      </w:r>
                    </w:p>
                  </w:txbxContent>
                </v:textbox>
                <w10:anchorlock/>
              </v:shape>
            </w:pict>
          </mc:Fallback>
        </mc:AlternateContent>
      </w:r>
      <w:r w:rsidRPr="009E6414">
        <w:rPr>
          <w:b/>
          <w:noProof/>
          <w:lang w:val="es-ES_tradnl"/>
        </w:rPr>
        <w:t>El sistema de innovación</w:t>
      </w:r>
      <w:r w:rsidRPr="009E6414">
        <w:rPr>
          <w:noProof/>
          <w:lang w:val="es-ES_tradnl"/>
        </w:rPr>
        <w:t xml:space="preserve"> a escala local, regional, nacional o supranacional incluye a un grupo bastante heterogéneo de agentes de innovación, entre los que figuran empresarios rurales (por ejemplo, agricultores, silvicultores), industrias de medios de producción y turismo, transformadores, </w:t>
      </w:r>
      <w:r w:rsidRPr="009E6414">
        <w:rPr>
          <w:noProof/>
          <w:lang w:val="es-ES_tradnl"/>
        </w:rPr>
        <w:lastRenderedPageBreak/>
        <w:t xml:space="preserve">comerciantes, legisladores, investigadores, servicios de asesoramiento, gobierno y organizaciones de la sociedad civil. El aprendizaje experimental interactivo entre estos agentes desempeña una función vital en el sistema de innovación en la medida en que ponen en circulación nuevas ideas (nuevas para el sistema). El flujo de tecnología e información entre agentes es clave para el proceso de innovación dentro del sistema de innovación. </w:t>
      </w:r>
    </w:p>
    <w:p w:rsidR="007B6E2F" w:rsidRPr="009E6414" w:rsidRDefault="007B6E2F" w:rsidP="00E05D08">
      <w:pPr>
        <w:spacing w:after="120" w:line="280" w:lineRule="atLeast"/>
        <w:mirrorIndents/>
        <w:rPr>
          <w:noProof/>
          <w:lang w:val="es-ES_tradnl"/>
        </w:rPr>
      </w:pPr>
    </w:p>
    <w:p w:rsidR="00A45935" w:rsidRPr="009E6414" w:rsidRDefault="00A45935" w:rsidP="00E05D08">
      <w:pPr>
        <w:spacing w:after="120" w:line="280" w:lineRule="atLeast"/>
        <w:mirrorIndents/>
        <w:rPr>
          <w:rFonts w:eastAsia="Times New Roman" w:cs="Times New Roman"/>
          <w:noProof/>
          <w:szCs w:val="20"/>
          <w:lang w:val="es-ES_tradnl"/>
        </w:rPr>
      </w:pPr>
      <w:r w:rsidRPr="009E6414">
        <w:rPr>
          <w:b/>
          <w:noProof/>
          <w:lang w:val="es-ES_tradnl"/>
        </w:rPr>
        <w:t>El proceso de innovación incluye tres vías</w:t>
      </w:r>
      <w:r w:rsidRPr="009E6414">
        <w:rPr>
          <w:noProof/>
          <w:lang w:val="es-ES_tradnl"/>
        </w:rPr>
        <w:t xml:space="preserve">: </w:t>
      </w:r>
    </w:p>
    <w:p w:rsidR="00A45935" w:rsidRPr="009E6414" w:rsidRDefault="00A45935" w:rsidP="008C0B17">
      <w:pPr>
        <w:numPr>
          <w:ilvl w:val="0"/>
          <w:numId w:val="66"/>
        </w:numPr>
        <w:mirrorIndents/>
        <w:rPr>
          <w:noProof/>
          <w:szCs w:val="20"/>
          <w:lang w:val="es-ES_tradnl"/>
        </w:rPr>
      </w:pPr>
      <w:r w:rsidRPr="009E6414">
        <w:rPr>
          <w:b/>
          <w:noProof/>
          <w:color w:val="F07E31"/>
          <w:lang w:val="es-ES_tradnl"/>
        </w:rPr>
        <w:t>Vía 1:</w:t>
      </w:r>
      <w:r w:rsidRPr="009E6414">
        <w:rPr>
          <w:noProof/>
          <w:lang w:val="es-ES_tradnl"/>
        </w:rPr>
        <w:t xml:space="preserve"> supone la captación y el desarrollo de nuevas ideas (es decir, nuevos puntos de vista, planteamientos, productos, prácticas, servicios, procesos/tecnologías de producción, nuevas formas de organización o nuevas formas de cooperación y aprendizaje). </w:t>
      </w:r>
    </w:p>
    <w:p w:rsidR="00A45935" w:rsidRPr="009E6414" w:rsidRDefault="00A45935" w:rsidP="008C0B17">
      <w:pPr>
        <w:numPr>
          <w:ilvl w:val="0"/>
          <w:numId w:val="66"/>
        </w:numPr>
        <w:mirrorIndents/>
        <w:rPr>
          <w:noProof/>
          <w:szCs w:val="20"/>
          <w:lang w:val="es-ES_tradnl"/>
        </w:rPr>
      </w:pPr>
      <w:r w:rsidRPr="009E6414">
        <w:rPr>
          <w:b/>
          <w:noProof/>
          <w:color w:val="F07E31"/>
          <w:lang w:val="es-ES_tradnl"/>
        </w:rPr>
        <w:t>Vía 2:</w:t>
      </w:r>
      <w:r w:rsidRPr="009E6414">
        <w:rPr>
          <w:b/>
          <w:noProof/>
          <w:lang w:val="es-ES_tradnl"/>
        </w:rPr>
        <w:t xml:space="preserve"> </w:t>
      </w:r>
      <w:r w:rsidRPr="009E6414">
        <w:rPr>
          <w:noProof/>
          <w:lang w:val="es-ES_tradnl"/>
        </w:rPr>
        <w:t xml:space="preserve">incumbe a la capacidad de las personas y del propio sistema de conocimiento e innovación experimentar, autoorganizarse y hacer uso de nuevas ideas y planteamientos. </w:t>
      </w:r>
    </w:p>
    <w:p w:rsidR="00A45935" w:rsidRPr="009E6414" w:rsidRDefault="00A45935" w:rsidP="008C0B17">
      <w:pPr>
        <w:numPr>
          <w:ilvl w:val="0"/>
          <w:numId w:val="66"/>
        </w:numPr>
        <w:mirrorIndents/>
        <w:rPr>
          <w:noProof/>
          <w:szCs w:val="20"/>
          <w:lang w:val="es-ES_tradnl"/>
        </w:rPr>
      </w:pPr>
      <w:r w:rsidRPr="009E6414">
        <w:rPr>
          <w:b/>
          <w:noProof/>
          <w:color w:val="F07E31"/>
          <w:lang w:val="es-ES_tradnl"/>
        </w:rPr>
        <w:t>Vía 3:</w:t>
      </w:r>
      <w:r w:rsidRPr="009E6414">
        <w:rPr>
          <w:noProof/>
          <w:lang w:val="es-ES_tradnl"/>
        </w:rPr>
        <w:t xml:space="preserve"> requiere la habilitación de un entorno institucional y político para procesos innovadores emergentes. </w:t>
      </w:r>
    </w:p>
    <w:p w:rsidR="00A45935" w:rsidRPr="009E6414" w:rsidRDefault="00A45935" w:rsidP="0095292E">
      <w:pPr>
        <w:mirrorIndents/>
        <w:rPr>
          <w:noProof/>
          <w:szCs w:val="20"/>
          <w:lang w:val="es-ES_tradnl"/>
        </w:rPr>
      </w:pPr>
      <w:r w:rsidRPr="009E6414">
        <w:rPr>
          <w:noProof/>
          <w:lang w:val="es-ES_tradnl"/>
        </w:rPr>
        <w:t>Las tres vías no deben verse como casos aislados, sino más bien como puntos de entrada a la innovación que se solapan e interrelacionan mutuamente (Figura 1).</w:t>
      </w:r>
    </w:p>
    <w:p w:rsidR="00A45935" w:rsidRPr="009E6414" w:rsidRDefault="00674A4B" w:rsidP="009E6414">
      <w:pPr>
        <w:pStyle w:val="HHeadingfigures"/>
      </w:pPr>
      <w:bookmarkStart w:id="3" w:name="_Toc508707928"/>
      <w:r w:rsidRPr="009E6414">
        <w:t>Imagen simplificada de cómo los PDR fomentan la innovación</w:t>
      </w:r>
      <w:bookmarkEnd w:id="3"/>
      <w:r w:rsidRPr="009E6414">
        <w:t xml:space="preserve"> </w:t>
      </w:r>
    </w:p>
    <w:p w:rsidR="00A45935" w:rsidRPr="009E6414" w:rsidRDefault="006172D0" w:rsidP="00E05D08">
      <w:pPr>
        <w:spacing w:after="0" w:line="280" w:lineRule="atLeast"/>
        <w:jc w:val="center"/>
        <w:rPr>
          <w:rFonts w:eastAsia="Times New Roman" w:cs="Arial"/>
          <w:noProof/>
          <w:szCs w:val="18"/>
          <w:lang w:val="es-ES_tradnl"/>
        </w:rPr>
      </w:pPr>
      <w:bookmarkStart w:id="4" w:name="_Toc508714041"/>
      <w:r w:rsidRPr="00CC1F37">
        <w:rPr>
          <w:noProof/>
          <w:lang w:val="en-GB" w:eastAsia="en-GB" w:bidi="ar-SA"/>
        </w:rPr>
        <w:drawing>
          <wp:inline distT="0" distB="0" distL="0" distR="0" wp14:anchorId="10746A5B" wp14:editId="5D20D742">
            <wp:extent cx="5124735" cy="2988538"/>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4243" cy="2988251"/>
                    </a:xfrm>
                    <a:prstGeom prst="rect">
                      <a:avLst/>
                    </a:prstGeom>
                    <a:noFill/>
                    <a:ln>
                      <a:noFill/>
                    </a:ln>
                  </pic:spPr>
                </pic:pic>
              </a:graphicData>
            </a:graphic>
          </wp:inline>
        </w:drawing>
      </w:r>
      <w:bookmarkEnd w:id="4"/>
    </w:p>
    <w:p w:rsidR="00A45935" w:rsidRPr="009E6414" w:rsidRDefault="00A45935" w:rsidP="00E05D08">
      <w:pPr>
        <w:suppressAutoHyphens/>
        <w:spacing w:before="60" w:after="140" w:line="240" w:lineRule="auto"/>
        <w:ind w:left="1134" w:right="1134"/>
        <w:mirrorIndents/>
        <w:jc w:val="center"/>
        <w:rPr>
          <w:rFonts w:eastAsia="Times New Roman" w:cs="Times New Roman"/>
          <w:i/>
          <w:noProof/>
          <w:sz w:val="16"/>
          <w:szCs w:val="20"/>
          <w:lang w:val="es-ES_tradnl"/>
        </w:rPr>
      </w:pPr>
      <w:r w:rsidRPr="009E6414">
        <w:rPr>
          <w:i/>
          <w:noProof/>
          <w:sz w:val="16"/>
          <w:lang w:val="es-ES_tradnl"/>
        </w:rPr>
        <w:t>Fuente: Servicio de asistencia de evaluación europeo para el desarrollo rural, 2017</w:t>
      </w:r>
    </w:p>
    <w:p w:rsidR="000E1D4B"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 xml:space="preserve">Las medidas/submedidas del PDR y su combinación pueden contribuir a una, dos o tres vías en diferente medida en función del enfoque específico del PDR para apoyar la innovación (véase la </w:t>
      </w:r>
      <w:hyperlink w:anchor="Policy_framework" w:history="1">
        <w:r w:rsidRPr="009E6414">
          <w:rPr>
            <w:rStyle w:val="Hyperlink"/>
            <w:noProof/>
            <w:sz w:val="20"/>
            <w:lang w:val="es-ES_tradnl"/>
          </w:rPr>
          <w:t>sección 1.2.1</w:t>
        </w:r>
      </w:hyperlink>
      <w:r w:rsidRPr="009E6414">
        <w:rPr>
          <w:noProof/>
          <w:lang w:val="es-ES_tradnl"/>
        </w:rPr>
        <w:t xml:space="preserve">). </w:t>
      </w:r>
    </w:p>
    <w:p w:rsidR="000E1D4B" w:rsidRPr="009E6414" w:rsidRDefault="000E1D4B">
      <w:pPr>
        <w:rPr>
          <w:rFonts w:eastAsia="Times New Roman" w:cs="Times New Roman"/>
          <w:b/>
          <w:noProof/>
          <w:color w:val="F07E31"/>
          <w:szCs w:val="20"/>
          <w:lang w:val="es-ES_tradnl"/>
        </w:rPr>
      </w:pPr>
      <w:r w:rsidRPr="009E6414">
        <w:rPr>
          <w:noProof/>
          <w:lang w:val="es-ES_tradnl"/>
        </w:rPr>
        <w:br w:type="page"/>
      </w:r>
    </w:p>
    <w:p w:rsidR="00A45935" w:rsidRPr="009E6414" w:rsidRDefault="00BC211C" w:rsidP="00E05D08">
      <w:pPr>
        <w:spacing w:after="120" w:line="280" w:lineRule="atLeast"/>
        <w:mirrorIndents/>
        <w:rPr>
          <w:rFonts w:eastAsia="Times New Roman" w:cs="Times New Roman"/>
          <w:noProof/>
          <w:szCs w:val="20"/>
          <w:lang w:val="es-ES_tradnl"/>
        </w:rPr>
      </w:pPr>
      <w:r w:rsidRPr="009E6414">
        <w:rPr>
          <w:rFonts w:eastAsia="Times New Roman" w:cs="Times New Roman"/>
          <w:noProof/>
          <w:szCs w:val="20"/>
          <w:lang w:val="en-GB" w:eastAsia="en-GB" w:bidi="ar-SA"/>
        </w:rPr>
        <w:lastRenderedPageBreak/>
        <mc:AlternateContent>
          <mc:Choice Requires="wps">
            <w:drawing>
              <wp:anchor distT="0" distB="0" distL="114300" distR="114300" simplePos="0" relativeHeight="251656704" behindDoc="0" locked="0" layoutInCell="1" allowOverlap="1" wp14:anchorId="5562E2F4" wp14:editId="4DA99C28">
                <wp:simplePos x="0" y="0"/>
                <wp:positionH relativeFrom="column">
                  <wp:posOffset>-57150</wp:posOffset>
                </wp:positionH>
                <wp:positionV relativeFrom="paragraph">
                  <wp:posOffset>0</wp:posOffset>
                </wp:positionV>
                <wp:extent cx="2832735" cy="4438650"/>
                <wp:effectExtent l="0" t="0" r="24765" b="19050"/>
                <wp:wrapSquare wrapText="bothSides"/>
                <wp:docPr id="55" name="Rectangle: Diagonal Corners Rounded 55"/>
                <wp:cNvGraphicFramePr/>
                <a:graphic xmlns:a="http://schemas.openxmlformats.org/drawingml/2006/main">
                  <a:graphicData uri="http://schemas.microsoft.com/office/word/2010/wordprocessingShape">
                    <wps:wsp>
                      <wps:cNvSpPr/>
                      <wps:spPr>
                        <a:xfrm>
                          <a:off x="0" y="0"/>
                          <a:ext cx="2832735" cy="4438650"/>
                        </a:xfrm>
                        <a:prstGeom prst="round2DiagRect">
                          <a:avLst>
                            <a:gd name="adj1" fmla="val 6641"/>
                            <a:gd name="adj2" fmla="val 0"/>
                          </a:avLst>
                        </a:prstGeom>
                        <a:noFill/>
                        <a:ln w="25400" cap="flat" cmpd="sng" algn="ctr">
                          <a:solidFill>
                            <a:srgbClr val="F07E31"/>
                          </a:solidFill>
                          <a:prstDash val="solid"/>
                        </a:ln>
                        <a:effectLst/>
                      </wps:spPr>
                      <wps:txbx>
                        <w:txbxContent>
                          <w:p w:rsidR="008D2E0D" w:rsidRPr="00E05D08" w:rsidRDefault="008D2E0D" w:rsidP="00E05D08">
                            <w:pPr>
                              <w:pStyle w:val="Normal12PTcouleurgris"/>
                              <w:rPr>
                                <w:b/>
                                <w:color w:val="F07E31"/>
                              </w:rPr>
                            </w:pPr>
                            <w:r>
                              <w:rPr>
                                <w:noProof/>
                                <w:lang w:val="en-GB" w:eastAsia="en-GB" w:bidi="ar-SA"/>
                              </w:rPr>
                              <w:drawing>
                                <wp:inline distT="0" distB="0" distL="0" distR="0" wp14:anchorId="0320ABA5" wp14:editId="17658347">
                                  <wp:extent cx="353060" cy="359410"/>
                                  <wp:effectExtent l="0" t="0" r="8890" b="2540"/>
                                  <wp:docPr id="72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 xml:space="preserve">Ejemplos del posible apoyo del </w:t>
                            </w:r>
                            <w:proofErr w:type="spellStart"/>
                            <w:r>
                              <w:rPr>
                                <w:b/>
                                <w:color w:val="F07E31"/>
                              </w:rPr>
                              <w:t>PDR</w:t>
                            </w:r>
                            <w:proofErr w:type="spellEnd"/>
                            <w:r>
                              <w:rPr>
                                <w:b/>
                                <w:color w:val="F07E31"/>
                              </w:rPr>
                              <w:t xml:space="preserve"> a la vía 1</w:t>
                            </w:r>
                          </w:p>
                          <w:p w:rsidR="008D2E0D" w:rsidRPr="00230C31" w:rsidRDefault="008D2E0D" w:rsidP="00230C31">
                            <w:pPr>
                              <w:pStyle w:val="Hlistbullet"/>
                              <w:rPr>
                                <w:sz w:val="18"/>
                                <w:szCs w:val="18"/>
                              </w:rPr>
                            </w:pPr>
                            <w:r>
                              <w:rPr>
                                <w:sz w:val="18"/>
                              </w:rPr>
                              <w:t xml:space="preserve">Desarrollo, ensayo y promoción de una máquina que controle mecánicamente las plagas de malas hierbas en tierras agrícolas [por ejemplo, operaciones efectuadas en virtud de los artículos 17 y 35 del Reglamento (UE) n.º 1305/2013]. </w:t>
                            </w:r>
                          </w:p>
                          <w:p w:rsidR="008D2E0D" w:rsidRPr="00230C31" w:rsidRDefault="008D2E0D" w:rsidP="00230C31">
                            <w:pPr>
                              <w:pStyle w:val="Hlistbullet"/>
                              <w:rPr>
                                <w:sz w:val="18"/>
                                <w:szCs w:val="18"/>
                              </w:rPr>
                            </w:pPr>
                            <w:r>
                              <w:rPr>
                                <w:sz w:val="18"/>
                              </w:rPr>
                              <w:t xml:space="preserve">Ensayo y prestación de nuevos tipos de servicios en zonas rurales [por ejemplo, operaciones efectuadas en virtud de los artículos 20 y 35 del Reglamento (UE) n.º 1305/2013]. </w:t>
                            </w:r>
                          </w:p>
                          <w:p w:rsidR="008D2E0D" w:rsidRPr="00230C31" w:rsidRDefault="008D2E0D" w:rsidP="00230C31">
                            <w:pPr>
                              <w:pStyle w:val="Hlistbullet"/>
                              <w:rPr>
                                <w:sz w:val="18"/>
                                <w:szCs w:val="18"/>
                              </w:rPr>
                            </w:pPr>
                            <w:r>
                              <w:rPr>
                                <w:sz w:val="18"/>
                              </w:rPr>
                              <w:t>Introducción de una nueva forma de organizar reuniones, conferencias y cursos de formación (por ejemplo, utilizando nuevas técnicas de facilitación, mesas redondas, conferencias) [por ejemplo, operaciones efectuadas en virtud del artículo 14 del Reglamento (UE) n.º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62E2F4" id="Rectangle: Diagonal Corners Rounded 55" o:spid="_x0000_s1032" style="position:absolute;left:0;text-align:left;margin-left:-4.5pt;margin-top:0;width:223.05pt;height:349.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2735,4438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" adj="-11796480,,5400" path="m188122,l2832735,r,l2832735,4250528v,103897,-84225,188122,-188122,188122l,4438650r,l,188122c,84225,84225,,188122,xe" filled="f" strokecolor="#f07e31" strokeweight="2pt">
                <v:stroke joinstyle="miter"/>
                <v:formulas/>
                <v:path arrowok="t" o:connecttype="custom" o:connectlocs="188122,0;2832735,0;2832735,0;2832735,4250528;2644613,4438650;0,4438650;0,4438650;0,188122;188122,0" o:connectangles="0,0,0,0,0,0,0,0,0" textboxrect="0,0,2832735,4438650"/>
                <v:textbox>
                  <w:txbxContent>
                    <w:p w:rsidR="008D2E0D" w:rsidRPr="00E05D08" w:rsidRDefault="008D2E0D" w:rsidP="00E05D08">
                      <w:pPr>
                        <w:pStyle w:val="Normal12PTcouleurgris"/>
                        <w:rPr>
                          <w:b/>
                          <w:color w:val="F07E31"/>
                        </w:rPr>
                      </w:pPr>
                      <w:r>
                        <w:rPr>
                          <w:noProof/>
                          <w:lang w:val="en-GB" w:eastAsia="en-GB" w:bidi="ar-SA"/>
                        </w:rPr>
                        <w:drawing>
                          <wp:inline distT="0" distB="0" distL="0" distR="0" wp14:anchorId="0320ABA5" wp14:editId="17658347">
                            <wp:extent cx="353060" cy="359410"/>
                            <wp:effectExtent l="0" t="0" r="8890" b="2540"/>
                            <wp:docPr id="72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 xml:space="preserve">Ejemplos del posible apoyo del </w:t>
                      </w:r>
                      <w:proofErr w:type="spellStart"/>
                      <w:r>
                        <w:rPr>
                          <w:b/>
                          <w:color w:val="F07E31"/>
                        </w:rPr>
                        <w:t>PDR</w:t>
                      </w:r>
                      <w:proofErr w:type="spellEnd"/>
                      <w:r>
                        <w:rPr>
                          <w:b/>
                          <w:color w:val="F07E31"/>
                        </w:rPr>
                        <w:t xml:space="preserve"> a la vía 1</w:t>
                      </w:r>
                    </w:p>
                    <w:p w:rsidR="008D2E0D" w:rsidRPr="00230C31" w:rsidRDefault="008D2E0D" w:rsidP="00230C31">
                      <w:pPr>
                        <w:pStyle w:val="Hlistbullet"/>
                        <w:rPr>
                          <w:sz w:val="18"/>
                          <w:szCs w:val="18"/>
                        </w:rPr>
                      </w:pPr>
                      <w:r>
                        <w:rPr>
                          <w:sz w:val="18"/>
                        </w:rPr>
                        <w:t xml:space="preserve">Desarrollo, ensayo y promoción de una máquina que controle mecánicamente las plagas de malas hierbas en tierras agrícolas [por ejemplo, operaciones efectuadas en virtud de los artículos 17 y 35 del Reglamento (UE) n.º 1305/2013]. </w:t>
                      </w:r>
                    </w:p>
                    <w:p w:rsidR="008D2E0D" w:rsidRPr="00230C31" w:rsidRDefault="008D2E0D" w:rsidP="00230C31">
                      <w:pPr>
                        <w:pStyle w:val="Hlistbullet"/>
                        <w:rPr>
                          <w:sz w:val="18"/>
                          <w:szCs w:val="18"/>
                        </w:rPr>
                      </w:pPr>
                      <w:r>
                        <w:rPr>
                          <w:sz w:val="18"/>
                        </w:rPr>
                        <w:t xml:space="preserve">Ensayo y prestación de nuevos tipos de servicios en zonas rurales [por ejemplo, operaciones efectuadas en virtud de los artículos 20 y 35 del Reglamento (UE) n.º 1305/2013]. </w:t>
                      </w:r>
                    </w:p>
                    <w:p w:rsidR="008D2E0D" w:rsidRPr="00230C31" w:rsidRDefault="008D2E0D" w:rsidP="00230C31">
                      <w:pPr>
                        <w:pStyle w:val="Hlistbullet"/>
                        <w:rPr>
                          <w:sz w:val="18"/>
                          <w:szCs w:val="18"/>
                        </w:rPr>
                      </w:pPr>
                      <w:r>
                        <w:rPr>
                          <w:sz w:val="18"/>
                        </w:rPr>
                        <w:t>Introducción de una nueva forma de organizar reuniones, conferencias y cursos de formación (por ejemplo, utilizando nuevas técnicas de facilitación, mesas redondas, conferencias) [por ejemplo, operaciones efectuadas en virtud del artículo 14 del Reglamento (UE) n.º 1305/2013].</w:t>
                      </w:r>
                    </w:p>
                  </w:txbxContent>
                </v:textbox>
                <w10:wrap type="square"/>
              </v:shape>
            </w:pict>
          </mc:Fallback>
        </mc:AlternateContent>
      </w:r>
      <w:r w:rsidRPr="009E6414">
        <w:rPr>
          <w:b/>
          <w:noProof/>
          <w:color w:val="F07E31"/>
          <w:lang w:val="es-ES_tradnl"/>
        </w:rPr>
        <w:t>La primera vía</w:t>
      </w:r>
      <w:r w:rsidRPr="009E6414">
        <w:rPr>
          <w:noProof/>
          <w:lang w:val="es-ES_tradnl"/>
        </w:rPr>
        <w:t xml:space="preserve"> puede describirse como la capacidad para identificar y fomentar ideas prometedoras que puedan entrañar una innovación de cualquier tipo (tecnológica, no tecnológica, social, organizativa, etc.). Esa nueva idea adquiere amplitud para convertirse en una verdadera innovación que responde perfectamente a una necesidad específica o brinda una oportunidad que puede ser aprovechada por muchas personas. Existen dos formas principales de fomentar ideas para desarrollar procesos de innovación: 1) un enfoque individual (captación y fomento de una persona con una idea); 2) a través de distintas partes interesadas que trabajan en grupos para descubrir nuevas ideas que deben ser fomentadas (aportando los mejores socios conjuntamente para formar un grupo que combine las competencias complementarias necesarias para construir un proyecto de innovación). </w:t>
      </w:r>
    </w:p>
    <w:p w:rsidR="000E1D4B"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 xml:space="preserve">Para ser innovadora, la idea, o al menos algunos aspectos de la misma, debe ser nueva para el entorno o lugar en cuestión, y ofrecer alguna promesa plausible de ser útil (por ejemplo, ayudando a una o más partes interesadas a hacer algo diferente, mejor o más barato, respondiendo a una necesidad o creando una oportunidad).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b/>
          <w:noProof/>
          <w:color w:val="F07E31"/>
          <w:lang w:val="es-ES_tradnl"/>
        </w:rPr>
        <w:t>La segunda vía</w:t>
      </w:r>
      <w:r w:rsidRPr="009E6414">
        <w:rPr>
          <w:noProof/>
          <w:lang w:val="es-ES_tradnl"/>
        </w:rPr>
        <w:t xml:space="preserve"> consiste en consolidar la capacidad para innovar y, en determinadas circunstancias, es la consecuencia de la realización de la primera vía. El PDR puede facilitar el proceso de identificación de los retos y oportunidades de desarrollo para reunir a los agentes de innovación interesados y pertinentes [por ejemplo, a través de los grupos operativos de la AEI</w:t>
      </w:r>
      <w:r w:rsidRPr="009E6414">
        <w:rPr>
          <w:noProof/>
          <w:vertAlign w:val="superscript"/>
          <w:lang w:val="es-ES_tradnl"/>
        </w:rPr>
        <w:footnoteReference w:id="5"/>
      </w:r>
      <w:r w:rsidRPr="009E6414">
        <w:rPr>
          <w:noProof/>
          <w:lang w:val="es-ES_tradnl"/>
        </w:rPr>
        <w:t xml:space="preserve"> que prueban prácticas innovadoras a través de la cooperación entre los agentes pertinentes con el conocimiento complementario (por ejemplo, agricultores, empresas, servicios de asesoramiento, investigadores y otros) para alcanzar los objetivos de un proyecto innovador]. Este hecho ayuda a colmar la brecha entre ciencia y práctica mediante la construcción de las capacidades y conocimientos necesarios. Las sinergias creadas a través de proyectos multiactor financiados en el marco de la política de investigación e innovación de la UE Horizonte 2020 también pueden aportar beneficios</w:t>
      </w:r>
      <w:r w:rsidRPr="009E6414">
        <w:rPr>
          <w:noProof/>
          <w:vertAlign w:val="superscript"/>
          <w:lang w:val="es-ES_tradnl"/>
        </w:rPr>
        <w:footnoteReference w:id="6"/>
      </w:r>
      <w:r w:rsidRPr="009E6414">
        <w:rPr>
          <w:noProof/>
          <w:lang w:val="es-ES_tradnl"/>
        </w:rPr>
        <w:t xml:space="preserve"> </w:t>
      </w:r>
      <w:r w:rsidRPr="009E6414">
        <w:rPr>
          <w:noProof/>
          <w:vertAlign w:val="superscript"/>
          <w:lang w:val="es-ES_tradnl"/>
        </w:rPr>
        <w:footnoteReference w:id="7"/>
      </w:r>
      <w:r w:rsidRPr="009E6414">
        <w:rPr>
          <w:noProof/>
          <w:lang w:val="es-ES_tradnl"/>
        </w:rPr>
        <w:t xml:space="preserve">. Los grupos </w:t>
      </w:r>
      <w:r w:rsidRPr="009E6414">
        <w:rPr>
          <w:noProof/>
          <w:lang w:val="es-ES_tradnl"/>
        </w:rPr>
        <w:lastRenderedPageBreak/>
        <w:t xml:space="preserve">operativos pueden crear nichos sociotécnicos. Un nicho sociotécnico es un espacio protegido que permite a la gente conocer y experimentar con tecnología novedosa y/o instituciones y/o nuevas formas de hacer las cosas. Si están adecuadamente construidos y conectados, los nichos pueden actuar como componentes esenciales de cambios sociales más amplios hacia el desarrollo </w:t>
      </w:r>
      <w:r w:rsidR="001C546D" w:rsidRPr="009E6414">
        <w:rPr>
          <w:rFonts w:eastAsia="Times New Roman" w:cs="Times New Roman"/>
          <w:noProof/>
          <w:szCs w:val="20"/>
          <w:lang w:val="en-GB" w:eastAsia="en-GB" w:bidi="ar-SA"/>
        </w:rPr>
        <mc:AlternateContent>
          <mc:Choice Requires="wps">
            <w:drawing>
              <wp:anchor distT="0" distB="0" distL="114300" distR="114300" simplePos="0" relativeHeight="251649536" behindDoc="0" locked="0" layoutInCell="1" allowOverlap="1" wp14:anchorId="7ED88B7C" wp14:editId="546C15E6">
                <wp:simplePos x="0" y="0"/>
                <wp:positionH relativeFrom="column">
                  <wp:posOffset>-209550</wp:posOffset>
                </wp:positionH>
                <wp:positionV relativeFrom="paragraph">
                  <wp:posOffset>962025</wp:posOffset>
                </wp:positionV>
                <wp:extent cx="6089650" cy="4381500"/>
                <wp:effectExtent l="0" t="0" r="25400" b="19050"/>
                <wp:wrapNone/>
                <wp:docPr id="57" name="Rectangle: Diagonal Corners Rounded 57"/>
                <wp:cNvGraphicFramePr/>
                <a:graphic xmlns:a="http://schemas.openxmlformats.org/drawingml/2006/main">
                  <a:graphicData uri="http://schemas.microsoft.com/office/word/2010/wordprocessingShape">
                    <wps:wsp>
                      <wps:cNvSpPr/>
                      <wps:spPr>
                        <a:xfrm>
                          <a:off x="0" y="0"/>
                          <a:ext cx="6089650" cy="4381500"/>
                        </a:xfrm>
                        <a:prstGeom prst="round2DiagRect">
                          <a:avLst>
                            <a:gd name="adj1" fmla="val 6633"/>
                            <a:gd name="adj2" fmla="val 0"/>
                          </a:avLst>
                        </a:prstGeom>
                        <a:noFill/>
                        <a:ln w="25400" cap="flat" cmpd="sng" algn="ctr">
                          <a:solidFill>
                            <a:srgbClr val="F07E31"/>
                          </a:solidFill>
                          <a:prstDash val="solid"/>
                        </a:ln>
                        <a:effectLst/>
                      </wps:spPr>
                      <wps:txbx>
                        <w:txbxContent>
                          <w:p w:rsidR="008D2E0D" w:rsidRPr="002F0ABF" w:rsidRDefault="008D2E0D" w:rsidP="00E05D08">
                            <w:pPr>
                              <w:pStyle w:val="Normal12PTcouleurgris"/>
                              <w:rPr>
                                <w:b/>
                                <w:color w:val="F07E31"/>
                                <w:sz w:val="16"/>
                                <w:szCs w:val="16"/>
                              </w:rPr>
                            </w:pPr>
                            <w:r>
                              <w:rPr>
                                <w:noProof/>
                                <w:lang w:val="en-GB" w:eastAsia="en-GB" w:bidi="ar-SA"/>
                              </w:rPr>
                              <w:drawing>
                                <wp:inline distT="0" distB="0" distL="0" distR="0" wp14:anchorId="1DD31F2C" wp14:editId="475F9D39">
                                  <wp:extent cx="353060" cy="359410"/>
                                  <wp:effectExtent l="0" t="0" r="8890" b="2540"/>
                                  <wp:docPr id="72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6"/>
                              </w:rPr>
                              <w:t xml:space="preserve">Ejemplos del posible apoyo del </w:t>
                            </w:r>
                            <w:proofErr w:type="spellStart"/>
                            <w:r>
                              <w:rPr>
                                <w:b/>
                                <w:color w:val="F07E31"/>
                                <w:sz w:val="16"/>
                              </w:rPr>
                              <w:t>PDR</w:t>
                            </w:r>
                            <w:proofErr w:type="spellEnd"/>
                            <w:r>
                              <w:rPr>
                                <w:b/>
                                <w:color w:val="F07E31"/>
                                <w:sz w:val="16"/>
                              </w:rPr>
                              <w:t xml:space="preserve"> a la vía 2</w:t>
                            </w:r>
                          </w:p>
                          <w:p w:rsidR="008D2E0D" w:rsidRPr="002F0ABF" w:rsidRDefault="008D2E0D" w:rsidP="00E05D08">
                            <w:pPr>
                              <w:pStyle w:val="Normal12PTcouleurgris"/>
                              <w:rPr>
                                <w:sz w:val="16"/>
                                <w:szCs w:val="16"/>
                              </w:rPr>
                            </w:pPr>
                            <w:r>
                              <w:rPr>
                                <w:sz w:val="16"/>
                              </w:rPr>
                              <w:t xml:space="preserve">Las siguientes competencias y cualidades claves de los agentes de </w:t>
                            </w:r>
                            <w:proofErr w:type="spellStart"/>
                            <w:r>
                              <w:rPr>
                                <w:sz w:val="16"/>
                              </w:rPr>
                              <w:t>innovación</w:t>
                            </w:r>
                            <w:r w:rsidRPr="0051038D">
                              <w:rPr>
                                <w:sz w:val="16"/>
                                <w:vertAlign w:val="superscript"/>
                              </w:rPr>
                              <w:t>9</w:t>
                            </w:r>
                            <w:proofErr w:type="spellEnd"/>
                            <w:r>
                              <w:rPr>
                                <w:sz w:val="16"/>
                              </w:rPr>
                              <w:t xml:space="preserve"> pueden ser financiadas por el </w:t>
                            </w:r>
                            <w:proofErr w:type="spellStart"/>
                            <w:r>
                              <w:rPr>
                                <w:sz w:val="16"/>
                              </w:rPr>
                              <w:t>PDR</w:t>
                            </w:r>
                            <w:proofErr w:type="spellEnd"/>
                            <w:r>
                              <w:rPr>
                                <w:sz w:val="16"/>
                              </w:rPr>
                              <w:t xml:space="preserve"> e influir en las operaciones «capacidad para innovar»: </w:t>
                            </w:r>
                          </w:p>
                          <w:p w:rsidR="008D2E0D" w:rsidRPr="002F0ABF" w:rsidRDefault="008D2E0D" w:rsidP="00E05D08">
                            <w:pPr>
                              <w:pStyle w:val="Hlistbullet"/>
                              <w:rPr>
                                <w:sz w:val="16"/>
                                <w:szCs w:val="16"/>
                              </w:rPr>
                            </w:pPr>
                            <w:r>
                              <w:rPr>
                                <w:sz w:val="16"/>
                              </w:rPr>
                              <w:t>Las competencias y los conocimientos técnicos y específicos del ámbito requeridos para hacer que las nuevas ideas funcionen en la práctica, incluida la capacidad de identificar y elegir entre distintas opciones [por ejemplo, operaciones efectuadas en virtud de los artículos 14, 15 y 35 del Reglamento (UE) n.º 1305/2013].</w:t>
                            </w:r>
                          </w:p>
                          <w:p w:rsidR="008D2E0D" w:rsidRPr="002F0ABF" w:rsidRDefault="008D2E0D" w:rsidP="00E05D08">
                            <w:pPr>
                              <w:pStyle w:val="Hlistbullet"/>
                              <w:rPr>
                                <w:sz w:val="16"/>
                                <w:szCs w:val="16"/>
                              </w:rPr>
                            </w:pPr>
                            <w:r>
                              <w:rPr>
                                <w:sz w:val="16"/>
                              </w:rPr>
                              <w:t xml:space="preserve">Las competencias organizativas y genéricas requeridas para facilitar los procesos de innovación y </w:t>
                            </w:r>
                            <w:proofErr w:type="spellStart"/>
                            <w:r>
                              <w:rPr>
                                <w:sz w:val="16"/>
                              </w:rPr>
                              <w:t>mediar</w:t>
                            </w:r>
                            <w:r>
                              <w:rPr>
                                <w:sz w:val="16"/>
                                <w:vertAlign w:val="superscript"/>
                              </w:rPr>
                              <w:t>10</w:t>
                            </w:r>
                            <w:proofErr w:type="spellEnd"/>
                            <w:r>
                              <w:rPr>
                                <w:sz w:val="16"/>
                              </w:rPr>
                              <w:t xml:space="preserve"> en los mismos, incluida la capacidad para establecer vínculos y redes entre las partes interesadas, la capacidad de pasar por ciclos iterativos de visionado, planificación y aprendizaje reflexivo, y la capacidad para identificar las principales dinámicas y retos del sistema [por ejemplo, operaciones efectuadas en virtud del artículo 35 del Reglamento (UE) n.º 1305/2013].</w:t>
                            </w:r>
                          </w:p>
                          <w:p w:rsidR="008D2E0D" w:rsidRPr="002F0ABF" w:rsidRDefault="008D2E0D" w:rsidP="00E05D08">
                            <w:pPr>
                              <w:pStyle w:val="Hlistbullet"/>
                              <w:rPr>
                                <w:sz w:val="16"/>
                                <w:szCs w:val="16"/>
                              </w:rPr>
                            </w:pPr>
                            <w:r>
                              <w:rPr>
                                <w:sz w:val="16"/>
                              </w:rPr>
                              <w:t xml:space="preserve">La mejora de la capacidad para una acción colectiva </w:t>
                            </w:r>
                            <w:proofErr w:type="spellStart"/>
                            <w:r>
                              <w:rPr>
                                <w:sz w:val="16"/>
                              </w:rPr>
                              <w:t>eficaz</w:t>
                            </w:r>
                            <w:r>
                              <w:rPr>
                                <w:sz w:val="16"/>
                                <w:vertAlign w:val="superscript"/>
                              </w:rPr>
                              <w:t>11</w:t>
                            </w:r>
                            <w:proofErr w:type="spellEnd"/>
                            <w:r>
                              <w:rPr>
                                <w:sz w:val="16"/>
                              </w:rPr>
                              <w:t xml:space="preserve"> (por ejemplo, organizar actividades de demostración e información con un espíritu colaborativo con objeto de transferir experiencias y conocimientos entre los distintos agentes, o la cooperación entre agentes de la cadena de suministro para la entrega de biomasa para la producción de alimentos y energía, etc.) operaciones </w:t>
                            </w:r>
                            <w:proofErr w:type="spellStart"/>
                            <w:r>
                              <w:rPr>
                                <w:sz w:val="16"/>
                              </w:rPr>
                              <w:t>efectudas</w:t>
                            </w:r>
                            <w:proofErr w:type="spellEnd"/>
                            <w:r>
                              <w:rPr>
                                <w:sz w:val="16"/>
                              </w:rPr>
                              <w:t xml:space="preserve"> en virtud de los artículos 14, 15 y 35 del Reglamento (UE) n.º 1305/2013.</w:t>
                            </w:r>
                          </w:p>
                          <w:p w:rsidR="008D2E0D" w:rsidRPr="002F0ABF" w:rsidRDefault="008D2E0D" w:rsidP="00E05D08">
                            <w:pPr>
                              <w:pStyle w:val="Hlistbullet"/>
                              <w:rPr>
                                <w:sz w:val="16"/>
                                <w:szCs w:val="16"/>
                              </w:rPr>
                            </w:pPr>
                            <w:r>
                              <w:rPr>
                                <w:sz w:val="16"/>
                              </w:rPr>
                              <w:t xml:space="preserve">Las intervenciones del </w:t>
                            </w:r>
                            <w:proofErr w:type="spellStart"/>
                            <w:r>
                              <w:rPr>
                                <w:sz w:val="16"/>
                              </w:rPr>
                              <w:t>PDR</w:t>
                            </w:r>
                            <w:proofErr w:type="spellEnd"/>
                            <w:r>
                              <w:rPr>
                                <w:sz w:val="16"/>
                              </w:rPr>
                              <w:t xml:space="preserve"> pueden reforzar la capacidad de innovar al ofrecer oportunidades de transferencia de conocimientos (por ejemplo, servicios, formación y tutoría) operaciones efectuadas en virtud del artículo 15 del Reglamento (UE) n.º 1305/2013.</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88B7C" id="Rectangle: Diagonal Corners Rounded 57" o:spid="_x0000_s1033" style="position:absolute;left:0;text-align:left;margin-left:-16.5pt;margin-top:75.75pt;width:479.5pt;height:3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89650,438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" adj="-11796480,,5400" path="m290625,l6089650,r,l6089650,4090875v,160508,-130117,290625,-290625,290625l,4381500r,l,290625c,130117,130117,,290625,xe" filled="f" strokecolor="#f07e31" strokeweight="2pt">
                <v:stroke joinstyle="miter"/>
                <v:formulas/>
                <v:path arrowok="t" o:connecttype="custom" o:connectlocs="290625,0;6089650,0;6089650,0;6089650,4090875;5799025,4381500;0,4381500;0,4381500;0,290625;290625,0" o:connectangles="0,0,0,0,0,0,0,0,0" textboxrect="0,0,6089650,4381500"/>
                <v:textbox inset=",0,,0">
                  <w:txbxContent>
                    <w:p w:rsidR="008D2E0D" w:rsidRPr="002F0ABF" w:rsidRDefault="008D2E0D" w:rsidP="00E05D08">
                      <w:pPr>
                        <w:pStyle w:val="Normal12PTcouleurgris"/>
                        <w:rPr>
                          <w:b/>
                          <w:color w:val="F07E31"/>
                          <w:sz w:val="16"/>
                          <w:szCs w:val="16"/>
                        </w:rPr>
                      </w:pPr>
                      <w:r>
                        <w:rPr>
                          <w:noProof/>
                          <w:lang w:val="en-GB" w:eastAsia="en-GB" w:bidi="ar-SA"/>
                        </w:rPr>
                        <w:drawing>
                          <wp:inline distT="0" distB="0" distL="0" distR="0" wp14:anchorId="1DD31F2C" wp14:editId="475F9D39">
                            <wp:extent cx="353060" cy="359410"/>
                            <wp:effectExtent l="0" t="0" r="8890" b="2540"/>
                            <wp:docPr id="72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6"/>
                        </w:rPr>
                        <w:t xml:space="preserve">Ejemplos del posible apoyo del </w:t>
                      </w:r>
                      <w:proofErr w:type="spellStart"/>
                      <w:r>
                        <w:rPr>
                          <w:b/>
                          <w:color w:val="F07E31"/>
                          <w:sz w:val="16"/>
                        </w:rPr>
                        <w:t>PDR</w:t>
                      </w:r>
                      <w:proofErr w:type="spellEnd"/>
                      <w:r>
                        <w:rPr>
                          <w:b/>
                          <w:color w:val="F07E31"/>
                          <w:sz w:val="16"/>
                        </w:rPr>
                        <w:t xml:space="preserve"> a la vía 2</w:t>
                      </w:r>
                    </w:p>
                    <w:p w:rsidR="008D2E0D" w:rsidRPr="002F0ABF" w:rsidRDefault="008D2E0D" w:rsidP="00E05D08">
                      <w:pPr>
                        <w:pStyle w:val="Normal12PTcouleurgris"/>
                        <w:rPr>
                          <w:sz w:val="16"/>
                          <w:szCs w:val="16"/>
                        </w:rPr>
                      </w:pPr>
                      <w:r>
                        <w:rPr>
                          <w:sz w:val="16"/>
                        </w:rPr>
                        <w:t xml:space="preserve">Las siguientes competencias y cualidades claves de los agentes de </w:t>
                      </w:r>
                      <w:proofErr w:type="spellStart"/>
                      <w:r>
                        <w:rPr>
                          <w:sz w:val="16"/>
                        </w:rPr>
                        <w:t>innovación</w:t>
                      </w:r>
                      <w:r w:rsidRPr="0051038D">
                        <w:rPr>
                          <w:sz w:val="16"/>
                          <w:vertAlign w:val="superscript"/>
                        </w:rPr>
                        <w:t>9</w:t>
                      </w:r>
                      <w:proofErr w:type="spellEnd"/>
                      <w:r>
                        <w:rPr>
                          <w:sz w:val="16"/>
                        </w:rPr>
                        <w:t xml:space="preserve"> pueden ser financiadas por el </w:t>
                      </w:r>
                      <w:proofErr w:type="spellStart"/>
                      <w:r>
                        <w:rPr>
                          <w:sz w:val="16"/>
                        </w:rPr>
                        <w:t>PDR</w:t>
                      </w:r>
                      <w:proofErr w:type="spellEnd"/>
                      <w:r>
                        <w:rPr>
                          <w:sz w:val="16"/>
                        </w:rPr>
                        <w:t xml:space="preserve"> e influir en las operaciones «capacidad para innovar»: </w:t>
                      </w:r>
                    </w:p>
                    <w:p w:rsidR="008D2E0D" w:rsidRPr="002F0ABF" w:rsidRDefault="008D2E0D" w:rsidP="00E05D08">
                      <w:pPr>
                        <w:pStyle w:val="Hlistbullet"/>
                        <w:rPr>
                          <w:sz w:val="16"/>
                          <w:szCs w:val="16"/>
                        </w:rPr>
                      </w:pPr>
                      <w:r>
                        <w:rPr>
                          <w:sz w:val="16"/>
                        </w:rPr>
                        <w:t>Las competencias y los conocimientos técnicos y específicos del ámbito requeridos para hacer que las nuevas ideas funcionen en la práctica, incluida la capacidad de identificar y elegir entre distintas opciones [por ejemplo, operaciones efectuadas en virtud de los artículos 14, 15 y 35 del Reglamento (UE) n.º 1305/2013].</w:t>
                      </w:r>
                    </w:p>
                    <w:p w:rsidR="008D2E0D" w:rsidRPr="002F0ABF" w:rsidRDefault="008D2E0D" w:rsidP="00E05D08">
                      <w:pPr>
                        <w:pStyle w:val="Hlistbullet"/>
                        <w:rPr>
                          <w:sz w:val="16"/>
                          <w:szCs w:val="16"/>
                        </w:rPr>
                      </w:pPr>
                      <w:r>
                        <w:rPr>
                          <w:sz w:val="16"/>
                        </w:rPr>
                        <w:t xml:space="preserve">Las competencias organizativas y genéricas requeridas para facilitar los procesos de innovación y </w:t>
                      </w:r>
                      <w:proofErr w:type="spellStart"/>
                      <w:r>
                        <w:rPr>
                          <w:sz w:val="16"/>
                        </w:rPr>
                        <w:t>mediar</w:t>
                      </w:r>
                      <w:r>
                        <w:rPr>
                          <w:sz w:val="16"/>
                          <w:vertAlign w:val="superscript"/>
                        </w:rPr>
                        <w:t>10</w:t>
                      </w:r>
                      <w:proofErr w:type="spellEnd"/>
                      <w:r>
                        <w:rPr>
                          <w:sz w:val="16"/>
                        </w:rPr>
                        <w:t xml:space="preserve"> en los mismos, incluida la capacidad para establecer vínculos y redes entre las partes interesadas, la capacidad de pasar por ciclos iterativos de visionado, planificación y aprendizaje reflexivo, y la capacidad para identificar las principales dinámicas y retos del sistema [por ejemplo, operaciones efectuadas en virtud del artículo 35 del Reglamento (UE) n.º 1305/2013].</w:t>
                      </w:r>
                    </w:p>
                    <w:p w:rsidR="008D2E0D" w:rsidRPr="002F0ABF" w:rsidRDefault="008D2E0D" w:rsidP="00E05D08">
                      <w:pPr>
                        <w:pStyle w:val="Hlistbullet"/>
                        <w:rPr>
                          <w:sz w:val="16"/>
                          <w:szCs w:val="16"/>
                        </w:rPr>
                      </w:pPr>
                      <w:r>
                        <w:rPr>
                          <w:sz w:val="16"/>
                        </w:rPr>
                        <w:t xml:space="preserve">La mejora de la capacidad para una acción colectiva </w:t>
                      </w:r>
                      <w:proofErr w:type="spellStart"/>
                      <w:r>
                        <w:rPr>
                          <w:sz w:val="16"/>
                        </w:rPr>
                        <w:t>eficaz</w:t>
                      </w:r>
                      <w:r>
                        <w:rPr>
                          <w:sz w:val="16"/>
                          <w:vertAlign w:val="superscript"/>
                        </w:rPr>
                        <w:t>11</w:t>
                      </w:r>
                      <w:proofErr w:type="spellEnd"/>
                      <w:r>
                        <w:rPr>
                          <w:sz w:val="16"/>
                        </w:rPr>
                        <w:t xml:space="preserve"> (por ejemplo, organizar actividades de demostración e información con un espíritu colaborativo con objeto de transferir experiencias y conocimientos entre los distintos agentes, o la cooperación entre agentes de la cadena de suministro para la entrega de biomasa para la producción de alimentos y energía, etc.) operaciones </w:t>
                      </w:r>
                      <w:proofErr w:type="spellStart"/>
                      <w:r>
                        <w:rPr>
                          <w:sz w:val="16"/>
                        </w:rPr>
                        <w:t>efectudas</w:t>
                      </w:r>
                      <w:proofErr w:type="spellEnd"/>
                      <w:r>
                        <w:rPr>
                          <w:sz w:val="16"/>
                        </w:rPr>
                        <w:t xml:space="preserve"> en virtud de los artículos 14, 15 y 35 del Reglamento (UE) n.º 1305/2013.</w:t>
                      </w:r>
                    </w:p>
                    <w:p w:rsidR="008D2E0D" w:rsidRPr="002F0ABF" w:rsidRDefault="008D2E0D" w:rsidP="00E05D08">
                      <w:pPr>
                        <w:pStyle w:val="Hlistbullet"/>
                        <w:rPr>
                          <w:sz w:val="16"/>
                          <w:szCs w:val="16"/>
                        </w:rPr>
                      </w:pPr>
                      <w:r>
                        <w:rPr>
                          <w:sz w:val="16"/>
                        </w:rPr>
                        <w:t xml:space="preserve">Las intervenciones del </w:t>
                      </w:r>
                      <w:proofErr w:type="spellStart"/>
                      <w:r>
                        <w:rPr>
                          <w:sz w:val="16"/>
                        </w:rPr>
                        <w:t>PDR</w:t>
                      </w:r>
                      <w:proofErr w:type="spellEnd"/>
                      <w:r>
                        <w:rPr>
                          <w:sz w:val="16"/>
                        </w:rPr>
                        <w:t xml:space="preserve"> pueden reforzar la capacidad de innovar al ofrecer oportunidades de transferencia de conocimientos (por ejemplo, servicios, formación y tutoría) operaciones efectuadas en virtud del artículo 15 del Reglamento (UE) n.º 1305/2013.</w:t>
                      </w:r>
                    </w:p>
                  </w:txbxContent>
                </v:textbox>
              </v:shape>
            </w:pict>
          </mc:Fallback>
        </mc:AlternateContent>
      </w:r>
      <w:r w:rsidRPr="009E6414">
        <w:rPr>
          <w:noProof/>
          <w:lang w:val="es-ES_tradnl"/>
        </w:rPr>
        <w:t>sostenible</w:t>
      </w:r>
      <w:r w:rsidRPr="009E6414">
        <w:rPr>
          <w:noProof/>
          <w:vertAlign w:val="superscript"/>
          <w:lang w:val="es-ES_tradnl"/>
        </w:rPr>
        <w:footnoteReference w:id="8"/>
      </w:r>
      <w:r w:rsidRPr="009E6414">
        <w:rPr>
          <w:rStyle w:val="FootnoteReference"/>
          <w:noProof/>
          <w:color w:val="FFFFFF" w:themeColor="background1"/>
          <w:lang w:val="es-ES_tradnl"/>
        </w:rPr>
        <w:footnoteReference w:id="9"/>
      </w:r>
      <w:r w:rsidRPr="009E6414">
        <w:rPr>
          <w:rStyle w:val="FootnoteReference"/>
          <w:noProof/>
          <w:color w:val="FFFFFF" w:themeColor="background1"/>
          <w:lang w:val="es-ES_tradnl"/>
        </w:rPr>
        <w:footnoteReference w:id="10"/>
      </w:r>
      <w:r w:rsidRPr="009E6414">
        <w:rPr>
          <w:rStyle w:val="FootnoteReference"/>
          <w:noProof/>
          <w:color w:val="FFFFFF" w:themeColor="background1"/>
          <w:lang w:val="es-ES_tradnl"/>
        </w:rPr>
        <w:footnoteReference w:id="11"/>
      </w:r>
      <w:r w:rsidRPr="009E6414">
        <w:rPr>
          <w:noProof/>
          <w:lang w:val="es-ES_tradnl"/>
        </w:rPr>
        <w:t xml:space="preserve">. </w:t>
      </w:r>
    </w:p>
    <w:p w:rsidR="00A45935" w:rsidRPr="009E6414" w:rsidRDefault="00F74459" w:rsidP="002F0ABF">
      <w:pPr>
        <w:spacing w:after="120" w:line="280" w:lineRule="atLeast"/>
        <w:mirrorIndents/>
        <w:rPr>
          <w:rFonts w:eastAsia="Times New Roman" w:cs="Times New Roman"/>
          <w:noProof/>
          <w:szCs w:val="20"/>
          <w:lang w:val="es-ES_tradnl"/>
        </w:rPr>
      </w:pPr>
      <w:r w:rsidRPr="009E6414">
        <w:rPr>
          <w:noProof/>
          <w:lang w:val="es-ES_tradnl"/>
        </w:rPr>
        <w:br w:type="column"/>
      </w:r>
      <w:r w:rsidR="001C546D" w:rsidRPr="009E6414">
        <w:rPr>
          <w:noProof/>
          <w:lang w:val="en-GB" w:eastAsia="en-GB" w:bidi="ar-SA"/>
        </w:rPr>
        <w:lastRenderedPageBreak/>
        <mc:AlternateContent>
          <mc:Choice Requires="wps">
            <w:drawing>
              <wp:anchor distT="0" distB="0" distL="114300" distR="114300" simplePos="0" relativeHeight="251653632" behindDoc="0" locked="0" layoutInCell="1" allowOverlap="1" wp14:anchorId="6B2E715A" wp14:editId="6FBF85A0">
                <wp:simplePos x="0" y="0"/>
                <wp:positionH relativeFrom="column">
                  <wp:posOffset>2781300</wp:posOffset>
                </wp:positionH>
                <wp:positionV relativeFrom="paragraph">
                  <wp:posOffset>66675</wp:posOffset>
                </wp:positionV>
                <wp:extent cx="2968625" cy="7867650"/>
                <wp:effectExtent l="0" t="0" r="22225" b="19050"/>
                <wp:wrapSquare wrapText="bothSides"/>
                <wp:docPr id="59" name="Rectangle: Diagonal Corners Rounded 59"/>
                <wp:cNvGraphicFramePr/>
                <a:graphic xmlns:a="http://schemas.openxmlformats.org/drawingml/2006/main">
                  <a:graphicData uri="http://schemas.microsoft.com/office/word/2010/wordprocessingShape">
                    <wps:wsp>
                      <wps:cNvSpPr/>
                      <wps:spPr>
                        <a:xfrm>
                          <a:off x="0" y="0"/>
                          <a:ext cx="2968625" cy="7867650"/>
                        </a:xfrm>
                        <a:prstGeom prst="round2DiagRect">
                          <a:avLst>
                            <a:gd name="adj1" fmla="val 5907"/>
                            <a:gd name="adj2" fmla="val 0"/>
                          </a:avLst>
                        </a:prstGeom>
                        <a:noFill/>
                        <a:ln w="25400" cap="flat" cmpd="sng" algn="ctr">
                          <a:solidFill>
                            <a:srgbClr val="F07E31"/>
                          </a:solidFill>
                          <a:prstDash val="solid"/>
                        </a:ln>
                        <a:effectLst/>
                      </wps:spPr>
                      <wps:txbx>
                        <w:txbxContent>
                          <w:p w:rsidR="008D2E0D" w:rsidRPr="00E05D08" w:rsidRDefault="008D2E0D" w:rsidP="004508D0">
                            <w:pPr>
                              <w:pStyle w:val="Normal12PTcouleurgris"/>
                              <w:rPr>
                                <w:b/>
                                <w:color w:val="F07E31"/>
                              </w:rPr>
                            </w:pPr>
                            <w:r>
                              <w:rPr>
                                <w:noProof/>
                                <w:lang w:val="en-GB" w:eastAsia="en-GB" w:bidi="ar-SA"/>
                              </w:rPr>
                              <w:drawing>
                                <wp:inline distT="0" distB="0" distL="0" distR="0" wp14:anchorId="31FBA368" wp14:editId="1DB88967">
                                  <wp:extent cx="353060" cy="359410"/>
                                  <wp:effectExtent l="0" t="0" r="8890" b="2540"/>
                                  <wp:docPr id="72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 xml:space="preserve">Ejemplos del posible apoyo del </w:t>
                            </w:r>
                            <w:proofErr w:type="spellStart"/>
                            <w:r>
                              <w:rPr>
                                <w:b/>
                                <w:color w:val="F07E31"/>
                              </w:rPr>
                              <w:t>PDR</w:t>
                            </w:r>
                            <w:proofErr w:type="spellEnd"/>
                            <w:r>
                              <w:rPr>
                                <w:b/>
                                <w:color w:val="F07E31"/>
                              </w:rPr>
                              <w:t xml:space="preserve"> a la vía 3</w:t>
                            </w:r>
                          </w:p>
                          <w:p w:rsidR="008D2E0D" w:rsidRPr="002B58E1" w:rsidRDefault="008D2E0D" w:rsidP="004508D0">
                            <w:pPr>
                              <w:pStyle w:val="Hlistbullet"/>
                              <w:rPr>
                                <w:sz w:val="18"/>
                                <w:szCs w:val="18"/>
                              </w:rPr>
                            </w:pPr>
                            <w:r>
                              <w:rPr>
                                <w:sz w:val="18"/>
                              </w:rPr>
                              <w:t xml:space="preserve">Un </w:t>
                            </w:r>
                            <w:proofErr w:type="spellStart"/>
                            <w:r>
                              <w:rPr>
                                <w:sz w:val="18"/>
                              </w:rPr>
                              <w:t>PDR</w:t>
                            </w:r>
                            <w:proofErr w:type="spellEnd"/>
                            <w:r>
                              <w:rPr>
                                <w:sz w:val="18"/>
                              </w:rPr>
                              <w:t xml:space="preserve"> que priorice acciones de información y formación [artículo 14 del Reglamento (UE) n.º 1305/2013] y servicios de asesoramiento [artículo 15 del Reglamento (UE) n.º 1305/2013] basado en las prácticas innovadoras desarrolladas en sus </w:t>
                            </w:r>
                            <w:proofErr w:type="spellStart"/>
                            <w:r>
                              <w:rPr>
                                <w:sz w:val="18"/>
                              </w:rPr>
                              <w:t>GO</w:t>
                            </w:r>
                            <w:proofErr w:type="spellEnd"/>
                            <w:r>
                              <w:rPr>
                                <w:sz w:val="18"/>
                              </w:rPr>
                              <w:t xml:space="preserve"> [artículo 35 del Reglamento (UE) n.º 1305/2013] o en las prácticas innovadoras desarrolladas por los </w:t>
                            </w:r>
                            <w:proofErr w:type="spellStart"/>
                            <w:r>
                              <w:rPr>
                                <w:sz w:val="18"/>
                              </w:rPr>
                              <w:t>GO</w:t>
                            </w:r>
                            <w:proofErr w:type="spellEnd"/>
                            <w:r>
                              <w:rPr>
                                <w:sz w:val="18"/>
                              </w:rPr>
                              <w:t xml:space="preserve"> en otras regiones o países (actividades de la </w:t>
                            </w:r>
                            <w:proofErr w:type="spellStart"/>
                            <w:r>
                              <w:rPr>
                                <w:sz w:val="18"/>
                              </w:rPr>
                              <w:t>RRN</w:t>
                            </w:r>
                            <w:proofErr w:type="spellEnd"/>
                            <w:r>
                              <w:rPr>
                                <w:sz w:val="18"/>
                              </w:rPr>
                              <w:t xml:space="preserve">, asistencia técnica). </w:t>
                            </w:r>
                          </w:p>
                          <w:p w:rsidR="008D2E0D" w:rsidRPr="002B58E1" w:rsidRDefault="008D2E0D" w:rsidP="004508D0">
                            <w:pPr>
                              <w:pStyle w:val="Hlistbullet"/>
                              <w:rPr>
                                <w:sz w:val="18"/>
                                <w:szCs w:val="18"/>
                              </w:rPr>
                            </w:pPr>
                            <w:r>
                              <w:rPr>
                                <w:sz w:val="18"/>
                              </w:rPr>
                              <w:t xml:space="preserve">Un </w:t>
                            </w:r>
                            <w:proofErr w:type="spellStart"/>
                            <w:r>
                              <w:rPr>
                                <w:sz w:val="18"/>
                              </w:rPr>
                              <w:t>PDR</w:t>
                            </w:r>
                            <w:proofErr w:type="spellEnd"/>
                            <w:r>
                              <w:rPr>
                                <w:sz w:val="18"/>
                              </w:rPr>
                              <w:t xml:space="preserve"> que mejore el acceso a Internet en las zonas rurales ayudará a las empresas y agricultores locales a acceder a la información y a los mercados, aumentando de este modo su capacidad y motivación para innovar [por ejemplo, operaciones efectuadas en virtud del artículo 20 del Reglamento (UE) n.º 1305/2013].</w:t>
                            </w:r>
                          </w:p>
                          <w:p w:rsidR="008D2E0D" w:rsidRPr="002B58E1" w:rsidRDefault="008D2E0D" w:rsidP="004508D0">
                            <w:pPr>
                              <w:pStyle w:val="Hlistbullet"/>
                              <w:rPr>
                                <w:b/>
                                <w:sz w:val="18"/>
                                <w:szCs w:val="18"/>
                              </w:rPr>
                            </w:pPr>
                            <w:r>
                              <w:rPr>
                                <w:sz w:val="18"/>
                              </w:rPr>
                              <w:t xml:space="preserve">Un </w:t>
                            </w:r>
                            <w:proofErr w:type="spellStart"/>
                            <w:r>
                              <w:rPr>
                                <w:sz w:val="18"/>
                              </w:rPr>
                              <w:t>PDR</w:t>
                            </w:r>
                            <w:proofErr w:type="spellEnd"/>
                            <w:r>
                              <w:rPr>
                                <w:sz w:val="18"/>
                              </w:rPr>
                              <w:t xml:space="preserve"> que ponga a punto un equipamiento de labranza innovador para incorporar los residuos de cultivos de un </w:t>
                            </w:r>
                            <w:proofErr w:type="spellStart"/>
                            <w:r>
                              <w:rPr>
                                <w:sz w:val="18"/>
                              </w:rPr>
                              <w:t>GO</w:t>
                            </w:r>
                            <w:proofErr w:type="spellEnd"/>
                            <w:r>
                              <w:rPr>
                                <w:sz w:val="18"/>
                              </w:rPr>
                              <w:t xml:space="preserve"> puede incentivar las inversiones innovadoras y una observancia más rigurosa de la legislación para prohibir la quema de residuos de cultivos [por ejemplo, operaciones efectuadas en virtud del artículo 17 del Reglamento (UE) n.º 1305/2013].</w:t>
                            </w:r>
                          </w:p>
                          <w:p w:rsidR="008D2E0D" w:rsidRPr="002B58E1" w:rsidRDefault="008D2E0D" w:rsidP="004508D0">
                            <w:pPr>
                              <w:pStyle w:val="Hlistbullet"/>
                              <w:rPr>
                                <w:sz w:val="18"/>
                                <w:szCs w:val="18"/>
                              </w:rPr>
                            </w:pPr>
                            <w:r>
                              <w:rPr>
                                <w:sz w:val="18"/>
                              </w:rPr>
                              <w:t xml:space="preserve">Una medida del </w:t>
                            </w:r>
                            <w:proofErr w:type="spellStart"/>
                            <w:r>
                              <w:rPr>
                                <w:sz w:val="18"/>
                              </w:rPr>
                              <w:t>PDR</w:t>
                            </w:r>
                            <w:proofErr w:type="spellEnd"/>
                            <w:r>
                              <w:rPr>
                                <w:sz w:val="18"/>
                              </w:rPr>
                              <w:t xml:space="preserve"> que apoye la creación de cadenas cortas de suministro de alimentos o de cooperativas de productores puede aumentar los vínculos y la cooperación entre consumidores y productores para crear un sistema alimentario más </w:t>
                            </w:r>
                            <w:proofErr w:type="spellStart"/>
                            <w:r>
                              <w:rPr>
                                <w:sz w:val="18"/>
                              </w:rPr>
                              <w:t>innovador</w:t>
                            </w:r>
                            <w:r>
                              <w:rPr>
                                <w:sz w:val="18"/>
                                <w:vertAlign w:val="superscript"/>
                              </w:rPr>
                              <w:t>13</w:t>
                            </w:r>
                            <w:proofErr w:type="spellEnd"/>
                            <w:r>
                              <w:rPr>
                                <w:sz w:val="18"/>
                              </w:rPr>
                              <w:t xml:space="preserve"> [por ejemplo, operaciones efectuadas en virtud de los artículos 16, 17 y 35 del Reglamento (UE) n.º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E715A" id="Rectangle: Diagonal Corners Rounded 59" o:spid="_x0000_s1034" style="position:absolute;left:0;text-align:left;margin-left:219pt;margin-top:5.25pt;width:233.75pt;height:61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8625,7867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" adj="-11796480,,5400" path="m175357,l2968625,r,l2968625,7692293v,96847,-78510,175357,-175357,175357l,7867650r,l,175357c,78510,78510,,175357,xe" filled="f" strokecolor="#f07e31" strokeweight="2pt">
                <v:stroke joinstyle="miter"/>
                <v:formulas/>
                <v:path arrowok="t" o:connecttype="custom" o:connectlocs="175357,0;2968625,0;2968625,0;2968625,7692293;2793268,7867650;0,7867650;0,7867650;0,175357;175357,0" o:connectangles="0,0,0,0,0,0,0,0,0" textboxrect="0,0,2968625,7867650"/>
                <v:textbox>
                  <w:txbxContent>
                    <w:p w:rsidR="008D2E0D" w:rsidRPr="00E05D08" w:rsidRDefault="008D2E0D" w:rsidP="004508D0">
                      <w:pPr>
                        <w:pStyle w:val="Normal12PTcouleurgris"/>
                        <w:rPr>
                          <w:b/>
                          <w:color w:val="F07E31"/>
                        </w:rPr>
                      </w:pPr>
                      <w:r>
                        <w:rPr>
                          <w:noProof/>
                          <w:lang w:val="en-GB" w:eastAsia="en-GB" w:bidi="ar-SA"/>
                        </w:rPr>
                        <w:drawing>
                          <wp:inline distT="0" distB="0" distL="0" distR="0" wp14:anchorId="31FBA368" wp14:editId="1DB88967">
                            <wp:extent cx="353060" cy="359410"/>
                            <wp:effectExtent l="0" t="0" r="8890" b="2540"/>
                            <wp:docPr id="72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 xml:space="preserve">Ejemplos del posible apoyo del </w:t>
                      </w:r>
                      <w:proofErr w:type="spellStart"/>
                      <w:r>
                        <w:rPr>
                          <w:b/>
                          <w:color w:val="F07E31"/>
                        </w:rPr>
                        <w:t>PDR</w:t>
                      </w:r>
                      <w:proofErr w:type="spellEnd"/>
                      <w:r>
                        <w:rPr>
                          <w:b/>
                          <w:color w:val="F07E31"/>
                        </w:rPr>
                        <w:t xml:space="preserve"> a la vía 3</w:t>
                      </w:r>
                    </w:p>
                    <w:p w:rsidR="008D2E0D" w:rsidRPr="002B58E1" w:rsidRDefault="008D2E0D" w:rsidP="004508D0">
                      <w:pPr>
                        <w:pStyle w:val="Hlistbullet"/>
                        <w:rPr>
                          <w:sz w:val="18"/>
                          <w:szCs w:val="18"/>
                        </w:rPr>
                      </w:pPr>
                      <w:r>
                        <w:rPr>
                          <w:sz w:val="18"/>
                        </w:rPr>
                        <w:t xml:space="preserve">Un </w:t>
                      </w:r>
                      <w:proofErr w:type="spellStart"/>
                      <w:r>
                        <w:rPr>
                          <w:sz w:val="18"/>
                        </w:rPr>
                        <w:t>PDR</w:t>
                      </w:r>
                      <w:proofErr w:type="spellEnd"/>
                      <w:r>
                        <w:rPr>
                          <w:sz w:val="18"/>
                        </w:rPr>
                        <w:t xml:space="preserve"> que priorice acciones de información y formación [artículo 14 del Reglamento (UE) n.º 1305/2013] y servicios de asesoramiento [artículo 15 del Reglamento (UE) n.º 1305/2013] basado en las prácticas innovadoras desarrolladas en sus </w:t>
                      </w:r>
                      <w:proofErr w:type="spellStart"/>
                      <w:r>
                        <w:rPr>
                          <w:sz w:val="18"/>
                        </w:rPr>
                        <w:t>GO</w:t>
                      </w:r>
                      <w:proofErr w:type="spellEnd"/>
                      <w:r>
                        <w:rPr>
                          <w:sz w:val="18"/>
                        </w:rPr>
                        <w:t xml:space="preserve"> [artículo 35 del Reglamento (UE) n.º 1305/2013] o en las prácticas innovadoras desarrolladas por los </w:t>
                      </w:r>
                      <w:proofErr w:type="spellStart"/>
                      <w:r>
                        <w:rPr>
                          <w:sz w:val="18"/>
                        </w:rPr>
                        <w:t>GO</w:t>
                      </w:r>
                      <w:proofErr w:type="spellEnd"/>
                      <w:r>
                        <w:rPr>
                          <w:sz w:val="18"/>
                        </w:rPr>
                        <w:t xml:space="preserve"> en otras regiones o países (actividades de la </w:t>
                      </w:r>
                      <w:proofErr w:type="spellStart"/>
                      <w:r>
                        <w:rPr>
                          <w:sz w:val="18"/>
                        </w:rPr>
                        <w:t>RRN</w:t>
                      </w:r>
                      <w:proofErr w:type="spellEnd"/>
                      <w:r>
                        <w:rPr>
                          <w:sz w:val="18"/>
                        </w:rPr>
                        <w:t xml:space="preserve">, asistencia técnica). </w:t>
                      </w:r>
                    </w:p>
                    <w:p w:rsidR="008D2E0D" w:rsidRPr="002B58E1" w:rsidRDefault="008D2E0D" w:rsidP="004508D0">
                      <w:pPr>
                        <w:pStyle w:val="Hlistbullet"/>
                        <w:rPr>
                          <w:sz w:val="18"/>
                          <w:szCs w:val="18"/>
                        </w:rPr>
                      </w:pPr>
                      <w:r>
                        <w:rPr>
                          <w:sz w:val="18"/>
                        </w:rPr>
                        <w:t xml:space="preserve">Un </w:t>
                      </w:r>
                      <w:proofErr w:type="spellStart"/>
                      <w:r>
                        <w:rPr>
                          <w:sz w:val="18"/>
                        </w:rPr>
                        <w:t>PDR</w:t>
                      </w:r>
                      <w:proofErr w:type="spellEnd"/>
                      <w:r>
                        <w:rPr>
                          <w:sz w:val="18"/>
                        </w:rPr>
                        <w:t xml:space="preserve"> que mejore el acceso a Internet en las zonas rurales ayudará a las empresas y agricultores locales a acceder a la información y a los mercados, aumentando de este modo su capacidad y motivación para innovar [por ejemplo, operaciones efectuadas en virtud del artículo 20 del Reglamento (UE) n.º 1305/2013].</w:t>
                      </w:r>
                    </w:p>
                    <w:p w:rsidR="008D2E0D" w:rsidRPr="002B58E1" w:rsidRDefault="008D2E0D" w:rsidP="004508D0">
                      <w:pPr>
                        <w:pStyle w:val="Hlistbullet"/>
                        <w:rPr>
                          <w:b/>
                          <w:sz w:val="18"/>
                          <w:szCs w:val="18"/>
                        </w:rPr>
                      </w:pPr>
                      <w:r>
                        <w:rPr>
                          <w:sz w:val="18"/>
                        </w:rPr>
                        <w:t xml:space="preserve">Un </w:t>
                      </w:r>
                      <w:proofErr w:type="spellStart"/>
                      <w:r>
                        <w:rPr>
                          <w:sz w:val="18"/>
                        </w:rPr>
                        <w:t>PDR</w:t>
                      </w:r>
                      <w:proofErr w:type="spellEnd"/>
                      <w:r>
                        <w:rPr>
                          <w:sz w:val="18"/>
                        </w:rPr>
                        <w:t xml:space="preserve"> que ponga a punto un equipamiento de labranza innovador para incorporar los residuos de cultivos de un </w:t>
                      </w:r>
                      <w:proofErr w:type="spellStart"/>
                      <w:r>
                        <w:rPr>
                          <w:sz w:val="18"/>
                        </w:rPr>
                        <w:t>GO</w:t>
                      </w:r>
                      <w:proofErr w:type="spellEnd"/>
                      <w:r>
                        <w:rPr>
                          <w:sz w:val="18"/>
                        </w:rPr>
                        <w:t xml:space="preserve"> puede incentivar las inversiones innovadoras y una observancia más rigurosa de la legislación para prohibir la quema de residuos de cultivos [por ejemplo, operaciones efectuadas en virtud del artículo 17 del Reglamento (UE) n.º 1305/2013].</w:t>
                      </w:r>
                    </w:p>
                    <w:p w:rsidR="008D2E0D" w:rsidRPr="002B58E1" w:rsidRDefault="008D2E0D" w:rsidP="004508D0">
                      <w:pPr>
                        <w:pStyle w:val="Hlistbullet"/>
                        <w:rPr>
                          <w:sz w:val="18"/>
                          <w:szCs w:val="18"/>
                        </w:rPr>
                      </w:pPr>
                      <w:r>
                        <w:rPr>
                          <w:sz w:val="18"/>
                        </w:rPr>
                        <w:t xml:space="preserve">Una medida del </w:t>
                      </w:r>
                      <w:proofErr w:type="spellStart"/>
                      <w:r>
                        <w:rPr>
                          <w:sz w:val="18"/>
                        </w:rPr>
                        <w:t>PDR</w:t>
                      </w:r>
                      <w:proofErr w:type="spellEnd"/>
                      <w:r>
                        <w:rPr>
                          <w:sz w:val="18"/>
                        </w:rPr>
                        <w:t xml:space="preserve"> que apoye la creación de cadenas cortas de suministro de alimentos o de cooperativas de productores puede aumentar los vínculos y la cooperación entre consumidores y productores para crear un sistema alimentario más </w:t>
                      </w:r>
                      <w:proofErr w:type="spellStart"/>
                      <w:r>
                        <w:rPr>
                          <w:sz w:val="18"/>
                        </w:rPr>
                        <w:t>innovador</w:t>
                      </w:r>
                      <w:r>
                        <w:rPr>
                          <w:sz w:val="18"/>
                          <w:vertAlign w:val="superscript"/>
                        </w:rPr>
                        <w:t>13</w:t>
                      </w:r>
                      <w:proofErr w:type="spellEnd"/>
                      <w:r>
                        <w:rPr>
                          <w:sz w:val="18"/>
                        </w:rPr>
                        <w:t xml:space="preserve"> [por ejemplo, operaciones efectuadas en virtud de los artículos 16, 17 y 35 del Reglamento (UE) n.º 1305/2013].</w:t>
                      </w:r>
                    </w:p>
                  </w:txbxContent>
                </v:textbox>
                <w10:wrap type="square"/>
              </v:shape>
            </w:pict>
          </mc:Fallback>
        </mc:AlternateContent>
      </w:r>
      <w:r w:rsidRPr="009E6414">
        <w:rPr>
          <w:b/>
          <w:noProof/>
          <w:color w:val="F07E31"/>
          <w:lang w:val="es-ES_tradnl"/>
        </w:rPr>
        <w:t>La tercera vía</w:t>
      </w:r>
      <w:r w:rsidRPr="009E6414">
        <w:rPr>
          <w:noProof/>
          <w:lang w:val="es-ES_tradnl"/>
        </w:rPr>
        <w:t xml:space="preserve"> tiene que ver con el cambio de las condiciones de configuración y del entorno que influye en los sistemas de innovación. Esto incluye la mejora de varias condiciones favorables</w:t>
      </w:r>
      <w:r w:rsidRPr="009E6414">
        <w:rPr>
          <w:noProof/>
          <w:vertAlign w:val="superscript"/>
          <w:lang w:val="es-ES_tradnl"/>
        </w:rPr>
        <w:footnoteReference w:id="12"/>
      </w:r>
      <w:r w:rsidRPr="009E6414">
        <w:rPr>
          <w:noProof/>
          <w:lang w:val="es-ES_tradnl"/>
        </w:rPr>
        <w:t>, tales como:</w:t>
      </w:r>
    </w:p>
    <w:p w:rsidR="00A45935" w:rsidRPr="009E6414" w:rsidRDefault="00A45935" w:rsidP="00230C31">
      <w:pPr>
        <w:pStyle w:val="Hlistbullet"/>
        <w:rPr>
          <w:noProof/>
          <w:lang w:val="es-ES_tradnl"/>
        </w:rPr>
      </w:pPr>
      <w:r w:rsidRPr="009E6414">
        <w:rPr>
          <w:noProof/>
          <w:lang w:val="es-ES_tradnl"/>
        </w:rPr>
        <w:t xml:space="preserve">institucional (por ejemplo, provisión de mandatos, normas, entorno político/legislativo que respalden las innovaciones), </w:t>
      </w:r>
    </w:p>
    <w:p w:rsidR="00A45935" w:rsidRPr="009E6414" w:rsidRDefault="00A45935" w:rsidP="00230C31">
      <w:pPr>
        <w:pStyle w:val="Hlistbullet"/>
        <w:rPr>
          <w:noProof/>
          <w:lang w:val="es-ES_tradnl"/>
        </w:rPr>
      </w:pPr>
      <w:r w:rsidRPr="009E6414">
        <w:rPr>
          <w:noProof/>
          <w:lang w:val="es-ES_tradnl"/>
        </w:rPr>
        <w:t xml:space="preserve">procedimental (por ejemplo, fuentes de fondos flexibles para satisfacer las necesidades de las partes interesadas en materia de innovaciones), </w:t>
      </w:r>
    </w:p>
    <w:p w:rsidR="00A45935" w:rsidRPr="009E6414" w:rsidRDefault="00A45935" w:rsidP="00230C31">
      <w:pPr>
        <w:pStyle w:val="Hlistbullet"/>
        <w:rPr>
          <w:noProof/>
          <w:lang w:val="es-ES_tradnl"/>
        </w:rPr>
      </w:pPr>
      <w:r w:rsidRPr="009E6414">
        <w:rPr>
          <w:noProof/>
          <w:lang w:val="es-ES_tradnl"/>
        </w:rPr>
        <w:t xml:space="preserve">profesional (por ejemplo, acceso a formaciones que proporcionen capacidades y conocimientos necesarios y medios para fomentar las innovaciones), </w:t>
      </w:r>
    </w:p>
    <w:p w:rsidR="00A45935" w:rsidRPr="009E6414" w:rsidRDefault="00A45935" w:rsidP="00230C31">
      <w:pPr>
        <w:pStyle w:val="Hlistbullet"/>
        <w:rPr>
          <w:noProof/>
          <w:lang w:val="es-ES_tradnl"/>
        </w:rPr>
      </w:pPr>
      <w:r w:rsidRPr="009E6414">
        <w:rPr>
          <w:noProof/>
          <w:lang w:val="es-ES_tradnl"/>
        </w:rPr>
        <w:t xml:space="preserve">organizativa (por ejemplo, posibilidad de interactuar con otros socios dispuestos a buscar soluciones innovadoras), </w:t>
      </w:r>
    </w:p>
    <w:p w:rsidR="00A45935" w:rsidRPr="009E6414" w:rsidRDefault="00A45935" w:rsidP="00230C31">
      <w:pPr>
        <w:pStyle w:val="Hlistbullet"/>
        <w:rPr>
          <w:noProof/>
          <w:lang w:val="es-ES_tradnl"/>
        </w:rPr>
      </w:pPr>
      <w:r w:rsidRPr="009E6414">
        <w:rPr>
          <w:noProof/>
          <w:lang w:val="es-ES_tradnl"/>
        </w:rPr>
        <w:t xml:space="preserve">operativa (por ejemplo, posibilitar la innovación transnacional o intersectorial), </w:t>
      </w:r>
    </w:p>
    <w:p w:rsidR="00A45935" w:rsidRPr="009E6414" w:rsidRDefault="00A45935" w:rsidP="00230C31">
      <w:pPr>
        <w:pStyle w:val="Hlistbullet"/>
        <w:rPr>
          <w:noProof/>
          <w:lang w:val="es-ES_tradnl"/>
        </w:rPr>
      </w:pPr>
      <w:r w:rsidRPr="009E6414">
        <w:rPr>
          <w:noProof/>
          <w:lang w:val="es-ES_tradnl"/>
        </w:rPr>
        <w:t xml:space="preserve">técnica (por ejemplo, respaldo de nuevas técnicas y tecnologías aplicables en sectores económicos rurales y en infraestructura rural).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El PDR puede apoyar la tercera vía combinando diferentes medidas/submedidas (por ejemplo, medidas de inversión que ofrecen el entorno favorable para cualquier tipo de innovación técnica y tecnológica, medidas de calidad y comercialización que apoyan las condiciones institucionales y procedimentales, medidas de transferencia de conocimientos y de asesoramiento que ofrecen un entorno profesional favorable)</w:t>
      </w:r>
      <w:r w:rsidRPr="009E6414">
        <w:rPr>
          <w:rStyle w:val="FootnoteReference"/>
          <w:noProof/>
          <w:color w:val="FFFFFF" w:themeColor="background1"/>
          <w:lang w:val="es-ES_tradnl"/>
        </w:rPr>
        <w:footnoteReference w:id="13"/>
      </w:r>
      <w:r w:rsidRPr="009E6414">
        <w:rPr>
          <w:noProof/>
          <w:lang w:val="es-ES_tradnl"/>
        </w:rPr>
        <w:t xml:space="preserve">.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 xml:space="preserve">En la </w:t>
      </w:r>
      <w:hyperlink w:anchor="Pathways" w:history="1">
        <w:r w:rsidRPr="009E6414">
          <w:rPr>
            <w:rStyle w:val="Hyperlink"/>
            <w:noProof/>
            <w:sz w:val="20"/>
            <w:lang w:val="es-ES_tradnl"/>
          </w:rPr>
          <w:t>figura 1</w:t>
        </w:r>
      </w:hyperlink>
      <w:r w:rsidRPr="009E6414">
        <w:rPr>
          <w:noProof/>
          <w:lang w:val="es-ES_tradnl"/>
        </w:rPr>
        <w:t xml:space="preserve"> puede verse con más detalle </w:t>
      </w:r>
      <w:r w:rsidRPr="009E6414">
        <w:rPr>
          <w:b/>
          <w:noProof/>
          <w:lang w:val="es-ES_tradnl"/>
        </w:rPr>
        <w:t>el potencial de varios bucles de retroalimentación que se refuerzan a sí mismos</w:t>
      </w:r>
      <w:r w:rsidRPr="009E6414">
        <w:rPr>
          <w:noProof/>
          <w:lang w:val="es-ES_tradnl"/>
        </w:rPr>
        <w:t>. Por ejemplo:</w:t>
      </w:r>
    </w:p>
    <w:p w:rsidR="00A45935" w:rsidRPr="009E6414" w:rsidRDefault="00A45935" w:rsidP="00230C31">
      <w:pPr>
        <w:pStyle w:val="Hlistbullet"/>
        <w:rPr>
          <w:noProof/>
          <w:lang w:val="es-ES_tradnl"/>
        </w:rPr>
      </w:pPr>
      <w:r w:rsidRPr="009E6414">
        <w:rPr>
          <w:noProof/>
          <w:lang w:val="es-ES_tradnl"/>
        </w:rPr>
        <w:lastRenderedPageBreak/>
        <w:t xml:space="preserve">El proceso de innovación tecnológica y/o institucional desarrolla la capacidad del sistema para innovar que se retroalimenta directamente para acelerar el ritmo y la calidad de la innovación. </w:t>
      </w:r>
    </w:p>
    <w:p w:rsidR="00A45935" w:rsidRPr="009E6414" w:rsidRDefault="00A45935" w:rsidP="00230C31">
      <w:pPr>
        <w:pStyle w:val="Hlistbullet"/>
        <w:rPr>
          <w:noProof/>
          <w:lang w:val="es-ES_tradnl"/>
        </w:rPr>
      </w:pPr>
      <w:r w:rsidRPr="009E6414">
        <w:rPr>
          <w:noProof/>
          <w:lang w:val="es-ES_tradnl"/>
        </w:rPr>
        <w:t xml:space="preserve">Las intervenciones del PDR en apoyo de una política favorable a la innovación (vía 3) generan ritmos de innovación más rápidos que entrañan una mayor capacidad para innovar.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Aumentar la capacidad de innovar ayuda a los agentes de innovación a crear y utilizar conexiones para influir en el favorable entorno institucional o político en pos de las innovaciones que el PDR defiende. Los ciclos de autorrefuerzo son importantes porque ofrecen una posibilidad de apalancamiento</w:t>
      </w:r>
      <w:r w:rsidRPr="009E6414">
        <w:rPr>
          <w:noProof/>
          <w:vertAlign w:val="superscript"/>
          <w:lang w:val="es-ES_tradnl"/>
        </w:rPr>
        <w:footnoteReference w:id="14"/>
      </w:r>
      <w:r w:rsidRPr="009E6414">
        <w:rPr>
          <w:noProof/>
          <w:lang w:val="es-ES_tradnl"/>
        </w:rPr>
        <w:t xml:space="preserve">, es decir, que intervenciones relativamente pequeñas del PDR puedan catalizar y apoyar impactos a mayor escala (por ejemplo, una práctica agrícola innovadora energéticamente eficiente desarrollada por un proyecto de innovación del PDR se difunde debido a la reacción positiva de los nuevos adherentes, que a su vez se expande e influye en otros para adoptar las mismas prácticas, lo que entraña considerables impactos en términos de ahorro de energía en la región). Además, los proyectos de innovación pueden entrañar la mejora de las medidas del PDR. Por ejemplo, un proyecto de innovación puede probar la viabilidad y rentabilidad de una futura medida agroambiental y climática. </w:t>
      </w:r>
    </w:p>
    <w:p w:rsidR="00A45935" w:rsidRPr="009E6414" w:rsidRDefault="00A45935" w:rsidP="00230C31">
      <w:pPr>
        <w:pStyle w:val="HHeading4"/>
        <w:rPr>
          <w:noProof/>
          <w:lang w:val="es-ES_tradnl"/>
        </w:rPr>
      </w:pPr>
      <w:r w:rsidRPr="009E6414">
        <w:rPr>
          <w:noProof/>
          <w:lang w:val="es-ES_tradnl"/>
        </w:rPr>
        <w:t xml:space="preserve">¿Cómo interactua el PDR con un sistema de innovación más amplio?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 xml:space="preserve">El PDR produce dos tipos de resultados vinculados a la innovación: </w:t>
      </w:r>
    </w:p>
    <w:p w:rsidR="00A45935" w:rsidRPr="009E6414" w:rsidRDefault="00A45935" w:rsidP="001744D0">
      <w:pPr>
        <w:pStyle w:val="Hlistbullet"/>
        <w:rPr>
          <w:noProof/>
          <w:lang w:val="es-ES_tradnl"/>
        </w:rPr>
      </w:pPr>
      <w:r w:rsidRPr="009E6414">
        <w:rPr>
          <w:b/>
          <w:noProof/>
          <w:lang w:val="es-ES_tradnl"/>
        </w:rPr>
        <w:t>Resultados favorables</w:t>
      </w:r>
      <w:r w:rsidRPr="009E6414">
        <w:rPr>
          <w:noProof/>
          <w:lang w:val="es-ES_tradnl"/>
        </w:rPr>
        <w:t xml:space="preserve"> relacionados con las tres vías (por ejemplo, cambios en el ritmo y calidad de las ideas innovadoras emergentes, la capacidad para innovar y el entorno propicio). </w:t>
      </w:r>
    </w:p>
    <w:p w:rsidR="00A45935" w:rsidRPr="009E6414" w:rsidRDefault="00A45935" w:rsidP="001744D0">
      <w:pPr>
        <w:pStyle w:val="Hlistbullet"/>
        <w:rPr>
          <w:noProof/>
          <w:lang w:val="es-ES_tradnl"/>
        </w:rPr>
      </w:pPr>
      <w:r w:rsidRPr="009E6414">
        <w:rPr>
          <w:b/>
          <w:noProof/>
          <w:lang w:val="es-ES_tradnl"/>
        </w:rPr>
        <w:t>Resultados de la innovación</w:t>
      </w:r>
      <w:r w:rsidRPr="009E6414">
        <w:rPr>
          <w:noProof/>
          <w:lang w:val="es-ES_tradnl"/>
        </w:rPr>
        <w:t xml:space="preserve"> derivados de los resultados favorables (por ejemplo, nuevas prácticas, mayores ingresos, adopción de prácticas agrícolas más sostenibles).</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Ambos tipos de resultados contribuyen a los objetivos del PDR y pueden ser evaluados a través de los indicadores adecuados. Si los resultados afectan al sistema de innovación existente, y de qué manera lo hacen, depende de cómo los beneficiarios del PDR interpreten y entiendan lo que el programa ofrece</w:t>
      </w:r>
      <w:r w:rsidRPr="009E6414">
        <w:rPr>
          <w:noProof/>
          <w:vertAlign w:val="superscript"/>
          <w:lang w:val="es-ES_tradnl"/>
        </w:rPr>
        <w:footnoteReference w:id="15"/>
      </w:r>
      <w:r w:rsidRPr="009E6414">
        <w:rPr>
          <w:noProof/>
          <w:lang w:val="es-ES_tradnl"/>
        </w:rPr>
        <w:t xml:space="preserve">. Su reacción también se ve influida por el historial y los procesos en curso, distintos del PDR, que estimulan la innovación: </w:t>
      </w:r>
    </w:p>
    <w:p w:rsidR="00A45935" w:rsidRPr="009E6414" w:rsidRDefault="00A45935" w:rsidP="001744D0">
      <w:pPr>
        <w:pStyle w:val="Hlistbullet"/>
        <w:rPr>
          <w:noProof/>
          <w:lang w:val="es-ES_tradnl"/>
        </w:rPr>
      </w:pPr>
      <w:r w:rsidRPr="009E6414">
        <w:rPr>
          <w:noProof/>
          <w:lang w:val="es-ES_tradnl"/>
        </w:rPr>
        <w:t xml:space="preserve">actividades de investigación sobre nuevas tecnologías y procesos, </w:t>
      </w:r>
    </w:p>
    <w:p w:rsidR="00A45935" w:rsidRPr="009E6414" w:rsidRDefault="00A45935" w:rsidP="001744D0">
      <w:pPr>
        <w:pStyle w:val="Hlistbullet"/>
        <w:rPr>
          <w:noProof/>
          <w:lang w:val="es-ES_tradnl"/>
        </w:rPr>
      </w:pPr>
      <w:r w:rsidRPr="009E6414">
        <w:rPr>
          <w:noProof/>
          <w:lang w:val="es-ES_tradnl"/>
        </w:rPr>
        <w:t xml:space="preserve">programas de extensión y de educación en materia de promoción de la innovación, </w:t>
      </w:r>
    </w:p>
    <w:p w:rsidR="00A45935" w:rsidRPr="009E6414" w:rsidRDefault="00A45935" w:rsidP="001744D0">
      <w:pPr>
        <w:pStyle w:val="Hlistbullet"/>
        <w:rPr>
          <w:noProof/>
          <w:lang w:val="es-ES_tradnl"/>
        </w:rPr>
      </w:pPr>
      <w:r w:rsidRPr="009E6414">
        <w:rPr>
          <w:noProof/>
          <w:lang w:val="es-ES_tradnl"/>
        </w:rPr>
        <w:t xml:space="preserve">medidas fiscales, garantías de créditos, contratación innovadora, </w:t>
      </w:r>
    </w:p>
    <w:p w:rsidR="00A45935" w:rsidRPr="009E6414" w:rsidRDefault="00A45935" w:rsidP="001744D0">
      <w:pPr>
        <w:pStyle w:val="Hlistbullet"/>
        <w:rPr>
          <w:noProof/>
          <w:lang w:val="es-ES_tradnl"/>
        </w:rPr>
      </w:pPr>
      <w:r w:rsidRPr="009E6414">
        <w:rPr>
          <w:noProof/>
          <w:lang w:val="es-ES_tradnl"/>
        </w:rPr>
        <w:t>Horizonte 2020 y otros programas nacionales/regionales de los Fondos EIE que intervienen en el mismo enfoque de innovación que el PDR,</w:t>
      </w:r>
    </w:p>
    <w:p w:rsidR="00A45935" w:rsidRPr="009E6414" w:rsidRDefault="00A45935" w:rsidP="001744D0">
      <w:pPr>
        <w:pStyle w:val="Hlistbullet"/>
        <w:rPr>
          <w:noProof/>
          <w:lang w:val="es-ES_tradnl"/>
        </w:rPr>
      </w:pPr>
      <w:r w:rsidRPr="009E6414">
        <w:rPr>
          <w:noProof/>
          <w:lang w:val="es-ES_tradnl"/>
        </w:rPr>
        <w:t>demanda del mercado.</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 xml:space="preserve">Igualmente, las operaciones del PDR influirán en la manera en que se interpretan y utilizan otros procesos e intervenciones en curso y también se verán influidas por estos.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 xml:space="preserve">Los PDR no se ejecutan en el vacío, sino que actúan en un complejo sistema de innovación en un contexto socioeconómico determinado. La posición inicial del PDR depende del contexto de innovación existente (es decir, los agentes de innovación y las interacciones entre ellos, el entorno favorable existente, la demanda del mercado, otras intervenciones). </w:t>
      </w:r>
    </w:p>
    <w:p w:rsidR="000E0FE4"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lastRenderedPageBreak/>
        <w:t>El objetivo de cualquier evaluación sera captar la posición inicial y atribuir cualquier cambio observado a la ejecución de las medidas y submedidas del PDR.</w:t>
      </w:r>
    </w:p>
    <w:p w:rsidR="00A45935" w:rsidRPr="009E6414" w:rsidRDefault="00A45935" w:rsidP="00E05D08">
      <w:pPr>
        <w:spacing w:after="120" w:line="280" w:lineRule="atLeast"/>
        <w:mirrorIndents/>
        <w:rPr>
          <w:rFonts w:eastAsia="Times New Roman" w:cs="Times New Roman"/>
          <w:noProof/>
          <w:szCs w:val="20"/>
          <w:lang w:val="es-ES_tradnl"/>
        </w:rPr>
        <w:sectPr w:rsidR="00A45935" w:rsidRPr="009E6414"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9E6414" w:rsidRDefault="00A45935" w:rsidP="00230C31">
      <w:pPr>
        <w:pStyle w:val="HHeading2"/>
        <w:rPr>
          <w:noProof/>
          <w:lang w:val="es-ES_tradnl"/>
        </w:rPr>
      </w:pPr>
      <w:bookmarkStart w:id="5" w:name="_Toc508707911"/>
      <w:r w:rsidRPr="009E6414">
        <w:rPr>
          <w:noProof/>
          <w:lang w:val="es-ES_tradnl"/>
        </w:rPr>
        <w:t>Marco político de la UE</w:t>
      </w:r>
      <w:bookmarkEnd w:id="5"/>
      <w:r w:rsidRPr="009E6414">
        <w:rPr>
          <w:noProof/>
          <w:lang w:val="es-ES_tradnl"/>
        </w:rPr>
        <w:t xml:space="preserve"> </w:t>
      </w:r>
    </w:p>
    <w:p w:rsidR="00A45935" w:rsidRPr="009E6414" w:rsidRDefault="00A45935" w:rsidP="009B603C">
      <w:pPr>
        <w:pStyle w:val="HHeading3"/>
        <w:spacing w:line="280" w:lineRule="exact"/>
        <w:rPr>
          <w:noProof/>
          <w:lang w:val="es-ES_tradnl"/>
        </w:rPr>
      </w:pPr>
      <w:bookmarkStart w:id="6" w:name="_Toc508707912"/>
      <w:r w:rsidRPr="009E6414">
        <w:rPr>
          <w:noProof/>
          <w:lang w:val="es-ES_tradnl"/>
        </w:rPr>
        <w:t>Marco político para la innovación en la UE y política de desarrollo rural</w:t>
      </w:r>
      <w:bookmarkEnd w:id="6"/>
    </w:p>
    <w:p w:rsidR="00A45935" w:rsidRPr="009E6414" w:rsidRDefault="00A45935" w:rsidP="00E05D08">
      <w:pPr>
        <w:spacing w:after="120" w:line="280" w:lineRule="atLeast"/>
        <w:mirrorIndents/>
        <w:rPr>
          <w:rFonts w:eastAsia="Times New Roman" w:cs="Times New Roman"/>
          <w:noProof/>
          <w:szCs w:val="20"/>
          <w:shd w:val="clear" w:color="auto" w:fill="FFFFFF"/>
          <w:lang w:val="es-ES_tradnl"/>
        </w:rPr>
      </w:pPr>
      <w:r w:rsidRPr="009E6414">
        <w:rPr>
          <w:b/>
          <w:noProof/>
          <w:shd w:val="clear" w:color="auto" w:fill="FFFFFF"/>
          <w:lang w:val="es-ES_tradnl"/>
        </w:rPr>
        <w:t>Dos instrumentos de financiación de la UE apoyan específicamente la innovación en la agricultura y la silvicultura</w:t>
      </w:r>
      <w:r w:rsidRPr="009E6414">
        <w:rPr>
          <w:noProof/>
          <w:lang w:val="es-ES_tradnl"/>
        </w:rPr>
        <w:t>. Uno es la política de desarrollo rural, que es uno de los dos pilares de la política agrícola común (PAC). El otro es Horizonte 2020</w:t>
      </w:r>
      <w:r w:rsidRPr="009E6414">
        <w:rPr>
          <w:noProof/>
          <w:shd w:val="clear" w:color="auto" w:fill="FFFFFF"/>
          <w:vertAlign w:val="superscript"/>
          <w:lang w:val="es-ES_tradnl"/>
        </w:rPr>
        <w:footnoteReference w:id="16"/>
      </w:r>
      <w:r w:rsidRPr="009E6414">
        <w:rPr>
          <w:noProof/>
          <w:lang w:val="es-ES_tradnl"/>
        </w:rPr>
        <w:t>, el programa marco de la UE para la investigación y la innovación que ejecuta la iniciativa emblemática «Unión por la innovación»</w:t>
      </w:r>
      <w:r w:rsidRPr="009E6414">
        <w:rPr>
          <w:noProof/>
          <w:shd w:val="clear" w:color="auto" w:fill="FFFFFF"/>
          <w:vertAlign w:val="superscript"/>
          <w:lang w:val="es-ES_tradnl"/>
        </w:rPr>
        <w:footnoteReference w:id="17"/>
      </w:r>
      <w:r w:rsidRPr="009E6414">
        <w:rPr>
          <w:noProof/>
          <w:lang w:val="es-ES_tradnl"/>
        </w:rPr>
        <w:t xml:space="preserve">. </w:t>
      </w:r>
    </w:p>
    <w:p w:rsidR="00A45935" w:rsidRPr="009E6414" w:rsidRDefault="00A45935" w:rsidP="001744D0">
      <w:pPr>
        <w:spacing w:after="120" w:line="280" w:lineRule="atLeast"/>
        <w:mirrorIndents/>
        <w:rPr>
          <w:rFonts w:eastAsia="Times New Roman" w:cs="Times New Roman"/>
          <w:b/>
          <w:noProof/>
          <w:sz w:val="18"/>
          <w:szCs w:val="18"/>
          <w:lang w:val="es-ES_tradnl"/>
        </w:rPr>
      </w:pPr>
      <w:r w:rsidRPr="009E6414">
        <w:rPr>
          <w:b/>
          <w:noProof/>
          <w:shd w:val="clear" w:color="auto" w:fill="FFFFFF"/>
          <w:lang w:val="es-ES_tradnl"/>
        </w:rPr>
        <w:t>La política de desarrollo rural fue ideada para funcionar en sinergia con Horizonte 2020</w:t>
      </w:r>
      <w:r w:rsidRPr="009E6414">
        <w:rPr>
          <w:noProof/>
          <w:lang w:val="es-ES_tradnl"/>
        </w:rPr>
        <w:t xml:space="preserve"> y alcanzar los objetivos de innovación de la UE, en particular los objetivos de crecimiento inteligente. Entre los objetivos principales de la UE para el crecimiento inteligente destaca el aumento de la suma de la inversión pública y privada en I+D hasta el 3 % del PIB de la UE, así como mejores condiciones para la I+D+i</w:t>
      </w:r>
      <w:r w:rsidRPr="009E6414">
        <w:rPr>
          <w:noProof/>
          <w:shd w:val="clear" w:color="auto" w:fill="FFFFFF"/>
          <w:vertAlign w:val="superscript"/>
          <w:lang w:val="es-ES_tradnl"/>
        </w:rPr>
        <w:footnoteReference w:id="18"/>
      </w:r>
      <w:r w:rsidRPr="009E6414">
        <w:rPr>
          <w:noProof/>
          <w:lang w:val="es-ES_tradnl"/>
        </w:rPr>
        <w:t xml:space="preserve">. </w:t>
      </w:r>
    </w:p>
    <w:p w:rsidR="00A45935" w:rsidRPr="009E6414" w:rsidRDefault="00A45935" w:rsidP="009E6414">
      <w:pPr>
        <w:pStyle w:val="HHeadingfigures"/>
      </w:pPr>
      <w:bookmarkStart w:id="7" w:name="_Toc508707929"/>
      <w:r w:rsidRPr="009E6414">
        <w:t>Marco político para la innovación en la UE y política de desarrollo rural</w:t>
      </w:r>
      <w:bookmarkEnd w:id="7"/>
      <w:r w:rsidRPr="009E6414">
        <w:t xml:space="preserve"> </w:t>
      </w:r>
    </w:p>
    <w:p w:rsidR="00A45935" w:rsidRPr="009E6414" w:rsidRDefault="006172D0" w:rsidP="00E05D08">
      <w:pPr>
        <w:spacing w:before="60" w:after="200" w:line="276" w:lineRule="auto"/>
        <w:jc w:val="center"/>
        <w:rPr>
          <w:rFonts w:eastAsia="Calibri" w:cs="Arial"/>
          <w:noProof/>
          <w:szCs w:val="20"/>
          <w:lang w:val="es-ES_tradnl"/>
        </w:rPr>
      </w:pPr>
      <w:r w:rsidRPr="003C0BC6">
        <w:rPr>
          <w:noProof/>
          <w:lang w:val="en-GB" w:eastAsia="en-GB" w:bidi="ar-SA"/>
        </w:rPr>
        <w:drawing>
          <wp:inline distT="0" distB="0" distL="0" distR="0" wp14:anchorId="7BC6B35B" wp14:editId="10DBA6D1">
            <wp:extent cx="5731510" cy="331851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318510"/>
                    </a:xfrm>
                    <a:prstGeom prst="rect">
                      <a:avLst/>
                    </a:prstGeom>
                    <a:noFill/>
                    <a:ln>
                      <a:noFill/>
                    </a:ln>
                  </pic:spPr>
                </pic:pic>
              </a:graphicData>
            </a:graphic>
          </wp:inline>
        </w:drawing>
      </w:r>
    </w:p>
    <w:p w:rsidR="00A45935" w:rsidRPr="009E6414" w:rsidRDefault="00A45935" w:rsidP="00E05D08">
      <w:pPr>
        <w:suppressAutoHyphens/>
        <w:spacing w:before="60" w:after="140" w:line="240" w:lineRule="auto"/>
        <w:ind w:left="1134" w:right="1134"/>
        <w:mirrorIndents/>
        <w:jc w:val="center"/>
        <w:rPr>
          <w:rFonts w:eastAsia="Times New Roman" w:cs="Times New Roman"/>
          <w:i/>
          <w:noProof/>
          <w:sz w:val="16"/>
          <w:szCs w:val="16"/>
          <w:lang w:val="es-ES_tradnl"/>
        </w:rPr>
      </w:pPr>
      <w:r w:rsidRPr="009E6414">
        <w:rPr>
          <w:i/>
          <w:noProof/>
          <w:sz w:val="16"/>
          <w:lang w:val="es-ES_tradnl"/>
        </w:rPr>
        <w:t>Fuente: Servicio de asistencia de evaluación europeo para el desarrollo rural, 2017</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b/>
          <w:noProof/>
          <w:lang w:val="es-ES_tradnl"/>
        </w:rPr>
        <w:t>La política agrícola común desempeña una tarea importante al contribuir al crecimiento inteligente a través de la innovación.</w:t>
      </w:r>
      <w:r w:rsidRPr="009E6414">
        <w:rPr>
          <w:noProof/>
          <w:lang w:val="es-ES_tradnl"/>
        </w:rPr>
        <w:t xml:space="preserve"> La consecución de los tres objetivos de la PAC exige crear, compartir y aplicar nuevos conocimientos, nuevas tecnologías, nuevos productos y nuevas formas de organización, aprendizaje o cooperación. </w:t>
      </w:r>
    </w:p>
    <w:p w:rsidR="00A45935" w:rsidRPr="009E6414" w:rsidRDefault="00A45935" w:rsidP="00E05D08">
      <w:pPr>
        <w:spacing w:after="120" w:line="280" w:lineRule="atLeast"/>
        <w:mirrorIndents/>
        <w:rPr>
          <w:rFonts w:eastAsia="Calibri" w:cs="Times New Roman"/>
          <w:noProof/>
          <w:szCs w:val="20"/>
          <w:lang w:val="es-ES_tradnl"/>
        </w:rPr>
      </w:pPr>
      <w:r w:rsidRPr="009E6414">
        <w:rPr>
          <w:b/>
          <w:noProof/>
          <w:lang w:val="es-ES_tradnl"/>
        </w:rPr>
        <w:lastRenderedPageBreak/>
        <w:t>La arquitectura de la política de desarrollo rural en 2014-2020 destaca la importancia de la innovación</w:t>
      </w:r>
      <w:r w:rsidRPr="009E6414">
        <w:rPr>
          <w:noProof/>
          <w:lang w:val="es-ES_tradnl"/>
        </w:rPr>
        <w:t xml:space="preserve"> en las fases de concepción y ejecución del programa</w:t>
      </w:r>
      <w:r w:rsidRPr="009E6414">
        <w:rPr>
          <w:noProof/>
          <w:vertAlign w:val="superscript"/>
          <w:lang w:val="es-ES_tradnl"/>
        </w:rPr>
        <w:footnoteReference w:id="19"/>
      </w:r>
      <w:r w:rsidRPr="009E6414">
        <w:rPr>
          <w:noProof/>
          <w:lang w:val="es-ES_tradnl"/>
        </w:rPr>
        <w:t>. La innovación en el desarrollo rural puede referirse a una variada gama de temas, como por ejemplo: desarrollo en las explotaciones, organización de la cadena alimentaria y gestión de riesgos, conservación y mejora de ecosistemas, promoción de la inclusión social, reducción de la pobreza, desarrollo económico en las zonas rurales, etc.</w:t>
      </w:r>
    </w:p>
    <w:p w:rsidR="00A45935" w:rsidRPr="009E6414" w:rsidRDefault="00A45935" w:rsidP="00230C31">
      <w:pPr>
        <w:pStyle w:val="HHeading4"/>
        <w:rPr>
          <w:rFonts w:eastAsia="Calibri"/>
          <w:noProof/>
          <w:lang w:val="es-ES_tradnl"/>
        </w:rPr>
      </w:pPr>
      <w:r w:rsidRPr="009E6414">
        <w:rPr>
          <w:noProof/>
          <w:lang w:val="es-ES_tradnl"/>
        </w:rPr>
        <w:t>¿Cómo arraiga la innovación en los programas de desarrollo rural?</w:t>
      </w:r>
    </w:p>
    <w:p w:rsidR="00A45935" w:rsidRPr="009E6414" w:rsidRDefault="00347A2C" w:rsidP="00E05D08">
      <w:pPr>
        <w:spacing w:after="120" w:line="280" w:lineRule="atLeast"/>
        <w:mirrorIndents/>
        <w:rPr>
          <w:rFonts w:eastAsia="Times New Roman" w:cs="Times New Roman"/>
          <w:noProof/>
          <w:szCs w:val="20"/>
          <w:lang w:val="es-ES_tradnl"/>
        </w:rPr>
      </w:pPr>
      <w:r w:rsidRPr="009E6414">
        <w:rPr>
          <w:noProof/>
          <w:lang w:val="es-ES_tradnl"/>
        </w:rPr>
        <w:t>En la estrategia del PDR</w:t>
      </w:r>
      <w:r w:rsidRPr="009E6414">
        <w:rPr>
          <w:noProof/>
          <w:vertAlign w:val="superscript"/>
          <w:lang w:val="es-ES_tradnl"/>
        </w:rPr>
        <w:footnoteReference w:id="20"/>
      </w:r>
      <w:r w:rsidRPr="009E6414">
        <w:rPr>
          <w:noProof/>
          <w:lang w:val="es-ES_tradnl"/>
        </w:rPr>
        <w:t xml:space="preserve"> se incluye </w:t>
      </w:r>
      <w:r w:rsidRPr="009E6414">
        <w:rPr>
          <w:b/>
          <w:noProof/>
          <w:lang w:val="es-ES_tradnl"/>
        </w:rPr>
        <w:t>una descripción del «planteamiento respecto de la innovación, con objeto de realizar las prioridades de desarrollo rural de la Unión»</w:t>
      </w:r>
      <w:r w:rsidRPr="009E6414">
        <w:rPr>
          <w:noProof/>
          <w:lang w:val="es-ES_tradnl"/>
        </w:rPr>
        <w:t>. Esta descripción también incluye la AEI en materia de productividad y sostenibilidad agrícolas. Cada estrategia aborda, a nivel de cada prioridad de la Unión, las necesidades específicas en materia de innovación identificadas en el análisis DAFO y en la determinación de las necesidades</w:t>
      </w:r>
      <w:r w:rsidRPr="009E6414">
        <w:rPr>
          <w:noProof/>
          <w:vertAlign w:val="superscript"/>
          <w:lang w:val="es-ES_tradnl"/>
        </w:rPr>
        <w:footnoteReference w:id="21"/>
      </w:r>
      <w:r w:rsidRPr="009E6414">
        <w:rPr>
          <w:noProof/>
          <w:lang w:val="es-ES_tradnl"/>
        </w:rPr>
        <w:t>. Además, todas las prioridades de la Unión contribuirán al objetivo transversal de innovación</w:t>
      </w:r>
      <w:r w:rsidRPr="009E6414">
        <w:rPr>
          <w:noProof/>
          <w:vertAlign w:val="superscript"/>
          <w:lang w:val="es-ES_tradnl"/>
        </w:rPr>
        <w:footnoteReference w:id="22"/>
      </w:r>
      <w:r w:rsidRPr="009E6414">
        <w:rPr>
          <w:noProof/>
          <w:lang w:val="es-ES_tradnl"/>
        </w:rPr>
        <w:t xml:space="preserve">.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 xml:space="preserve">Aparte de ser un objetivo transversal, en los PDR también se considera que la innovación forma parte de dos ámbitos de interes de la prioridad transversal 1 de la Unión «Fomentar la transferencia de conocimientos e innovación en los sectores agrario y forestal y en las zonas rurales»: </w:t>
      </w:r>
    </w:p>
    <w:p w:rsidR="00A45935" w:rsidRPr="009E6414" w:rsidRDefault="00A45935" w:rsidP="008C0B17">
      <w:pPr>
        <w:numPr>
          <w:ilvl w:val="0"/>
          <w:numId w:val="70"/>
        </w:numPr>
        <w:mirrorIndents/>
        <w:rPr>
          <w:noProof/>
          <w:szCs w:val="20"/>
          <w:lang w:val="es-ES_tradnl"/>
        </w:rPr>
      </w:pPr>
      <w:r w:rsidRPr="009E6414">
        <w:rPr>
          <w:noProof/>
          <w:lang w:val="es-ES_tradnl"/>
        </w:rPr>
        <w:t>Ámbito de interés 1A: fomentar la innovación, la cooperación y el desarrollo de la base de conocimientos en las zonas rurales,</w:t>
      </w:r>
    </w:p>
    <w:p w:rsidR="00A45935" w:rsidRPr="009E6414" w:rsidRDefault="00A45935" w:rsidP="008C0B17">
      <w:pPr>
        <w:numPr>
          <w:ilvl w:val="0"/>
          <w:numId w:val="70"/>
        </w:numPr>
        <w:mirrorIndents/>
        <w:rPr>
          <w:noProof/>
          <w:szCs w:val="20"/>
          <w:lang w:val="es-ES_tradnl"/>
        </w:rPr>
      </w:pPr>
      <w:r w:rsidRPr="009E6414">
        <w:rPr>
          <w:noProof/>
          <w:lang w:val="es-ES_tradnl"/>
        </w:rPr>
        <w:t>Ámbito de interés 1B: reforzar los lazos entre la agricultura, la producción de alimentos y la selvicultura, por una parte, y la investigación y la innovación, por otra, para, entre otros fines, conseguir una mejor gestión y mejores resultados medioambientales.</w:t>
      </w:r>
    </w:p>
    <w:p w:rsidR="00A45935" w:rsidRPr="009E6414" w:rsidRDefault="00A45935" w:rsidP="00E05D08">
      <w:pPr>
        <w:spacing w:after="120" w:line="280" w:lineRule="atLeast"/>
        <w:mirrorIndents/>
        <w:rPr>
          <w:rFonts w:eastAsia="Times New Roman" w:cs="Times New Roman"/>
          <w:noProof/>
          <w:szCs w:val="20"/>
          <w:shd w:val="clear" w:color="auto" w:fill="FFFFFF"/>
          <w:lang w:val="es-ES_tradnl"/>
        </w:rPr>
      </w:pPr>
      <w:r w:rsidRPr="009E6414">
        <w:rPr>
          <w:b/>
          <w:noProof/>
          <w:lang w:val="es-ES_tradnl"/>
        </w:rPr>
        <w:t>Los PDR tienen una flexibilidad considerable para utilizar y combinar medidas</w:t>
      </w:r>
      <w:r w:rsidRPr="009E6414">
        <w:rPr>
          <w:noProof/>
          <w:lang w:val="es-ES_tradnl"/>
        </w:rPr>
        <w:t xml:space="preserve"> con el fin de abordar las necesidades específicas territoriales y de innovación y su capacidad para lograr sinergias. Las medidas pueden programarse en virtud de diferentes prioridades y ámbitos de interes con objeto de maximizar sus contribuciones a los objetivos pertinentes. Algunas medidas del PDR pueden incluso tener más efectos directos sobre la innovación, en particular en el marco de los ámbitos de interés 1A y 1B:</w:t>
      </w:r>
    </w:p>
    <w:p w:rsidR="00A45935" w:rsidRPr="009E6414" w:rsidRDefault="00A45935" w:rsidP="008C0B17">
      <w:pPr>
        <w:numPr>
          <w:ilvl w:val="0"/>
          <w:numId w:val="51"/>
        </w:numPr>
        <w:spacing w:before="60" w:after="120" w:line="280" w:lineRule="atLeast"/>
        <w:ind w:left="567" w:hanging="567"/>
        <w:mirrorIndents/>
        <w:rPr>
          <w:rFonts w:eastAsia="Times New Roman" w:cs="Times New Roman"/>
          <w:noProof/>
          <w:szCs w:val="20"/>
          <w:lang w:val="es-ES_tradnl"/>
        </w:rPr>
      </w:pPr>
      <w:r w:rsidRPr="009E6414">
        <w:rPr>
          <w:noProof/>
          <w:lang w:val="es-ES_tradnl"/>
        </w:rPr>
        <w:t>M1 Transferencia de conocimientos y actividades de información</w:t>
      </w:r>
    </w:p>
    <w:p w:rsidR="00A45935" w:rsidRPr="009E6414" w:rsidRDefault="00A45935" w:rsidP="008C0B17">
      <w:pPr>
        <w:numPr>
          <w:ilvl w:val="0"/>
          <w:numId w:val="51"/>
        </w:numPr>
        <w:spacing w:before="60" w:after="120" w:line="280" w:lineRule="atLeast"/>
        <w:ind w:left="567" w:hanging="567"/>
        <w:mirrorIndents/>
        <w:rPr>
          <w:rFonts w:eastAsia="Times New Roman" w:cs="Times New Roman"/>
          <w:noProof/>
          <w:szCs w:val="20"/>
          <w:lang w:val="es-ES_tradnl"/>
        </w:rPr>
      </w:pPr>
      <w:r w:rsidRPr="009E6414">
        <w:rPr>
          <w:noProof/>
          <w:lang w:val="es-ES_tradnl"/>
        </w:rPr>
        <w:t>M2 Servicios de asesoramiento</w:t>
      </w:r>
    </w:p>
    <w:p w:rsidR="00A45935" w:rsidRPr="009E6414" w:rsidRDefault="00A45935" w:rsidP="008C0B17">
      <w:pPr>
        <w:numPr>
          <w:ilvl w:val="0"/>
          <w:numId w:val="51"/>
        </w:numPr>
        <w:spacing w:before="60" w:after="120" w:line="280" w:lineRule="atLeast"/>
        <w:ind w:left="567" w:hanging="567"/>
        <w:mirrorIndents/>
        <w:rPr>
          <w:rFonts w:eastAsia="Times New Roman" w:cs="Times New Roman"/>
          <w:noProof/>
          <w:szCs w:val="20"/>
          <w:lang w:val="es-ES_tradnl"/>
        </w:rPr>
      </w:pPr>
      <w:r w:rsidRPr="009E6414">
        <w:rPr>
          <w:noProof/>
          <w:lang w:val="es-ES_tradnl"/>
        </w:rPr>
        <w:t>M16 Cooperación (apoya la creación y el funcionamiento de los grupos operativos de la AEI-AGRI)</w:t>
      </w:r>
    </w:p>
    <w:p w:rsidR="00A45935" w:rsidRPr="009E6414" w:rsidRDefault="00A45935" w:rsidP="008C0B17">
      <w:pPr>
        <w:numPr>
          <w:ilvl w:val="0"/>
          <w:numId w:val="51"/>
        </w:numPr>
        <w:spacing w:before="60" w:after="120" w:line="280" w:lineRule="atLeast"/>
        <w:ind w:left="567" w:hanging="567"/>
        <w:mirrorIndents/>
        <w:rPr>
          <w:rFonts w:eastAsia="Times New Roman" w:cs="Times New Roman"/>
          <w:noProof/>
          <w:szCs w:val="20"/>
          <w:lang w:val="es-ES_tradnl"/>
        </w:rPr>
      </w:pPr>
      <w:r w:rsidRPr="009E6414">
        <w:rPr>
          <w:noProof/>
          <w:lang w:val="es-ES_tradnl"/>
        </w:rPr>
        <w:t>M19 Leader/DLP que promueve la innovación como uno de los principios de Leader y alienta las acciones innovadoras a pequeña escala en todos los aspectos de la vida rural (económico, social y medioambiental).</w:t>
      </w:r>
    </w:p>
    <w:p w:rsidR="00A45935" w:rsidRPr="009E6414" w:rsidRDefault="00A45935" w:rsidP="00E05D08">
      <w:pPr>
        <w:spacing w:after="120" w:line="280" w:lineRule="atLeast"/>
        <w:mirrorIndents/>
        <w:rPr>
          <w:rFonts w:eastAsia="Times New Roman" w:cs="Times New Roman"/>
          <w:noProof/>
          <w:szCs w:val="20"/>
          <w:shd w:val="clear" w:color="auto" w:fill="FFFFFF"/>
          <w:lang w:val="es-ES_tradnl"/>
        </w:rPr>
      </w:pPr>
      <w:r w:rsidRPr="009E6414">
        <w:rPr>
          <w:b/>
          <w:noProof/>
          <w:lang w:val="es-ES_tradnl"/>
        </w:rPr>
        <w:t>Las medidas que propicien la innovación también pueden programarse en virtud de otros ámbitos de interés.</w:t>
      </w:r>
      <w:r w:rsidRPr="009E6414">
        <w:rPr>
          <w:noProof/>
          <w:lang w:val="es-ES_tradnl"/>
        </w:rPr>
        <w:t xml:space="preserve"> M16, por ejemplo, puede vincularse a la mayoría de los ámbitos de interés y a las prioridades de desarrollo rural. Es la principal medida de desarrollo rural para apoyar la </w:t>
      </w:r>
      <w:r w:rsidRPr="009E6414">
        <w:rPr>
          <w:b/>
          <w:noProof/>
          <w:shd w:val="clear" w:color="auto" w:fill="FFFFFF"/>
          <w:lang w:val="es-ES_tradnl"/>
        </w:rPr>
        <w:t>Asociación Europea para la Innovación en materia de Productividad y Sostenibilidad Agrícolas</w:t>
      </w:r>
      <w:r w:rsidRPr="009E6414">
        <w:rPr>
          <w:noProof/>
          <w:lang w:val="es-ES_tradnl"/>
        </w:rPr>
        <w:t xml:space="preserve"> (AEI-AGRI). </w:t>
      </w:r>
    </w:p>
    <w:p w:rsidR="00A45935" w:rsidRPr="009E6414" w:rsidRDefault="00A45935" w:rsidP="00E05D08">
      <w:pPr>
        <w:spacing w:after="120" w:line="280" w:lineRule="atLeast"/>
        <w:mirrorIndents/>
        <w:rPr>
          <w:rFonts w:eastAsia="Times New Roman" w:cs="Times New Roman"/>
          <w:noProof/>
          <w:szCs w:val="20"/>
          <w:shd w:val="clear" w:color="auto" w:fill="FFFFFF"/>
          <w:lang w:val="es-ES_tradnl"/>
        </w:rPr>
        <w:sectPr w:rsidR="00A45935" w:rsidRPr="009E6414" w:rsidSect="001F6F07">
          <w:endnotePr>
            <w:numFmt w:val="decimal"/>
          </w:endnotePr>
          <w:type w:val="continuous"/>
          <w:pgSz w:w="11906" w:h="16838" w:code="9"/>
          <w:pgMar w:top="1440" w:right="1440" w:bottom="1134" w:left="1440" w:header="567" w:footer="1021" w:gutter="0"/>
          <w:cols w:space="708"/>
          <w:noEndnote/>
          <w:docGrid w:linePitch="360"/>
        </w:sectPr>
      </w:pPr>
    </w:p>
    <w:p w:rsidR="00D461AB" w:rsidRPr="009E6414" w:rsidRDefault="0051038D" w:rsidP="00EA0974">
      <w:pPr>
        <w:spacing w:before="240" w:after="120" w:line="280" w:lineRule="atLeast"/>
        <w:mirrorIndents/>
        <w:rPr>
          <w:rFonts w:eastAsia="Times New Roman" w:cs="Times New Roman"/>
          <w:noProof/>
          <w:color w:val="FFFFFF" w:themeColor="background1"/>
          <w:szCs w:val="20"/>
          <w:shd w:val="clear" w:color="auto" w:fill="FFFFFF"/>
          <w:lang w:val="es-ES_tradnl"/>
        </w:rPr>
      </w:pPr>
      <w:r w:rsidRPr="009E6414">
        <w:rPr>
          <w:rFonts w:eastAsia="Times New Roman" w:cs="Times New Roman"/>
          <w:noProof/>
          <w:szCs w:val="20"/>
          <w:highlight w:val="yellow"/>
          <w:lang w:val="en-GB" w:eastAsia="en-GB" w:bidi="ar-SA"/>
        </w:rPr>
        <w:lastRenderedPageBreak/>
        <mc:AlternateContent>
          <mc:Choice Requires="wps">
            <w:drawing>
              <wp:anchor distT="0" distB="0" distL="114300" distR="114300" simplePos="0" relativeHeight="251658752" behindDoc="0" locked="0" layoutInCell="1" allowOverlap="1" wp14:anchorId="0DCE883D" wp14:editId="474D4495">
                <wp:simplePos x="0" y="0"/>
                <wp:positionH relativeFrom="page">
                  <wp:posOffset>923925</wp:posOffset>
                </wp:positionH>
                <wp:positionV relativeFrom="paragraph">
                  <wp:posOffset>399415</wp:posOffset>
                </wp:positionV>
                <wp:extent cx="5671820" cy="4905375"/>
                <wp:effectExtent l="0" t="0" r="24130" b="28575"/>
                <wp:wrapSquare wrapText="bothSides"/>
                <wp:docPr id="58" name="Rectangle: Diagonal Corners Rounded 58"/>
                <wp:cNvGraphicFramePr/>
                <a:graphic xmlns:a="http://schemas.openxmlformats.org/drawingml/2006/main">
                  <a:graphicData uri="http://schemas.microsoft.com/office/word/2010/wordprocessingShape">
                    <wps:wsp>
                      <wps:cNvSpPr/>
                      <wps:spPr>
                        <a:xfrm>
                          <a:off x="0" y="0"/>
                          <a:ext cx="5671820" cy="4905375"/>
                        </a:xfrm>
                        <a:prstGeom prst="round2DiagRect">
                          <a:avLst>
                            <a:gd name="adj1" fmla="val 6224"/>
                            <a:gd name="adj2" fmla="val 0"/>
                          </a:avLst>
                        </a:prstGeom>
                        <a:noFill/>
                        <a:ln w="25400" cap="flat" cmpd="sng" algn="ctr">
                          <a:solidFill>
                            <a:srgbClr val="BE4A35"/>
                          </a:solidFill>
                          <a:prstDash val="solid"/>
                        </a:ln>
                        <a:effectLst/>
                      </wps:spPr>
                      <wps:txbx>
                        <w:txbxContent>
                          <w:p w:rsidR="008D2E0D" w:rsidRPr="002F0ABF" w:rsidRDefault="008D2E0D" w:rsidP="00E05D08">
                            <w:pPr>
                              <w:pStyle w:val="HStandard"/>
                              <w:rPr>
                                <w:sz w:val="18"/>
                                <w:szCs w:val="18"/>
                              </w:rPr>
                            </w:pPr>
                            <w:r>
                              <w:rPr>
                                <w:noProof/>
                                <w:lang w:val="en-GB" w:eastAsia="en-GB" w:bidi="ar-SA"/>
                              </w:rPr>
                              <w:drawing>
                                <wp:inline distT="0" distB="0" distL="0" distR="0" wp14:anchorId="4BB2FADE" wp14:editId="2C4EE579">
                                  <wp:extent cx="664845" cy="487680"/>
                                  <wp:effectExtent l="0" t="0" r="0" b="7620"/>
                                  <wp:docPr id="730"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La </w:t>
                            </w:r>
                            <w:proofErr w:type="spellStart"/>
                            <w:r>
                              <w:t>AEI</w:t>
                            </w:r>
                            <w:proofErr w:type="spellEnd"/>
                            <w:r>
                              <w:t>-AGRI forma parte de la Estrategia Europa 2020 para acelerar la innovación en la UE, fomentando un sector agrícola y forestal competitivo y sostenible que «obtenga más con menos».</w:t>
                            </w:r>
                            <w:r>
                              <w:rPr>
                                <w:sz w:val="18"/>
                              </w:rPr>
                              <w:t xml:space="preserve"> La </w:t>
                            </w:r>
                            <w:proofErr w:type="spellStart"/>
                            <w:r>
                              <w:rPr>
                                <w:sz w:val="18"/>
                              </w:rPr>
                              <w:t>AEI</w:t>
                            </w:r>
                            <w:proofErr w:type="spellEnd"/>
                            <w:r>
                              <w:rPr>
                                <w:sz w:val="18"/>
                              </w:rPr>
                              <w:t xml:space="preserve">-AGRI contribuye a garantizar un suministro estable de alimentos, piensos y biomateriales, trabajando en armonía con los recursos naturales esenciales de los que depende la agricultura. La </w:t>
                            </w:r>
                            <w:proofErr w:type="spellStart"/>
                            <w:r>
                              <w:rPr>
                                <w:sz w:val="18"/>
                              </w:rPr>
                              <w:t>AEI</w:t>
                            </w:r>
                            <w:proofErr w:type="spellEnd"/>
                            <w:r>
                              <w:rPr>
                                <w:sz w:val="18"/>
                              </w:rPr>
                              <w:t xml:space="preserve">-AGRI reúne a los agentes de innovación (agricultores, asesores, investigadores, empresas, ONG, etc.) a escala de la UE y en los programas de desarrollo rural en forma de grupos operativos. Tales innovaciones pueden ser tecnológicas, pero también no tecnológicas, organizativas o sociales. La innovación puede basarse en nuevas prácticas, pero también en prácticas tradicionales en un nuevo contexto geográfico o medioambiental. Los </w:t>
                            </w:r>
                            <w:proofErr w:type="spellStart"/>
                            <w:r>
                              <w:rPr>
                                <w:sz w:val="18"/>
                              </w:rPr>
                              <w:t>GO</w:t>
                            </w:r>
                            <w:proofErr w:type="spellEnd"/>
                            <w:r>
                              <w:rPr>
                                <w:sz w:val="18"/>
                              </w:rPr>
                              <w:t xml:space="preserve"> de la </w:t>
                            </w:r>
                            <w:proofErr w:type="spellStart"/>
                            <w:r>
                              <w:rPr>
                                <w:sz w:val="18"/>
                              </w:rPr>
                              <w:t>AEI</w:t>
                            </w:r>
                            <w:proofErr w:type="spellEnd"/>
                            <w:r>
                              <w:rPr>
                                <w:sz w:val="18"/>
                              </w:rPr>
                              <w:t xml:space="preserve"> se basan en proyectos y abordan un problema (práctico) u oportunidad concretos que pueden dar lugar a una innovación y contribuir a la consecución de los objetivos del programa. Cada </w:t>
                            </w:r>
                            <w:proofErr w:type="spellStart"/>
                            <w:r>
                              <w:rPr>
                                <w:sz w:val="18"/>
                              </w:rPr>
                              <w:t>GO</w:t>
                            </w:r>
                            <w:proofErr w:type="spellEnd"/>
                            <w:r>
                              <w:rPr>
                                <w:sz w:val="18"/>
                              </w:rPr>
                              <w:t xml:space="preserve"> está formado por aquellos agentes clave (por ejemplo, agricultores, asesores, investigadores, empresas, ONG) que están mejor situados para lograr los objetivos del proyecto, compartir las experiencias de su ejecución y dar amplia difusión a los resultados. El enfoque del </w:t>
                            </w:r>
                            <w:proofErr w:type="spellStart"/>
                            <w:r>
                              <w:rPr>
                                <w:sz w:val="18"/>
                              </w:rPr>
                              <w:t>GO</w:t>
                            </w:r>
                            <w:proofErr w:type="spellEnd"/>
                            <w:r>
                              <w:rPr>
                                <w:sz w:val="18"/>
                              </w:rPr>
                              <w:t xml:space="preserve"> saca el máximo fruto de los diferentes tipos de conocimientos (prácticos, científicos, técnicos, organizativos, etc.) de forma interactiva. Un enfoque práctico para apoyarlo es la «mediación para la innovación». La normativa ofrece cuatro posibilidades para financiar la mediación para la </w:t>
                            </w:r>
                            <w:proofErr w:type="spellStart"/>
                            <w:r>
                              <w:rPr>
                                <w:sz w:val="18"/>
                              </w:rPr>
                              <w:t>innovación</w:t>
                            </w:r>
                            <w:r>
                              <w:rPr>
                                <w:sz w:val="18"/>
                                <w:vertAlign w:val="superscript"/>
                              </w:rPr>
                              <w:t>23</w:t>
                            </w:r>
                            <w:proofErr w:type="spellEnd"/>
                            <w:r>
                              <w:rPr>
                                <w:sz w:val="18"/>
                              </w:rPr>
                              <w:t xml:space="preserve">. La mediación para la innovación puede desempeñar una tarea importante en el descubrimiento de ideas innovadoras, facilitando la creación de </w:t>
                            </w:r>
                            <w:proofErr w:type="spellStart"/>
                            <w:r>
                              <w:rPr>
                                <w:sz w:val="18"/>
                              </w:rPr>
                              <w:t>GO</w:t>
                            </w:r>
                            <w:proofErr w:type="spellEnd"/>
                            <w:r>
                              <w:rPr>
                                <w:sz w:val="18"/>
                              </w:rPr>
                              <w:t xml:space="preserve">, particularmente actuando como un intermediario, conectando a los agentes de innovación (agricultores, investigadores, asesores, ONG, etc.) en proyectos de innovación interactiva. Un «mediador para la innovación» tiene como objetivo descubrir las iniciativas ascendentes, ayuda a perfeccionar las ideas innovadoras y ofrece apoyo para encontrar socios y financiación. La principal tarea del mediador es ayudar a preparar una propuesta solida de proyecto innovador. </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E883D" id="Rectangle: Diagonal Corners Rounded 58" o:spid="_x0000_s1035" style="position:absolute;left:0;text-align:left;margin-left:72.75pt;margin-top:31.45pt;width:446.6pt;height:386.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671820,4905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" adj="-11796480,,5400" path="m305311,l5671820,r,l5671820,4600064v,168619,-136692,305311,-305311,305311l,4905375r,l,305311c,136692,136692,,305311,xe" filled="f" strokecolor="#be4a35" strokeweight="2pt">
                <v:stroke joinstyle="miter"/>
                <v:formulas/>
                <v:path arrowok="t" o:connecttype="custom" o:connectlocs="305311,0;5671820,0;5671820,0;5671820,4600064;5366509,4905375;0,4905375;0,4905375;0,305311;305311,0" o:connectangles="0,0,0,0,0,0,0,0,0" textboxrect="0,0,5671820,4905375"/>
                <v:textbox inset=",,,0">
                  <w:txbxContent>
                    <w:p w:rsidR="008D2E0D" w:rsidRPr="002F0ABF" w:rsidRDefault="008D2E0D" w:rsidP="00E05D08">
                      <w:pPr>
                        <w:pStyle w:val="HStandard"/>
                        <w:rPr>
                          <w:sz w:val="18"/>
                          <w:szCs w:val="18"/>
                        </w:rPr>
                      </w:pPr>
                      <w:r>
                        <w:rPr>
                          <w:noProof/>
                          <w:lang w:val="en-GB" w:eastAsia="en-GB" w:bidi="ar-SA"/>
                        </w:rPr>
                        <w:drawing>
                          <wp:inline distT="0" distB="0" distL="0" distR="0" wp14:anchorId="4BB2FADE" wp14:editId="2C4EE579">
                            <wp:extent cx="664845" cy="487680"/>
                            <wp:effectExtent l="0" t="0" r="0" b="7620"/>
                            <wp:docPr id="730"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La </w:t>
                      </w:r>
                      <w:proofErr w:type="spellStart"/>
                      <w:r>
                        <w:t>AEI</w:t>
                      </w:r>
                      <w:proofErr w:type="spellEnd"/>
                      <w:r>
                        <w:t>-AGRI forma parte de la Estrategia Europa 2020 para acelerar la innovación en la UE, fomentando un sector agrícola y forestal competitivo y sostenible que «obtenga más con menos».</w:t>
                      </w:r>
                      <w:r>
                        <w:rPr>
                          <w:sz w:val="18"/>
                        </w:rPr>
                        <w:t xml:space="preserve"> La </w:t>
                      </w:r>
                      <w:proofErr w:type="spellStart"/>
                      <w:r>
                        <w:rPr>
                          <w:sz w:val="18"/>
                        </w:rPr>
                        <w:t>AEI</w:t>
                      </w:r>
                      <w:proofErr w:type="spellEnd"/>
                      <w:r>
                        <w:rPr>
                          <w:sz w:val="18"/>
                        </w:rPr>
                        <w:t xml:space="preserve">-AGRI contribuye a garantizar un suministro estable de alimentos, piensos y biomateriales, trabajando en armonía con los recursos naturales esenciales de los que depende la agricultura. La </w:t>
                      </w:r>
                      <w:proofErr w:type="spellStart"/>
                      <w:r>
                        <w:rPr>
                          <w:sz w:val="18"/>
                        </w:rPr>
                        <w:t>AEI</w:t>
                      </w:r>
                      <w:proofErr w:type="spellEnd"/>
                      <w:r>
                        <w:rPr>
                          <w:sz w:val="18"/>
                        </w:rPr>
                        <w:t xml:space="preserve">-AGRI reúne a los agentes de innovación (agricultores, asesores, investigadores, empresas, ONG, etc.) a escala de la UE y en los programas de desarrollo rural en forma de grupos operativos. Tales innovaciones pueden ser tecnológicas, pero también no tecnológicas, organizativas o sociales. La innovación puede basarse en nuevas prácticas, pero también en prácticas tradicionales en un nuevo contexto geográfico o medioambiental. Los </w:t>
                      </w:r>
                      <w:proofErr w:type="spellStart"/>
                      <w:r>
                        <w:rPr>
                          <w:sz w:val="18"/>
                        </w:rPr>
                        <w:t>GO</w:t>
                      </w:r>
                      <w:proofErr w:type="spellEnd"/>
                      <w:r>
                        <w:rPr>
                          <w:sz w:val="18"/>
                        </w:rPr>
                        <w:t xml:space="preserve"> de la </w:t>
                      </w:r>
                      <w:proofErr w:type="spellStart"/>
                      <w:r>
                        <w:rPr>
                          <w:sz w:val="18"/>
                        </w:rPr>
                        <w:t>AEI</w:t>
                      </w:r>
                      <w:proofErr w:type="spellEnd"/>
                      <w:r>
                        <w:rPr>
                          <w:sz w:val="18"/>
                        </w:rPr>
                        <w:t xml:space="preserve"> se basan en proyectos y abordan un problema (práctico) u oportunidad concretos que pueden dar lugar a una innovación y contribuir a la consecución de los objetivos del programa. Cada </w:t>
                      </w:r>
                      <w:proofErr w:type="spellStart"/>
                      <w:r>
                        <w:rPr>
                          <w:sz w:val="18"/>
                        </w:rPr>
                        <w:t>GO</w:t>
                      </w:r>
                      <w:proofErr w:type="spellEnd"/>
                      <w:r>
                        <w:rPr>
                          <w:sz w:val="18"/>
                        </w:rPr>
                        <w:t xml:space="preserve"> está formado por aquellos agentes clave (por ejemplo, agricultores, asesores, investigadores, empresas, ONG) que están mejor situados para lograr los objetivos del proyecto, compartir las experiencias de su ejecución y dar amplia difusión a los resultados. El enfoque del </w:t>
                      </w:r>
                      <w:proofErr w:type="spellStart"/>
                      <w:r>
                        <w:rPr>
                          <w:sz w:val="18"/>
                        </w:rPr>
                        <w:t>GO</w:t>
                      </w:r>
                      <w:proofErr w:type="spellEnd"/>
                      <w:r>
                        <w:rPr>
                          <w:sz w:val="18"/>
                        </w:rPr>
                        <w:t xml:space="preserve"> saca el máximo fruto de los diferentes tipos de conocimientos (prácticos, científicos, técnicos, organizativos, etc.) de forma interactiva. Un enfoque práctico para apoyarlo es la «mediación para la innovación». La normativa ofrece cuatro posibilidades para financiar la mediación para la </w:t>
                      </w:r>
                      <w:proofErr w:type="spellStart"/>
                      <w:r>
                        <w:rPr>
                          <w:sz w:val="18"/>
                        </w:rPr>
                        <w:t>innovación</w:t>
                      </w:r>
                      <w:r>
                        <w:rPr>
                          <w:sz w:val="18"/>
                          <w:vertAlign w:val="superscript"/>
                        </w:rPr>
                        <w:t>23</w:t>
                      </w:r>
                      <w:proofErr w:type="spellEnd"/>
                      <w:r>
                        <w:rPr>
                          <w:sz w:val="18"/>
                        </w:rPr>
                        <w:t xml:space="preserve">. La mediación para la innovación puede desempeñar una tarea importante en el descubrimiento de ideas innovadoras, facilitando la creación de </w:t>
                      </w:r>
                      <w:proofErr w:type="spellStart"/>
                      <w:r>
                        <w:rPr>
                          <w:sz w:val="18"/>
                        </w:rPr>
                        <w:t>GO</w:t>
                      </w:r>
                      <w:proofErr w:type="spellEnd"/>
                      <w:r>
                        <w:rPr>
                          <w:sz w:val="18"/>
                        </w:rPr>
                        <w:t xml:space="preserve">, particularmente actuando como un intermediario, conectando a los agentes de innovación (agricultores, investigadores, asesores, ONG, etc.) en proyectos de innovación interactiva. Un «mediador para la innovación» tiene como objetivo descubrir las iniciativas ascendentes, ayuda a perfeccionar las ideas innovadoras y ofrece apoyo para encontrar socios y financiación. La principal tarea del mediador es ayudar a preparar una propuesta solida de proyecto innovador. </w:t>
                      </w:r>
                    </w:p>
                  </w:txbxContent>
                </v:textbox>
                <w10:wrap type="square" anchorx="page"/>
              </v:shape>
            </w:pict>
          </mc:Fallback>
        </mc:AlternateContent>
      </w:r>
      <w:r w:rsidR="00D461AB" w:rsidRPr="009E6414">
        <w:rPr>
          <w:rStyle w:val="FootnoteReference"/>
          <w:noProof/>
          <w:color w:val="FFFFFF" w:themeColor="background1"/>
          <w:shd w:val="clear" w:color="auto" w:fill="FFFFFF"/>
          <w:lang w:val="es-ES_tradnl"/>
        </w:rPr>
        <w:footnoteReference w:id="23"/>
      </w:r>
    </w:p>
    <w:p w:rsidR="00A45935" w:rsidRPr="009E6414" w:rsidRDefault="00A45935" w:rsidP="00EA0974">
      <w:pPr>
        <w:spacing w:before="240" w:after="120" w:line="280" w:lineRule="atLeast"/>
        <w:mirrorIndents/>
        <w:rPr>
          <w:rFonts w:eastAsia="Times New Roman" w:cs="Times New Roman"/>
          <w:noProof/>
          <w:szCs w:val="20"/>
          <w:shd w:val="clear" w:color="auto" w:fill="FFFFFF"/>
          <w:lang w:val="es-ES_tradnl"/>
        </w:rPr>
      </w:pPr>
      <w:r w:rsidRPr="009E6414">
        <w:rPr>
          <w:noProof/>
          <w:lang w:val="es-ES_tradnl"/>
        </w:rPr>
        <w:t>Otras medidas</w:t>
      </w:r>
      <w:r w:rsidRPr="009E6414">
        <w:rPr>
          <w:noProof/>
          <w:shd w:val="clear" w:color="auto" w:fill="FFFFFF"/>
          <w:vertAlign w:val="superscript"/>
          <w:lang w:val="es-ES_tradnl"/>
        </w:rPr>
        <w:footnoteReference w:id="24"/>
      </w:r>
      <w:r w:rsidRPr="009E6414">
        <w:rPr>
          <w:noProof/>
          <w:lang w:val="es-ES_tradnl"/>
        </w:rPr>
        <w:t xml:space="preserve"> que mencionan específicamente la innovación son por ejemplo:</w:t>
      </w:r>
    </w:p>
    <w:p w:rsidR="00A45935" w:rsidRPr="009E6414" w:rsidRDefault="00A45935" w:rsidP="008C0B17">
      <w:pPr>
        <w:numPr>
          <w:ilvl w:val="0"/>
          <w:numId w:val="52"/>
        </w:numPr>
        <w:spacing w:before="60" w:after="120" w:line="280" w:lineRule="atLeast"/>
        <w:ind w:left="567" w:hanging="567"/>
        <w:mirrorIndents/>
        <w:rPr>
          <w:rFonts w:eastAsia="Times New Roman" w:cs="Times New Roman"/>
          <w:noProof/>
          <w:szCs w:val="20"/>
          <w:shd w:val="clear" w:color="auto" w:fill="FFFFFF"/>
          <w:lang w:val="es-ES_tradnl"/>
        </w:rPr>
      </w:pPr>
      <w:r w:rsidRPr="009E6414">
        <w:rPr>
          <w:noProof/>
          <w:lang w:val="es-ES_tradnl"/>
        </w:rPr>
        <w:t>la creación de agrupaciones y organizaciones de productores, cuyas actividades incluyen,</w:t>
      </w:r>
      <w:r w:rsidRPr="009E6414">
        <w:rPr>
          <w:i/>
          <w:noProof/>
          <w:shd w:val="clear" w:color="auto" w:fill="FFFFFF"/>
          <w:lang w:val="es-ES_tradnl"/>
        </w:rPr>
        <w:t xml:space="preserve"> </w:t>
      </w:r>
      <w:r w:rsidRPr="009E6414">
        <w:rPr>
          <w:noProof/>
          <w:lang w:val="es-ES_tradnl"/>
        </w:rPr>
        <w:t>entre otras cosas, la «organización y facilitación de procesos innovadores»</w:t>
      </w:r>
      <w:r w:rsidRPr="009E6414">
        <w:rPr>
          <w:noProof/>
          <w:shd w:val="clear" w:color="auto" w:fill="FFFFFF"/>
          <w:vertAlign w:val="superscript"/>
          <w:lang w:val="es-ES_tradnl"/>
        </w:rPr>
        <w:footnoteReference w:id="25"/>
      </w:r>
      <w:r w:rsidRPr="009E6414">
        <w:rPr>
          <w:noProof/>
          <w:lang w:val="es-ES_tradnl"/>
        </w:rPr>
        <w:t xml:space="preserve"> (M9);</w:t>
      </w:r>
    </w:p>
    <w:p w:rsidR="00A45935" w:rsidRPr="009E6414" w:rsidRDefault="00A45935" w:rsidP="008C0B17">
      <w:pPr>
        <w:numPr>
          <w:ilvl w:val="0"/>
          <w:numId w:val="52"/>
        </w:numPr>
        <w:spacing w:before="60" w:after="120" w:line="280" w:lineRule="atLeast"/>
        <w:ind w:left="567" w:hanging="567"/>
        <w:mirrorIndents/>
        <w:rPr>
          <w:rFonts w:eastAsia="Times New Roman" w:cs="Times New Roman"/>
          <w:noProof/>
          <w:szCs w:val="20"/>
          <w:shd w:val="clear" w:color="auto" w:fill="FFFFFF"/>
          <w:lang w:val="es-ES_tradnl"/>
        </w:rPr>
      </w:pPr>
      <w:r w:rsidRPr="009E6414">
        <w:rPr>
          <w:noProof/>
          <w:lang w:val="es-ES_tradnl"/>
        </w:rPr>
        <w:t>la innovación es uno de los siete principios de Leader/DLP</w:t>
      </w:r>
      <w:r w:rsidRPr="009E6414">
        <w:rPr>
          <w:noProof/>
          <w:shd w:val="clear" w:color="auto" w:fill="FFFFFF"/>
          <w:vertAlign w:val="superscript"/>
          <w:lang w:val="es-ES_tradnl"/>
        </w:rPr>
        <w:footnoteReference w:id="26"/>
      </w:r>
      <w:r w:rsidRPr="009E6414">
        <w:rPr>
          <w:noProof/>
          <w:lang w:val="es-ES_tradnl"/>
        </w:rPr>
        <w:t xml:space="preserve"> (M19).</w:t>
      </w:r>
    </w:p>
    <w:p w:rsidR="00A45935" w:rsidRPr="009E6414" w:rsidRDefault="00A45935" w:rsidP="00E05D08">
      <w:pPr>
        <w:spacing w:after="120" w:line="280" w:lineRule="atLeast"/>
        <w:mirrorIndents/>
        <w:rPr>
          <w:rFonts w:eastAsia="Times New Roman" w:cs="Times New Roman"/>
          <w:noProof/>
          <w:szCs w:val="20"/>
          <w:shd w:val="clear" w:color="auto" w:fill="FFFFFF"/>
          <w:lang w:val="es-ES_tradnl"/>
        </w:rPr>
      </w:pPr>
      <w:r w:rsidRPr="009E6414">
        <w:rPr>
          <w:b/>
          <w:noProof/>
          <w:shd w:val="clear" w:color="auto" w:fill="FFFFFF"/>
          <w:lang w:val="es-ES_tradnl"/>
        </w:rPr>
        <w:t xml:space="preserve">Cada medida/submedida del PDR tiene en principio el potencial para fomentar la innovación. </w:t>
      </w:r>
      <w:r w:rsidRPr="009E6414">
        <w:rPr>
          <w:noProof/>
          <w:lang w:val="es-ES_tradnl"/>
        </w:rPr>
        <w:t>El planteamiento específico con respecto a la innovación elegido por el PDR se plasma en los criterios de subvencionabilidad y selección de los proyectos de innovación y en la combinación de medidas en el marco de los ámbitos de interés para apoyar la innovación (acciones de conocimiento, servicios de asesoramiento, cooperación, inversiones, creación de redes, etc.). Con el fin de potenciar la innovación, las autoridades de gestión pueden utilizar distintos planteamientos para organizar y combinar medidas blandas (por ejemplo, 1, 2 y 16) y duras (apoyo a las inversiones, desarrollo territorial, comercialización, medio ambiente, naturaleza,</w:t>
      </w:r>
      <w:r w:rsidRPr="009E6414">
        <w:rPr>
          <w:b/>
          <w:noProof/>
          <w:shd w:val="clear" w:color="auto" w:fill="FFFFFF"/>
          <w:lang w:val="es-ES_tradnl"/>
        </w:rPr>
        <w:t xml:space="preserve"> </w:t>
      </w:r>
      <w:r w:rsidRPr="009E6414">
        <w:rPr>
          <w:noProof/>
          <w:lang w:val="es-ES_tradnl"/>
        </w:rPr>
        <w:t>etc.).</w:t>
      </w:r>
    </w:p>
    <w:p w:rsidR="00A45935" w:rsidRPr="009E6414" w:rsidRDefault="00A45935" w:rsidP="000E0FE4">
      <w:pPr>
        <w:spacing w:after="120" w:line="280" w:lineRule="atLeast"/>
        <w:mirrorIndents/>
        <w:rPr>
          <w:rFonts w:eastAsia="Times New Roman" w:cs="Times New Roman"/>
          <w:noProof/>
          <w:szCs w:val="20"/>
          <w:shd w:val="clear" w:color="auto" w:fill="FFFFFF"/>
          <w:lang w:val="es-ES_tradnl"/>
        </w:rPr>
      </w:pPr>
      <w:r w:rsidRPr="009E6414">
        <w:rPr>
          <w:b/>
          <w:noProof/>
          <w:shd w:val="clear" w:color="auto" w:fill="FFFFFF"/>
          <w:lang w:val="es-ES_tradnl"/>
        </w:rPr>
        <w:lastRenderedPageBreak/>
        <w:t>Pueden producirse contribuciones secundarias de innovaciones a otros ámbitos de interés.</w:t>
      </w:r>
      <w:r w:rsidRPr="009E6414">
        <w:rPr>
          <w:noProof/>
          <w:lang w:val="es-ES_tradnl"/>
        </w:rPr>
        <w:t xml:space="preserve"> Por ejemplo, las operaciones de cooperación programadas en virtud del ámbito de interés 2A podrían producir un enfoque innovador para la mejora de la biodiversidad y, por lo tanto, revelar contribuciones secundarias al ámbito de interés 4A. O, las acciones innovadoras de un GO podrían desarrollar una nueva técnica que ayude a reducir los daños de la erosión del suelo causados por la producción agrícola primaria (programadas en virtud del ámbito de interés 4C). Esto, sin embargo, también aumenta la competitividad y el acceso a los mercados (una contribución secundaria al ámbito de interés 2A).</w:t>
      </w:r>
    </w:p>
    <w:p w:rsidR="00A45935" w:rsidRPr="009E6414" w:rsidRDefault="00A45935" w:rsidP="00E05D08">
      <w:pPr>
        <w:spacing w:after="120" w:line="280" w:lineRule="atLeast"/>
        <w:mirrorIndents/>
        <w:rPr>
          <w:rFonts w:eastAsia="Times New Roman" w:cs="Times New Roman"/>
          <w:b/>
          <w:noProof/>
          <w:szCs w:val="20"/>
          <w:shd w:val="clear" w:color="auto" w:fill="FFFFFF"/>
          <w:lang w:val="es-ES_tradnl"/>
        </w:rPr>
      </w:pPr>
      <w:r w:rsidRPr="009E6414">
        <w:rPr>
          <w:b/>
          <w:noProof/>
          <w:shd w:val="clear" w:color="auto" w:fill="FFFFFF"/>
          <w:lang w:val="es-ES_tradnl"/>
        </w:rPr>
        <w:t>La creación de redes en el contexto de la política de desarrollo rural desempeña una tarea importante en la potenciación de la innovación:</w:t>
      </w:r>
    </w:p>
    <w:p w:rsidR="00A45935" w:rsidRPr="009E6414" w:rsidRDefault="00A45935" w:rsidP="001744D0">
      <w:pPr>
        <w:pStyle w:val="Hlistbullet"/>
        <w:rPr>
          <w:noProof/>
          <w:lang w:val="es-ES_tradnl"/>
        </w:rPr>
      </w:pPr>
      <w:r w:rsidRPr="009E6414">
        <w:rPr>
          <w:b/>
          <w:noProof/>
          <w:shd w:val="clear" w:color="auto" w:fill="FFFFFF"/>
          <w:lang w:val="es-ES_tradnl"/>
        </w:rPr>
        <w:t>La red de la AEI</w:t>
      </w:r>
      <w:r w:rsidRPr="009E6414">
        <w:rPr>
          <w:noProof/>
          <w:lang w:val="es-ES_tradnl"/>
        </w:rPr>
        <w:t xml:space="preserve"> es un nuevo servicio en red para el período 2014-2020, específicamente instaurado para apoyar a la AEI-AGRI</w:t>
      </w:r>
      <w:r w:rsidRPr="009E6414">
        <w:rPr>
          <w:noProof/>
          <w:vertAlign w:val="superscript"/>
          <w:lang w:val="es-ES_tradnl"/>
        </w:rPr>
        <w:footnoteReference w:id="27"/>
      </w:r>
      <w:r w:rsidRPr="009E6414">
        <w:rPr>
          <w:noProof/>
          <w:lang w:val="es-ES_tradnl"/>
        </w:rPr>
        <w:t xml:space="preserve"> - Asociación Europea para la Innovación en materia de Productividad y Sostenibilidad Agrícolas. Tiene como principales objetivos conectar a los grupos operativos de la AEI, facilitar el intercambio de conocimientos, experiencias y buenas prácticas y establecer un diálogo entre las comunidades agrícolas y de investigación. La red AEI-AGRI está gestionada por la Comisión Europea (DG Agricultura y Desarrollo Rural) con la ayuda del Punto de Servicio (PS). El equipo del PS facilita las actividades de creación de redes, mejorando la comunicación, el intercambio de conocimientos y la interrelación a través de conferencias, grupos de discusión, talleres, seminarios y publicaciones. El objetivo principal es estimular la interacción entre todos los agentes implicados en la AEI-AGRI: agricultores, investigadores, asesores, ONG, empresas, autoridades públicas, etc. Una plataforma web interactiva de la AEI sustenta las funciones de creación de redes. Dicha plataforma permite la interconexión de todas las partes interesadas relacionadas con la innovación, especialmente grupos operativos, servicios de asesoría, investigadores, agricultores, y otras partes interesadas en el proceso de intercambio de conocimientos.</w:t>
      </w:r>
    </w:p>
    <w:p w:rsidR="00EA0974" w:rsidRPr="009E6414" w:rsidRDefault="00A45935" w:rsidP="001744D0">
      <w:pPr>
        <w:pStyle w:val="Hlistbullet"/>
        <w:rPr>
          <w:noProof/>
          <w:shd w:val="clear" w:color="auto" w:fill="FFFFFF"/>
          <w:lang w:val="es-ES_tradnl"/>
        </w:rPr>
      </w:pPr>
      <w:r w:rsidRPr="009E6414">
        <w:rPr>
          <w:noProof/>
          <w:lang w:val="es-ES_tradnl"/>
        </w:rPr>
        <w:t xml:space="preserve">Las </w:t>
      </w:r>
      <w:r w:rsidRPr="009E6414">
        <w:rPr>
          <w:b/>
          <w:noProof/>
          <w:shd w:val="clear" w:color="auto" w:fill="FFFFFF"/>
          <w:lang w:val="es-ES_tradnl"/>
        </w:rPr>
        <w:t>redes rurales nacionales</w:t>
      </w:r>
      <w:r w:rsidRPr="009E6414">
        <w:rPr>
          <w:noProof/>
          <w:lang w:val="es-ES_tradnl"/>
        </w:rPr>
        <w:t xml:space="preserve"> (RRN) potencian la innovación en el sector agrícola, la producción alimentaria, la selvicultura y las zonas rurales</w:t>
      </w:r>
      <w:r w:rsidRPr="009E6414">
        <w:rPr>
          <w:noProof/>
          <w:vertAlign w:val="superscript"/>
          <w:lang w:val="es-ES_tradnl"/>
        </w:rPr>
        <w:footnoteReference w:id="28"/>
      </w:r>
      <w:r w:rsidRPr="009E6414">
        <w:rPr>
          <w:noProof/>
          <w:lang w:val="es-ES_tradnl"/>
        </w:rPr>
        <w:t>. Están respaldadas a nivel de la UE por la red europea de desarrollo rural (REDR). Las RRN pueden actuar como «mediadores para la innovación»</w:t>
      </w:r>
      <w:r w:rsidRPr="009E6414">
        <w:rPr>
          <w:noProof/>
          <w:shd w:val="clear" w:color="auto" w:fill="FFFFFF"/>
          <w:vertAlign w:val="superscript"/>
          <w:lang w:val="es-ES_tradnl"/>
        </w:rPr>
        <w:footnoteReference w:id="29"/>
      </w:r>
      <w:r w:rsidRPr="009E6414">
        <w:rPr>
          <w:noProof/>
          <w:lang w:val="es-ES_tradnl"/>
        </w:rPr>
        <w:t>, lo cual requiere una profunda conexión con el mundo agrícola y un absoluto conocimiento del mismo así como unas capacidades de comunicación altamente desarrolladas. Las RRN interactúan con la red de la AEI para buscar inspiración e intercambiar información y planteamientos para incentivar la innovación. Además de recopilar buenas prácticas y ejemplos y facilitar intercambios temáticos entre los interesados en el desarrollo rural, también tienen el cometido específico de facilitar una red de contactos de asesores y servicios de apoyo a la innovación</w:t>
      </w:r>
      <w:r w:rsidRPr="009E6414">
        <w:rPr>
          <w:noProof/>
          <w:shd w:val="clear" w:color="auto" w:fill="FFFFFF"/>
          <w:vertAlign w:val="superscript"/>
          <w:lang w:val="es-ES_tradnl"/>
        </w:rPr>
        <w:footnoteReference w:id="30"/>
      </w:r>
      <w:r w:rsidRPr="009E6414">
        <w:rPr>
          <w:noProof/>
          <w:lang w:val="es-ES_tradnl"/>
        </w:rPr>
        <w:t>. Esto ayuda a captar las ideas innovadoras de los profesionales.</w:t>
      </w:r>
    </w:p>
    <w:p w:rsidR="00A45935" w:rsidRPr="009E6414" w:rsidRDefault="00A45935" w:rsidP="009B603C">
      <w:pPr>
        <w:pStyle w:val="HHeading3"/>
        <w:spacing w:line="280" w:lineRule="exact"/>
        <w:rPr>
          <w:noProof/>
          <w:shd w:val="clear" w:color="auto" w:fill="FFFFFF"/>
          <w:lang w:val="es-ES_tradnl"/>
        </w:rPr>
      </w:pPr>
      <w:bookmarkStart w:id="8" w:name="_Toc508707913"/>
      <w:r w:rsidRPr="009E6414">
        <w:rPr>
          <w:noProof/>
          <w:lang w:val="es-ES_tradnl"/>
        </w:rPr>
        <w:t>Elementos comunes de evaluación para la innovación</w:t>
      </w:r>
      <w:bookmarkEnd w:id="8"/>
      <w:r w:rsidRPr="009E6414">
        <w:rPr>
          <w:noProof/>
          <w:lang w:val="es-ES_tradnl"/>
        </w:rPr>
        <w:t xml:space="preserve"> </w:t>
      </w:r>
    </w:p>
    <w:p w:rsidR="00A45935" w:rsidRPr="009E6414" w:rsidRDefault="00A45935" w:rsidP="00E05D08">
      <w:pPr>
        <w:spacing w:after="120" w:line="280" w:lineRule="atLeast"/>
        <w:mirrorIndents/>
        <w:rPr>
          <w:rFonts w:eastAsia="Times New Roman" w:cs="Times New Roman"/>
          <w:b/>
          <w:noProof/>
          <w:szCs w:val="20"/>
          <w:shd w:val="clear" w:color="auto" w:fill="FFFFFF"/>
          <w:lang w:val="es-ES_tradnl"/>
        </w:rPr>
      </w:pPr>
      <w:r w:rsidRPr="009E6414">
        <w:rPr>
          <w:b/>
          <w:noProof/>
          <w:shd w:val="clear" w:color="auto" w:fill="FFFFFF"/>
          <w:lang w:val="es-ES_tradnl"/>
        </w:rPr>
        <w:t>El</w:t>
      </w:r>
      <w:r w:rsidRPr="009E6414">
        <w:rPr>
          <w:noProof/>
          <w:lang w:val="es-ES_tradnl"/>
        </w:rPr>
        <w:t xml:space="preserve"> </w:t>
      </w:r>
      <w:r w:rsidRPr="009E6414">
        <w:rPr>
          <w:b/>
          <w:noProof/>
          <w:shd w:val="clear" w:color="auto" w:fill="FFFFFF"/>
          <w:lang w:val="es-ES_tradnl"/>
        </w:rPr>
        <w:t>plan de evaluación</w:t>
      </w:r>
      <w:r w:rsidRPr="009E6414">
        <w:rPr>
          <w:noProof/>
          <w:shd w:val="clear" w:color="auto" w:fill="FFFFFF"/>
          <w:vertAlign w:val="superscript"/>
          <w:lang w:val="es-ES_tradnl"/>
        </w:rPr>
        <w:footnoteReference w:id="31"/>
      </w:r>
      <w:r w:rsidRPr="009E6414">
        <w:rPr>
          <w:b/>
          <w:noProof/>
          <w:shd w:val="clear" w:color="auto" w:fill="FFFFFF"/>
          <w:lang w:val="es-ES_tradnl"/>
        </w:rPr>
        <w:t xml:space="preserve"> (PE) incluido en el PDR es el punto de partida para las evaluaciones. </w:t>
      </w:r>
      <w:r w:rsidRPr="009E6414">
        <w:rPr>
          <w:noProof/>
          <w:lang w:val="es-ES_tradnl"/>
        </w:rPr>
        <w:t>Dicho plan especifica la valoración de la innovación entre aquellos temas y actividades</w:t>
      </w:r>
      <w:r w:rsidRPr="009E6414">
        <w:rPr>
          <w:b/>
          <w:noProof/>
          <w:shd w:val="clear" w:color="auto" w:fill="FFFFFF"/>
          <w:lang w:val="es-ES_tradnl"/>
        </w:rPr>
        <w:t xml:space="preserve"> </w:t>
      </w:r>
      <w:r w:rsidRPr="009E6414">
        <w:rPr>
          <w:noProof/>
          <w:lang w:val="es-ES_tradnl"/>
        </w:rPr>
        <w:t>de la evaluación relacionados con cuestiones transversales. La notificación de estas actividades y resultados afines se incluyen en los informes anuales de ejecución</w:t>
      </w:r>
      <w:r w:rsidRPr="009E6414">
        <w:rPr>
          <w:noProof/>
          <w:shd w:val="clear" w:color="auto" w:fill="FFFFFF"/>
          <w:vertAlign w:val="superscript"/>
          <w:lang w:val="es-ES_tradnl"/>
        </w:rPr>
        <w:footnoteReference w:id="32"/>
      </w:r>
      <w:r w:rsidRPr="009E6414">
        <w:rPr>
          <w:noProof/>
          <w:lang w:val="es-ES_tradnl"/>
        </w:rPr>
        <w:t xml:space="preserve">. </w:t>
      </w:r>
    </w:p>
    <w:p w:rsidR="00A45935" w:rsidRPr="009E6414" w:rsidRDefault="00A45935" w:rsidP="00E05D08">
      <w:pPr>
        <w:spacing w:after="120" w:line="280" w:lineRule="atLeast"/>
        <w:mirrorIndents/>
        <w:rPr>
          <w:rFonts w:eastAsia="Times New Roman" w:cs="Times New Roman"/>
          <w:noProof/>
          <w:szCs w:val="20"/>
          <w:shd w:val="clear" w:color="auto" w:fill="FFFFFF"/>
          <w:lang w:val="es-ES_tradnl"/>
        </w:rPr>
      </w:pPr>
      <w:r w:rsidRPr="009E6414">
        <w:rPr>
          <w:noProof/>
          <w:lang w:val="es-ES_tradnl"/>
        </w:rPr>
        <w:lastRenderedPageBreak/>
        <w:t xml:space="preserve">El </w:t>
      </w:r>
      <w:r w:rsidRPr="009E6414">
        <w:rPr>
          <w:b/>
          <w:noProof/>
          <w:shd w:val="clear" w:color="auto" w:fill="FFFFFF"/>
          <w:lang w:val="es-ES_tradnl"/>
        </w:rPr>
        <w:t>sistema común de seguimiento y evaluación (SCSE)</w:t>
      </w:r>
      <w:r w:rsidRPr="009E6414">
        <w:rPr>
          <w:noProof/>
          <w:lang w:val="es-ES_tradnl"/>
        </w:rPr>
        <w:t xml:space="preserve"> incluye los elementos de evaluación para valorar la innovación, a saber, las preguntas comunes de evaluación (PCE), los criterios de valoración y los indicadores:</w:t>
      </w:r>
    </w:p>
    <w:p w:rsidR="00A45935" w:rsidRPr="009E6414" w:rsidRDefault="00A45935" w:rsidP="00624393">
      <w:pPr>
        <w:pStyle w:val="HStandard"/>
        <w:rPr>
          <w:noProof/>
          <w:lang w:val="es-ES_tradnl"/>
        </w:rPr>
      </w:pPr>
      <w:r w:rsidRPr="009E6414">
        <w:rPr>
          <w:noProof/>
          <w:lang w:val="es-ES_tradnl"/>
        </w:rPr>
        <w:t xml:space="preserve">Al </w:t>
      </w:r>
      <w:r w:rsidRPr="009E6414">
        <w:rPr>
          <w:b/>
          <w:noProof/>
          <w:lang w:val="es-ES_tradnl"/>
        </w:rPr>
        <w:t>nivel de los ámbitos de interés</w:t>
      </w:r>
      <w:r w:rsidRPr="009E6414">
        <w:rPr>
          <w:noProof/>
          <w:lang w:val="es-ES_tradnl"/>
        </w:rPr>
        <w:t>, dos preguntas comunes de evaluación relativas a la innovación están vinculadas a los objetivos de los ámbitos de interés 1A y 1B. Estas preguntas captan las contribuciones de las intervenciones en términos de realizaciones y resultados esperados:</w:t>
      </w:r>
    </w:p>
    <w:p w:rsidR="00A45935" w:rsidRPr="009E6414" w:rsidRDefault="00A45935" w:rsidP="00624393">
      <w:pPr>
        <w:pStyle w:val="Hlistbullet"/>
        <w:rPr>
          <w:noProof/>
          <w:lang w:val="es-ES_tradnl"/>
        </w:rPr>
      </w:pPr>
      <w:r w:rsidRPr="009E6414">
        <w:rPr>
          <w:noProof/>
          <w:lang w:val="es-ES_tradnl"/>
        </w:rPr>
        <w:t xml:space="preserve">PCE n.º 1: «¿En qué medida las intervenciones del PDR han apoyado la innovación, la cooperación y el desarrollo de la base de conocimientos en las zonas rurales?» </w:t>
      </w:r>
    </w:p>
    <w:p w:rsidR="00A45935" w:rsidRPr="009E6414" w:rsidRDefault="00A45935" w:rsidP="00624393">
      <w:pPr>
        <w:pStyle w:val="Hlistbullet"/>
        <w:rPr>
          <w:noProof/>
          <w:lang w:val="es-ES_tradnl"/>
        </w:rPr>
      </w:pPr>
      <w:r w:rsidRPr="009E6414">
        <w:rPr>
          <w:noProof/>
          <w:lang w:val="es-ES_tradnl"/>
        </w:rPr>
        <w:t xml:space="preserve">PCE n.º 2: «¿En qué medida las intervenciones del PDR han apoyado el refuerzo de los lazos entre la agricultura, la producción de alimentos y la silvicultura, por una parte, y la investigación y la innovación, por otra, también a efectos de conseguir una mejor gestión y mejores resultados medioambientales?» </w:t>
      </w:r>
    </w:p>
    <w:p w:rsidR="00A45935" w:rsidRPr="009E6414" w:rsidRDefault="00A45935" w:rsidP="00624393">
      <w:pPr>
        <w:pStyle w:val="HStandard"/>
        <w:rPr>
          <w:noProof/>
          <w:lang w:val="es-ES_tradnl"/>
        </w:rPr>
      </w:pPr>
      <w:r w:rsidRPr="009E6414">
        <w:rPr>
          <w:noProof/>
          <w:lang w:val="es-ES_tradnl"/>
        </w:rPr>
        <w:t xml:space="preserve">La PCE n.º 21: «¿En qué medida la RRN ha contribuido a la consecución de los objetivos fijados en el artículo 54, apartado 2, del Reglamento (UE) n.º 1305/2013?» se refiere a </w:t>
      </w:r>
      <w:r w:rsidRPr="009E6414">
        <w:rPr>
          <w:b/>
          <w:noProof/>
          <w:lang w:val="es-ES_tradnl"/>
        </w:rPr>
        <w:t>otros aspectos del PDR</w:t>
      </w:r>
      <w:r w:rsidRPr="009E6414">
        <w:rPr>
          <w:noProof/>
          <w:lang w:val="es-ES_tradnl"/>
        </w:rPr>
        <w:t>, particularmente para reflejar los resultados previstos y los resultados obtenidos por las RRN. Esta PCE es pertinente para la innovación ya que se refiere al objetivo que figura en el artículo 54, apartado 2, letra d): «potenciar la innovación en el sector agrícola, la producción alimentaria, la selvicultura y las zonas rurales».</w:t>
      </w:r>
    </w:p>
    <w:p w:rsidR="00A45935" w:rsidRPr="009E6414" w:rsidRDefault="00A45935" w:rsidP="00624393">
      <w:pPr>
        <w:pStyle w:val="HStandard"/>
        <w:rPr>
          <w:noProof/>
          <w:lang w:val="es-ES_tradnl"/>
        </w:rPr>
      </w:pPr>
      <w:r w:rsidRPr="009E6414">
        <w:rPr>
          <w:noProof/>
          <w:lang w:val="es-ES_tradnl"/>
        </w:rPr>
        <w:t xml:space="preserve">Al </w:t>
      </w:r>
      <w:r w:rsidRPr="009E6414">
        <w:rPr>
          <w:b/>
          <w:noProof/>
          <w:lang w:val="es-ES_tradnl"/>
        </w:rPr>
        <w:t>nivel de los objetivos de la UE</w:t>
      </w:r>
      <w:r w:rsidRPr="009E6414">
        <w:rPr>
          <w:noProof/>
          <w:lang w:val="es-ES_tradnl"/>
        </w:rPr>
        <w:t xml:space="preserve">, existen dos PCE relacionadas con la innovación para captar la contribución de los programas en términos de impactos previstos. </w:t>
      </w:r>
    </w:p>
    <w:p w:rsidR="00A45935" w:rsidRPr="009E6414" w:rsidRDefault="00A45935" w:rsidP="00624393">
      <w:pPr>
        <w:pStyle w:val="Hlistbullet"/>
        <w:rPr>
          <w:noProof/>
          <w:lang w:val="es-ES_tradnl"/>
        </w:rPr>
      </w:pPr>
      <w:r w:rsidRPr="009E6414">
        <w:rPr>
          <w:noProof/>
          <w:lang w:val="es-ES_tradnl"/>
        </w:rPr>
        <w:t xml:space="preserve">La PCE n.º 23 está relacionada con la consecución del objetivo principal de la UE: «¿En qué medida ha contribuido el PDR a la consecución del objetivo principal de la Estrategia Europa 2020 de invertir el 3 % del PIB de la UE en investigación y desarrollo e innovación?» </w:t>
      </w:r>
    </w:p>
    <w:p w:rsidR="00A45935" w:rsidRPr="009E6414" w:rsidRDefault="00A45935" w:rsidP="00624393">
      <w:pPr>
        <w:pStyle w:val="Hlistbullet"/>
        <w:rPr>
          <w:noProof/>
          <w:lang w:val="es-ES_tradnl"/>
        </w:rPr>
      </w:pPr>
      <w:r w:rsidRPr="009E6414">
        <w:rPr>
          <w:noProof/>
          <w:lang w:val="es-ES_tradnl"/>
        </w:rPr>
        <w:t xml:space="preserve">La PCE n.º 30 evalúa la innovación como objetivo transversal: «¿En qué medida ha contribuido el PDR a fomentar la innovación?» </w:t>
      </w:r>
    </w:p>
    <w:p w:rsidR="00A45935" w:rsidRPr="009E6414" w:rsidRDefault="00A45935" w:rsidP="00E05D08">
      <w:pPr>
        <w:spacing w:after="120" w:line="280" w:lineRule="atLeast"/>
        <w:mirrorIndents/>
        <w:rPr>
          <w:rFonts w:eastAsia="Times New Roman" w:cs="Times New Roman"/>
          <w:noProof/>
          <w:szCs w:val="20"/>
          <w:shd w:val="clear" w:color="auto" w:fill="FFFFFF"/>
          <w:lang w:val="es-ES_tradnl"/>
        </w:rPr>
      </w:pPr>
      <w:r w:rsidRPr="009E6414">
        <w:rPr>
          <w:noProof/>
          <w:lang w:val="es-ES_tradnl"/>
        </w:rPr>
        <w:t xml:space="preserve">La figura siguiente muestra cómo los elementos comunes de evaluación (PCE, criterios de valoración e indicadores) están relacionados con el marco político en los distintos niveles. Existen siete </w:t>
      </w:r>
      <w:r w:rsidRPr="009E6414">
        <w:rPr>
          <w:b/>
          <w:noProof/>
          <w:shd w:val="clear" w:color="auto" w:fill="FFFFFF"/>
          <w:lang w:val="es-ES_tradnl"/>
        </w:rPr>
        <w:t>indicadores comunes</w:t>
      </w:r>
      <w:r w:rsidRPr="009E6414">
        <w:rPr>
          <w:noProof/>
          <w:lang w:val="es-ES_tradnl"/>
        </w:rPr>
        <w:t xml:space="preserve"> asociados con las preguntas comunes de evaluación para la innovación: cinco indicadores de productividad y dos indicadores de objetivos</w:t>
      </w:r>
      <w:r w:rsidRPr="009E6414">
        <w:rPr>
          <w:noProof/>
          <w:shd w:val="clear" w:color="auto" w:fill="FFFFFF"/>
          <w:vertAlign w:val="superscript"/>
          <w:lang w:val="es-ES_tradnl"/>
        </w:rPr>
        <w:footnoteReference w:id="33"/>
      </w:r>
      <w:r w:rsidRPr="009E6414">
        <w:rPr>
          <w:noProof/>
          <w:lang w:val="es-ES_tradnl"/>
        </w:rPr>
        <w:t>.</w:t>
      </w:r>
    </w:p>
    <w:p w:rsidR="00A45935" w:rsidRPr="009E6414" w:rsidRDefault="00EA0974" w:rsidP="00230C31">
      <w:pPr>
        <w:pStyle w:val="HHeadingfigures"/>
      </w:pPr>
      <w:bookmarkStart w:id="9" w:name="_Toc508707930"/>
      <w:r w:rsidRPr="009E6414">
        <w:t>Elementos comunes de evaluación para la evaluación de la innovación</w:t>
      </w:r>
      <w:bookmarkEnd w:id="9"/>
      <w:r w:rsidRPr="009E6414">
        <w:t xml:space="preserve"> </w:t>
      </w:r>
    </w:p>
    <w:p w:rsidR="00A45935" w:rsidRPr="009E6414" w:rsidRDefault="006172D0" w:rsidP="00E05D08">
      <w:pPr>
        <w:spacing w:before="60" w:after="140" w:line="220" w:lineRule="atLeast"/>
        <w:jc w:val="center"/>
        <w:rPr>
          <w:rFonts w:eastAsia="Times New Roman" w:cs="Arial"/>
          <w:noProof/>
          <w:szCs w:val="20"/>
          <w:shd w:val="clear" w:color="auto" w:fill="FFFFFF"/>
          <w:lang w:val="es-ES_tradnl"/>
        </w:rPr>
      </w:pPr>
      <w:r w:rsidRPr="006172D0">
        <w:rPr>
          <w:noProof/>
          <w:lang w:val="en-GB" w:eastAsia="en-GB" w:bidi="ar-SA"/>
        </w:rPr>
        <w:lastRenderedPageBreak/>
        <w:drawing>
          <wp:inline distT="0" distB="0" distL="0" distR="0" wp14:anchorId="45F2636B" wp14:editId="7EDCE027">
            <wp:extent cx="5410200" cy="33975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0200" cy="3397598"/>
                    </a:xfrm>
                    <a:prstGeom prst="rect">
                      <a:avLst/>
                    </a:prstGeom>
                    <a:noFill/>
                    <a:ln>
                      <a:noFill/>
                    </a:ln>
                  </pic:spPr>
                </pic:pic>
              </a:graphicData>
            </a:graphic>
          </wp:inline>
        </w:drawing>
      </w:r>
    </w:p>
    <w:p w:rsidR="00A45935" w:rsidRPr="009E6414" w:rsidRDefault="00A45935" w:rsidP="00E05D08">
      <w:pPr>
        <w:suppressAutoHyphens/>
        <w:spacing w:before="60" w:after="140" w:line="240" w:lineRule="auto"/>
        <w:ind w:left="1134" w:right="1134"/>
        <w:mirrorIndents/>
        <w:jc w:val="center"/>
        <w:rPr>
          <w:rFonts w:eastAsia="Times New Roman" w:cs="Times New Roman"/>
          <w:i/>
          <w:noProof/>
          <w:sz w:val="16"/>
          <w:szCs w:val="16"/>
          <w:lang w:val="es-ES_tradnl"/>
        </w:rPr>
      </w:pPr>
      <w:r w:rsidRPr="009E6414">
        <w:rPr>
          <w:i/>
          <w:noProof/>
          <w:sz w:val="16"/>
          <w:lang w:val="es-ES_tradnl"/>
        </w:rPr>
        <w:t>Fuente: Servicio de asistencia de evaluación europeo para el desarrollo rural, 2017</w:t>
      </w:r>
    </w:p>
    <w:p w:rsidR="00690E70" w:rsidRPr="009E6414" w:rsidRDefault="00690E70">
      <w:pPr>
        <w:jc w:val="left"/>
        <w:rPr>
          <w:rFonts w:eastAsia="Times New Roman" w:cs="Times New Roman"/>
          <w:b/>
          <w:noProof/>
          <w:szCs w:val="20"/>
          <w:lang w:val="es-ES_tradnl"/>
        </w:rPr>
      </w:pPr>
    </w:p>
    <w:p w:rsidR="00A45935" w:rsidRPr="009E6414" w:rsidRDefault="00A45935" w:rsidP="00230C31">
      <w:pPr>
        <w:pStyle w:val="HHeading2"/>
        <w:rPr>
          <w:noProof/>
          <w:lang w:val="es-ES_tradnl"/>
        </w:rPr>
      </w:pPr>
      <w:bookmarkStart w:id="10" w:name="_Toc508707914"/>
      <w:r w:rsidRPr="009E6414">
        <w:rPr>
          <w:noProof/>
          <w:lang w:val="es-ES_tradnl"/>
        </w:rPr>
        <w:t>Retos en la evaluación de la innovación</w:t>
      </w:r>
      <w:bookmarkEnd w:id="10"/>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Al evaluar la innovación en los PDR deben tenerse en cuenta varios retos.</w:t>
      </w:r>
    </w:p>
    <w:p w:rsidR="00A45935" w:rsidRPr="009E6414" w:rsidRDefault="00A45935" w:rsidP="00230C31">
      <w:pPr>
        <w:pStyle w:val="HHeading4"/>
        <w:rPr>
          <w:rFonts w:eastAsia="Calibri"/>
          <w:noProof/>
          <w:lang w:val="es-ES_tradnl"/>
        </w:rPr>
      </w:pPr>
      <w:r w:rsidRPr="009E6414">
        <w:rPr>
          <w:noProof/>
          <w:lang w:val="es-ES_tradnl"/>
        </w:rPr>
        <w:t xml:space="preserve">Retos conceptuales </w:t>
      </w:r>
    </w:p>
    <w:p w:rsidR="00A45935" w:rsidRPr="009E6414" w:rsidRDefault="00A45935" w:rsidP="00576A73">
      <w:pPr>
        <w:pStyle w:val="Hlistbullet"/>
        <w:rPr>
          <w:noProof/>
          <w:lang w:val="es-ES_tradnl"/>
        </w:rPr>
      </w:pPr>
      <w:r w:rsidRPr="009E6414">
        <w:rPr>
          <w:b/>
          <w:noProof/>
          <w:lang w:val="es-ES_tradnl"/>
        </w:rPr>
        <w:t>Identificar claramente el tema de evaluación:</w:t>
      </w:r>
      <w:r w:rsidRPr="009E6414">
        <w:rPr>
          <w:noProof/>
          <w:lang w:val="es-ES_tradnl"/>
        </w:rPr>
        <w:t xml:space="preserve"> ¿en qué se centra la evaluación de la innovación? </w:t>
      </w:r>
    </w:p>
    <w:p w:rsidR="00A45935" w:rsidRPr="009E6414" w:rsidRDefault="00A45935" w:rsidP="00576A73">
      <w:pPr>
        <w:pStyle w:val="Hlistbullet"/>
        <w:rPr>
          <w:noProof/>
          <w:lang w:val="es-ES_tradnl"/>
        </w:rPr>
      </w:pPr>
      <w:r w:rsidRPr="009E6414">
        <w:rPr>
          <w:b/>
          <w:noProof/>
          <w:lang w:val="es-ES_tradnl"/>
        </w:rPr>
        <w:t>Inventariar el sistema de conocimiento e innovación</w:t>
      </w:r>
      <w:r w:rsidRPr="009E6414">
        <w:rPr>
          <w:noProof/>
          <w:lang w:val="es-ES_tradnl"/>
        </w:rPr>
        <w:t>: ¿cuáles son los componentes, sus relaciones y los límites de un determinado sistema de conocimiento e innovación en el ámbito rural objeto de evaluación? ¿Qué papel desempeñan los PDR en él?</w:t>
      </w:r>
      <w:r w:rsidRPr="009E6414">
        <w:rPr>
          <w:noProof/>
          <w:vertAlign w:val="superscript"/>
          <w:lang w:val="es-ES_tradnl"/>
        </w:rPr>
        <w:footnoteReference w:id="34"/>
      </w:r>
    </w:p>
    <w:p w:rsidR="00A45935" w:rsidRPr="009E6414" w:rsidRDefault="00A45935" w:rsidP="00576A73">
      <w:pPr>
        <w:pStyle w:val="Hlistbullet"/>
        <w:rPr>
          <w:noProof/>
          <w:lang w:val="es-ES_tradnl"/>
        </w:rPr>
      </w:pPr>
      <w:r w:rsidRPr="009E6414">
        <w:rPr>
          <w:b/>
          <w:noProof/>
          <w:lang w:val="es-ES_tradnl"/>
        </w:rPr>
        <w:t>Revisar el planteamiento del PDR hacia la innovación</w:t>
      </w:r>
      <w:r w:rsidRPr="009E6414">
        <w:rPr>
          <w:noProof/>
          <w:lang w:val="es-ES_tradnl"/>
        </w:rPr>
        <w:t>: ¿Cuál es el potencial de innovación específico de un PDR determinado? ¿Cuáles son los objetivos? ¿Los criterios de selección están diseñados específicamente para abordar la innovación?</w:t>
      </w:r>
    </w:p>
    <w:p w:rsidR="00A45935" w:rsidRPr="009E6414" w:rsidRDefault="00A45935" w:rsidP="00230C31">
      <w:pPr>
        <w:pStyle w:val="HHeading4"/>
        <w:rPr>
          <w:rFonts w:eastAsia="Calibri"/>
          <w:noProof/>
          <w:shd w:val="clear" w:color="auto" w:fill="FFFFFF"/>
          <w:lang w:val="es-ES_tradnl"/>
        </w:rPr>
      </w:pPr>
      <w:r w:rsidRPr="009E6414">
        <w:rPr>
          <w:noProof/>
          <w:lang w:val="es-ES_tradnl"/>
        </w:rPr>
        <w:t xml:space="preserve">Retos vinculados al sistema común de seguimiento y evaluación </w:t>
      </w:r>
    </w:p>
    <w:p w:rsidR="00A45935" w:rsidRPr="009E6414" w:rsidRDefault="00A45935" w:rsidP="00576A73">
      <w:pPr>
        <w:pStyle w:val="Hlistbullet"/>
        <w:rPr>
          <w:noProof/>
          <w:lang w:val="es-ES_tradnl"/>
        </w:rPr>
      </w:pPr>
      <w:r w:rsidRPr="009E6414">
        <w:rPr>
          <w:b/>
          <w:noProof/>
          <w:lang w:val="es-ES_tradnl"/>
        </w:rPr>
        <w:t xml:space="preserve">Elaboración de elementos de evaluación complementarios y específicos del programa: </w:t>
      </w:r>
      <w:r w:rsidRPr="009E6414">
        <w:rPr>
          <w:noProof/>
          <w:lang w:val="es-ES_tradnl"/>
        </w:rPr>
        <w:t xml:space="preserve">¿cómo diseñar elementos de evaluación complementarios y específicos del programa relacionados con la evaluación de la innovación? </w:t>
      </w:r>
    </w:p>
    <w:p w:rsidR="00A45935" w:rsidRPr="009E6414" w:rsidRDefault="00A45935" w:rsidP="00576A73">
      <w:pPr>
        <w:pStyle w:val="Hlistbullet"/>
        <w:rPr>
          <w:b/>
          <w:noProof/>
          <w:lang w:val="es-ES_tradnl"/>
        </w:rPr>
      </w:pPr>
      <w:r w:rsidRPr="009E6414">
        <w:rPr>
          <w:b/>
          <w:noProof/>
          <w:lang w:val="es-ES_tradnl"/>
        </w:rPr>
        <w:t xml:space="preserve">Notificación de resultados: </w:t>
      </w:r>
      <w:r w:rsidRPr="009E6414">
        <w:rPr>
          <w:noProof/>
          <w:lang w:val="es-ES_tradnl"/>
        </w:rPr>
        <w:t xml:space="preserve">¿cómo alinear los procedimientos de evaluación con el calendario del informe anual de ejecución en 2019 así como con la evaluación </w:t>
      </w:r>
      <w:r w:rsidRPr="009E6414">
        <w:rPr>
          <w:i/>
          <w:noProof/>
          <w:lang w:val="es-ES_tradnl"/>
        </w:rPr>
        <w:t>ex post</w:t>
      </w:r>
      <w:r w:rsidRPr="009E6414">
        <w:rPr>
          <w:noProof/>
          <w:lang w:val="es-ES_tradnl"/>
        </w:rPr>
        <w:t xml:space="preserve"> en 2024?</w:t>
      </w:r>
    </w:p>
    <w:p w:rsidR="00A45935" w:rsidRPr="009E6414" w:rsidRDefault="00A45935" w:rsidP="00230C31">
      <w:pPr>
        <w:pStyle w:val="HHeading4"/>
        <w:rPr>
          <w:rFonts w:eastAsia="Calibri"/>
          <w:noProof/>
          <w:shd w:val="clear" w:color="auto" w:fill="FFFFFF"/>
          <w:lang w:val="es-ES_tradnl"/>
        </w:rPr>
      </w:pPr>
      <w:r w:rsidRPr="009E6414">
        <w:rPr>
          <w:noProof/>
          <w:lang w:val="es-ES_tradnl"/>
        </w:rPr>
        <w:lastRenderedPageBreak/>
        <w:t xml:space="preserve">Retos metodológicos </w:t>
      </w:r>
    </w:p>
    <w:p w:rsidR="00A45935" w:rsidRPr="009E6414" w:rsidRDefault="00A45935" w:rsidP="00576A73">
      <w:pPr>
        <w:pStyle w:val="Hlistbullet"/>
        <w:rPr>
          <w:noProof/>
          <w:shd w:val="clear" w:color="auto" w:fill="FFFFFF"/>
          <w:lang w:val="es-ES_tradnl"/>
        </w:rPr>
      </w:pPr>
      <w:r w:rsidRPr="009E6414">
        <w:rPr>
          <w:b/>
          <w:noProof/>
          <w:lang w:val="es-ES_tradnl"/>
        </w:rPr>
        <w:t>Atribución de los procesos de innovación a las intervenciones del PDR</w:t>
      </w:r>
      <w:r w:rsidRPr="009E6414">
        <w:rPr>
          <w:noProof/>
          <w:lang w:val="es-ES_tradnl"/>
        </w:rPr>
        <w:t xml:space="preserve">: ¿cómo medir en qué proporción los procesos de innovación generados en las zonas rurales pueden atribuirse directa o indirectamente a las intervenciones del PDR? </w:t>
      </w:r>
    </w:p>
    <w:p w:rsidR="00A45935" w:rsidRPr="009E6414" w:rsidRDefault="00A45935" w:rsidP="00576A73">
      <w:pPr>
        <w:pStyle w:val="Hlistbullet"/>
        <w:rPr>
          <w:noProof/>
          <w:shd w:val="clear" w:color="auto" w:fill="FFFFFF"/>
          <w:lang w:val="es-ES_tradnl"/>
        </w:rPr>
      </w:pPr>
      <w:r w:rsidRPr="009E6414">
        <w:rPr>
          <w:b/>
          <w:noProof/>
          <w:lang w:val="es-ES_tradnl"/>
        </w:rPr>
        <w:t>Atribución de los efectos de innovación a los resultados e impactos del PDR</w:t>
      </w:r>
      <w:r w:rsidRPr="009E6414">
        <w:rPr>
          <w:noProof/>
          <w:lang w:val="es-ES_tradnl"/>
        </w:rPr>
        <w:t xml:space="preserve">. </w:t>
      </w:r>
    </w:p>
    <w:p w:rsidR="00A45935" w:rsidRPr="009E6414" w:rsidRDefault="00A45935" w:rsidP="00576A73">
      <w:pPr>
        <w:pStyle w:val="Hlistbullet"/>
        <w:rPr>
          <w:noProof/>
          <w:shd w:val="clear" w:color="auto" w:fill="FFFFFF"/>
          <w:lang w:val="es-ES_tradnl"/>
        </w:rPr>
      </w:pPr>
      <w:r w:rsidRPr="009E6414">
        <w:rPr>
          <w:b/>
          <w:noProof/>
          <w:shd w:val="clear" w:color="auto" w:fill="FFFFFF"/>
          <w:lang w:val="es-ES_tradnl"/>
          <w14:textFill>
            <w14:solidFill>
              <w14:srgbClr w14:val="373737">
                <w14:lumMod w14:val="75000"/>
                <w14:lumMod w14:val="75000"/>
                <w14:lumMod w14:val="75000"/>
              </w14:srgbClr>
            </w14:solidFill>
          </w14:textFill>
        </w:rPr>
        <w:t>Diseño de planteamientos</w:t>
      </w:r>
      <w:r w:rsidRPr="009E6414">
        <w:rPr>
          <w:noProof/>
          <w:lang w:val="es-ES_tradnl"/>
        </w:rPr>
        <w:t xml:space="preserve"> </w:t>
      </w:r>
      <w:r w:rsidRPr="009E6414">
        <w:rPr>
          <w:b/>
          <w:noProof/>
          <w:shd w:val="clear" w:color="auto" w:fill="FFFFFF"/>
          <w:lang w:val="es-ES_tradnl"/>
          <w14:textFill>
            <w14:solidFill>
              <w14:srgbClr w14:val="373737">
                <w14:lumMod w14:val="75000"/>
                <w14:lumMod w14:val="75000"/>
                <w14:lumMod w14:val="75000"/>
              </w14:srgbClr>
            </w14:solidFill>
          </w14:textFill>
        </w:rPr>
        <w:t>de evaluación adecuados</w:t>
      </w:r>
      <w:r w:rsidRPr="009E6414">
        <w:rPr>
          <w:noProof/>
          <w:lang w:val="es-ES_tradnl"/>
        </w:rPr>
        <w:t xml:space="preserve">: ¿Cómo acoplar y mezclar métodos cuantitativos y cualitativos para interpretar los resultados de la evaluación y notificar las conclusiones y recomendaciones? </w:t>
      </w:r>
    </w:p>
    <w:p w:rsidR="00A45935" w:rsidRPr="009E6414" w:rsidRDefault="00A45935" w:rsidP="00230C31">
      <w:pPr>
        <w:pStyle w:val="HHeading4"/>
        <w:rPr>
          <w:rFonts w:eastAsia="Calibri"/>
          <w:noProof/>
          <w:shd w:val="clear" w:color="auto" w:fill="FFFFFF"/>
          <w:lang w:val="es-ES_tradnl"/>
        </w:rPr>
      </w:pPr>
      <w:r w:rsidRPr="009E6414">
        <w:rPr>
          <w:noProof/>
          <w:lang w:val="es-ES_tradnl"/>
        </w:rPr>
        <w:t>Retos organizativos</w:t>
      </w:r>
    </w:p>
    <w:p w:rsidR="00A45935" w:rsidRPr="009E6414" w:rsidRDefault="00A45935" w:rsidP="00576A73">
      <w:pPr>
        <w:pStyle w:val="Hlistbullet"/>
        <w:rPr>
          <w:rFonts w:eastAsia="Calibri"/>
          <w:noProof/>
          <w:lang w:val="es-ES_tradnl"/>
        </w:rPr>
      </w:pPr>
      <w:r w:rsidRPr="009E6414">
        <w:rPr>
          <w:b/>
          <w:noProof/>
          <w:lang w:val="es-ES_tradnl"/>
        </w:rPr>
        <w:t>Garantizar una gestión de datos eficaz y eficiente</w:t>
      </w:r>
      <w:r w:rsidRPr="009E6414">
        <w:rPr>
          <w:noProof/>
          <w:lang w:val="es-ES_tradnl"/>
        </w:rPr>
        <w:t xml:space="preserve">: ¿cómo gestionar, recopilar y analizar datos relacionados con indicadores comunes y adicionales, especialmente cuando la gestión de las medidas de apoyo a la innovación compete a distintos organismos responsables? </w:t>
      </w:r>
    </w:p>
    <w:p w:rsidR="00A45935" w:rsidRPr="009E6414" w:rsidRDefault="00A45935" w:rsidP="00576A73">
      <w:pPr>
        <w:pStyle w:val="Hlistbullet"/>
        <w:rPr>
          <w:rFonts w:eastAsia="Calibri"/>
          <w:noProof/>
          <w:lang w:val="es-ES_tradnl"/>
        </w:rPr>
      </w:pPr>
      <w:r w:rsidRPr="009E6414">
        <w:rPr>
          <w:b/>
          <w:noProof/>
          <w:lang w:val="es-ES_tradnl"/>
        </w:rPr>
        <w:t>Coordinación de las partes interesadas</w:t>
      </w:r>
      <w:r w:rsidRPr="009E6414">
        <w:rPr>
          <w:noProof/>
          <w:lang w:val="es-ES_tradnl"/>
        </w:rPr>
        <w:t>: ¿cómo establecer un procedimiento común y lograr un entendimiento común entre las autoridades de gestión y entre las diversas partes interesadas involucradas en la evaluación de la innovación (por ejemplo, GAL, GO de la AEI, agricultores/silvicultores, asesores, investigadores)?</w:t>
      </w:r>
    </w:p>
    <w:p w:rsidR="00A45935" w:rsidRPr="009E6414" w:rsidRDefault="00A45935" w:rsidP="00576A73">
      <w:pPr>
        <w:pStyle w:val="Hlistbullet"/>
        <w:rPr>
          <w:rFonts w:eastAsia="Calibri"/>
          <w:noProof/>
          <w:lang w:val="es-ES_tradnl"/>
        </w:rPr>
      </w:pPr>
      <w:r w:rsidRPr="009E6414">
        <w:rPr>
          <w:b/>
          <w:noProof/>
          <w:lang w:val="es-ES_tradnl"/>
        </w:rPr>
        <w:t>Utilización de los resultados de la evaluación para mejorar la concepción y ejecución de las políticas</w:t>
      </w:r>
      <w:r w:rsidRPr="009E6414">
        <w:rPr>
          <w:noProof/>
          <w:lang w:val="es-ES_tradnl"/>
        </w:rPr>
        <w:t>: ¿cómo formular conclusiones y recomendaciones de seguimiento a partir de las conclusiones de la evaluación para mejorar el PDR, su transparencia, responsabilidad y un aprendizaje común entre las partes participantes en el PDR?</w:t>
      </w:r>
    </w:p>
    <w:p w:rsidR="00230C31" w:rsidRPr="009E6414" w:rsidRDefault="009E6414" w:rsidP="00626C0C">
      <w:pPr>
        <w:pStyle w:val="HHeading1"/>
        <w:tabs>
          <w:tab w:val="clear" w:pos="567"/>
        </w:tabs>
        <w:rPr>
          <w:noProof/>
          <w:lang w:val="es-ES_tradnl"/>
        </w:rPr>
      </w:pPr>
      <w:bookmarkStart w:id="11" w:name="_Toc508707915"/>
      <w:r>
        <w:rPr>
          <w:noProof/>
          <w:lang w:val="es-ES_tradnl"/>
        </w:rPr>
        <w:lastRenderedPageBreak/>
        <w:t>¿</w:t>
      </w:r>
      <w:r w:rsidR="00230C31" w:rsidRPr="009E6414">
        <w:rPr>
          <w:noProof/>
          <w:lang w:val="es-ES_tradnl"/>
        </w:rPr>
        <w:t>Cómo evaluar la innovación en los PDR?</w:t>
      </w:r>
      <w:bookmarkEnd w:id="11"/>
    </w:p>
    <w:p w:rsidR="00A45935" w:rsidRPr="009E6414" w:rsidRDefault="00A45935" w:rsidP="00B421B9">
      <w:pPr>
        <w:pStyle w:val="HHeading2"/>
        <w:numPr>
          <w:ilvl w:val="1"/>
          <w:numId w:val="119"/>
        </w:numPr>
        <w:ind w:left="567" w:hanging="567"/>
        <w:rPr>
          <w:noProof/>
          <w:lang w:val="es-ES_tradnl"/>
        </w:rPr>
      </w:pPr>
      <w:bookmarkStart w:id="12" w:name="_Toc508707916"/>
      <w:r w:rsidRPr="009E6414">
        <w:rPr>
          <w:noProof/>
          <w:lang w:val="es-ES_tradnl"/>
        </w:rPr>
        <w:t>Planteamiento sugerido para evaluar la innovación en los PDR 2014-2020 (resumen)</w:t>
      </w:r>
      <w:bookmarkEnd w:id="12"/>
    </w:p>
    <w:p w:rsidR="00A45935" w:rsidRPr="009E6414" w:rsidRDefault="00A45935" w:rsidP="00946806">
      <w:pPr>
        <w:pStyle w:val="HHeading4"/>
        <w:rPr>
          <w:noProof/>
          <w:lang w:val="es-ES_tradnl"/>
        </w:rPr>
      </w:pPr>
      <w:r w:rsidRPr="009E6414">
        <w:rPr>
          <w:noProof/>
          <w:lang w:val="es-ES_tradnl"/>
        </w:rPr>
        <w:t>Gestionar la evaluación de la innovación</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b/>
          <w:noProof/>
          <w:lang w:val="es-ES_tradnl"/>
        </w:rPr>
        <w:t>La evaluación de la innovación y la respuesta a las preguntas de evaluación relacionadas con la innovación forman parte de la evaluación del PDR.</w:t>
      </w:r>
      <w:r w:rsidRPr="009E6414">
        <w:rPr>
          <w:noProof/>
          <w:lang w:val="es-ES_tradnl"/>
        </w:rPr>
        <w:t xml:space="preserve"> Por lo tanto, habitualmente son gestionadas junto con las demás actividades de evaluación del PDR</w:t>
      </w:r>
      <w:r w:rsidRPr="009E6414">
        <w:rPr>
          <w:noProof/>
          <w:shd w:val="clear" w:color="auto" w:fill="FFFFFF"/>
          <w:vertAlign w:val="superscript"/>
          <w:lang w:val="es-ES_tradnl"/>
        </w:rPr>
        <w:footnoteReference w:id="35"/>
      </w:r>
      <w:r w:rsidRPr="009E6414">
        <w:rPr>
          <w:noProof/>
          <w:lang w:val="es-ES_tradnl"/>
        </w:rPr>
        <w:t xml:space="preserve">. En la figura que se muestra a continuación se resume este proceso.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 xml:space="preserve">En los capítulos 2.2 a 2.4 se describe en detalle la preparación, estructuración y realización de la evaluación de la innovación. </w:t>
      </w:r>
    </w:p>
    <w:p w:rsidR="00A45935" w:rsidRPr="009E6414" w:rsidRDefault="00A45935" w:rsidP="00B421B9">
      <w:pPr>
        <w:pStyle w:val="HHeadingfigures"/>
      </w:pPr>
      <w:bookmarkStart w:id="13" w:name="_Toc508707931"/>
      <w:r w:rsidRPr="009E6414">
        <w:t>Gestionar la evaluación de la innovación en los PDR 2014-2020</w:t>
      </w:r>
      <w:bookmarkEnd w:id="13"/>
    </w:p>
    <w:p w:rsidR="00A45935" w:rsidRPr="009E6414" w:rsidRDefault="006172D0" w:rsidP="00E05D08">
      <w:pPr>
        <w:spacing w:after="120" w:line="280" w:lineRule="atLeast"/>
        <w:mirrorIndents/>
        <w:jc w:val="center"/>
        <w:rPr>
          <w:rFonts w:eastAsia="Times New Roman" w:cs="Times New Roman"/>
          <w:noProof/>
          <w:szCs w:val="20"/>
          <w:lang w:val="es-ES_tradnl"/>
        </w:rPr>
      </w:pPr>
      <w:r w:rsidRPr="006172D0">
        <w:rPr>
          <w:noProof/>
          <w:lang w:val="en-GB" w:eastAsia="en-GB" w:bidi="ar-SA"/>
        </w:rPr>
        <w:drawing>
          <wp:inline distT="0" distB="0" distL="0" distR="0">
            <wp:extent cx="5725795" cy="346075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5795" cy="3460750"/>
                    </a:xfrm>
                    <a:prstGeom prst="rect">
                      <a:avLst/>
                    </a:prstGeom>
                    <a:noFill/>
                    <a:ln>
                      <a:noFill/>
                    </a:ln>
                  </pic:spPr>
                </pic:pic>
              </a:graphicData>
            </a:graphic>
          </wp:inline>
        </w:drawing>
      </w:r>
    </w:p>
    <w:p w:rsidR="00A45935" w:rsidRPr="009E6414" w:rsidRDefault="00A45935" w:rsidP="00E05D08">
      <w:pPr>
        <w:spacing w:after="120" w:line="280" w:lineRule="atLeast"/>
        <w:jc w:val="center"/>
        <w:rPr>
          <w:rFonts w:eastAsia="Calibri" w:cs="Arial"/>
          <w:bCs/>
          <w:i/>
          <w:noProof/>
          <w:sz w:val="16"/>
          <w:szCs w:val="16"/>
          <w:lang w:val="es-ES_tradnl"/>
        </w:rPr>
      </w:pPr>
      <w:r w:rsidRPr="009E6414">
        <w:rPr>
          <w:i/>
          <w:noProof/>
          <w:sz w:val="16"/>
          <w:lang w:val="es-ES_tradnl"/>
        </w:rPr>
        <w:t>Fuente: Servicio de asistencia de evaluación europeo para el desarrollo rural, 2017</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br w:type="page"/>
      </w:r>
    </w:p>
    <w:p w:rsidR="00A45935" w:rsidRPr="009E6414" w:rsidRDefault="00A45935" w:rsidP="00946806">
      <w:pPr>
        <w:pStyle w:val="HHeading4"/>
        <w:rPr>
          <w:noProof/>
          <w:lang w:val="es-ES_tradnl"/>
        </w:rPr>
      </w:pPr>
      <w:r w:rsidRPr="009E6414">
        <w:rPr>
          <w:noProof/>
          <w:lang w:val="es-ES_tradnl"/>
        </w:rPr>
        <w:lastRenderedPageBreak/>
        <w:t>Presentación del informe sobre la evaluación de la innovación</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b/>
          <w:noProof/>
          <w:lang w:val="es-ES_tradnl"/>
        </w:rPr>
        <w:t>Las autoridades de gestión son responsables de presentar a la Comisión Europea el informe de las conclusiones de la evaluación</w:t>
      </w:r>
      <w:r w:rsidRPr="009E6414">
        <w:rPr>
          <w:noProof/>
          <w:vertAlign w:val="superscript"/>
          <w:lang w:val="es-ES_tradnl"/>
        </w:rPr>
        <w:footnoteReference w:id="36"/>
      </w:r>
      <w:r w:rsidRPr="009E6414">
        <w:rPr>
          <w:noProof/>
          <w:lang w:val="es-ES_tradnl"/>
        </w:rPr>
        <w:t xml:space="preserve">. La figura 5 muestra en qué PCE pueden incluirse las conclusiones de la evaluación sobre la innovación en los IAE en 2017, 2019 y la evaluación </w:t>
      </w:r>
      <w:r w:rsidRPr="009E6414">
        <w:rPr>
          <w:i/>
          <w:noProof/>
          <w:lang w:val="es-ES_tradnl"/>
        </w:rPr>
        <w:t>ex post</w:t>
      </w:r>
      <w:r w:rsidRPr="009E6414">
        <w:rPr>
          <w:noProof/>
          <w:lang w:val="es-ES_tradnl"/>
        </w:rPr>
        <w:t xml:space="preserve">.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b/>
          <w:noProof/>
          <w:lang w:val="es-ES_tradnl"/>
        </w:rPr>
        <w:t xml:space="preserve">Cabe esperar importantes conclusiones de la evaluación sobre la innovación en el IAE en 2019 y en la evaluación </w:t>
      </w:r>
      <w:r w:rsidRPr="009E6414">
        <w:rPr>
          <w:b/>
          <w:i/>
          <w:noProof/>
          <w:lang w:val="es-ES_tradnl"/>
        </w:rPr>
        <w:t>ex post</w:t>
      </w:r>
      <w:r w:rsidRPr="009E6414">
        <w:rPr>
          <w:noProof/>
          <w:lang w:val="es-ES_tradnl"/>
        </w:rPr>
        <w:t>. Dado que el fomento de la innovación se concibe como un proceso, sus resultados son difíciles de observar en las primeras fases de ejecución del programa.</w:t>
      </w:r>
    </w:p>
    <w:p w:rsidR="00A45935" w:rsidRPr="009E6414" w:rsidRDefault="00533971" w:rsidP="008D178A">
      <w:pPr>
        <w:pStyle w:val="HHeadingfigures"/>
      </w:pPr>
      <w:bookmarkStart w:id="14" w:name="_Toc508707932"/>
      <w:r w:rsidRPr="009E6414">
        <w:t>Requisitos de información en relación con la innovación</w:t>
      </w:r>
      <w:bookmarkEnd w:id="14"/>
    </w:p>
    <w:p w:rsidR="00A45935" w:rsidRPr="009E6414" w:rsidRDefault="006172D0" w:rsidP="00E05D08">
      <w:pPr>
        <w:spacing w:after="120" w:line="280" w:lineRule="atLeast"/>
        <w:mirrorIndents/>
        <w:jc w:val="center"/>
        <w:rPr>
          <w:rFonts w:eastAsia="Times New Roman" w:cs="Times New Roman"/>
          <w:noProof/>
          <w:szCs w:val="20"/>
          <w:lang w:val="es-ES_tradnl"/>
        </w:rPr>
      </w:pPr>
      <w:r w:rsidRPr="006172D0">
        <w:rPr>
          <w:noProof/>
          <w:lang w:val="en-GB" w:eastAsia="en-GB" w:bidi="ar-SA"/>
        </w:rPr>
        <w:drawing>
          <wp:inline distT="0" distB="0" distL="0" distR="0">
            <wp:extent cx="5725795" cy="4149725"/>
            <wp:effectExtent l="0" t="0" r="825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5795" cy="4149725"/>
                    </a:xfrm>
                    <a:prstGeom prst="rect">
                      <a:avLst/>
                    </a:prstGeom>
                    <a:noFill/>
                    <a:ln>
                      <a:noFill/>
                    </a:ln>
                  </pic:spPr>
                </pic:pic>
              </a:graphicData>
            </a:graphic>
          </wp:inline>
        </w:drawing>
      </w:r>
    </w:p>
    <w:p w:rsidR="001744D0" w:rsidRPr="009E6414" w:rsidRDefault="00A45935" w:rsidP="001744D0">
      <w:pPr>
        <w:suppressAutoHyphens/>
        <w:spacing w:before="60" w:after="140" w:line="240" w:lineRule="auto"/>
        <w:ind w:right="1134"/>
        <w:mirrorIndents/>
        <w:jc w:val="center"/>
        <w:rPr>
          <w:rFonts w:eastAsia="Times New Roman" w:cs="Times New Roman"/>
          <w:i/>
          <w:noProof/>
          <w:sz w:val="16"/>
          <w:szCs w:val="20"/>
          <w:lang w:val="es-ES_tradnl"/>
        </w:rPr>
      </w:pPr>
      <w:r w:rsidRPr="009E6414">
        <w:rPr>
          <w:i/>
          <w:noProof/>
          <w:sz w:val="16"/>
          <w:lang w:val="es-ES_tradnl"/>
        </w:rPr>
        <w:t>Fuente: Servicio de asistencia de evaluación europeo para el desarrollo rural, 2017</w:t>
      </w:r>
    </w:p>
    <w:p w:rsidR="00A45935" w:rsidRPr="009E6414" w:rsidRDefault="00A45935" w:rsidP="001744D0">
      <w:pPr>
        <w:rPr>
          <w:noProof/>
          <w:lang w:val="es-ES_tradnl"/>
        </w:rPr>
      </w:pPr>
      <w:r w:rsidRPr="009E6414">
        <w:rPr>
          <w:noProof/>
          <w:lang w:val="es-ES_tradnl"/>
        </w:rPr>
        <w:t>Por lo tanto, las presentes directrices se centran en cómo enfocar la evaluación de la innovación a partir de 2019.</w:t>
      </w:r>
    </w:p>
    <w:p w:rsidR="00A45935" w:rsidRPr="009E6414" w:rsidRDefault="00A45935" w:rsidP="00804433">
      <w:pPr>
        <w:spacing w:after="120" w:line="280" w:lineRule="atLeast"/>
        <w:mirrorIndents/>
        <w:rPr>
          <w:rFonts w:eastAsia="Times New Roman" w:cs="Times New Roman"/>
          <w:noProof/>
          <w:szCs w:val="20"/>
          <w:lang w:val="es-ES_tradnl"/>
        </w:rPr>
      </w:pPr>
      <w:r w:rsidRPr="009E6414">
        <w:rPr>
          <w:noProof/>
          <w:lang w:val="es-ES_tradnl"/>
        </w:rPr>
        <w:t xml:space="preserve">La autoridad de gestión podrá utilizar </w:t>
      </w:r>
      <w:r w:rsidRPr="009E6414">
        <w:rPr>
          <w:b/>
          <w:noProof/>
          <w:lang w:val="es-ES_tradnl"/>
        </w:rPr>
        <w:t>otros formatos de información</w:t>
      </w:r>
      <w:r w:rsidRPr="009E6414">
        <w:rPr>
          <w:noProof/>
          <w:lang w:val="es-ES_tradnl"/>
        </w:rPr>
        <w:t>, además de los designados a escala de la UE, para informar a los agentes de la innovación, a las partes interesadas en el desarrollo rural y al público en general sobre las conclusiones de la evaluación del PDR (véanse también otras orientaciones</w:t>
      </w:r>
      <w:r w:rsidRPr="009E6414">
        <w:rPr>
          <w:noProof/>
          <w:vertAlign w:val="superscript"/>
          <w:lang w:val="es-ES_tradnl"/>
        </w:rPr>
        <w:footnoteReference w:id="37"/>
      </w:r>
      <w:r w:rsidRPr="009E6414">
        <w:rPr>
          <w:noProof/>
          <w:lang w:val="es-ES_tradnl"/>
        </w:rPr>
        <w:t>). Opcionalmente, algunos Estados miembros pueden también decidir llevar a cabo una evaluación de la innovación independiente y elaborar informes de evaluación específicos.</w:t>
      </w:r>
      <w:r w:rsidR="00D558C2">
        <w:rPr>
          <w:noProof/>
          <w:lang w:val="es-ES_tradnl"/>
        </w:rPr>
        <w:t xml:space="preserve"> </w:t>
      </w:r>
    </w:p>
    <w:p w:rsidR="00130B60" w:rsidRDefault="00130B60" w:rsidP="00804433">
      <w:pPr>
        <w:spacing w:after="120" w:line="280" w:lineRule="atLeast"/>
        <w:mirrorIndents/>
        <w:rPr>
          <w:b/>
          <w:noProof/>
          <w:lang w:val="es-ES_tradnl"/>
        </w:rPr>
      </w:pPr>
    </w:p>
    <w:p w:rsidR="00130B60" w:rsidRPr="009E6414" w:rsidRDefault="00130B60" w:rsidP="00130B60">
      <w:pPr>
        <w:spacing w:after="120" w:line="280" w:lineRule="atLeast"/>
        <w:mirrorIndents/>
        <w:rPr>
          <w:rFonts w:eastAsia="Times New Roman" w:cs="Times New Roman"/>
          <w:b/>
          <w:noProof/>
          <w:szCs w:val="20"/>
          <w:lang w:val="es-ES_tradnl"/>
        </w:rPr>
      </w:pPr>
      <w:r w:rsidRPr="009E6414">
        <w:rPr>
          <w:rStyle w:val="FootnoteReference"/>
          <w:noProof/>
          <w:color w:val="FFFFFF" w:themeColor="background1"/>
          <w:lang w:val="es-ES_tradnl"/>
        </w:rPr>
        <w:lastRenderedPageBreak/>
        <w:footnoteReference w:id="38"/>
      </w:r>
    </w:p>
    <w:p w:rsidR="00A45935" w:rsidRPr="009E6414" w:rsidRDefault="00626C0C" w:rsidP="00804433">
      <w:pPr>
        <w:spacing w:after="120" w:line="280" w:lineRule="atLeast"/>
        <w:mirrorIndents/>
        <w:rPr>
          <w:rFonts w:eastAsia="Times New Roman" w:cs="Times New Roman"/>
          <w:noProof/>
          <w:szCs w:val="20"/>
          <w:lang w:val="es-ES_tradnl"/>
        </w:rPr>
      </w:pPr>
      <w:r w:rsidRPr="009E6414">
        <w:rPr>
          <w:noProof/>
          <w:lang w:val="en-GB" w:eastAsia="en-GB" w:bidi="ar-SA"/>
        </w:rPr>
        <mc:AlternateContent>
          <mc:Choice Requires="wps">
            <w:drawing>
              <wp:anchor distT="180340" distB="0" distL="114300" distR="114300" simplePos="0" relativeHeight="251658752" behindDoc="0" locked="0" layoutInCell="1" allowOverlap="1" wp14:anchorId="1204AB3C" wp14:editId="5829CD59">
                <wp:simplePos x="0" y="0"/>
                <wp:positionH relativeFrom="page">
                  <wp:posOffset>857250</wp:posOffset>
                </wp:positionH>
                <wp:positionV relativeFrom="page">
                  <wp:posOffset>704850</wp:posOffset>
                </wp:positionV>
                <wp:extent cx="5827363" cy="2895600"/>
                <wp:effectExtent l="0" t="0" r="21590" b="19050"/>
                <wp:wrapTopAndBottom/>
                <wp:docPr id="61" name="Rectangle: Diagonal Corners Rounded 61"/>
                <wp:cNvGraphicFramePr/>
                <a:graphic xmlns:a="http://schemas.openxmlformats.org/drawingml/2006/main">
                  <a:graphicData uri="http://schemas.microsoft.com/office/word/2010/wordprocessingShape">
                    <wps:wsp>
                      <wps:cNvSpPr/>
                      <wps:spPr>
                        <a:xfrm>
                          <a:off x="0" y="0"/>
                          <a:ext cx="5827363" cy="2895600"/>
                        </a:xfrm>
                        <a:prstGeom prst="round2DiagRect">
                          <a:avLst>
                            <a:gd name="adj1" fmla="val 8810"/>
                            <a:gd name="adj2" fmla="val 0"/>
                          </a:avLst>
                        </a:prstGeom>
                        <a:noFill/>
                        <a:ln w="25400" cap="flat" cmpd="sng" algn="ctr">
                          <a:solidFill>
                            <a:srgbClr val="F07E31"/>
                          </a:solidFill>
                          <a:prstDash val="solid"/>
                        </a:ln>
                        <a:effectLst/>
                      </wps:spPr>
                      <wps:txbx>
                        <w:txbxContent>
                          <w:p w:rsidR="008D2E0D" w:rsidRPr="00E05D08" w:rsidRDefault="008D2E0D" w:rsidP="00E05D08">
                            <w:pPr>
                              <w:pStyle w:val="HStandard"/>
                              <w:rPr>
                                <w:b/>
                                <w:color w:val="F07E31"/>
                                <w:sz w:val="18"/>
                                <w:szCs w:val="18"/>
                              </w:rPr>
                            </w:pPr>
                            <w:r>
                              <w:rPr>
                                <w:noProof/>
                                <w:lang w:val="en-GB" w:eastAsia="en-GB" w:bidi="ar-SA"/>
                              </w:rPr>
                              <w:drawing>
                                <wp:inline distT="0" distB="0" distL="0" distR="0" wp14:anchorId="74258EFA" wp14:editId="5FEAF0A0">
                                  <wp:extent cx="353060" cy="359410"/>
                                  <wp:effectExtent l="0" t="0" r="8890" b="2540"/>
                                  <wp:docPr id="73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rPr>
                              <w:t xml:space="preserve">Ejemplo: Evaluación en curso de la </w:t>
                            </w:r>
                            <w:proofErr w:type="spellStart"/>
                            <w:r>
                              <w:rPr>
                                <w:b/>
                                <w:color w:val="F07E31"/>
                                <w:sz w:val="18"/>
                              </w:rPr>
                              <w:t>AEI</w:t>
                            </w:r>
                            <w:proofErr w:type="spellEnd"/>
                            <w:r>
                              <w:rPr>
                                <w:b/>
                                <w:color w:val="F07E31"/>
                                <w:sz w:val="18"/>
                              </w:rPr>
                              <w:t>-AGRI en Suecia</w:t>
                            </w:r>
                          </w:p>
                          <w:p w:rsidR="008D2E0D" w:rsidRPr="00275EE5" w:rsidRDefault="008D2E0D" w:rsidP="00E05D08">
                            <w:pPr>
                              <w:pStyle w:val="HBox"/>
                            </w:pPr>
                            <w:r>
                              <w:t xml:space="preserve">En Suecia, la evaluación de la innovación forma parte de la evaluación del </w:t>
                            </w:r>
                            <w:proofErr w:type="spellStart"/>
                            <w:r>
                              <w:t>PDR</w:t>
                            </w:r>
                            <w:proofErr w:type="spellEnd"/>
                            <w:r>
                              <w:t xml:space="preserve"> y se compone de un componente de evaluación cuantitativo y otro cualitativo. Ambos componentes son gestionados por el secretariado de </w:t>
                            </w:r>
                            <w:proofErr w:type="spellStart"/>
                            <w:r>
                              <w:t>evaluación</w:t>
                            </w:r>
                            <w:r>
                              <w:rPr>
                                <w:vertAlign w:val="superscript"/>
                                <w14:textFill>
                                  <w14:solidFill>
                                    <w14:srgbClr w14:val="373737">
                                      <w14:lumMod w14:val="75000"/>
                                    </w14:srgbClr>
                                  </w14:solidFill>
                                </w14:textFill>
                              </w:rPr>
                              <w:t>38</w:t>
                            </w:r>
                            <w:proofErr w:type="spellEnd"/>
                            <w:r>
                              <w:t xml:space="preserve">. Cabe esperar que la evaluación cuantitativa aporte conclusiones únicamente con respecto al </w:t>
                            </w:r>
                            <w:proofErr w:type="spellStart"/>
                            <w:r>
                              <w:t>IAE</w:t>
                            </w:r>
                            <w:proofErr w:type="spellEnd"/>
                            <w:r>
                              <w:t xml:space="preserve"> que debe presentarse en 2019 y la evaluación </w:t>
                            </w:r>
                            <w:r>
                              <w:rPr>
                                <w:i/>
                              </w:rPr>
                              <w:t>ex post</w:t>
                            </w:r>
                            <w:r>
                              <w:t xml:space="preserve">. La adopción de medidas relacionadas con la innovación era aún bastante baja para la evaluación cuantitativa que debía realizarse en 2017. La evaluación cualitativa se concibe como una evaluación formativa en curso, centrada en la ejecución de la </w:t>
                            </w:r>
                            <w:proofErr w:type="spellStart"/>
                            <w:r>
                              <w:t>AEI</w:t>
                            </w:r>
                            <w:proofErr w:type="spellEnd"/>
                            <w:r>
                              <w:t xml:space="preserve">-AGRI, y está dirigida por un equipo de investigación de la Universidad de Umeå. Esta evaluación en curso pretende proporcionar información continua y recomendaciones para la gestión y ejecución de la </w:t>
                            </w:r>
                            <w:proofErr w:type="spellStart"/>
                            <w:r>
                              <w:t>AEI</w:t>
                            </w:r>
                            <w:proofErr w:type="spellEnd"/>
                            <w:r>
                              <w:t>-AGRI (</w:t>
                            </w:r>
                            <w:proofErr w:type="spellStart"/>
                            <w:r>
                              <w:t>PDR</w:t>
                            </w:r>
                            <w:proofErr w:type="spellEnd"/>
                            <w:r>
                              <w:t xml:space="preserve"> </w:t>
                            </w:r>
                            <w:proofErr w:type="spellStart"/>
                            <w:r>
                              <w:t>M16</w:t>
                            </w:r>
                            <w:proofErr w:type="spellEnd"/>
                            <w:r>
                              <w:t xml:space="preserve">). Sus conclusiones se conocerán a lo largo del período de programación, así como para los </w:t>
                            </w:r>
                            <w:proofErr w:type="spellStart"/>
                            <w:r>
                              <w:t>IAE</w:t>
                            </w:r>
                            <w:proofErr w:type="spellEnd"/>
                            <w:r>
                              <w:t xml:space="preserve"> presentados en 2017 y 2019 y para la evaluación </w:t>
                            </w:r>
                            <w:r>
                              <w:rPr>
                                <w:i/>
                              </w:rPr>
                              <w:t>ex post</w:t>
                            </w:r>
                            <w:r>
                              <w:t>. Ambos componentes de evaluación son dirigidos por evaluadores independientes, seleccionados a través de un procedimiento de licitación de conformidad con la legislación en materia de contratación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4AB3C" id="Rectangle: Diagonal Corners Rounded 61" o:spid="_x0000_s1036" style="position:absolute;left:0;text-align:left;margin-left:67.5pt;margin-top:55.5pt;width:458.85pt;height:228pt;z-index:251658752;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margin;mso-height-relative:margin;v-text-anchor:middle" coordsize="5827363,2895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" adj="-11796480,,5400" path="m255102,l5827363,r,l5827363,2640498v,140889,-114213,255102,-255102,255102l,2895600r,l,255102c,114213,114213,,255102,xe" filled="f" strokecolor="#f07e31" strokeweight="2pt">
                <v:stroke joinstyle="miter"/>
                <v:formulas/>
                <v:path arrowok="t" o:connecttype="custom" o:connectlocs="255102,0;5827363,0;5827363,0;5827363,2640498;5572261,2895600;0,2895600;0,2895600;0,255102;255102,0" o:connectangles="0,0,0,0,0,0,0,0,0" textboxrect="0,0,5827363,2895600"/>
                <v:textbox>
                  <w:txbxContent>
                    <w:p w:rsidR="008D2E0D" w:rsidRPr="00E05D08" w:rsidRDefault="008D2E0D" w:rsidP="00E05D08">
                      <w:pPr>
                        <w:pStyle w:val="HStandard"/>
                        <w:rPr>
                          <w:b/>
                          <w:color w:val="F07E31"/>
                          <w:sz w:val="18"/>
                          <w:szCs w:val="18"/>
                        </w:rPr>
                      </w:pPr>
                      <w:r>
                        <w:rPr>
                          <w:noProof/>
                          <w:lang w:val="en-GB" w:eastAsia="en-GB" w:bidi="ar-SA"/>
                        </w:rPr>
                        <w:drawing>
                          <wp:inline distT="0" distB="0" distL="0" distR="0" wp14:anchorId="74258EFA" wp14:editId="5FEAF0A0">
                            <wp:extent cx="353060" cy="359410"/>
                            <wp:effectExtent l="0" t="0" r="8890" b="2540"/>
                            <wp:docPr id="73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rPr>
                        <w:t xml:space="preserve">Ejemplo: Evaluación en curso de la </w:t>
                      </w:r>
                      <w:proofErr w:type="spellStart"/>
                      <w:r>
                        <w:rPr>
                          <w:b/>
                          <w:color w:val="F07E31"/>
                          <w:sz w:val="18"/>
                        </w:rPr>
                        <w:t>AEI</w:t>
                      </w:r>
                      <w:proofErr w:type="spellEnd"/>
                      <w:r>
                        <w:rPr>
                          <w:b/>
                          <w:color w:val="F07E31"/>
                          <w:sz w:val="18"/>
                        </w:rPr>
                        <w:t>-AGRI en Suecia</w:t>
                      </w:r>
                    </w:p>
                    <w:p w:rsidR="008D2E0D" w:rsidRPr="00275EE5" w:rsidRDefault="008D2E0D" w:rsidP="00E05D08">
                      <w:pPr>
                        <w:pStyle w:val="HBox"/>
                      </w:pPr>
                      <w:r>
                        <w:t xml:space="preserve">En Suecia, la evaluación de la innovación forma parte de la evaluación del </w:t>
                      </w:r>
                      <w:proofErr w:type="spellStart"/>
                      <w:r>
                        <w:t>PDR</w:t>
                      </w:r>
                      <w:proofErr w:type="spellEnd"/>
                      <w:r>
                        <w:t xml:space="preserve"> y se compone de un componente de evaluación cuantitativo y otro cualitativo. Ambos componentes son gestionados por el secretariado de </w:t>
                      </w:r>
                      <w:proofErr w:type="spellStart"/>
                      <w:r>
                        <w:t>evaluación</w:t>
                      </w:r>
                      <w:r>
                        <w:rPr>
                          <w:vertAlign w:val="superscript"/>
                          <w14:textFill>
                            <w14:solidFill>
                              <w14:srgbClr w14:val="373737">
                                <w14:lumMod w14:val="75000"/>
                              </w14:srgbClr>
                            </w14:solidFill>
                          </w14:textFill>
                        </w:rPr>
                        <w:t>38</w:t>
                      </w:r>
                      <w:proofErr w:type="spellEnd"/>
                      <w:r>
                        <w:t xml:space="preserve">. Cabe esperar que la evaluación cuantitativa aporte conclusiones únicamente con respecto al </w:t>
                      </w:r>
                      <w:proofErr w:type="spellStart"/>
                      <w:r>
                        <w:t>IAE</w:t>
                      </w:r>
                      <w:proofErr w:type="spellEnd"/>
                      <w:r>
                        <w:t xml:space="preserve"> que debe presentarse en 2019 y la evaluación </w:t>
                      </w:r>
                      <w:r>
                        <w:rPr>
                          <w:i/>
                        </w:rPr>
                        <w:t>ex post</w:t>
                      </w:r>
                      <w:r>
                        <w:t xml:space="preserve">. La adopción de medidas relacionadas con la innovación era aún bastante baja para la evaluación cuantitativa que debía realizarse en 2017. La evaluación cualitativa se concibe como una evaluación formativa en curso, centrada en la ejecución de la </w:t>
                      </w:r>
                      <w:proofErr w:type="spellStart"/>
                      <w:r>
                        <w:t>AEI</w:t>
                      </w:r>
                      <w:proofErr w:type="spellEnd"/>
                      <w:r>
                        <w:t xml:space="preserve">-AGRI, y está dirigida por un equipo de investigación de la Universidad de Umeå. Esta evaluación en curso pretende proporcionar información continua y recomendaciones para la gestión y ejecución de la </w:t>
                      </w:r>
                      <w:proofErr w:type="spellStart"/>
                      <w:r>
                        <w:t>AEI</w:t>
                      </w:r>
                      <w:proofErr w:type="spellEnd"/>
                      <w:r>
                        <w:t>-AGRI (</w:t>
                      </w:r>
                      <w:proofErr w:type="spellStart"/>
                      <w:r>
                        <w:t>PDR</w:t>
                      </w:r>
                      <w:proofErr w:type="spellEnd"/>
                      <w:r>
                        <w:t xml:space="preserve"> </w:t>
                      </w:r>
                      <w:proofErr w:type="spellStart"/>
                      <w:r>
                        <w:t>M16</w:t>
                      </w:r>
                      <w:proofErr w:type="spellEnd"/>
                      <w:r>
                        <w:t xml:space="preserve">). Sus conclusiones se conocerán a lo largo del período de programación, así como para los </w:t>
                      </w:r>
                      <w:proofErr w:type="spellStart"/>
                      <w:r>
                        <w:t>IAE</w:t>
                      </w:r>
                      <w:proofErr w:type="spellEnd"/>
                      <w:r>
                        <w:t xml:space="preserve"> presentados en 2017 y 2019 y para la evaluación </w:t>
                      </w:r>
                      <w:r>
                        <w:rPr>
                          <w:i/>
                        </w:rPr>
                        <w:t>ex post</w:t>
                      </w:r>
                      <w:r>
                        <w:t>. Ambos componentes de evaluación son dirigidos por evaluadores independientes, seleccionados a través de un procedimiento de licitación de conformidad con la legislación en materia de contratación pública.</w:t>
                      </w:r>
                    </w:p>
                  </w:txbxContent>
                </v:textbox>
                <w10:wrap type="topAndBottom" anchorx="page" anchory="page"/>
              </v:shape>
            </w:pict>
          </mc:Fallback>
        </mc:AlternateContent>
      </w:r>
      <w:r w:rsidRPr="009E6414">
        <w:rPr>
          <w:b/>
          <w:noProof/>
          <w:lang w:val="es-ES_tradnl"/>
        </w:rPr>
        <w:t>El marco jurídico exige responder a todas las preguntas pertinentes de evaluación relacionadas con la innovación</w:t>
      </w:r>
      <w:r w:rsidRPr="009E6414">
        <w:rPr>
          <w:noProof/>
          <w:vertAlign w:val="superscript"/>
          <w:lang w:val="es-ES_tradnl"/>
        </w:rPr>
        <w:footnoteReference w:id="39"/>
      </w:r>
      <w:r w:rsidRPr="009E6414">
        <w:rPr>
          <w:noProof/>
          <w:lang w:val="es-ES_tradnl"/>
        </w:rPr>
        <w:t xml:space="preserve"> evaluando los indicadores comunes pertinentes</w:t>
      </w:r>
      <w:r w:rsidRPr="009E6414">
        <w:rPr>
          <w:noProof/>
          <w:vertAlign w:val="superscript"/>
          <w:lang w:val="es-ES_tradnl"/>
        </w:rPr>
        <w:footnoteReference w:id="40"/>
      </w:r>
      <w:r w:rsidRPr="009E6414">
        <w:rPr>
          <w:noProof/>
          <w:lang w:val="es-ES_tradnl"/>
        </w:rPr>
        <w:t xml:space="preserve"> y reflejando los logros de la política rural de la UE para potenciar la innovación. </w:t>
      </w:r>
    </w:p>
    <w:p w:rsidR="00576A73" w:rsidRPr="009E6414" w:rsidRDefault="00A45935" w:rsidP="00576A73">
      <w:pPr>
        <w:spacing w:after="120" w:line="280" w:lineRule="atLeast"/>
        <w:mirrorIndents/>
        <w:rPr>
          <w:rFonts w:eastAsia="Times New Roman" w:cs="Times New Roman"/>
          <w:noProof/>
          <w:szCs w:val="20"/>
          <w:lang w:val="es-ES_tradnl"/>
        </w:rPr>
      </w:pPr>
      <w:r w:rsidRPr="009E6414">
        <w:rPr>
          <w:noProof/>
          <w:lang w:val="es-ES_tradnl"/>
        </w:rPr>
        <w:t>Se proponen las siguientes fases de trabajo no vinculantes:</w:t>
      </w:r>
    </w:p>
    <w:p w:rsidR="00A45935" w:rsidRPr="009E6414" w:rsidRDefault="00A45935" w:rsidP="00B421B9">
      <w:pPr>
        <w:pStyle w:val="HHeading4"/>
        <w:rPr>
          <w:rFonts w:eastAsia="Calibri"/>
          <w:noProof/>
          <w:shd w:val="clear" w:color="auto" w:fill="FFFFFF"/>
          <w:lang w:val="es-ES_tradnl"/>
        </w:rPr>
      </w:pPr>
      <w:r w:rsidRPr="009E6414">
        <w:rPr>
          <w:noProof/>
          <w:lang w:val="es-ES_tradnl"/>
        </w:rPr>
        <w:t>Examinar el potencial de innovación de las medidas/submedidas del PDR (recomendada)</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 xml:space="preserve">Antes de que comiencen las actividades de evaluación para responder a la evaluación relacionada con la innovación, las autoridades de gestión y/o los expertos en evaluación pueden querer examinar el potencial de innovación de las medidas/submedidas del PDR (zona azul en la figura 6). Esta fase ayudará al evaluador y a la AG a comprender cómo cada medida/submedida puede contribuir a la consecución de los objetivos del PDR relacionados con la innovación (véase el </w:t>
      </w:r>
      <w:hyperlink w:anchor="Screening_Potential" w:history="1">
        <w:r w:rsidRPr="009E6414">
          <w:rPr>
            <w:rStyle w:val="Hyperlink"/>
            <w:noProof/>
            <w:sz w:val="20"/>
            <w:lang w:val="es-ES_tradnl"/>
          </w:rPr>
          <w:t>capítulo 2.2</w:t>
        </w:r>
      </w:hyperlink>
      <w:r w:rsidRPr="009E6414">
        <w:rPr>
          <w:noProof/>
          <w:lang w:val="es-ES_tradnl"/>
        </w:rPr>
        <w:t>).</w:t>
      </w:r>
    </w:p>
    <w:p w:rsidR="00A45935" w:rsidRPr="009E6414" w:rsidRDefault="00A45935" w:rsidP="00E05D08">
      <w:pPr>
        <w:keepNext/>
        <w:keepLines/>
        <w:tabs>
          <w:tab w:val="left" w:pos="680"/>
        </w:tabs>
        <w:spacing w:before="240" w:after="240" w:line="280" w:lineRule="atLeast"/>
        <w:mirrorIndents/>
        <w:outlineLvl w:val="3"/>
        <w:rPr>
          <w:rFonts w:eastAsia="Calibri" w:cs="Times New Roman"/>
          <w:b/>
          <w:noProof/>
          <w:color w:val="57825E"/>
          <w:szCs w:val="20"/>
          <w:shd w:val="clear" w:color="auto" w:fill="FFFFFF"/>
          <w:lang w:val="es-ES_tradnl"/>
        </w:rPr>
      </w:pPr>
      <w:r w:rsidRPr="009E6414">
        <w:rPr>
          <w:b/>
          <w:noProof/>
          <w:color w:val="57825E"/>
          <w:shd w:val="clear" w:color="auto" w:fill="FFFFFF"/>
          <w:lang w:val="es-ES_tradnl"/>
        </w:rPr>
        <w:t>Complementar los elementos comunes de evaluación para la innovación (recomendada)</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El SCSE aporta elementos de evaluación básicos para responder a las preguntas comunes de evaluación relacionadas con la innovación. Si los elementos comunes de evaluación (criterios de valoración</w:t>
      </w:r>
      <w:r w:rsidRPr="009E6414">
        <w:rPr>
          <w:noProof/>
          <w:vertAlign w:val="superscript"/>
          <w:lang w:val="es-ES_tradnl"/>
        </w:rPr>
        <w:footnoteReference w:id="41"/>
      </w:r>
      <w:r w:rsidRPr="009E6414">
        <w:rPr>
          <w:noProof/>
          <w:lang w:val="es-ES_tradnl"/>
        </w:rPr>
        <w:t xml:space="preserve"> e indicadores comunes</w:t>
      </w:r>
      <w:r w:rsidRPr="009E6414">
        <w:rPr>
          <w:noProof/>
          <w:vertAlign w:val="superscript"/>
          <w:lang w:val="es-ES_tradnl"/>
        </w:rPr>
        <w:footnoteReference w:id="42"/>
      </w:r>
      <w:r w:rsidRPr="009E6414">
        <w:rPr>
          <w:noProof/>
          <w:lang w:val="es-ES_tradnl"/>
        </w:rPr>
        <w:t>) no son suficientes para captar todos los efectos previstos, las autoridades de gestión, preferiblemente en colaboración con los expertos en evaluación, pueden elaborar los elementos que faltan (por ejemplo, preguntas secundarias de evaluación, criterios de valoración adicionales</w:t>
      </w:r>
      <w:r w:rsidRPr="009E6414">
        <w:rPr>
          <w:noProof/>
          <w:vertAlign w:val="superscript"/>
          <w:lang w:val="es-ES_tradnl"/>
        </w:rPr>
        <w:footnoteReference w:id="43"/>
      </w:r>
      <w:r w:rsidRPr="009E6414">
        <w:rPr>
          <w:noProof/>
          <w:lang w:val="es-ES_tradnl"/>
        </w:rPr>
        <w:t xml:space="preserve"> e indicadores cuantitativos y cualitativos suplementarios</w:t>
      </w:r>
      <w:r w:rsidRPr="009E6414">
        <w:rPr>
          <w:noProof/>
          <w:vertAlign w:val="superscript"/>
          <w:lang w:val="es-ES_tradnl"/>
        </w:rPr>
        <w:footnoteReference w:id="44"/>
      </w:r>
      <w:r w:rsidRPr="009E6414">
        <w:rPr>
          <w:noProof/>
          <w:lang w:val="es-ES_tradnl"/>
        </w:rPr>
        <w:t xml:space="preserve">) (partes verdes en la figura 6), (véase el </w:t>
      </w:r>
      <w:hyperlink w:anchor="Complementing" w:history="1">
        <w:r w:rsidRPr="009E6414">
          <w:rPr>
            <w:rStyle w:val="Hyperlink"/>
            <w:noProof/>
            <w:sz w:val="20"/>
            <w:lang w:val="es-ES_tradnl"/>
          </w:rPr>
          <w:t>capítulo 2.3</w:t>
        </w:r>
      </w:hyperlink>
      <w:r w:rsidRPr="009E6414">
        <w:rPr>
          <w:noProof/>
          <w:lang w:val="es-ES_tradnl"/>
        </w:rPr>
        <w:t>).</w:t>
      </w:r>
    </w:p>
    <w:p w:rsidR="00A45935" w:rsidRPr="009E6414" w:rsidRDefault="00A45935" w:rsidP="00E05D08">
      <w:pPr>
        <w:keepNext/>
        <w:keepLines/>
        <w:tabs>
          <w:tab w:val="left" w:pos="680"/>
        </w:tabs>
        <w:spacing w:before="240" w:after="240" w:line="280" w:lineRule="atLeast"/>
        <w:mirrorIndents/>
        <w:outlineLvl w:val="3"/>
        <w:rPr>
          <w:rFonts w:eastAsia="Calibri" w:cs="Times New Roman"/>
          <w:b/>
          <w:noProof/>
          <w:color w:val="57825E"/>
          <w:szCs w:val="20"/>
          <w:shd w:val="clear" w:color="auto" w:fill="FFFFFF"/>
          <w:lang w:val="es-ES_tradnl"/>
        </w:rPr>
      </w:pPr>
      <w:r w:rsidRPr="009E6414">
        <w:rPr>
          <w:b/>
          <w:noProof/>
          <w:color w:val="57825E"/>
          <w:shd w:val="clear" w:color="auto" w:fill="FFFFFF"/>
          <w:lang w:val="es-ES_tradnl"/>
        </w:rPr>
        <w:lastRenderedPageBreak/>
        <w:t>Responder a las preguntas comunes de evaluación pertinentes (obligatoria)</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 xml:space="preserve">Los evaluadores del PDR valorarán los logros del PDR en la potenciación de la innovación y sus contribuciones a los objetivos de la política de desarrollo rural de la UE y nacional/regional. Al redactar las respuestas a las preguntas de evaluación comunes, complementarias y específicas del programa utilizarán las conclusiones de la evaluación (partes naranjas en la figura 6). Las preguntas de evaluación relacionadas con la innovación requerirán un planteamiento específico para responderlas (véase el </w:t>
      </w:r>
      <w:hyperlink w:anchor="Answering" w:history="1">
        <w:r w:rsidRPr="009E6414">
          <w:rPr>
            <w:rStyle w:val="Hyperlink"/>
            <w:noProof/>
            <w:sz w:val="20"/>
            <w:lang w:val="es-ES_tradnl"/>
          </w:rPr>
          <w:t>capítulo 2.4</w:t>
        </w:r>
      </w:hyperlink>
      <w:r w:rsidRPr="009E6414">
        <w:rPr>
          <w:noProof/>
          <w:lang w:val="es-ES_tradnl"/>
        </w:rPr>
        <w:t>).</w:t>
      </w:r>
    </w:p>
    <w:p w:rsidR="00A45935" w:rsidRPr="009E6414" w:rsidRDefault="00626C0C" w:rsidP="00B421B9">
      <w:pPr>
        <w:pStyle w:val="HHeadingfigures"/>
      </w:pPr>
      <w:bookmarkStart w:id="15" w:name="_Toc508707933"/>
      <w:r w:rsidRPr="009E6414">
        <w:t>Planteamiento de la evaluación de la innovación en los PDR</w:t>
      </w:r>
      <w:bookmarkEnd w:id="15"/>
    </w:p>
    <w:p w:rsidR="00A45935" w:rsidRPr="009E6414" w:rsidRDefault="006172D0" w:rsidP="00E05D08">
      <w:pPr>
        <w:spacing w:after="120" w:line="280" w:lineRule="atLeast"/>
        <w:mirrorIndents/>
        <w:jc w:val="center"/>
        <w:rPr>
          <w:rFonts w:eastAsia="Times New Roman" w:cs="Times New Roman"/>
          <w:noProof/>
          <w:szCs w:val="20"/>
          <w:lang w:val="es-ES_tradnl"/>
        </w:rPr>
      </w:pPr>
      <w:r w:rsidRPr="006172D0">
        <w:rPr>
          <w:noProof/>
          <w:lang w:val="en-GB" w:eastAsia="en-GB" w:bidi="ar-SA"/>
        </w:rPr>
        <w:drawing>
          <wp:inline distT="0" distB="0" distL="0" distR="0">
            <wp:extent cx="5725795" cy="331978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5795" cy="3319780"/>
                    </a:xfrm>
                    <a:prstGeom prst="rect">
                      <a:avLst/>
                    </a:prstGeom>
                    <a:noFill/>
                    <a:ln>
                      <a:noFill/>
                    </a:ln>
                  </pic:spPr>
                </pic:pic>
              </a:graphicData>
            </a:graphic>
          </wp:inline>
        </w:drawing>
      </w:r>
    </w:p>
    <w:p w:rsidR="00A45935" w:rsidRPr="009E6414" w:rsidRDefault="00A45935" w:rsidP="00B421B9">
      <w:pPr>
        <w:suppressAutoHyphens/>
        <w:spacing w:before="60" w:after="140" w:line="240" w:lineRule="auto"/>
        <w:ind w:left="1134" w:right="1134"/>
        <w:mirrorIndents/>
        <w:jc w:val="center"/>
        <w:rPr>
          <w:rFonts w:eastAsia="Times New Roman" w:cs="Times New Roman"/>
          <w:i/>
          <w:noProof/>
          <w:sz w:val="16"/>
          <w:szCs w:val="20"/>
          <w:lang w:val="es-ES_tradnl"/>
        </w:rPr>
        <w:sectPr w:rsidR="00A45935" w:rsidRPr="009E6414" w:rsidSect="00055039">
          <w:endnotePr>
            <w:numFmt w:val="decimal"/>
          </w:endnotePr>
          <w:type w:val="continuous"/>
          <w:pgSz w:w="11906" w:h="16838" w:code="9"/>
          <w:pgMar w:top="1440" w:right="1440" w:bottom="1134" w:left="1440" w:header="567" w:footer="1021" w:gutter="0"/>
          <w:cols w:space="708"/>
          <w:noEndnote/>
          <w:docGrid w:linePitch="360"/>
        </w:sectPr>
      </w:pPr>
      <w:r w:rsidRPr="009E6414">
        <w:rPr>
          <w:i/>
          <w:noProof/>
          <w:sz w:val="16"/>
          <w:lang w:val="es-ES_tradnl"/>
        </w:rPr>
        <w:t>Fuente: Servicio de asistencia de evaluación europeo para el desarrollo rural, 2017</w:t>
      </w:r>
    </w:p>
    <w:p w:rsidR="00A45935" w:rsidRPr="009E6414" w:rsidRDefault="00A45935" w:rsidP="00B421B9">
      <w:pPr>
        <w:pStyle w:val="HHeading2"/>
        <w:numPr>
          <w:ilvl w:val="1"/>
          <w:numId w:val="119"/>
        </w:numPr>
        <w:ind w:left="567" w:hanging="567"/>
        <w:rPr>
          <w:noProof/>
          <w:lang w:val="es-ES_tradnl"/>
        </w:rPr>
      </w:pPr>
      <w:bookmarkStart w:id="16" w:name="_Toc508707917"/>
      <w:r w:rsidRPr="009E6414">
        <w:rPr>
          <w:noProof/>
          <w:lang w:val="es-ES_tradnl"/>
        </w:rPr>
        <w:t>Examinar el potencial de innovación de las medidas/submedidas del PDR (recomendada)</w:t>
      </w:r>
      <w:bookmarkEnd w:id="16"/>
    </w:p>
    <w:p w:rsidR="00A45935" w:rsidRPr="009E6414" w:rsidRDefault="00A45935" w:rsidP="00E05D08">
      <w:pPr>
        <w:keepNext/>
        <w:keepLines/>
        <w:tabs>
          <w:tab w:val="left" w:pos="680"/>
        </w:tabs>
        <w:spacing w:before="240" w:after="240" w:line="280" w:lineRule="atLeast"/>
        <w:mirrorIndents/>
        <w:outlineLvl w:val="3"/>
        <w:rPr>
          <w:rFonts w:eastAsia="Calibri" w:cs="Times New Roman"/>
          <w:b/>
          <w:noProof/>
          <w:color w:val="57825E"/>
          <w:szCs w:val="20"/>
          <w:shd w:val="clear" w:color="auto" w:fill="FFFFFF"/>
          <w:lang w:val="es-ES_tradnl"/>
        </w:rPr>
      </w:pPr>
      <w:r w:rsidRPr="009E6414">
        <w:rPr>
          <w:b/>
          <w:noProof/>
          <w:color w:val="57825E"/>
          <w:shd w:val="clear" w:color="auto" w:fill="FFFFFF"/>
          <w:lang w:val="es-ES_tradnl"/>
        </w:rPr>
        <w:t xml:space="preserve">¿Por qué debemos examinar las medidas del PDR en función de su potencial de innovación? </w:t>
      </w:r>
    </w:p>
    <w:p w:rsidR="00C64B64"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 xml:space="preserve">Las autoridades de gestión gozan de una flexibilidad considerable para combinar y concebir distintas medidas de desarrollo rural en el marco de los ámbitos de interés, lo que provoca planteamientos muy diferentes del PDR hacia la innovación. El examen de la selección y combinación de medidas/submedidas en el PDR ayuda a comprender mejor el planteamiento específico hacia la innovación y el potencial de innovación del PDR. Constituye una base útil para responder a las preguntas comunes de evaluación relacionadas con la innovación, particularmente en las últimas fases de la evaluación (por ejemplo, IAE en 2019 o evaluación </w:t>
      </w:r>
      <w:r w:rsidRPr="009E6414">
        <w:rPr>
          <w:i/>
          <w:noProof/>
          <w:lang w:val="es-ES_tradnl"/>
        </w:rPr>
        <w:t>ex post</w:t>
      </w:r>
      <w:r w:rsidRPr="009E6414">
        <w:rPr>
          <w:noProof/>
          <w:lang w:val="es-ES_tradnl"/>
        </w:rPr>
        <w:t xml:space="preserve">), momento en el que será posible captar los efectos de las repercusiones del PDR sobre los procesos de innovación. </w:t>
      </w:r>
    </w:p>
    <w:p w:rsidR="00A45935" w:rsidRPr="009E6414" w:rsidRDefault="00A45935" w:rsidP="00B421B9">
      <w:pPr>
        <w:pStyle w:val="HHeading4"/>
        <w:rPr>
          <w:rFonts w:eastAsia="Calibri"/>
          <w:noProof/>
          <w:shd w:val="clear" w:color="auto" w:fill="FFFFFF"/>
          <w:lang w:val="es-ES_tradnl"/>
        </w:rPr>
      </w:pPr>
      <w:r w:rsidRPr="009E6414">
        <w:rPr>
          <w:noProof/>
          <w:lang w:val="es-ES_tradnl"/>
        </w:rPr>
        <w:t xml:space="preserve">¿Cuál es el potencial de innovación de las medidas/submedidas del PDR?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b/>
          <w:noProof/>
          <w:lang w:val="es-ES_tradnl"/>
        </w:rPr>
        <w:t>El potencial de innovación de las medidas/submedidas del PDR</w:t>
      </w:r>
      <w:r w:rsidRPr="009E6414">
        <w:rPr>
          <w:noProof/>
          <w:lang w:val="es-ES_tradnl"/>
        </w:rPr>
        <w:t xml:space="preserve">, de modo aislado o en combinación con otras medidas/submedidas en el marco de los ámbitos de interés, se entiende como su capacidad para fomentar la innovación dentro de un sistema de innovación en las zonas rurales </w:t>
      </w:r>
      <w:r w:rsidRPr="009E6414">
        <w:rPr>
          <w:noProof/>
          <w:lang w:val="es-ES_tradnl"/>
        </w:rPr>
        <w:lastRenderedPageBreak/>
        <w:t>mediante a) el impulso de ideas innovadoras), b) el desarrollo de capacidades para innovar en un régimen de colaboración y c) la creación de un entorno propicio para la innovación.</w:t>
      </w:r>
    </w:p>
    <w:p w:rsidR="00A45935" w:rsidRPr="009E6414" w:rsidRDefault="00A45935" w:rsidP="00E05D08">
      <w:pPr>
        <w:keepNext/>
        <w:keepLines/>
        <w:tabs>
          <w:tab w:val="left" w:pos="680"/>
        </w:tabs>
        <w:spacing w:before="240" w:after="240" w:line="280" w:lineRule="atLeast"/>
        <w:mirrorIndents/>
        <w:outlineLvl w:val="3"/>
        <w:rPr>
          <w:rFonts w:eastAsia="Calibri" w:cs="Times New Roman"/>
          <w:b/>
          <w:noProof/>
          <w:color w:val="57825E"/>
          <w:szCs w:val="20"/>
          <w:shd w:val="clear" w:color="auto" w:fill="FFFFFF"/>
          <w:lang w:val="es-ES_tradnl"/>
        </w:rPr>
      </w:pPr>
      <w:r w:rsidRPr="009E6414">
        <w:rPr>
          <w:b/>
          <w:noProof/>
          <w:color w:val="57825E"/>
          <w:shd w:val="clear" w:color="auto" w:fill="FFFFFF"/>
          <w:lang w:val="es-ES_tradnl"/>
        </w:rPr>
        <w:t xml:space="preserve">¿Cuáles son las fases de trabajo para identificar el potencial de innovación del PDR?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b/>
          <w:noProof/>
          <w:lang w:val="es-ES_tradnl"/>
        </w:rPr>
        <w:t>El examen de las medidas y submedidas del PDR</w:t>
      </w:r>
      <w:r w:rsidRPr="009E6414">
        <w:rPr>
          <w:noProof/>
          <w:lang w:val="es-ES_tradnl"/>
        </w:rPr>
        <w:t xml:space="preserve"> analiza cómo están concebidas las medidas para ayudar a impulsar nuevas ideas, desarrollar la capacidad para innovar o crear un entorno propicio para la innovación. El método de trabajo puede ser una valoración dirigida por expertos o un método participativo que implique a más participantes claves del PDR. Este ejercicio de examen podría realizarse respondiendo a las preguntas clave propuestas (véase la </w:t>
      </w:r>
      <w:hyperlink w:anchor="Steps_of_the_screenig" w:history="1">
        <w:r w:rsidRPr="009E6414">
          <w:rPr>
            <w:rStyle w:val="Hyperlink"/>
            <w:noProof/>
            <w:sz w:val="20"/>
            <w:lang w:val="es-ES_tradnl"/>
          </w:rPr>
          <w:t>figura 7</w:t>
        </w:r>
      </w:hyperlink>
      <w:r w:rsidRPr="009E6414">
        <w:rPr>
          <w:noProof/>
          <w:lang w:val="es-ES_tradnl"/>
        </w:rPr>
        <w:t>).</w:t>
      </w:r>
    </w:p>
    <w:p w:rsidR="00A45935" w:rsidRPr="009E6414" w:rsidRDefault="00626C0C" w:rsidP="00B421B9">
      <w:pPr>
        <w:pStyle w:val="HHeadingfigures"/>
      </w:pPr>
      <w:bookmarkStart w:id="17" w:name="_Toc508707934"/>
      <w:r w:rsidRPr="009E6414">
        <w:t>Fases del examen de las medidas/submedidas del PDR para su potencial de innovación</w:t>
      </w:r>
      <w:bookmarkEnd w:id="17"/>
    </w:p>
    <w:p w:rsidR="00A45935" w:rsidRPr="009E6414" w:rsidRDefault="006172D0" w:rsidP="003C6103">
      <w:pPr>
        <w:suppressAutoHyphens/>
        <w:spacing w:before="60" w:after="0" w:line="240" w:lineRule="auto"/>
        <w:ind w:right="26"/>
        <w:mirrorIndents/>
        <w:jc w:val="center"/>
        <w:rPr>
          <w:rFonts w:eastAsia="Times New Roman" w:cs="Times New Roman"/>
          <w:i/>
          <w:noProof/>
          <w:sz w:val="16"/>
          <w:szCs w:val="20"/>
          <w:lang w:val="es-ES_tradnl"/>
        </w:rPr>
      </w:pPr>
      <w:r w:rsidRPr="006172D0">
        <w:rPr>
          <w:noProof/>
          <w:lang w:val="en-GB" w:eastAsia="en-GB" w:bidi="ar-SA"/>
        </w:rPr>
        <w:drawing>
          <wp:inline distT="0" distB="0" distL="0" distR="0">
            <wp:extent cx="5725795" cy="267271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5795" cy="2672715"/>
                    </a:xfrm>
                    <a:prstGeom prst="rect">
                      <a:avLst/>
                    </a:prstGeom>
                    <a:noFill/>
                    <a:ln>
                      <a:noFill/>
                    </a:ln>
                  </pic:spPr>
                </pic:pic>
              </a:graphicData>
            </a:graphic>
          </wp:inline>
        </w:drawing>
      </w:r>
    </w:p>
    <w:p w:rsidR="00A45935" w:rsidRPr="009E6414" w:rsidRDefault="00A45935" w:rsidP="00E05D08">
      <w:pPr>
        <w:suppressAutoHyphens/>
        <w:spacing w:before="60" w:after="0" w:line="240" w:lineRule="auto"/>
        <w:ind w:left="1134" w:right="1134"/>
        <w:mirrorIndents/>
        <w:jc w:val="center"/>
        <w:rPr>
          <w:rFonts w:eastAsia="Times New Roman" w:cs="Times New Roman"/>
          <w:i/>
          <w:noProof/>
          <w:sz w:val="16"/>
          <w:szCs w:val="20"/>
          <w:lang w:val="es-ES_tradnl"/>
        </w:rPr>
      </w:pPr>
      <w:r w:rsidRPr="009E6414">
        <w:rPr>
          <w:i/>
          <w:noProof/>
          <w:sz w:val="16"/>
          <w:lang w:val="es-ES_tradnl"/>
        </w:rPr>
        <w:t>Fuente: Servicio de asistencia de evaluación europeo para el desarrollo rural, 2017</w:t>
      </w:r>
    </w:p>
    <w:p w:rsidR="00A45935" w:rsidRPr="009E6414" w:rsidRDefault="001C546D" w:rsidP="00E05D08">
      <w:pPr>
        <w:keepNext/>
        <w:keepLines/>
        <w:tabs>
          <w:tab w:val="left" w:pos="680"/>
        </w:tabs>
        <w:spacing w:before="240" w:after="240" w:line="280" w:lineRule="atLeast"/>
        <w:mirrorIndents/>
        <w:outlineLvl w:val="3"/>
        <w:rPr>
          <w:rFonts w:eastAsia="Times New Roman" w:cs="Times New Roman"/>
          <w:b/>
          <w:noProof/>
          <w:color w:val="57825E"/>
          <w:szCs w:val="20"/>
          <w:lang w:val="es-ES_tradnl"/>
        </w:rPr>
      </w:pPr>
      <w:r w:rsidRPr="009E6414">
        <w:rPr>
          <w:rFonts w:eastAsia="Times New Roman" w:cs="Times New Roman"/>
          <w:noProof/>
          <w:szCs w:val="20"/>
          <w:lang w:val="en-GB" w:eastAsia="en-GB" w:bidi="ar-SA"/>
        </w:rPr>
        <mc:AlternateContent>
          <mc:Choice Requires="wps">
            <w:drawing>
              <wp:anchor distT="0" distB="0" distL="114300" distR="114300" simplePos="0" relativeHeight="251656704" behindDoc="0" locked="0" layoutInCell="1" allowOverlap="1" wp14:anchorId="7F04FC74" wp14:editId="7D55F90E">
                <wp:simplePos x="0" y="0"/>
                <wp:positionH relativeFrom="column">
                  <wp:posOffset>3105150</wp:posOffset>
                </wp:positionH>
                <wp:positionV relativeFrom="paragraph">
                  <wp:posOffset>246380</wp:posOffset>
                </wp:positionV>
                <wp:extent cx="2640965" cy="3324225"/>
                <wp:effectExtent l="0" t="0" r="26035" b="28575"/>
                <wp:wrapSquare wrapText="bothSides"/>
                <wp:docPr id="64" name="Rectangle: Diagonal Corners Rounded 64"/>
                <wp:cNvGraphicFramePr/>
                <a:graphic xmlns:a="http://schemas.openxmlformats.org/drawingml/2006/main">
                  <a:graphicData uri="http://schemas.microsoft.com/office/word/2010/wordprocessingShape">
                    <wps:wsp>
                      <wps:cNvSpPr/>
                      <wps:spPr>
                        <a:xfrm>
                          <a:off x="0" y="0"/>
                          <a:ext cx="2640965" cy="3324225"/>
                        </a:xfrm>
                        <a:prstGeom prst="round2DiagRect">
                          <a:avLst>
                            <a:gd name="adj1" fmla="val 6437"/>
                            <a:gd name="adj2" fmla="val 0"/>
                          </a:avLst>
                        </a:prstGeom>
                        <a:noFill/>
                        <a:ln w="25400" cap="flat" cmpd="sng" algn="ctr">
                          <a:solidFill>
                            <a:srgbClr val="BE4A35"/>
                          </a:solidFill>
                          <a:prstDash val="solid"/>
                        </a:ln>
                        <a:effectLst/>
                      </wps:spPr>
                      <wps:txbx>
                        <w:txbxContent>
                          <w:p w:rsidR="008D2E0D" w:rsidRPr="00275EE5" w:rsidRDefault="008D2E0D" w:rsidP="00626C0C">
                            <w:pPr>
                              <w:pStyle w:val="Normal12PTcouleurgris"/>
                            </w:pPr>
                            <w:r>
                              <w:rPr>
                                <w:noProof/>
                                <w:lang w:val="en-GB" w:eastAsia="en-GB" w:bidi="ar-SA"/>
                              </w:rPr>
                              <w:drawing>
                                <wp:inline distT="0" distB="0" distL="0" distR="0" wp14:anchorId="79E86FDE" wp14:editId="651881BF">
                                  <wp:extent cx="664845" cy="487680"/>
                                  <wp:effectExtent l="0" t="0" r="0" b="7620"/>
                                  <wp:docPr id="732"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 xml:space="preserve">Según el artículo 15 del Reglamento (UE) n.º 1305/2013, los </w:t>
                            </w:r>
                            <w:r>
                              <w:rPr>
                                <w:b/>
                                <w:color w:val="BE4A35"/>
                                <w:sz w:val="18"/>
                              </w:rPr>
                              <w:t xml:space="preserve">servicios de </w:t>
                            </w:r>
                            <w:proofErr w:type="spellStart"/>
                            <w:r>
                              <w:rPr>
                                <w:b/>
                                <w:color w:val="BE4A35"/>
                                <w:sz w:val="18"/>
                              </w:rPr>
                              <w:t>asesoramiento</w:t>
                            </w:r>
                            <w:r>
                              <w:rPr>
                                <w:sz w:val="18"/>
                                <w:vertAlign w:val="superscript"/>
                              </w:rPr>
                              <w:t>45</w:t>
                            </w:r>
                            <w:proofErr w:type="spellEnd"/>
                            <w:r>
                              <w:rPr>
                                <w:sz w:val="18"/>
                                <w:vertAlign w:val="superscript"/>
                              </w:rPr>
                              <w:t xml:space="preserve"> </w:t>
                            </w:r>
                            <w:r>
                              <w:rPr>
                                <w:sz w:val="18"/>
                              </w:rPr>
                              <w:t xml:space="preserve">deben abarcar siete aspectos. De estos, solo uno [apartado 4, letra c)] menciona explícitamente la innovación. No existe ninguna certeza de que otros tipos de asesoramiento [por ejemplo, apartado 4, letra g) - asesoramiento específico para agricultores que se instalen por primera vez] fomentarán la innovación. Por lo tanto, el análisis de la medida concebida dentro de un </w:t>
                            </w:r>
                            <w:proofErr w:type="spellStart"/>
                            <w:r>
                              <w:rPr>
                                <w:sz w:val="18"/>
                              </w:rPr>
                              <w:t>PDR</w:t>
                            </w:r>
                            <w:proofErr w:type="spellEnd"/>
                            <w:r>
                              <w:rPr>
                                <w:sz w:val="18"/>
                              </w:rPr>
                              <w:t xml:space="preserve"> específico puede indicar si la medida (o </w:t>
                            </w:r>
                            <w:proofErr w:type="spellStart"/>
                            <w:r>
                              <w:rPr>
                                <w:sz w:val="18"/>
                              </w:rPr>
                              <w:t>submedida</w:t>
                            </w:r>
                            <w:proofErr w:type="spellEnd"/>
                            <w:r>
                              <w:rPr>
                                <w:sz w:val="18"/>
                              </w:rPr>
                              <w:t xml:space="preserve"> en caso de que se aplique) podría ser pertinente para potenciar la innovación.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04FC74" id="Rectangle: Diagonal Corners Rounded 64" o:spid="_x0000_s1037" style="position:absolute;left:0;text-align:left;margin-left:244.5pt;margin-top:19.4pt;width:207.95pt;height:261.7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40965,3324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" adj="-11796480,,5400" path="m169999,l2640965,r,l2640965,3154226v,93888,-76111,169999,-169999,169999l,3324225r,l,169999c,76111,76111,,169999,xe" filled="f" strokecolor="#be4a35" strokeweight="2pt">
                <v:stroke joinstyle="miter"/>
                <v:formulas/>
                <v:path arrowok="t" o:connecttype="custom" o:connectlocs="169999,0;2640965,0;2640965,0;2640965,3154226;2470966,3324225;0,3324225;0,3324225;0,169999;169999,0" o:connectangles="0,0,0,0,0,0,0,0,0" textboxrect="0,0,2640965,3324225"/>
                <v:textbox>
                  <w:txbxContent>
                    <w:p w:rsidR="008D2E0D" w:rsidRPr="00275EE5" w:rsidRDefault="008D2E0D" w:rsidP="00626C0C">
                      <w:pPr>
                        <w:pStyle w:val="Normal12PTcouleurgris"/>
                      </w:pPr>
                      <w:r>
                        <w:rPr>
                          <w:noProof/>
                          <w:lang w:val="en-GB" w:eastAsia="en-GB" w:bidi="ar-SA"/>
                        </w:rPr>
                        <w:drawing>
                          <wp:inline distT="0" distB="0" distL="0" distR="0" wp14:anchorId="79E86FDE" wp14:editId="651881BF">
                            <wp:extent cx="664845" cy="487680"/>
                            <wp:effectExtent l="0" t="0" r="0" b="7620"/>
                            <wp:docPr id="732"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 xml:space="preserve">Según el artículo 15 del Reglamento (UE) n.º 1305/2013, los </w:t>
                      </w:r>
                      <w:r>
                        <w:rPr>
                          <w:b/>
                          <w:color w:val="BE4A35"/>
                          <w:sz w:val="18"/>
                        </w:rPr>
                        <w:t xml:space="preserve">servicios de </w:t>
                      </w:r>
                      <w:proofErr w:type="spellStart"/>
                      <w:r>
                        <w:rPr>
                          <w:b/>
                          <w:color w:val="BE4A35"/>
                          <w:sz w:val="18"/>
                        </w:rPr>
                        <w:t>asesoramiento</w:t>
                      </w:r>
                      <w:r>
                        <w:rPr>
                          <w:sz w:val="18"/>
                          <w:vertAlign w:val="superscript"/>
                        </w:rPr>
                        <w:t>45</w:t>
                      </w:r>
                      <w:proofErr w:type="spellEnd"/>
                      <w:r>
                        <w:rPr>
                          <w:sz w:val="18"/>
                          <w:vertAlign w:val="superscript"/>
                        </w:rPr>
                        <w:t xml:space="preserve"> </w:t>
                      </w:r>
                      <w:r>
                        <w:rPr>
                          <w:sz w:val="18"/>
                        </w:rPr>
                        <w:t xml:space="preserve">deben abarcar siete aspectos. De estos, solo uno [apartado 4, letra c)] menciona explícitamente la innovación. No existe ninguna certeza de que otros tipos de asesoramiento [por ejemplo, apartado 4, letra g) - asesoramiento específico para agricultores que se instalen por primera vez] fomentarán la innovación. Por lo tanto, el análisis de la medida concebida dentro de un </w:t>
                      </w:r>
                      <w:proofErr w:type="spellStart"/>
                      <w:r>
                        <w:rPr>
                          <w:sz w:val="18"/>
                        </w:rPr>
                        <w:t>PDR</w:t>
                      </w:r>
                      <w:proofErr w:type="spellEnd"/>
                      <w:r>
                        <w:rPr>
                          <w:sz w:val="18"/>
                        </w:rPr>
                        <w:t xml:space="preserve"> específico puede indicar si la medida (o </w:t>
                      </w:r>
                      <w:proofErr w:type="spellStart"/>
                      <w:r>
                        <w:rPr>
                          <w:sz w:val="18"/>
                        </w:rPr>
                        <w:t>submedida</w:t>
                      </w:r>
                      <w:proofErr w:type="spellEnd"/>
                      <w:r>
                        <w:rPr>
                          <w:sz w:val="18"/>
                        </w:rPr>
                        <w:t xml:space="preserve"> en caso de que se aplique) podría ser pertinente para potenciar la innovación.</w:t>
                      </w:r>
                    </w:p>
                  </w:txbxContent>
                </v:textbox>
                <w10:wrap type="square"/>
              </v:shape>
            </w:pict>
          </mc:Fallback>
        </mc:AlternateContent>
      </w:r>
      <w:r w:rsidR="00A45935" w:rsidRPr="009E6414">
        <w:rPr>
          <w:b/>
          <w:noProof/>
          <w:color w:val="57825E"/>
          <w:lang w:val="es-ES_tradnl"/>
        </w:rPr>
        <w:t>¿Qué aspectos deben examinarse en el PDR?</w:t>
      </w:r>
    </w:p>
    <w:p w:rsidR="00A45935" w:rsidRPr="009E6414" w:rsidRDefault="007A450E" w:rsidP="00E05D08">
      <w:pPr>
        <w:spacing w:after="120" w:line="280" w:lineRule="atLeast"/>
        <w:mirrorIndents/>
        <w:rPr>
          <w:rFonts w:eastAsia="Times New Roman" w:cs="Times New Roman"/>
          <w:noProof/>
          <w:szCs w:val="20"/>
          <w:lang w:val="es-ES_tradnl"/>
        </w:rPr>
      </w:pPr>
      <w:r w:rsidRPr="009E6414">
        <w:rPr>
          <w:b/>
          <w:noProof/>
          <w:lang w:val="es-ES_tradnl"/>
        </w:rPr>
        <w:t>El examen debe centrarse en la capacidad tanto de las medidas individuales como de los grupos de medidas en el marco de los ámbitos de interés</w:t>
      </w:r>
      <w:r w:rsidRPr="009E6414">
        <w:rPr>
          <w:noProof/>
          <w:lang w:val="es-ES_tradnl"/>
        </w:rPr>
        <w:t xml:space="preserve"> para potenciar la innovación (por ejemplo, su capacidad para contribuir a las tres vías de innovación, tal como se explica en el </w:t>
      </w:r>
      <w:hyperlink w:anchor="Innovation_RD" w:history="1">
        <w:r w:rsidRPr="009E6414">
          <w:rPr>
            <w:rStyle w:val="Hyperlink"/>
            <w:noProof/>
            <w:sz w:val="20"/>
            <w:lang w:val="es-ES_tradnl"/>
          </w:rPr>
          <w:t>capítulo 1.1</w:t>
        </w:r>
      </w:hyperlink>
      <w:r w:rsidRPr="009E6414">
        <w:rPr>
          <w:noProof/>
          <w:lang w:val="es-ES_tradnl"/>
        </w:rPr>
        <w:t>)</w:t>
      </w:r>
      <w:r w:rsidRPr="009E6414">
        <w:rPr>
          <w:rStyle w:val="FootnoteReference"/>
          <w:noProof/>
          <w:color w:val="FFFFFF" w:themeColor="background1"/>
          <w:lang w:val="es-ES_tradnl"/>
        </w:rPr>
        <w:footnoteReference w:id="45"/>
      </w:r>
      <w:r w:rsidRPr="009E6414">
        <w:rPr>
          <w:noProof/>
          <w:lang w:val="es-ES_tradnl"/>
        </w:rPr>
        <w:t xml:space="preserve">. Del mismo modo, el </w:t>
      </w:r>
      <w:r w:rsidRPr="009E6414">
        <w:rPr>
          <w:b/>
          <w:noProof/>
          <w:lang w:val="es-ES_tradnl"/>
        </w:rPr>
        <w:t>potencial de la RRN para fomentar la innovación</w:t>
      </w:r>
      <w:r w:rsidRPr="009E6414">
        <w:rPr>
          <w:noProof/>
          <w:lang w:val="es-ES_tradnl"/>
        </w:rPr>
        <w:t xml:space="preserve"> también puede identificarse mediante el examen de las acciones de la RRN (véase la </w:t>
      </w:r>
      <w:hyperlink w:anchor="CEQ_NRN" w:history="1">
        <w:r w:rsidRPr="009E6414">
          <w:rPr>
            <w:rStyle w:val="Hyperlink"/>
            <w:noProof/>
            <w:sz w:val="20"/>
            <w:lang w:val="es-ES_tradnl"/>
          </w:rPr>
          <w:t>sección 2.4.3</w:t>
        </w:r>
      </w:hyperlink>
      <w:r w:rsidRPr="009E6414">
        <w:rPr>
          <w:noProof/>
          <w:lang w:val="es-ES_tradnl"/>
        </w:rPr>
        <w:t xml:space="preserve">).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 xml:space="preserve">En total, el examen del potencial de innovación debe incluir, al menos, las medidas vinculadas a las siguientes PCE: </w:t>
      </w:r>
    </w:p>
    <w:p w:rsidR="00A45935" w:rsidRPr="009E6414" w:rsidRDefault="00A45935" w:rsidP="00B421B9">
      <w:pPr>
        <w:numPr>
          <w:ilvl w:val="0"/>
          <w:numId w:val="3"/>
        </w:numPr>
        <w:tabs>
          <w:tab w:val="clear" w:pos="644"/>
        </w:tabs>
        <w:spacing w:before="60" w:after="120" w:line="280" w:lineRule="atLeast"/>
        <w:ind w:hanging="567"/>
        <w:mirrorIndents/>
        <w:rPr>
          <w:rFonts w:eastAsia="Times New Roman" w:cs="Times New Roman"/>
          <w:noProof/>
          <w:szCs w:val="20"/>
          <w:lang w:val="es-ES_tradnl"/>
        </w:rPr>
      </w:pPr>
      <w:r w:rsidRPr="009E6414">
        <w:rPr>
          <w:noProof/>
          <w:lang w:val="es-ES_tradnl"/>
        </w:rPr>
        <w:t xml:space="preserve">La PCE n.º 1 está vinculada a la M1, la M2 y la M16 [artículos 14, 15 y 35 del Reglamento </w:t>
      </w:r>
      <w:r w:rsidRPr="009E6414">
        <w:rPr>
          <w:noProof/>
          <w:lang w:val="es-ES_tradnl"/>
        </w:rPr>
        <w:lastRenderedPageBreak/>
        <w:t>(UE) n.º 1305/2013 respectivamente]. El examen se centrará en el potencial de innovación de estas medidas y ayudará a responder a la parte de innovación de la PCE.</w:t>
      </w:r>
    </w:p>
    <w:p w:rsidR="00A45935" w:rsidRPr="009E6414" w:rsidRDefault="00A45935" w:rsidP="00B421B9">
      <w:pPr>
        <w:numPr>
          <w:ilvl w:val="0"/>
          <w:numId w:val="3"/>
        </w:numPr>
        <w:tabs>
          <w:tab w:val="clear" w:pos="644"/>
        </w:tabs>
        <w:spacing w:before="60" w:after="120" w:line="280" w:lineRule="atLeast"/>
        <w:ind w:hanging="567"/>
        <w:mirrorIndents/>
        <w:rPr>
          <w:rFonts w:eastAsia="Times New Roman" w:cs="Times New Roman"/>
          <w:noProof/>
          <w:szCs w:val="20"/>
          <w:lang w:val="es-ES_tradnl"/>
        </w:rPr>
      </w:pPr>
      <w:r w:rsidRPr="009E6414">
        <w:rPr>
          <w:noProof/>
          <w:lang w:val="es-ES_tradnl"/>
        </w:rPr>
        <w:t>La PCE n.º 2 está vinculada a la M16 (cooperación). Las submedidas de la M16 serán analizadas sobre todo por su potencial para contribuir a las tres vías. Los resultados ayudarán a responder a la parte de innovación de la PCE.</w:t>
      </w:r>
    </w:p>
    <w:p w:rsidR="00A45935" w:rsidRPr="009E6414" w:rsidRDefault="00A45935" w:rsidP="007A450E">
      <w:pPr>
        <w:numPr>
          <w:ilvl w:val="0"/>
          <w:numId w:val="3"/>
        </w:numPr>
        <w:tabs>
          <w:tab w:val="clear" w:pos="644"/>
        </w:tabs>
        <w:spacing w:before="60" w:after="120" w:line="280" w:lineRule="atLeast"/>
        <w:ind w:hanging="567"/>
        <w:mirrorIndents/>
        <w:rPr>
          <w:rFonts w:eastAsia="Times New Roman" w:cs="Times New Roman"/>
          <w:noProof/>
          <w:szCs w:val="20"/>
          <w:lang w:val="es-ES_tradnl"/>
        </w:rPr>
      </w:pPr>
      <w:r w:rsidRPr="009E6414">
        <w:rPr>
          <w:noProof/>
          <w:lang w:val="es-ES_tradnl"/>
        </w:rPr>
        <w:t>La PCE n.º 21 abarca los cuatro objetivos de la RRN. El examen del potencial de innovación de la RRN se centrará en las acciones de la RRN que contribuyen al objetivo común de la RRN de «Potenciar la innovación en el sector agrícola, la producción alimentaria, la selvicultura y las zonas rurales». Este análisis ayudará a responder a la parte de la PCE relacionada con la innovación.</w:t>
      </w:r>
    </w:p>
    <w:p w:rsidR="00A45935" w:rsidRPr="009E6414" w:rsidRDefault="00A45935" w:rsidP="00E05D08">
      <w:pPr>
        <w:numPr>
          <w:ilvl w:val="0"/>
          <w:numId w:val="3"/>
        </w:numPr>
        <w:spacing w:before="60" w:after="120" w:line="280" w:lineRule="atLeast"/>
        <w:ind w:hanging="567"/>
        <w:mirrorIndents/>
        <w:rPr>
          <w:rFonts w:eastAsia="Times New Roman" w:cs="Times New Roman"/>
          <w:noProof/>
          <w:szCs w:val="20"/>
          <w:lang w:val="es-ES_tradnl"/>
        </w:rPr>
      </w:pPr>
      <w:r w:rsidRPr="009E6414">
        <w:rPr>
          <w:noProof/>
          <w:lang w:val="es-ES_tradnl"/>
        </w:rPr>
        <w:t>Para responder a la PCE n.º 23 se utilizará la evaluación de las contribuciones del PDR a la consecución del objetivo principal en materia de I+D /innovación de alcanzar el 3 % del PIB de la UE (público y privado conjuntamente)</w:t>
      </w:r>
      <w:r w:rsidRPr="009E6414">
        <w:rPr>
          <w:noProof/>
          <w:vertAlign w:val="superscript"/>
          <w:lang w:val="es-ES_tradnl"/>
        </w:rPr>
        <w:footnoteReference w:id="46"/>
      </w:r>
      <w:r w:rsidRPr="009E6414">
        <w:rPr>
          <w:noProof/>
          <w:lang w:val="es-ES_tradnl"/>
        </w:rPr>
        <w:t>, utilizando al mismo tiempo los indicadores relacionados con dicho objetivo. El examen de todas las medidas del PDR para el potencial de innovación es importante para: a) identificar medidas que contribuyen a potenciar la innovación y b) tener en cuenta los gastos vinculados a estas medidas al calcular los indicadores utilizados para responder a la PCE n.º 23.</w:t>
      </w:r>
    </w:p>
    <w:p w:rsidR="00A45935" w:rsidRPr="009E6414" w:rsidRDefault="00A45935" w:rsidP="00E05D08">
      <w:pPr>
        <w:numPr>
          <w:ilvl w:val="0"/>
          <w:numId w:val="3"/>
        </w:numPr>
        <w:spacing w:before="60" w:after="120" w:line="280" w:lineRule="atLeast"/>
        <w:ind w:hanging="567"/>
        <w:mirrorIndents/>
        <w:rPr>
          <w:rFonts w:eastAsia="Times New Roman" w:cs="Times New Roman"/>
          <w:noProof/>
          <w:szCs w:val="20"/>
          <w:lang w:val="es-ES_tradnl"/>
        </w:rPr>
      </w:pPr>
      <w:r w:rsidRPr="009E6414">
        <w:rPr>
          <w:noProof/>
          <w:lang w:val="es-ES_tradnl"/>
        </w:rPr>
        <w:t xml:space="preserve">La PCE n.º 30 está vinculada al objetivo transversal sobre innovación. En este caso, todas las medidas/submedidas y su combinación en el marco de cada ámbito de interés serán examinadas para identificar aquellas con el potencial para promover la innovación a través de las tres vías. Este análisis contribuirá a facilitar al evaluador construir una evaluación del estudio de casos basada en la teoría del cambio que se propone utilizar para responder a la PCE n.º 30. </w:t>
      </w:r>
    </w:p>
    <w:p w:rsidR="00A45935" w:rsidRPr="009E6414" w:rsidRDefault="009E6414" w:rsidP="00E05D08">
      <w:pPr>
        <w:keepNext/>
        <w:keepLines/>
        <w:tabs>
          <w:tab w:val="left" w:pos="680"/>
        </w:tabs>
        <w:spacing w:before="240" w:after="240" w:line="280" w:lineRule="atLeast"/>
        <w:mirrorIndents/>
        <w:outlineLvl w:val="3"/>
        <w:rPr>
          <w:rFonts w:eastAsia="Calibri" w:cs="Times New Roman"/>
          <w:b/>
          <w:noProof/>
          <w:color w:val="57825E"/>
          <w:szCs w:val="20"/>
          <w:shd w:val="clear" w:color="auto" w:fill="FFFFFF"/>
          <w:lang w:val="es-ES_tradnl"/>
        </w:rPr>
      </w:pPr>
      <w:r>
        <w:rPr>
          <w:b/>
          <w:noProof/>
          <w:color w:val="57825E"/>
          <w:shd w:val="clear" w:color="auto" w:fill="FFFFFF"/>
          <w:lang w:val="es-ES_tradnl"/>
        </w:rPr>
        <w:t>¿Cuál es el resultado?</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b/>
          <w:noProof/>
          <w:lang w:val="es-ES_tradnl"/>
        </w:rPr>
        <w:t>El examen ayuda a hacer más explícita la lógica de intervención relacionada con la innovación del PDR.</w:t>
      </w:r>
      <w:r w:rsidRPr="009E6414">
        <w:rPr>
          <w:noProof/>
          <w:lang w:val="es-ES_tradnl"/>
        </w:rPr>
        <w:t xml:space="preserve"> Identifica las medidas del PDR con el mayor potencial para fomentar la innovación y también aclara a que áreas (vías) se refieren. Durante la evaluación posterior de los efectos, los resultados de este examen se tendrán en cuenta para comparar el potencial con los logros reales del PDR en el fomento de la innovación. Esto ayuda a centrar el trabajo del evaluador sobre aquellas medidas y submedidas consideradas especialmente pertinentes para potenciar la innovación. </w:t>
      </w:r>
    </w:p>
    <w:p w:rsidR="007A450E" w:rsidRPr="009E6414" w:rsidRDefault="007A450E" w:rsidP="00E05D08">
      <w:pPr>
        <w:spacing w:after="120" w:line="280" w:lineRule="atLeast"/>
        <w:mirrorIndents/>
        <w:rPr>
          <w:rFonts w:eastAsia="Times New Roman" w:cs="Times New Roman"/>
          <w:noProof/>
          <w:szCs w:val="20"/>
          <w:lang w:val="es-ES_tradnl"/>
        </w:rPr>
      </w:pPr>
    </w:p>
    <w:p w:rsidR="007A450E" w:rsidRDefault="00E634DC" w:rsidP="009E6414">
      <w:pPr>
        <w:pStyle w:val="HStandard"/>
        <w:rPr>
          <w:noProof/>
          <w:lang w:val="es-ES_tradnl"/>
        </w:rPr>
      </w:pPr>
      <w:r w:rsidRPr="009E6414">
        <w:rPr>
          <w:b/>
          <w:noProof/>
          <w:lang w:val="en-GB" w:eastAsia="en-GB" w:bidi="ar-SA"/>
        </w:rPr>
        <mc:AlternateContent>
          <mc:Choice Requires="wps">
            <w:drawing>
              <wp:inline distT="0" distB="0" distL="0" distR="0">
                <wp:extent cx="4153546" cy="2152650"/>
                <wp:effectExtent l="0" t="0" r="18415" b="19050"/>
                <wp:docPr id="67" name="Rectangle: Diagonal Corners Rounded 67"/>
                <wp:cNvGraphicFramePr/>
                <a:graphic xmlns:a="http://schemas.openxmlformats.org/drawingml/2006/main">
                  <a:graphicData uri="http://schemas.microsoft.com/office/word/2010/wordprocessingShape">
                    <wps:wsp>
                      <wps:cNvSpPr/>
                      <wps:spPr>
                        <a:xfrm>
                          <a:off x="0" y="0"/>
                          <a:ext cx="4153546" cy="2152650"/>
                        </a:xfrm>
                        <a:prstGeom prst="round2DiagRect">
                          <a:avLst>
                            <a:gd name="adj1" fmla="val 9754"/>
                            <a:gd name="adj2" fmla="val 0"/>
                          </a:avLst>
                        </a:prstGeom>
                        <a:noFill/>
                        <a:ln w="25400" cap="flat" cmpd="sng" algn="ctr">
                          <a:solidFill>
                            <a:srgbClr val="8BAB80"/>
                          </a:solidFill>
                          <a:prstDash val="solid"/>
                        </a:ln>
                        <a:effec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136"/>
                              <w:gridCol w:w="3086"/>
                            </w:tblGrid>
                            <w:tr w:rsidR="008D2E0D" w:rsidTr="002A6F90">
                              <w:tc>
                                <w:tcPr>
                                  <w:tcW w:w="3136" w:type="dxa"/>
                                  <w:shd w:val="clear" w:color="auto" w:fill="FFFFFF"/>
                                </w:tcPr>
                                <w:p w:rsidR="008D2E0D" w:rsidRPr="00B63DE8" w:rsidRDefault="008D2E0D" w:rsidP="007A450E">
                                  <w:pPr>
                                    <w:suppressOverlap/>
                                    <w:jc w:val="left"/>
                                    <w:rPr>
                                      <w:rFonts w:cs="Arial"/>
                                      <w:b/>
                                      <w:color w:val="404040"/>
                                      <w:szCs w:val="18"/>
                                    </w:rPr>
                                  </w:pPr>
                                  <w:r>
                                    <w:rPr>
                                      <w:b/>
                                      <w:color w:val="404040"/>
                                    </w:rPr>
                                    <w:t>Qué hacer</w:t>
                                  </w:r>
                                </w:p>
                                <w:p w:rsidR="008D2E0D" w:rsidRPr="00B63DE8" w:rsidRDefault="008D2E0D" w:rsidP="007A450E">
                                  <w:pPr>
                                    <w:pStyle w:val="Hlistbullet"/>
                                    <w:spacing w:line="160" w:lineRule="atLeast"/>
                                    <w:jc w:val="left"/>
                                    <w:rPr>
                                      <w:sz w:val="18"/>
                                      <w:szCs w:val="18"/>
                                    </w:rPr>
                                  </w:pPr>
                                  <w:r>
                                    <w:rPr>
                                      <w:sz w:val="18"/>
                                    </w:rPr>
                                    <w:t xml:space="preserve">Evaluar el diseño de la medida (necesidades, objetivos, criterios de selección, beneficiarios con los que se relaciona) en función de su potencial y su intensidad para promover la innovación. </w:t>
                                  </w:r>
                                </w:p>
                                <w:p w:rsidR="008D2E0D" w:rsidRPr="00B63DE8" w:rsidRDefault="008D2E0D" w:rsidP="007A450E">
                                  <w:pPr>
                                    <w:pStyle w:val="Hlistbullet"/>
                                    <w:spacing w:line="160" w:lineRule="atLeast"/>
                                    <w:jc w:val="left"/>
                                  </w:pPr>
                                  <w:r>
                                    <w:rPr>
                                      <w:sz w:val="18"/>
                                    </w:rPr>
                                    <w:t xml:space="preserve">Reconocer la lógica de intervención subyacente relacionada con la innovación del </w:t>
                                  </w:r>
                                  <w:proofErr w:type="spellStart"/>
                                  <w:r>
                                    <w:rPr>
                                      <w:sz w:val="18"/>
                                    </w:rPr>
                                    <w:t>PDR</w:t>
                                  </w:r>
                                  <w:proofErr w:type="spellEnd"/>
                                  <w:r>
                                    <w:rPr>
                                      <w:sz w:val="18"/>
                                    </w:rPr>
                                    <w:t>.</w:t>
                                  </w:r>
                                  <w:r>
                                    <w:t xml:space="preserve"> </w:t>
                                  </w:r>
                                </w:p>
                              </w:tc>
                              <w:tc>
                                <w:tcPr>
                                  <w:tcW w:w="3086" w:type="dxa"/>
                                  <w:shd w:val="clear" w:color="auto" w:fill="auto"/>
                                </w:tcPr>
                                <w:p w:rsidR="008D2E0D" w:rsidRPr="00B63DE8" w:rsidRDefault="008D2E0D" w:rsidP="007A450E">
                                  <w:pPr>
                                    <w:suppressOverlap/>
                                    <w:jc w:val="left"/>
                                    <w:rPr>
                                      <w:rFonts w:cs="Arial"/>
                                      <w:b/>
                                      <w:color w:val="404040"/>
                                      <w:szCs w:val="18"/>
                                    </w:rPr>
                                  </w:pPr>
                                  <w:r>
                                    <w:rPr>
                                      <w:b/>
                                      <w:color w:val="404040"/>
                                    </w:rPr>
                                    <w:t>Qué no hacer</w:t>
                                  </w:r>
                                </w:p>
                                <w:p w:rsidR="008D2E0D" w:rsidRPr="00B63DE8" w:rsidRDefault="008D2E0D" w:rsidP="007A450E">
                                  <w:pPr>
                                    <w:pStyle w:val="Hlistbullet"/>
                                    <w:spacing w:line="160" w:lineRule="atLeast"/>
                                    <w:jc w:val="left"/>
                                    <w:rPr>
                                      <w:sz w:val="18"/>
                                      <w:szCs w:val="18"/>
                                    </w:rPr>
                                  </w:pPr>
                                  <w:r>
                                    <w:rPr>
                                      <w:sz w:val="18"/>
                                    </w:rPr>
                                    <w:t xml:space="preserve">Limitar el examen del potencial de innovación del </w:t>
                                  </w:r>
                                  <w:proofErr w:type="spellStart"/>
                                  <w:r>
                                    <w:rPr>
                                      <w:sz w:val="18"/>
                                    </w:rPr>
                                    <w:t>PDR</w:t>
                                  </w:r>
                                  <w:proofErr w:type="spellEnd"/>
                                  <w:r>
                                    <w:rPr>
                                      <w:sz w:val="18"/>
                                    </w:rPr>
                                    <w:t xml:space="preserve"> únicamente a la mención de la palabra «innovador» en los criterios de selección y medidas. </w:t>
                                  </w:r>
                                </w:p>
                                <w:p w:rsidR="008D2E0D" w:rsidRPr="00B63DE8" w:rsidRDefault="008D2E0D" w:rsidP="007A450E">
                                  <w:pPr>
                                    <w:suppressOverlap/>
                                    <w:jc w:val="left"/>
                                    <w:rPr>
                                      <w:rFonts w:cs="Arial"/>
                                      <w:color w:val="1A1A1A"/>
                                      <w:szCs w:val="18"/>
                                    </w:rPr>
                                  </w:pPr>
                                </w:p>
                              </w:tc>
                            </w:tr>
                          </w:tbl>
                          <w:p w:rsidR="008D2E0D" w:rsidRPr="00275EE5" w:rsidRDefault="008D2E0D" w:rsidP="002A6F90">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ectangle: Diagonal Corners Rounded 67" o:spid="_x0000_s1038" style="width:327.05pt;height:169.5pt;visibility:visible;mso-wrap-style:square;mso-left-percent:-10001;mso-top-percent:-10001;mso-position-horizontal:absolute;mso-position-horizontal-relative:char;mso-position-vertical:absolute;mso-position-vertical-relative:line;mso-left-percent:-10001;mso-top-percent:-10001;v-text-anchor:middle" coordsize="4153546,2152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" adj="-11796480,,5400" path="m209969,l4153546,r,l4153546,1942681v,115963,-94006,209969,-209969,209969l,2152650r,l,209969c,94006,94006,,209969,xe" filled="f" strokecolor="#8bab80" strokeweight="2pt">
                <v:stroke joinstyle="miter"/>
                <v:formulas/>
                <v:path arrowok="t" o:connecttype="custom" o:connectlocs="209969,0;4153546,0;4153546,0;4153546,1942681;3943577,2152650;0,2152650;0,2152650;0,209969;209969,0" o:connectangles="0,0,0,0,0,0,0,0,0" textboxrect="0,0,4153546,2152650"/>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136"/>
                        <w:gridCol w:w="3086"/>
                      </w:tblGrid>
                      <w:tr w:rsidR="008D2E0D" w:rsidTr="002A6F90">
                        <w:tc>
                          <w:tcPr>
                            <w:tcW w:w="3136" w:type="dxa"/>
                            <w:shd w:val="clear" w:color="auto" w:fill="FFFFFF"/>
                          </w:tcPr>
                          <w:p w:rsidR="008D2E0D" w:rsidRPr="00B63DE8" w:rsidRDefault="008D2E0D" w:rsidP="007A450E">
                            <w:pPr>
                              <w:suppressOverlap/>
                              <w:jc w:val="left"/>
                              <w:rPr>
                                <w:rFonts w:cs="Arial"/>
                                <w:b/>
                                <w:color w:val="404040"/>
                                <w:szCs w:val="18"/>
                              </w:rPr>
                            </w:pPr>
                            <w:r>
                              <w:rPr>
                                <w:b/>
                                <w:color w:val="404040"/>
                              </w:rPr>
                              <w:t>Qué hacer</w:t>
                            </w:r>
                          </w:p>
                          <w:p w:rsidR="008D2E0D" w:rsidRPr="00B63DE8" w:rsidRDefault="008D2E0D" w:rsidP="007A450E">
                            <w:pPr>
                              <w:pStyle w:val="Hlistbullet"/>
                              <w:spacing w:line="160" w:lineRule="atLeast"/>
                              <w:jc w:val="left"/>
                              <w:rPr>
                                <w:sz w:val="18"/>
                                <w:szCs w:val="18"/>
                              </w:rPr>
                            </w:pPr>
                            <w:r>
                              <w:rPr>
                                <w:sz w:val="18"/>
                              </w:rPr>
                              <w:t xml:space="preserve">Evaluar el diseño de la medida (necesidades, objetivos, criterios de selección, beneficiarios con los que se relaciona) en función de su potencial y su intensidad para promover la innovación. </w:t>
                            </w:r>
                          </w:p>
                          <w:p w:rsidR="008D2E0D" w:rsidRPr="00B63DE8" w:rsidRDefault="008D2E0D" w:rsidP="007A450E">
                            <w:pPr>
                              <w:pStyle w:val="Hlistbullet"/>
                              <w:spacing w:line="160" w:lineRule="atLeast"/>
                              <w:jc w:val="left"/>
                            </w:pPr>
                            <w:r>
                              <w:rPr>
                                <w:sz w:val="18"/>
                              </w:rPr>
                              <w:t xml:space="preserve">Reconocer la lógica de intervención subyacente relacionada con la innovación del </w:t>
                            </w:r>
                            <w:proofErr w:type="spellStart"/>
                            <w:r>
                              <w:rPr>
                                <w:sz w:val="18"/>
                              </w:rPr>
                              <w:t>PDR</w:t>
                            </w:r>
                            <w:proofErr w:type="spellEnd"/>
                            <w:r>
                              <w:rPr>
                                <w:sz w:val="18"/>
                              </w:rPr>
                              <w:t>.</w:t>
                            </w:r>
                            <w:r>
                              <w:t xml:space="preserve"> </w:t>
                            </w:r>
                          </w:p>
                        </w:tc>
                        <w:tc>
                          <w:tcPr>
                            <w:tcW w:w="3086" w:type="dxa"/>
                            <w:shd w:val="clear" w:color="auto" w:fill="auto"/>
                          </w:tcPr>
                          <w:p w:rsidR="008D2E0D" w:rsidRPr="00B63DE8" w:rsidRDefault="008D2E0D" w:rsidP="007A450E">
                            <w:pPr>
                              <w:suppressOverlap/>
                              <w:jc w:val="left"/>
                              <w:rPr>
                                <w:rFonts w:cs="Arial"/>
                                <w:b/>
                                <w:color w:val="404040"/>
                                <w:szCs w:val="18"/>
                              </w:rPr>
                            </w:pPr>
                            <w:r>
                              <w:rPr>
                                <w:b/>
                                <w:color w:val="404040"/>
                              </w:rPr>
                              <w:t>Qué no hacer</w:t>
                            </w:r>
                          </w:p>
                          <w:p w:rsidR="008D2E0D" w:rsidRPr="00B63DE8" w:rsidRDefault="008D2E0D" w:rsidP="007A450E">
                            <w:pPr>
                              <w:pStyle w:val="Hlistbullet"/>
                              <w:spacing w:line="160" w:lineRule="atLeast"/>
                              <w:jc w:val="left"/>
                              <w:rPr>
                                <w:sz w:val="18"/>
                                <w:szCs w:val="18"/>
                              </w:rPr>
                            </w:pPr>
                            <w:r>
                              <w:rPr>
                                <w:sz w:val="18"/>
                              </w:rPr>
                              <w:t xml:space="preserve">Limitar el examen del potencial de innovación del </w:t>
                            </w:r>
                            <w:proofErr w:type="spellStart"/>
                            <w:r>
                              <w:rPr>
                                <w:sz w:val="18"/>
                              </w:rPr>
                              <w:t>PDR</w:t>
                            </w:r>
                            <w:proofErr w:type="spellEnd"/>
                            <w:r>
                              <w:rPr>
                                <w:sz w:val="18"/>
                              </w:rPr>
                              <w:t xml:space="preserve"> únicamente a la mención de la palabra «innovador» en los criterios de selección y medidas. </w:t>
                            </w:r>
                          </w:p>
                          <w:p w:rsidR="008D2E0D" w:rsidRPr="00B63DE8" w:rsidRDefault="008D2E0D" w:rsidP="007A450E">
                            <w:pPr>
                              <w:suppressOverlap/>
                              <w:jc w:val="left"/>
                              <w:rPr>
                                <w:rFonts w:cs="Arial"/>
                                <w:color w:val="1A1A1A"/>
                                <w:szCs w:val="18"/>
                              </w:rPr>
                            </w:pPr>
                          </w:p>
                        </w:tc>
                      </w:tr>
                    </w:tbl>
                    <w:p w:rsidR="008D2E0D" w:rsidRPr="00275EE5" w:rsidRDefault="008D2E0D" w:rsidP="002A6F90">
                      <w:pPr>
                        <w:pStyle w:val="Normal12PTcouleurgris"/>
                      </w:pPr>
                    </w:p>
                  </w:txbxContent>
                </v:textbox>
                <w10:anchorlock/>
              </v:shape>
            </w:pict>
          </mc:Fallback>
        </mc:AlternateContent>
      </w:r>
      <w:r w:rsidR="007A450E" w:rsidRPr="009E6414">
        <w:rPr>
          <w:noProof/>
          <w:lang w:val="es-ES_tradnl"/>
        </w:rPr>
        <w:br w:type="page"/>
      </w:r>
    </w:p>
    <w:p w:rsidR="009E6414" w:rsidRPr="009E6414" w:rsidRDefault="009E6414" w:rsidP="009E6414">
      <w:pPr>
        <w:pStyle w:val="HStandard"/>
        <w:rPr>
          <w:b/>
          <w:noProof/>
          <w:lang w:val="es-ES_tradnl"/>
        </w:rPr>
      </w:pPr>
    </w:p>
    <w:p w:rsidR="00A45935" w:rsidRPr="009E6414" w:rsidRDefault="00A45935" w:rsidP="00B421B9">
      <w:pPr>
        <w:pStyle w:val="HHeading2"/>
        <w:numPr>
          <w:ilvl w:val="1"/>
          <w:numId w:val="119"/>
        </w:numPr>
        <w:ind w:left="567" w:hanging="567"/>
        <w:rPr>
          <w:noProof/>
          <w:lang w:val="es-ES_tradnl"/>
        </w:rPr>
      </w:pPr>
      <w:bookmarkStart w:id="18" w:name="_Toc508707918"/>
      <w:r w:rsidRPr="009E6414">
        <w:rPr>
          <w:noProof/>
          <w:lang w:val="es-ES_tradnl"/>
        </w:rPr>
        <w:t>Complementar los elementos comunes de evaluación para la innovación (recomendada)</w:t>
      </w:r>
      <w:bookmarkEnd w:id="18"/>
    </w:p>
    <w:p w:rsidR="00A45935" w:rsidRPr="009E6414" w:rsidRDefault="00A45935" w:rsidP="00E05D08">
      <w:pPr>
        <w:keepNext/>
        <w:keepLines/>
        <w:tabs>
          <w:tab w:val="left" w:pos="680"/>
        </w:tabs>
        <w:spacing w:before="240" w:after="240" w:line="280" w:lineRule="atLeast"/>
        <w:mirrorIndents/>
        <w:outlineLvl w:val="3"/>
        <w:rPr>
          <w:rFonts w:eastAsia="Calibri" w:cs="Times New Roman"/>
          <w:b/>
          <w:noProof/>
          <w:color w:val="57825E"/>
          <w:szCs w:val="20"/>
          <w:shd w:val="clear" w:color="auto" w:fill="FFFFFF"/>
          <w:lang w:val="es-ES_tradnl"/>
        </w:rPr>
      </w:pPr>
      <w:r w:rsidRPr="009E6414">
        <w:rPr>
          <w:b/>
          <w:noProof/>
          <w:color w:val="57825E"/>
          <w:shd w:val="clear" w:color="auto" w:fill="FFFFFF"/>
          <w:lang w:val="es-ES_tradnl"/>
        </w:rPr>
        <w:t xml:space="preserve">¿Por qué y cuándo complementar el SCSE?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b/>
          <w:noProof/>
          <w:lang w:val="es-ES_tradnl"/>
        </w:rPr>
        <w:t>El SCSE aporta un conjunto básico de elementos de evaluación</w:t>
      </w:r>
      <w:r w:rsidRPr="009E6414">
        <w:rPr>
          <w:noProof/>
          <w:lang w:val="es-ES_tradnl"/>
        </w:rPr>
        <w:t xml:space="preserve"> (indicadores comunes de productividad) para responder a las PCE 1, 2 y 21 (véase la </w:t>
      </w:r>
      <w:hyperlink w:anchor="Policy_framework" w:history="1">
        <w:r w:rsidRPr="009E6414">
          <w:rPr>
            <w:rStyle w:val="Hyperlink"/>
            <w:noProof/>
            <w:sz w:val="20"/>
            <w:lang w:val="es-ES_tradnl"/>
          </w:rPr>
          <w:t>sección 1.2.1</w:t>
        </w:r>
      </w:hyperlink>
      <w:r w:rsidRPr="009E6414">
        <w:rPr>
          <w:noProof/>
          <w:lang w:val="es-ES_tradnl"/>
        </w:rPr>
        <w:t xml:space="preserve">). Además, en el documento de trabajo, </w:t>
      </w:r>
      <w:hyperlink r:id="rId32">
        <w:r w:rsidRPr="009E6414">
          <w:rPr>
            <w:rStyle w:val="Hyperlink"/>
            <w:noProof/>
            <w:sz w:val="20"/>
            <w:lang w:val="es-ES_tradnl"/>
          </w:rPr>
          <w:t>Preguntas comunes de evaluación para los PDR 2014-2020</w:t>
        </w:r>
      </w:hyperlink>
      <w:r w:rsidRPr="009E6414">
        <w:rPr>
          <w:noProof/>
          <w:lang w:val="es-ES_tradnl"/>
        </w:rPr>
        <w:t xml:space="preserve"> se proponen criterios de valoración para todas las PCE relacionadas con la innovación y algunos indicadores complementarios. Por ejemplo, la PCE n.º 23 está vinculada al objetivo principal de Europa 2020, que puede ser utilizado como base para responder a esta pregunta. La PCE n.º 30 es la única pregunta acompañada por indicadores complementarios</w:t>
      </w:r>
      <w:r w:rsidRPr="009E6414">
        <w:rPr>
          <w:noProof/>
          <w:vertAlign w:val="superscript"/>
          <w:lang w:val="es-ES_tradnl"/>
        </w:rPr>
        <w:footnoteReference w:id="47"/>
      </w:r>
      <w:r w:rsidRPr="009E6414">
        <w:rPr>
          <w:noProof/>
          <w:lang w:val="es-ES_tradnl"/>
        </w:rPr>
        <w:t xml:space="preserve">.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b/>
          <w:noProof/>
          <w:lang w:val="es-ES_tradnl"/>
        </w:rPr>
        <w:t>Los elementos comunes de evaluación se revisarán antes de que se inicie la evaluación</w:t>
      </w:r>
      <w:r w:rsidRPr="009E6414">
        <w:rPr>
          <w:noProof/>
          <w:lang w:val="es-ES_tradnl"/>
        </w:rPr>
        <w:t xml:space="preserve"> y se complementarán en caso necesario. Este examen podrá tener en consideración las conclusiones del examen del potencial de innovación del PDR para fomentar la innovación (véase el </w:t>
      </w:r>
      <w:hyperlink w:anchor="Screening_Potential" w:history="1">
        <w:r w:rsidRPr="009E6414">
          <w:rPr>
            <w:rStyle w:val="Hyperlink"/>
            <w:noProof/>
            <w:sz w:val="20"/>
            <w:lang w:val="es-ES_tradnl"/>
          </w:rPr>
          <w:t>capítulo 2.2</w:t>
        </w:r>
      </w:hyperlink>
      <w:r w:rsidRPr="009E6414">
        <w:rPr>
          <w:noProof/>
          <w:lang w:val="es-ES_tradnl"/>
        </w:rPr>
        <w:t xml:space="preserve">). </w:t>
      </w:r>
    </w:p>
    <w:p w:rsidR="00A45935" w:rsidRPr="009E6414" w:rsidRDefault="00A45935" w:rsidP="00E05D08">
      <w:pPr>
        <w:keepNext/>
        <w:keepLines/>
        <w:tabs>
          <w:tab w:val="left" w:pos="680"/>
        </w:tabs>
        <w:spacing w:before="240" w:after="240" w:line="280" w:lineRule="atLeast"/>
        <w:mirrorIndents/>
        <w:outlineLvl w:val="3"/>
        <w:rPr>
          <w:rFonts w:eastAsia="Calibri" w:cs="Times New Roman"/>
          <w:b/>
          <w:noProof/>
          <w:color w:val="57825E"/>
          <w:szCs w:val="20"/>
          <w:shd w:val="clear" w:color="auto" w:fill="FFFFFF"/>
          <w:lang w:val="es-ES_tradnl"/>
        </w:rPr>
      </w:pPr>
      <w:r w:rsidRPr="009E6414">
        <w:rPr>
          <w:b/>
          <w:noProof/>
          <w:color w:val="57825E"/>
          <w:shd w:val="clear" w:color="auto" w:fill="FFFFFF"/>
          <w:lang w:val="es-ES_tradnl"/>
        </w:rPr>
        <w:t>¿Cuáles son las fases para la elaboración de elementos de evaluación complementarios y específicos del programa?</w:t>
      </w:r>
    </w:p>
    <w:p w:rsidR="00A45935" w:rsidRPr="009E6414" w:rsidRDefault="00A45935" w:rsidP="00E05D08">
      <w:pPr>
        <w:spacing w:after="120" w:line="280" w:lineRule="atLeast"/>
        <w:mirrorIndents/>
        <w:rPr>
          <w:rFonts w:eastAsia="Calibri" w:cs="Times New Roman"/>
          <w:noProof/>
          <w:szCs w:val="20"/>
          <w:lang w:val="es-ES_tradnl"/>
        </w:rPr>
      </w:pPr>
      <w:r w:rsidRPr="009E6414">
        <w:rPr>
          <w:noProof/>
          <w:lang w:val="es-ES_tradnl"/>
        </w:rPr>
        <w:t xml:space="preserve">La elaboración de elementos de evaluación complementarios (descrito con detalle en las directrices, </w:t>
      </w:r>
      <w:hyperlink r:id="rId33">
        <w:r w:rsidRPr="009E6414">
          <w:rPr>
            <w:rStyle w:val="Hyperlink"/>
            <w:noProof/>
            <w:sz w:val="20"/>
            <w:lang w:val="es-ES_tradnl"/>
          </w:rPr>
          <w:t>Evaluación de los resultados del PDR: Cómo elaborar los informes sobre evaluación en 2017</w:t>
        </w:r>
      </w:hyperlink>
      <w:r w:rsidRPr="009E6414">
        <w:rPr>
          <w:noProof/>
          <w:lang w:val="es-ES_tradnl"/>
        </w:rPr>
        <w:t xml:space="preserve">) pueden resumirse del siguiente modo: </w:t>
      </w:r>
    </w:p>
    <w:p w:rsidR="00A45935" w:rsidRPr="009E6414" w:rsidRDefault="00576A73" w:rsidP="00B421B9">
      <w:pPr>
        <w:pStyle w:val="Hlistbullet"/>
        <w:rPr>
          <w:rFonts w:eastAsia="Calibri"/>
          <w:noProof/>
          <w:lang w:val="es-ES_tradnl"/>
        </w:rPr>
      </w:pPr>
      <w:r w:rsidRPr="009E6414">
        <w:rPr>
          <w:noProof/>
          <w:highlight w:val="yellow"/>
          <w:lang w:val="en-GB" w:eastAsia="en-GB" w:bidi="ar-SA"/>
        </w:rPr>
        <mc:AlternateContent>
          <mc:Choice Requires="wps">
            <w:drawing>
              <wp:anchor distT="0" distB="0" distL="114300" distR="114300" simplePos="0" relativeHeight="251661824" behindDoc="0" locked="0" layoutInCell="1" allowOverlap="1" wp14:anchorId="553B502F" wp14:editId="5F800432">
                <wp:simplePos x="0" y="0"/>
                <wp:positionH relativeFrom="column">
                  <wp:posOffset>2828925</wp:posOffset>
                </wp:positionH>
                <wp:positionV relativeFrom="paragraph">
                  <wp:posOffset>146050</wp:posOffset>
                </wp:positionV>
                <wp:extent cx="2832735" cy="2590800"/>
                <wp:effectExtent l="0" t="0" r="24765" b="19050"/>
                <wp:wrapSquare wrapText="bothSides"/>
                <wp:docPr id="34" name="Rectangle: Diagonal Corners Rounded 34"/>
                <wp:cNvGraphicFramePr/>
                <a:graphic xmlns:a="http://schemas.openxmlformats.org/drawingml/2006/main">
                  <a:graphicData uri="http://schemas.microsoft.com/office/word/2010/wordprocessingShape">
                    <wps:wsp>
                      <wps:cNvSpPr/>
                      <wps:spPr>
                        <a:xfrm>
                          <a:off x="0" y="0"/>
                          <a:ext cx="2832735" cy="2590800"/>
                        </a:xfrm>
                        <a:prstGeom prst="round2DiagRect">
                          <a:avLst>
                            <a:gd name="adj1" fmla="val 7843"/>
                            <a:gd name="adj2" fmla="val 0"/>
                          </a:avLst>
                        </a:prstGeom>
                        <a:noFill/>
                        <a:ln w="25400" cap="flat" cmpd="sng" algn="ctr">
                          <a:solidFill>
                            <a:srgbClr val="BE4A35"/>
                          </a:solidFill>
                          <a:prstDash val="solid"/>
                        </a:ln>
                        <a:effectLst/>
                      </wps:spPr>
                      <wps:txbx>
                        <w:txbxContent>
                          <w:p w:rsidR="008D2E0D" w:rsidRPr="00D450FE" w:rsidRDefault="008D2E0D" w:rsidP="00E05D08">
                            <w:pPr>
                              <w:pStyle w:val="HStandard"/>
                              <w:rPr>
                                <w:sz w:val="18"/>
                                <w:szCs w:val="18"/>
                              </w:rPr>
                            </w:pPr>
                            <w:r>
                              <w:rPr>
                                <w:noProof/>
                                <w:lang w:val="en-GB" w:eastAsia="en-GB" w:bidi="ar-SA"/>
                              </w:rPr>
                              <w:drawing>
                                <wp:inline distT="0" distB="0" distL="0" distR="0" wp14:anchorId="70BEB527" wp14:editId="5F387C99">
                                  <wp:extent cx="664845" cy="487680"/>
                                  <wp:effectExtent l="0" t="0" r="0" b="7620"/>
                                  <wp:docPr id="734"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Los elementos de evaluación complementarios (preguntas de evaluación complementarias, criterios de valoración complementarios e indicadores complementarios) sugeridos en el capítulo 2.4 de las presentes directrices </w:t>
                            </w:r>
                            <w:r>
                              <w:rPr>
                                <w:b/>
                              </w:rPr>
                              <w:t>¡NO SON OBLIGATORIOS!</w:t>
                            </w:r>
                            <w:r>
                              <w:rPr>
                                <w:b/>
                                <w:sz w:val="18"/>
                              </w:rPr>
                              <w:t xml:space="preserve"> </w:t>
                            </w:r>
                            <w:r>
                              <w:rPr>
                                <w:sz w:val="18"/>
                              </w:rPr>
                              <w:t xml:space="preserve">Cada AG podrá decidir elaborar y utilizar sus propios elementos de evaluación complementarios y específicos del programa.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B502F" id="Rectangle: Diagonal Corners Rounded 34" o:spid="_x0000_s1039" style="position:absolute;left:0;text-align:left;margin-left:222.75pt;margin-top:11.5pt;width:223.05pt;height:20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2735,259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" adj="-11796480,,5400" path="m203196,l2832735,r,l2832735,2387604v,112222,-90974,203196,-203196,203196l,2590800r,l,203196c,90974,90974,,203196,xe" filled="f" strokecolor="#be4a35" strokeweight="2pt">
                <v:stroke joinstyle="miter"/>
                <v:formulas/>
                <v:path arrowok="t" o:connecttype="custom" o:connectlocs="203196,0;2832735,0;2832735,0;2832735,2387604;2629539,2590800;0,2590800;0,2590800;0,203196;203196,0" o:connectangles="0,0,0,0,0,0,0,0,0" textboxrect="0,0,2832735,2590800"/>
                <v:textbox>
                  <w:txbxContent>
                    <w:p w:rsidR="008D2E0D" w:rsidRPr="00D450FE" w:rsidRDefault="008D2E0D" w:rsidP="00E05D08">
                      <w:pPr>
                        <w:pStyle w:val="HStandard"/>
                        <w:rPr>
                          <w:sz w:val="18"/>
                          <w:szCs w:val="18"/>
                        </w:rPr>
                      </w:pPr>
                      <w:r>
                        <w:rPr>
                          <w:noProof/>
                          <w:lang w:val="en-GB" w:eastAsia="en-GB" w:bidi="ar-SA"/>
                        </w:rPr>
                        <w:drawing>
                          <wp:inline distT="0" distB="0" distL="0" distR="0" wp14:anchorId="70BEB527" wp14:editId="5F387C99">
                            <wp:extent cx="664845" cy="487680"/>
                            <wp:effectExtent l="0" t="0" r="0" b="7620"/>
                            <wp:docPr id="734"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Los elementos de evaluación complementarios (preguntas de evaluación complementarias, criterios de valoración complementarios e indicadores complementarios) sugeridos en el capítulo 2.4 de las presentes directrices </w:t>
                      </w:r>
                      <w:r>
                        <w:rPr>
                          <w:b/>
                        </w:rPr>
                        <w:t>¡NO SON OBLIGATORIOS!</w:t>
                      </w:r>
                      <w:r>
                        <w:rPr>
                          <w:b/>
                          <w:sz w:val="18"/>
                        </w:rPr>
                        <w:t xml:space="preserve"> </w:t>
                      </w:r>
                      <w:r>
                        <w:rPr>
                          <w:sz w:val="18"/>
                        </w:rPr>
                        <w:t xml:space="preserve">Cada AG podrá decidir elaborar y utilizar sus propios elementos de evaluación complementarios y específicos del programa. </w:t>
                      </w:r>
                    </w:p>
                  </w:txbxContent>
                </v:textbox>
                <w10:wrap type="square"/>
              </v:shape>
            </w:pict>
          </mc:Fallback>
        </mc:AlternateContent>
      </w:r>
      <w:r w:rsidRPr="009E6414">
        <w:rPr>
          <w:noProof/>
          <w:lang w:val="es-ES_tradnl"/>
        </w:rPr>
        <w:t xml:space="preserve">replantear la lógica de intervención subyacente del PDR para la innovación (véase el </w:t>
      </w:r>
      <w:hyperlink w:anchor="Screening_Potential" w:history="1">
        <w:r w:rsidRPr="009E6414">
          <w:rPr>
            <w:rStyle w:val="Hyperlink"/>
            <w:noProof/>
            <w:sz w:val="20"/>
            <w:lang w:val="es-ES_tradnl"/>
          </w:rPr>
          <w:t>capítulo 2.2</w:t>
        </w:r>
      </w:hyperlink>
      <w:r w:rsidRPr="009E6414">
        <w:rPr>
          <w:noProof/>
          <w:lang w:val="es-ES_tradnl"/>
        </w:rPr>
        <w:t>);</w:t>
      </w:r>
    </w:p>
    <w:p w:rsidR="00A45935" w:rsidRPr="009E6414" w:rsidRDefault="00A45935" w:rsidP="00B421B9">
      <w:pPr>
        <w:pStyle w:val="Hlistbullet"/>
        <w:rPr>
          <w:rFonts w:eastAsia="Calibri"/>
          <w:noProof/>
          <w:lang w:val="es-ES_tradnl"/>
        </w:rPr>
      </w:pPr>
      <w:r w:rsidRPr="009E6414">
        <w:rPr>
          <w:noProof/>
          <w:lang w:val="es-ES_tradnl"/>
        </w:rPr>
        <w:t xml:space="preserve">revisar las preguntas comunes de evaluación, criterios de valoracion e indicadores asociados a la innovación y comprobar si son suficientes para responder a las PCE relacionadas con la innovación; </w:t>
      </w:r>
    </w:p>
    <w:p w:rsidR="00576A73" w:rsidRPr="009E6414" w:rsidRDefault="00A45935" w:rsidP="00B421B9">
      <w:pPr>
        <w:pStyle w:val="Hlistbullet"/>
        <w:rPr>
          <w:rFonts w:eastAsia="Calibri"/>
          <w:noProof/>
          <w:lang w:val="es-ES_tradnl"/>
        </w:rPr>
      </w:pPr>
      <w:r w:rsidRPr="009E6414">
        <w:rPr>
          <w:noProof/>
          <w:lang w:val="es-ES_tradnl"/>
        </w:rPr>
        <w:t>complementar el SCSE con elementos de evaluación relacionados con la innovación complementarios, en caso de que los elementos comunes no sean suficientes para responder a las PCE relacionadas con la innovación;</w:t>
      </w:r>
    </w:p>
    <w:p w:rsidR="00576A73" w:rsidRPr="009E6414" w:rsidRDefault="00A45935" w:rsidP="00B421B9">
      <w:pPr>
        <w:pStyle w:val="Hlistbullet"/>
        <w:rPr>
          <w:rFonts w:eastAsia="Calibri"/>
          <w:noProof/>
          <w:lang w:val="es-ES_tradnl"/>
        </w:rPr>
      </w:pPr>
      <w:r w:rsidRPr="009E6414">
        <w:rPr>
          <w:noProof/>
          <w:lang w:val="es-ES_tradnl"/>
        </w:rPr>
        <w:t>desarrollar elementos de evaluación específicos del programa para la evaluación de la innovación, relacionados con los AI específicos del programa y las preguntas de evaluación de interés específico para la AG.</w:t>
      </w:r>
      <w:r w:rsidRPr="009E6414">
        <w:rPr>
          <w:noProof/>
          <w:highlight w:val="yellow"/>
          <w:lang w:val="es-ES_tradnl"/>
        </w:rPr>
        <w:t xml:space="preserve"> </w:t>
      </w:r>
    </w:p>
    <w:p w:rsidR="009E6414" w:rsidRPr="009E6414" w:rsidRDefault="009E6414" w:rsidP="009E6414">
      <w:pPr>
        <w:pStyle w:val="Hlistbullet"/>
        <w:numPr>
          <w:ilvl w:val="0"/>
          <w:numId w:val="0"/>
        </w:numPr>
        <w:ind w:left="567"/>
        <w:rPr>
          <w:rFonts w:eastAsia="Calibri"/>
          <w:noProof/>
          <w:lang w:val="es-ES_tradnl"/>
        </w:rPr>
      </w:pPr>
    </w:p>
    <w:p w:rsidR="000A43B7" w:rsidRPr="009E6414" w:rsidRDefault="000A43B7" w:rsidP="000A43B7">
      <w:pPr>
        <w:rPr>
          <w:noProof/>
          <w:szCs w:val="20"/>
          <w:highlight w:val="yellow"/>
          <w:lang w:val="es-ES_tradnl"/>
        </w:rPr>
      </w:pPr>
      <w:r w:rsidRPr="009E6414">
        <w:rPr>
          <w:rFonts w:cs="Arial"/>
          <w:b/>
          <w:noProof/>
          <w:color w:val="F07E31"/>
          <w:szCs w:val="20"/>
          <w:lang w:val="en-GB" w:eastAsia="en-GB" w:bidi="ar-SA"/>
        </w:rPr>
        <w:lastRenderedPageBreak/>
        <mc:AlternateContent>
          <mc:Choice Requires="wps">
            <w:drawing>
              <wp:anchor distT="0" distB="0" distL="114300" distR="114300" simplePos="0" relativeHeight="251666944" behindDoc="0" locked="0" layoutInCell="1" allowOverlap="1" wp14:anchorId="4D2DEC4C" wp14:editId="75CEFC4B">
                <wp:simplePos x="0" y="0"/>
                <wp:positionH relativeFrom="column">
                  <wp:posOffset>752475</wp:posOffset>
                </wp:positionH>
                <wp:positionV relativeFrom="paragraph">
                  <wp:posOffset>66675</wp:posOffset>
                </wp:positionV>
                <wp:extent cx="4154170" cy="2590800"/>
                <wp:effectExtent l="0" t="0" r="17780" b="19050"/>
                <wp:wrapSquare wrapText="bothSides"/>
                <wp:docPr id="70" name="Rectangle: Diagonal Corners Rounded 70"/>
                <wp:cNvGraphicFramePr/>
                <a:graphic xmlns:a="http://schemas.openxmlformats.org/drawingml/2006/main">
                  <a:graphicData uri="http://schemas.microsoft.com/office/word/2010/wordprocessingShape">
                    <wps:wsp>
                      <wps:cNvSpPr/>
                      <wps:spPr>
                        <a:xfrm>
                          <a:off x="0" y="0"/>
                          <a:ext cx="4154170" cy="2590800"/>
                        </a:xfrm>
                        <a:prstGeom prst="round2DiagRect">
                          <a:avLst>
                            <a:gd name="adj1" fmla="val 7630"/>
                            <a:gd name="adj2" fmla="val 0"/>
                          </a:avLst>
                        </a:prstGeom>
                        <a:noFill/>
                        <a:ln w="25400" cap="flat" cmpd="sng" algn="ctr">
                          <a:solidFill>
                            <a:srgbClr val="8BAB80"/>
                          </a:solidFill>
                          <a:prstDash val="solid"/>
                        </a:ln>
                        <a:effectLst/>
                      </wps:spPr>
                      <wps:txbx>
                        <w:txbxContent>
                          <w:p w:rsidR="008D2E0D" w:rsidRPr="00275EE5" w:rsidRDefault="008D2E0D" w:rsidP="001744D0">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8D2E0D">
                              <w:tc>
                                <w:tcPr>
                                  <w:tcW w:w="2991" w:type="dxa"/>
                                  <w:shd w:val="clear" w:color="auto" w:fill="FFFFFF"/>
                                </w:tcPr>
                                <w:p w:rsidR="008D2E0D" w:rsidRPr="00654F10" w:rsidRDefault="008D2E0D" w:rsidP="001744D0">
                                  <w:pPr>
                                    <w:pStyle w:val="Normal12PTcouleurgris"/>
                                    <w:rPr>
                                      <w:b/>
                                      <w:color w:val="404040"/>
                                      <w:sz w:val="18"/>
                                    </w:rPr>
                                  </w:pPr>
                                  <w:r>
                                    <w:rPr>
                                      <w:b/>
                                      <w:color w:val="404040"/>
                                      <w:sz w:val="18"/>
                                    </w:rPr>
                                    <w:t>Qué hacer</w:t>
                                  </w:r>
                                </w:p>
                                <w:p w:rsidR="008D2E0D" w:rsidRPr="00654F10" w:rsidRDefault="008D2E0D" w:rsidP="007A450E">
                                  <w:pPr>
                                    <w:pStyle w:val="Hlistbullet"/>
                                    <w:spacing w:line="160" w:lineRule="atLeast"/>
                                    <w:jc w:val="left"/>
                                    <w:rPr>
                                      <w:sz w:val="18"/>
                                      <w:szCs w:val="18"/>
                                    </w:rPr>
                                  </w:pPr>
                                  <w:r>
                                    <w:rPr>
                                      <w:sz w:val="18"/>
                                    </w:rPr>
                                    <w:t xml:space="preserve">Examinar los criterios de valoración y los indicadores del </w:t>
                                  </w:r>
                                  <w:proofErr w:type="spellStart"/>
                                  <w:r>
                                    <w:rPr>
                                      <w:sz w:val="18"/>
                                    </w:rPr>
                                    <w:t>SCSE</w:t>
                                  </w:r>
                                  <w:proofErr w:type="spellEnd"/>
                                  <w:r>
                                    <w:rPr>
                                      <w:sz w:val="18"/>
                                    </w:rPr>
                                    <w:t xml:space="preserve"> para garantizar que pueden responder suficientemente a las PCE.</w:t>
                                  </w:r>
                                </w:p>
                                <w:p w:rsidR="008D2E0D" w:rsidRPr="00654F10" w:rsidRDefault="008D2E0D" w:rsidP="007A450E">
                                  <w:pPr>
                                    <w:pStyle w:val="Hlistbullet"/>
                                    <w:spacing w:line="160" w:lineRule="atLeast"/>
                                    <w:jc w:val="left"/>
                                    <w:rPr>
                                      <w:sz w:val="18"/>
                                      <w:szCs w:val="18"/>
                                    </w:rPr>
                                  </w:pPr>
                                  <w:r>
                                    <w:rPr>
                                      <w:sz w:val="18"/>
                                    </w:rPr>
                                    <w:t>Elaborar criterios de valoración e indicadores complementarios si los comunes no son suficientes para recoger pruebas para responder a las PCE.</w:t>
                                  </w:r>
                                </w:p>
                              </w:tc>
                              <w:tc>
                                <w:tcPr>
                                  <w:tcW w:w="2960" w:type="dxa"/>
                                  <w:shd w:val="clear" w:color="auto" w:fill="auto"/>
                                </w:tcPr>
                                <w:p w:rsidR="008D2E0D" w:rsidRPr="00654F10" w:rsidRDefault="008D2E0D" w:rsidP="001744D0">
                                  <w:pPr>
                                    <w:pStyle w:val="Normal12PTcouleurgris"/>
                                    <w:rPr>
                                      <w:b/>
                                      <w:color w:val="404040"/>
                                      <w:sz w:val="18"/>
                                    </w:rPr>
                                  </w:pPr>
                                  <w:r>
                                    <w:rPr>
                                      <w:b/>
                                      <w:color w:val="404040"/>
                                      <w:sz w:val="18"/>
                                    </w:rPr>
                                    <w:t>Qué no hacer</w:t>
                                  </w:r>
                                </w:p>
                                <w:p w:rsidR="008D2E0D" w:rsidRPr="00654F10" w:rsidRDefault="008D2E0D" w:rsidP="007A450E">
                                  <w:pPr>
                                    <w:pStyle w:val="Hlistbullet"/>
                                    <w:spacing w:line="160" w:lineRule="atLeast"/>
                                    <w:jc w:val="left"/>
                                    <w:rPr>
                                      <w:sz w:val="18"/>
                                      <w:szCs w:val="18"/>
                                    </w:rPr>
                                  </w:pPr>
                                  <w:r>
                                    <w:rPr>
                                      <w:sz w:val="18"/>
                                    </w:rPr>
                                    <w:t>Utilizar únicamente indicadores de productividad para responder a las PCE (que no sean capaces de demostrar plenamente si la política ha logrado su objetivo).</w:t>
                                  </w:r>
                                </w:p>
                                <w:p w:rsidR="008D2E0D" w:rsidRPr="00654F10" w:rsidRDefault="008D2E0D" w:rsidP="001744D0">
                                  <w:pPr>
                                    <w:pStyle w:val="Normal12PTcouleurgris"/>
                                    <w:rPr>
                                      <w:color w:val="1A1A1A"/>
                                      <w:sz w:val="18"/>
                                    </w:rPr>
                                  </w:pPr>
                                </w:p>
                              </w:tc>
                            </w:tr>
                          </w:tbl>
                          <w:p w:rsidR="008D2E0D" w:rsidRPr="00275EE5" w:rsidRDefault="008D2E0D" w:rsidP="007A450E">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DEC4C" id="Rectangle: Diagonal Corners Rounded 70" o:spid="_x0000_s1040" style="position:absolute;left:0;text-align:left;margin-left:59.25pt;margin-top:5.25pt;width:327.1pt;height:20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4170,259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" adj="-11796480,,5400" path="m197678,l4154170,r,l4154170,2393122v,109175,-88503,197678,-197678,197678l,2590800r,l,197678c,88503,88503,,197678,xe" filled="f" strokecolor="#8bab80" strokeweight="2pt">
                <v:stroke joinstyle="miter"/>
                <v:formulas/>
                <v:path arrowok="t" o:connecttype="custom" o:connectlocs="197678,0;4154170,0;4154170,0;4154170,2393122;3956492,2590800;0,2590800;0,2590800;0,197678;197678,0" o:connectangles="0,0,0,0,0,0,0,0,0" textboxrect="0,0,4154170,2590800"/>
                <v:textbox>
                  <w:txbxContent>
                    <w:p w:rsidR="008D2E0D" w:rsidRPr="00275EE5" w:rsidRDefault="008D2E0D" w:rsidP="001744D0">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8D2E0D">
                        <w:tc>
                          <w:tcPr>
                            <w:tcW w:w="2991" w:type="dxa"/>
                            <w:shd w:val="clear" w:color="auto" w:fill="FFFFFF"/>
                          </w:tcPr>
                          <w:p w:rsidR="008D2E0D" w:rsidRPr="00654F10" w:rsidRDefault="008D2E0D" w:rsidP="001744D0">
                            <w:pPr>
                              <w:pStyle w:val="Normal12PTcouleurgris"/>
                              <w:rPr>
                                <w:b/>
                                <w:color w:val="404040"/>
                                <w:sz w:val="18"/>
                              </w:rPr>
                            </w:pPr>
                            <w:r>
                              <w:rPr>
                                <w:b/>
                                <w:color w:val="404040"/>
                                <w:sz w:val="18"/>
                              </w:rPr>
                              <w:t>Qué hacer</w:t>
                            </w:r>
                          </w:p>
                          <w:p w:rsidR="008D2E0D" w:rsidRPr="00654F10" w:rsidRDefault="008D2E0D" w:rsidP="007A450E">
                            <w:pPr>
                              <w:pStyle w:val="Hlistbullet"/>
                              <w:spacing w:line="160" w:lineRule="atLeast"/>
                              <w:jc w:val="left"/>
                              <w:rPr>
                                <w:sz w:val="18"/>
                                <w:szCs w:val="18"/>
                              </w:rPr>
                            </w:pPr>
                            <w:r>
                              <w:rPr>
                                <w:sz w:val="18"/>
                              </w:rPr>
                              <w:t xml:space="preserve">Examinar los criterios de valoración y los indicadores del </w:t>
                            </w:r>
                            <w:proofErr w:type="spellStart"/>
                            <w:r>
                              <w:rPr>
                                <w:sz w:val="18"/>
                              </w:rPr>
                              <w:t>SCSE</w:t>
                            </w:r>
                            <w:proofErr w:type="spellEnd"/>
                            <w:r>
                              <w:rPr>
                                <w:sz w:val="18"/>
                              </w:rPr>
                              <w:t xml:space="preserve"> para garantizar que pueden responder suficientemente a las PCE.</w:t>
                            </w:r>
                          </w:p>
                          <w:p w:rsidR="008D2E0D" w:rsidRPr="00654F10" w:rsidRDefault="008D2E0D" w:rsidP="007A450E">
                            <w:pPr>
                              <w:pStyle w:val="Hlistbullet"/>
                              <w:spacing w:line="160" w:lineRule="atLeast"/>
                              <w:jc w:val="left"/>
                              <w:rPr>
                                <w:sz w:val="18"/>
                                <w:szCs w:val="18"/>
                              </w:rPr>
                            </w:pPr>
                            <w:r>
                              <w:rPr>
                                <w:sz w:val="18"/>
                              </w:rPr>
                              <w:t>Elaborar criterios de valoración e indicadores complementarios si los comunes no son suficientes para recoger pruebas para responder a las PCE.</w:t>
                            </w:r>
                          </w:p>
                        </w:tc>
                        <w:tc>
                          <w:tcPr>
                            <w:tcW w:w="2960" w:type="dxa"/>
                            <w:shd w:val="clear" w:color="auto" w:fill="auto"/>
                          </w:tcPr>
                          <w:p w:rsidR="008D2E0D" w:rsidRPr="00654F10" w:rsidRDefault="008D2E0D" w:rsidP="001744D0">
                            <w:pPr>
                              <w:pStyle w:val="Normal12PTcouleurgris"/>
                              <w:rPr>
                                <w:b/>
                                <w:color w:val="404040"/>
                                <w:sz w:val="18"/>
                              </w:rPr>
                            </w:pPr>
                            <w:r>
                              <w:rPr>
                                <w:b/>
                                <w:color w:val="404040"/>
                                <w:sz w:val="18"/>
                              </w:rPr>
                              <w:t>Qué no hacer</w:t>
                            </w:r>
                          </w:p>
                          <w:p w:rsidR="008D2E0D" w:rsidRPr="00654F10" w:rsidRDefault="008D2E0D" w:rsidP="007A450E">
                            <w:pPr>
                              <w:pStyle w:val="Hlistbullet"/>
                              <w:spacing w:line="160" w:lineRule="atLeast"/>
                              <w:jc w:val="left"/>
                              <w:rPr>
                                <w:sz w:val="18"/>
                                <w:szCs w:val="18"/>
                              </w:rPr>
                            </w:pPr>
                            <w:r>
                              <w:rPr>
                                <w:sz w:val="18"/>
                              </w:rPr>
                              <w:t>Utilizar únicamente indicadores de productividad para responder a las PCE (que no sean capaces de demostrar plenamente si la política ha logrado su objetivo).</w:t>
                            </w:r>
                          </w:p>
                          <w:p w:rsidR="008D2E0D" w:rsidRPr="00654F10" w:rsidRDefault="008D2E0D" w:rsidP="001744D0">
                            <w:pPr>
                              <w:pStyle w:val="Normal12PTcouleurgris"/>
                              <w:rPr>
                                <w:color w:val="1A1A1A"/>
                                <w:sz w:val="18"/>
                              </w:rPr>
                            </w:pPr>
                          </w:p>
                        </w:tc>
                      </w:tr>
                    </w:tbl>
                    <w:p w:rsidR="008D2E0D" w:rsidRPr="00275EE5" w:rsidRDefault="008D2E0D" w:rsidP="007A450E">
                      <w:pPr>
                        <w:pStyle w:val="Normal12PTcouleurgris"/>
                      </w:pPr>
                    </w:p>
                  </w:txbxContent>
                </v:textbox>
                <w10:wrap type="square"/>
              </v:shape>
            </w:pict>
          </mc:Fallback>
        </mc:AlternateContent>
      </w:r>
    </w:p>
    <w:p w:rsidR="00A92E91" w:rsidRPr="009E6414" w:rsidRDefault="00A45935" w:rsidP="00B421B9">
      <w:pPr>
        <w:pStyle w:val="HHeading2"/>
        <w:numPr>
          <w:ilvl w:val="1"/>
          <w:numId w:val="119"/>
        </w:numPr>
        <w:ind w:left="567" w:hanging="567"/>
        <w:rPr>
          <w:noProof/>
          <w:snapToGrid w:val="0"/>
          <w:lang w:val="es-ES_tradnl"/>
        </w:rPr>
      </w:pPr>
      <w:bookmarkStart w:id="19" w:name="_Toc508707919"/>
      <w:r w:rsidRPr="009E6414">
        <w:rPr>
          <w:noProof/>
          <w:lang w:val="es-ES_tradnl"/>
        </w:rPr>
        <w:t>Responder a las preguntas comunes de evaluación pertinentes (obligatoria)</w:t>
      </w:r>
      <w:bookmarkEnd w:id="19"/>
    </w:p>
    <w:p w:rsidR="007A450E" w:rsidRPr="009E6414" w:rsidRDefault="007A450E" w:rsidP="00725801">
      <w:pPr>
        <w:spacing w:after="120" w:line="280" w:lineRule="atLeast"/>
        <w:mirrorIndents/>
        <w:rPr>
          <w:rFonts w:eastAsia="Times New Roman" w:cs="Times New Roman"/>
          <w:noProof/>
          <w:szCs w:val="20"/>
          <w:shd w:val="clear" w:color="auto" w:fill="FFFFFF"/>
          <w:lang w:val="es-ES_tradnl"/>
        </w:rPr>
      </w:pPr>
      <w:r w:rsidRPr="009E6414">
        <w:rPr>
          <w:noProof/>
          <w:lang w:val="es-ES_tradnl"/>
        </w:rPr>
        <w:t xml:space="preserve">Aunque es obligatorio responder a las PCE, el presente capítulo ofrece una orientación no vinculante sobre cómo responder a las PCE 1, 2, 21, 23 y 30 relacionadas con la innovación. Estas preguntas deben responderse en el informe anual de ejecución mejorado que debe presentarse en 2019 y en la evaluación </w:t>
      </w:r>
      <w:r w:rsidRPr="009E6414">
        <w:rPr>
          <w:i/>
          <w:noProof/>
          <w:shd w:val="clear" w:color="auto" w:fill="FFFFFF"/>
          <w:lang w:val="es-ES_tradnl"/>
        </w:rPr>
        <w:t>ex post</w:t>
      </w:r>
      <w:r w:rsidRPr="009E6414">
        <w:rPr>
          <w:noProof/>
          <w:lang w:val="es-ES_tradnl"/>
        </w:rPr>
        <w:t>.</w:t>
      </w:r>
    </w:p>
    <w:p w:rsidR="00A45935" w:rsidRPr="009E6414" w:rsidRDefault="00415EB8" w:rsidP="00582F60">
      <w:pPr>
        <w:spacing w:after="120" w:line="280" w:lineRule="atLeast"/>
        <w:mirrorIndents/>
        <w:rPr>
          <w:rFonts w:eastAsia="Times New Roman" w:cs="Times New Roman"/>
          <w:noProof/>
          <w:color w:val="F07E31"/>
          <w:szCs w:val="20"/>
          <w:lang w:val="es-ES_tradnl"/>
        </w:rPr>
        <w:sectPr w:rsidR="00A45935" w:rsidRPr="009E6414" w:rsidSect="00055039">
          <w:headerReference w:type="even" r:id="rId34"/>
          <w:footerReference w:type="even" r:id="rId35"/>
          <w:footerReference w:type="default" r:id="rId36"/>
          <w:footerReference w:type="first" r:id="rId37"/>
          <w:endnotePr>
            <w:numFmt w:val="decimal"/>
          </w:endnotePr>
          <w:type w:val="continuous"/>
          <w:pgSz w:w="11906" w:h="16838" w:code="9"/>
          <w:pgMar w:top="1440" w:right="1440" w:bottom="1134" w:left="1440" w:header="567" w:footer="1021" w:gutter="0"/>
          <w:cols w:space="708"/>
          <w:noEndnote/>
          <w:titlePg/>
          <w:docGrid w:linePitch="360"/>
        </w:sectPr>
      </w:pPr>
      <w:r w:rsidRPr="009E6414">
        <w:rPr>
          <w:noProof/>
          <w:color w:val="F07E31"/>
          <w:highlight w:val="yellow"/>
          <w:lang w:val="en-GB" w:eastAsia="en-GB" w:bidi="ar-SA"/>
        </w:rPr>
        <mc:AlternateContent>
          <mc:Choice Requires="wps">
            <w:drawing>
              <wp:anchor distT="0" distB="0" distL="114300" distR="114300" simplePos="0" relativeHeight="251659776" behindDoc="0" locked="0" layoutInCell="1" allowOverlap="1" wp14:anchorId="20B1BD89" wp14:editId="5DC10703">
                <wp:simplePos x="0" y="0"/>
                <wp:positionH relativeFrom="page">
                  <wp:posOffset>847725</wp:posOffset>
                </wp:positionH>
                <wp:positionV relativeFrom="paragraph">
                  <wp:posOffset>261620</wp:posOffset>
                </wp:positionV>
                <wp:extent cx="5795645" cy="3293110"/>
                <wp:effectExtent l="0" t="0" r="14605" b="21590"/>
                <wp:wrapSquare wrapText="bothSides"/>
                <wp:docPr id="19" name="Rectangle: Diagonal Corners Rounded 19"/>
                <wp:cNvGraphicFramePr/>
                <a:graphic xmlns:a="http://schemas.openxmlformats.org/drawingml/2006/main">
                  <a:graphicData uri="http://schemas.microsoft.com/office/word/2010/wordprocessingShape">
                    <wps:wsp>
                      <wps:cNvSpPr/>
                      <wps:spPr>
                        <a:xfrm>
                          <a:off x="0" y="0"/>
                          <a:ext cx="5795645" cy="3293110"/>
                        </a:xfrm>
                        <a:prstGeom prst="round2DiagRect">
                          <a:avLst>
                            <a:gd name="adj1" fmla="val 7843"/>
                            <a:gd name="adj2" fmla="val 0"/>
                          </a:avLst>
                        </a:prstGeom>
                        <a:noFill/>
                        <a:ln w="25400" cap="flat" cmpd="sng" algn="ctr">
                          <a:solidFill>
                            <a:srgbClr val="BE4A35"/>
                          </a:solidFill>
                          <a:prstDash val="solid"/>
                        </a:ln>
                        <a:effectLst/>
                      </wps:spPr>
                      <wps:txbx>
                        <w:txbxContent>
                          <w:p w:rsidR="008D2E0D" w:rsidRPr="00AC3522" w:rsidRDefault="008D2E0D" w:rsidP="00E05D08">
                            <w:pPr>
                              <w:pStyle w:val="Normal12PTcouleurgris"/>
                              <w:rPr>
                                <w:shd w:val="clear" w:color="auto" w:fill="FFFFFF"/>
                              </w:rPr>
                            </w:pPr>
                            <w:r>
                              <w:rPr>
                                <w:noProof/>
                                <w:lang w:val="en-GB" w:eastAsia="en-GB" w:bidi="ar-SA"/>
                              </w:rPr>
                              <w:drawing>
                                <wp:inline distT="0" distB="0" distL="0" distR="0" wp14:anchorId="025469FC" wp14:editId="7B72AA55">
                                  <wp:extent cx="664845" cy="487680"/>
                                  <wp:effectExtent l="0" t="0" r="0" b="7620"/>
                                  <wp:docPr id="707"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Se mantiene la estructura siguiente para cada PCE: </w:t>
                            </w:r>
                          </w:p>
                          <w:p w:rsidR="008D2E0D" w:rsidRPr="00A92E91" w:rsidRDefault="008D2E0D" w:rsidP="008C0B17">
                            <w:pPr>
                              <w:pStyle w:val="Normal12PTcouleurgris"/>
                              <w:numPr>
                                <w:ilvl w:val="0"/>
                                <w:numId w:val="78"/>
                              </w:numPr>
                              <w:ind w:left="284" w:hanging="284"/>
                              <w:jc w:val="left"/>
                              <w:rPr>
                                <w:b/>
                                <w:shd w:val="clear" w:color="auto" w:fill="FFFFFF"/>
                              </w:rPr>
                            </w:pPr>
                            <w:r>
                              <w:rPr>
                                <w:b/>
                                <w:shd w:val="clear" w:color="auto" w:fill="FFFFFF"/>
                              </w:rPr>
                              <w:t>Comprensión de la PCE</w:t>
                            </w:r>
                          </w:p>
                          <w:p w:rsidR="008D2E0D" w:rsidRPr="00A92E91" w:rsidRDefault="008D2E0D" w:rsidP="008C0B17">
                            <w:pPr>
                              <w:pStyle w:val="Normal12PTcouleurgris"/>
                              <w:numPr>
                                <w:ilvl w:val="0"/>
                                <w:numId w:val="78"/>
                              </w:numPr>
                              <w:ind w:left="284" w:hanging="284"/>
                              <w:jc w:val="left"/>
                              <w:rPr>
                                <w:b/>
                                <w:shd w:val="clear" w:color="auto" w:fill="FFFFFF"/>
                              </w:rPr>
                            </w:pPr>
                            <w:r>
                              <w:rPr>
                                <w:b/>
                                <w:shd w:val="clear" w:color="auto" w:fill="FFFFFF"/>
                              </w:rPr>
                              <w:t xml:space="preserve">Retos específicos </w:t>
                            </w:r>
                          </w:p>
                          <w:p w:rsidR="008D2E0D" w:rsidRPr="00A92E91" w:rsidRDefault="008D2E0D" w:rsidP="008C0B17">
                            <w:pPr>
                              <w:pStyle w:val="Normal12PTcouleurgris"/>
                              <w:numPr>
                                <w:ilvl w:val="0"/>
                                <w:numId w:val="78"/>
                              </w:numPr>
                              <w:ind w:left="284" w:hanging="284"/>
                              <w:jc w:val="left"/>
                              <w:rPr>
                                <w:shd w:val="clear" w:color="auto" w:fill="FFFFFF"/>
                              </w:rPr>
                            </w:pPr>
                            <w:r>
                              <w:rPr>
                                <w:b/>
                                <w:shd w:val="clear" w:color="auto" w:fill="FFFFFF"/>
                              </w:rPr>
                              <w:t>Planteamiento propuesto para responder a la PCE</w:t>
                            </w:r>
                            <w:r>
                              <w:t xml:space="preserve">: </w:t>
                            </w:r>
                            <w:r>
                              <w:rPr>
                                <w:i/>
                                <w:shd w:val="clear" w:color="auto" w:fill="FFFFFF"/>
                              </w:rPr>
                              <w:t xml:space="preserve">El presente capítulo propone fases, métodos y consejos sobre cómo utilizar los indicadores comunes y complementarios para responder a la PCE. </w:t>
                            </w:r>
                          </w:p>
                          <w:p w:rsidR="008D2E0D" w:rsidRPr="00A92E91" w:rsidRDefault="008D2E0D" w:rsidP="008C0B17">
                            <w:pPr>
                              <w:pStyle w:val="Hlistabc2"/>
                              <w:numPr>
                                <w:ilvl w:val="0"/>
                                <w:numId w:val="54"/>
                              </w:numPr>
                              <w:spacing w:before="120" w:after="120"/>
                              <w:rPr>
                                <w:sz w:val="18"/>
                                <w:szCs w:val="18"/>
                              </w:rPr>
                            </w:pPr>
                            <w:r>
                              <w:rPr>
                                <w:sz w:val="18"/>
                              </w:rPr>
                              <w:t xml:space="preserve">Lógica de intervención </w:t>
                            </w:r>
                          </w:p>
                          <w:p w:rsidR="008D2E0D" w:rsidRPr="00A92E91" w:rsidRDefault="008D2E0D" w:rsidP="008C0B17">
                            <w:pPr>
                              <w:pStyle w:val="Hlistabc2"/>
                              <w:numPr>
                                <w:ilvl w:val="0"/>
                                <w:numId w:val="54"/>
                              </w:numPr>
                              <w:spacing w:before="120" w:after="120"/>
                              <w:rPr>
                                <w:sz w:val="18"/>
                                <w:szCs w:val="18"/>
                              </w:rPr>
                            </w:pPr>
                            <w:r>
                              <w:rPr>
                                <w:sz w:val="18"/>
                              </w:rPr>
                              <w:t xml:space="preserve">Elementos de evaluación </w:t>
                            </w:r>
                          </w:p>
                          <w:p w:rsidR="008D2E0D" w:rsidRPr="00A92E91" w:rsidRDefault="008D2E0D" w:rsidP="008C0B17">
                            <w:pPr>
                              <w:pStyle w:val="Hlistabc2"/>
                              <w:numPr>
                                <w:ilvl w:val="0"/>
                                <w:numId w:val="54"/>
                              </w:numPr>
                              <w:spacing w:before="120" w:after="120"/>
                              <w:rPr>
                                <w:sz w:val="18"/>
                                <w:szCs w:val="18"/>
                              </w:rPr>
                            </w:pPr>
                            <w:r>
                              <w:rPr>
                                <w:sz w:val="18"/>
                              </w:rPr>
                              <w:t xml:space="preserve">Metodología de evaluación propuesta </w:t>
                            </w:r>
                          </w:p>
                          <w:p w:rsidR="008D2E0D" w:rsidRPr="00A92E91" w:rsidRDefault="008D2E0D" w:rsidP="008C0B17">
                            <w:pPr>
                              <w:pStyle w:val="Hlistabc2"/>
                              <w:numPr>
                                <w:ilvl w:val="0"/>
                                <w:numId w:val="54"/>
                              </w:numPr>
                              <w:spacing w:before="120" w:after="120"/>
                              <w:rPr>
                                <w:sz w:val="18"/>
                                <w:szCs w:val="18"/>
                              </w:rPr>
                            </w:pPr>
                            <w:r>
                              <w:rPr>
                                <w:sz w:val="18"/>
                              </w:rPr>
                              <w:t xml:space="preserve">Riesgos y soluciones </w:t>
                            </w:r>
                          </w:p>
                          <w:p w:rsidR="008D2E0D" w:rsidRPr="00A92E91" w:rsidRDefault="008D2E0D" w:rsidP="008C0B17">
                            <w:pPr>
                              <w:pStyle w:val="Hlistabc2"/>
                              <w:numPr>
                                <w:ilvl w:val="0"/>
                                <w:numId w:val="54"/>
                              </w:numPr>
                              <w:spacing w:before="120" w:after="120"/>
                              <w:rPr>
                                <w:sz w:val="18"/>
                                <w:szCs w:val="18"/>
                              </w:rPr>
                            </w:pPr>
                            <w:r>
                              <w:rPr>
                                <w:sz w:val="18"/>
                              </w:rPr>
                              <w:t>Conclusiones y recomendaciones</w:t>
                            </w:r>
                          </w:p>
                          <w:p w:rsidR="008D2E0D" w:rsidRPr="00A92E91" w:rsidRDefault="008D2E0D" w:rsidP="007372CD">
                            <w:pPr>
                              <w:pStyle w:val="Normal12PTcouleurgris"/>
                              <w:numPr>
                                <w:ilvl w:val="0"/>
                                <w:numId w:val="78"/>
                              </w:numPr>
                              <w:ind w:left="284" w:hanging="284"/>
                              <w:jc w:val="left"/>
                              <w:rPr>
                                <w:b/>
                                <w:shd w:val="clear" w:color="auto" w:fill="FFFFFF"/>
                              </w:rPr>
                            </w:pPr>
                            <w:r>
                              <w:rPr>
                                <w:b/>
                                <w:shd w:val="clear" w:color="auto" w:fill="FFFFFF"/>
                              </w:rPr>
                              <w:t>Bibliografía adicional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1BD89" id="Rectangle: Diagonal Corners Rounded 19" o:spid="_x0000_s1041" style="position:absolute;left:0;text-align:left;margin-left:66.75pt;margin-top:20.6pt;width:456.35pt;height:259.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795645,3293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" adj="-11796480,,5400" path="m258279,l5795645,r,l5795645,3034831v,142644,-115635,258279,-258279,258279l,3293110r,l,258279c,115635,115635,,258279,xe" filled="f" strokecolor="#be4a35" strokeweight="2pt">
                <v:stroke joinstyle="miter"/>
                <v:formulas/>
                <v:path arrowok="t" o:connecttype="custom" o:connectlocs="258279,0;5795645,0;5795645,0;5795645,3034831;5537366,3293110;0,3293110;0,3293110;0,258279;258279,0" o:connectangles="0,0,0,0,0,0,0,0,0" textboxrect="0,0,5795645,3293110"/>
                <v:textbox>
                  <w:txbxContent>
                    <w:p w:rsidR="008D2E0D" w:rsidRPr="00AC3522" w:rsidRDefault="008D2E0D" w:rsidP="00E05D08">
                      <w:pPr>
                        <w:pStyle w:val="Normal12PTcouleurgris"/>
                        <w:rPr>
                          <w:shd w:val="clear" w:color="auto" w:fill="FFFFFF"/>
                        </w:rPr>
                      </w:pPr>
                      <w:r>
                        <w:rPr>
                          <w:noProof/>
                          <w:lang w:val="en-GB" w:eastAsia="en-GB" w:bidi="ar-SA"/>
                        </w:rPr>
                        <w:drawing>
                          <wp:inline distT="0" distB="0" distL="0" distR="0" wp14:anchorId="025469FC" wp14:editId="7B72AA55">
                            <wp:extent cx="664845" cy="487680"/>
                            <wp:effectExtent l="0" t="0" r="0" b="7620"/>
                            <wp:docPr id="707"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Se mantiene la estructura siguiente para cada PCE: </w:t>
                      </w:r>
                    </w:p>
                    <w:p w:rsidR="008D2E0D" w:rsidRPr="00A92E91" w:rsidRDefault="008D2E0D" w:rsidP="008C0B17">
                      <w:pPr>
                        <w:pStyle w:val="Normal12PTcouleurgris"/>
                        <w:numPr>
                          <w:ilvl w:val="0"/>
                          <w:numId w:val="78"/>
                        </w:numPr>
                        <w:ind w:left="284" w:hanging="284"/>
                        <w:jc w:val="left"/>
                        <w:rPr>
                          <w:b/>
                          <w:shd w:val="clear" w:color="auto" w:fill="FFFFFF"/>
                        </w:rPr>
                      </w:pPr>
                      <w:r>
                        <w:rPr>
                          <w:b/>
                          <w:shd w:val="clear" w:color="auto" w:fill="FFFFFF"/>
                        </w:rPr>
                        <w:t>Comprensión de la PCE</w:t>
                      </w:r>
                    </w:p>
                    <w:p w:rsidR="008D2E0D" w:rsidRPr="00A92E91" w:rsidRDefault="008D2E0D" w:rsidP="008C0B17">
                      <w:pPr>
                        <w:pStyle w:val="Normal12PTcouleurgris"/>
                        <w:numPr>
                          <w:ilvl w:val="0"/>
                          <w:numId w:val="78"/>
                        </w:numPr>
                        <w:ind w:left="284" w:hanging="284"/>
                        <w:jc w:val="left"/>
                        <w:rPr>
                          <w:b/>
                          <w:shd w:val="clear" w:color="auto" w:fill="FFFFFF"/>
                        </w:rPr>
                      </w:pPr>
                      <w:r>
                        <w:rPr>
                          <w:b/>
                          <w:shd w:val="clear" w:color="auto" w:fill="FFFFFF"/>
                        </w:rPr>
                        <w:t xml:space="preserve">Retos específicos </w:t>
                      </w:r>
                    </w:p>
                    <w:p w:rsidR="008D2E0D" w:rsidRPr="00A92E91" w:rsidRDefault="008D2E0D" w:rsidP="008C0B17">
                      <w:pPr>
                        <w:pStyle w:val="Normal12PTcouleurgris"/>
                        <w:numPr>
                          <w:ilvl w:val="0"/>
                          <w:numId w:val="78"/>
                        </w:numPr>
                        <w:ind w:left="284" w:hanging="284"/>
                        <w:jc w:val="left"/>
                        <w:rPr>
                          <w:shd w:val="clear" w:color="auto" w:fill="FFFFFF"/>
                        </w:rPr>
                      </w:pPr>
                      <w:r>
                        <w:rPr>
                          <w:b/>
                          <w:shd w:val="clear" w:color="auto" w:fill="FFFFFF"/>
                        </w:rPr>
                        <w:t>Planteamiento propuesto para responder a la PCE</w:t>
                      </w:r>
                      <w:r>
                        <w:t xml:space="preserve">: </w:t>
                      </w:r>
                      <w:r>
                        <w:rPr>
                          <w:i/>
                          <w:shd w:val="clear" w:color="auto" w:fill="FFFFFF"/>
                        </w:rPr>
                        <w:t xml:space="preserve">El presente capítulo propone fases, métodos y consejos sobre cómo utilizar los indicadores comunes y complementarios para responder a la PCE. </w:t>
                      </w:r>
                    </w:p>
                    <w:p w:rsidR="008D2E0D" w:rsidRPr="00A92E91" w:rsidRDefault="008D2E0D" w:rsidP="008C0B17">
                      <w:pPr>
                        <w:pStyle w:val="Hlistabc2"/>
                        <w:numPr>
                          <w:ilvl w:val="0"/>
                          <w:numId w:val="54"/>
                        </w:numPr>
                        <w:spacing w:before="120" w:after="120"/>
                        <w:rPr>
                          <w:sz w:val="18"/>
                          <w:szCs w:val="18"/>
                        </w:rPr>
                      </w:pPr>
                      <w:r>
                        <w:rPr>
                          <w:sz w:val="18"/>
                        </w:rPr>
                        <w:t xml:space="preserve">Lógica de intervención </w:t>
                      </w:r>
                    </w:p>
                    <w:p w:rsidR="008D2E0D" w:rsidRPr="00A92E91" w:rsidRDefault="008D2E0D" w:rsidP="008C0B17">
                      <w:pPr>
                        <w:pStyle w:val="Hlistabc2"/>
                        <w:numPr>
                          <w:ilvl w:val="0"/>
                          <w:numId w:val="54"/>
                        </w:numPr>
                        <w:spacing w:before="120" w:after="120"/>
                        <w:rPr>
                          <w:sz w:val="18"/>
                          <w:szCs w:val="18"/>
                        </w:rPr>
                      </w:pPr>
                      <w:r>
                        <w:rPr>
                          <w:sz w:val="18"/>
                        </w:rPr>
                        <w:t xml:space="preserve">Elementos de evaluación </w:t>
                      </w:r>
                    </w:p>
                    <w:p w:rsidR="008D2E0D" w:rsidRPr="00A92E91" w:rsidRDefault="008D2E0D" w:rsidP="008C0B17">
                      <w:pPr>
                        <w:pStyle w:val="Hlistabc2"/>
                        <w:numPr>
                          <w:ilvl w:val="0"/>
                          <w:numId w:val="54"/>
                        </w:numPr>
                        <w:spacing w:before="120" w:after="120"/>
                        <w:rPr>
                          <w:sz w:val="18"/>
                          <w:szCs w:val="18"/>
                        </w:rPr>
                      </w:pPr>
                      <w:r>
                        <w:rPr>
                          <w:sz w:val="18"/>
                        </w:rPr>
                        <w:t xml:space="preserve">Metodología de evaluación propuesta </w:t>
                      </w:r>
                    </w:p>
                    <w:p w:rsidR="008D2E0D" w:rsidRPr="00A92E91" w:rsidRDefault="008D2E0D" w:rsidP="008C0B17">
                      <w:pPr>
                        <w:pStyle w:val="Hlistabc2"/>
                        <w:numPr>
                          <w:ilvl w:val="0"/>
                          <w:numId w:val="54"/>
                        </w:numPr>
                        <w:spacing w:before="120" w:after="120"/>
                        <w:rPr>
                          <w:sz w:val="18"/>
                          <w:szCs w:val="18"/>
                        </w:rPr>
                      </w:pPr>
                      <w:r>
                        <w:rPr>
                          <w:sz w:val="18"/>
                        </w:rPr>
                        <w:t xml:space="preserve">Riesgos y soluciones </w:t>
                      </w:r>
                    </w:p>
                    <w:p w:rsidR="008D2E0D" w:rsidRPr="00A92E91" w:rsidRDefault="008D2E0D" w:rsidP="008C0B17">
                      <w:pPr>
                        <w:pStyle w:val="Hlistabc2"/>
                        <w:numPr>
                          <w:ilvl w:val="0"/>
                          <w:numId w:val="54"/>
                        </w:numPr>
                        <w:spacing w:before="120" w:after="120"/>
                        <w:rPr>
                          <w:sz w:val="18"/>
                          <w:szCs w:val="18"/>
                        </w:rPr>
                      </w:pPr>
                      <w:r>
                        <w:rPr>
                          <w:sz w:val="18"/>
                        </w:rPr>
                        <w:t>Conclusiones y recomendaciones</w:t>
                      </w:r>
                    </w:p>
                    <w:p w:rsidR="008D2E0D" w:rsidRPr="00A92E91" w:rsidRDefault="008D2E0D" w:rsidP="007372CD">
                      <w:pPr>
                        <w:pStyle w:val="Normal12PTcouleurgris"/>
                        <w:numPr>
                          <w:ilvl w:val="0"/>
                          <w:numId w:val="78"/>
                        </w:numPr>
                        <w:ind w:left="284" w:hanging="284"/>
                        <w:jc w:val="left"/>
                        <w:rPr>
                          <w:b/>
                          <w:shd w:val="clear" w:color="auto" w:fill="FFFFFF"/>
                        </w:rPr>
                      </w:pPr>
                      <w:r>
                        <w:rPr>
                          <w:b/>
                          <w:shd w:val="clear" w:color="auto" w:fill="FFFFFF"/>
                        </w:rPr>
                        <w:t>Bibliografía adicional</w:t>
                      </w:r>
                    </w:p>
                  </w:txbxContent>
                </v:textbox>
                <w10:wrap type="square" anchorx="page"/>
              </v:shape>
            </w:pict>
          </mc:Fallback>
        </mc:AlternateContent>
      </w:r>
      <w:r w:rsidR="00A45935" w:rsidRPr="009E6414">
        <w:rPr>
          <w:noProof/>
          <w:lang w:val="es-ES_tradnl"/>
        </w:rPr>
        <w:t xml:space="preserve"> </w:t>
      </w:r>
      <w:r w:rsidR="00A45935" w:rsidRPr="009E6414">
        <w:rPr>
          <w:noProof/>
          <w:lang w:val="es-ES_tradnl"/>
        </w:rPr>
        <w:br w:type="page"/>
      </w:r>
    </w:p>
    <w:p w:rsidR="00A45935" w:rsidRPr="009E6414" w:rsidRDefault="00A45935" w:rsidP="009B603C">
      <w:pPr>
        <w:pStyle w:val="HHeading3"/>
        <w:numPr>
          <w:ilvl w:val="2"/>
          <w:numId w:val="119"/>
        </w:numPr>
        <w:tabs>
          <w:tab w:val="clear" w:pos="567"/>
        </w:tabs>
        <w:spacing w:line="280" w:lineRule="exact"/>
        <w:ind w:left="567" w:hanging="578"/>
        <w:rPr>
          <w:noProof/>
          <w:lang w:val="es-ES_tradnl"/>
        </w:rPr>
      </w:pPr>
      <w:bookmarkStart w:id="20" w:name="_Toc508707920"/>
      <w:r w:rsidRPr="009E6414">
        <w:rPr>
          <w:noProof/>
          <w:lang w:val="es-ES_tradnl"/>
        </w:rPr>
        <w:lastRenderedPageBreak/>
        <w:t>PCE n.º 1: «¿En qué medida las intervenciones del PDR han apoyado la innovación, la cooperación y el desarrollo de la base de conocimientos en las zonas rurales?»</w:t>
      </w:r>
      <w:bookmarkEnd w:id="20"/>
    </w:p>
    <w:p w:rsidR="00A45935" w:rsidRPr="009E6414" w:rsidRDefault="00A45935" w:rsidP="00E05D08">
      <w:pPr>
        <w:keepNext/>
        <w:keepLines/>
        <w:tabs>
          <w:tab w:val="left" w:pos="680"/>
        </w:tabs>
        <w:spacing w:before="240" w:after="240" w:line="280" w:lineRule="atLeast"/>
        <w:mirrorIndents/>
        <w:outlineLvl w:val="3"/>
        <w:rPr>
          <w:rFonts w:eastAsia="Calibri" w:cs="Times New Roman"/>
          <w:b/>
          <w:noProof/>
          <w:color w:val="57825E"/>
          <w:szCs w:val="20"/>
          <w:shd w:val="clear" w:color="auto" w:fill="FFFFFF"/>
          <w:lang w:val="es-ES_tradnl"/>
        </w:rPr>
      </w:pPr>
      <w:r w:rsidRPr="009E6414">
        <w:rPr>
          <w:b/>
          <w:noProof/>
          <w:color w:val="57825E"/>
          <w:shd w:val="clear" w:color="auto" w:fill="FFFFFF"/>
          <w:lang w:val="es-ES_tradnl"/>
        </w:rPr>
        <w:t>Comprensión de la PCE</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Tres medidas contribuyen de forma más significativa a la consecución del objetivo vinculado a la PCE n.º 1 (a saber, apoyar la innovación): M1 (artículo 14 «Transferencia de conocimientos y actividades de información»), M2 (artículo 15 «Servicios de asesoramiento, gestión y sustitución de explotaciones agrarias») y M16 (artículo 35 «Cooperación»)</w:t>
      </w:r>
      <w:r w:rsidRPr="009E6414">
        <w:rPr>
          <w:noProof/>
          <w:vertAlign w:val="superscript"/>
          <w:lang w:val="es-ES_tradnl"/>
        </w:rPr>
        <w:footnoteReference w:id="48"/>
      </w:r>
      <w:r w:rsidRPr="009E6414">
        <w:rPr>
          <w:noProof/>
          <w:lang w:val="es-ES_tradnl"/>
        </w:rPr>
        <w:t>. Además, también puede considerarse que M19 [artículos 42 y 35 del Reglamento (UE) n.º 1303/2013] es una importante contribución al aspecto innovador del objetivo antes mencionado.</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 xml:space="preserve">Resulta esencial explorar qué aspectos de las medidas apoyan la innovación. Por ejemplo, una lógica de intervención determinada de la prioridad 1 podría demostrar que M1 y M16 también contribuyen directamente al AI 1B (M16) o al AI 1C (M1) y no solo al AI 1A. </w:t>
      </w:r>
    </w:p>
    <w:p w:rsidR="00A45935" w:rsidRPr="009E6414" w:rsidRDefault="00654F10" w:rsidP="00E05D08">
      <w:pPr>
        <w:spacing w:after="120" w:line="280" w:lineRule="atLeast"/>
        <w:mirrorIndents/>
        <w:rPr>
          <w:rFonts w:eastAsia="Times New Roman" w:cs="Times New Roman"/>
          <w:noProof/>
          <w:szCs w:val="20"/>
          <w:lang w:val="es-ES_tradnl"/>
        </w:rPr>
      </w:pPr>
      <w:r w:rsidRPr="009E6414">
        <w:rPr>
          <w:noProof/>
          <w:lang w:val="es-ES_tradnl"/>
        </w:rPr>
        <w:t xml:space="preserve">Los elementos de estas medidas relacionados con la innovación pueden desglosarse como sigue: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b/>
          <w:noProof/>
          <w:lang w:val="es-ES_tradnl"/>
        </w:rPr>
        <w:t>M1</w:t>
      </w:r>
      <w:r w:rsidRPr="009E6414">
        <w:rPr>
          <w:noProof/>
          <w:lang w:val="es-ES_tradnl"/>
        </w:rPr>
        <w:t xml:space="preserve"> (artículo 14) abarca la formación profesional y la adquisición de competencias, así como las actividades de demostración e información. Además, también puede cubrir intercambios y visitas relacionados con la gestión agrícola y forestal. Aunque en el artículo 14 no se menciona explícitamente la innovación, estas acciones pueden desempeñar una importante tarea en </w:t>
      </w:r>
      <w:r w:rsidRPr="009E6414">
        <w:rPr>
          <w:b/>
          <w:noProof/>
          <w:lang w:val="es-ES_tradnl"/>
        </w:rPr>
        <w:t>la consolidación de la capacidad para innovar</w:t>
      </w:r>
      <w:r w:rsidRPr="009E6414">
        <w:rPr>
          <w:noProof/>
          <w:lang w:val="es-ES_tradnl"/>
        </w:rPr>
        <w:t>.</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b/>
          <w:noProof/>
          <w:lang w:val="es-ES_tradnl"/>
        </w:rPr>
        <w:t>M2</w:t>
      </w:r>
      <w:r w:rsidRPr="009E6414">
        <w:rPr>
          <w:noProof/>
          <w:lang w:val="es-ES_tradnl"/>
        </w:rPr>
        <w:t xml:space="preserve"> (artículo 15) incluye el asesoramiento a agricultores, jóvenes agricultores y otros gestores de tierras, así como la formación de asesores o prestadores de servicio de apoyo a la innovación. Abarca varios elementos, como el asesoramiento sobre las medidas a escala de las explotaciones agrarias incluidas en los PDR destinadas, entre otras cosas, a fomentar la innovación</w:t>
      </w:r>
      <w:r w:rsidRPr="009E6414">
        <w:rPr>
          <w:noProof/>
          <w:vertAlign w:val="superscript"/>
          <w:lang w:val="es-ES_tradnl"/>
        </w:rPr>
        <w:footnoteReference w:id="49"/>
      </w:r>
      <w:r w:rsidRPr="009E6414">
        <w:rPr>
          <w:noProof/>
          <w:lang w:val="es-ES_tradnl"/>
        </w:rPr>
        <w:t xml:space="preserve">. La prestación de servicios de asesoramiento es una forma de </w:t>
      </w:r>
      <w:r w:rsidRPr="009E6414">
        <w:rPr>
          <w:b/>
          <w:noProof/>
          <w:lang w:val="es-ES_tradnl"/>
        </w:rPr>
        <w:t>consolidar la capacidad para innovar</w:t>
      </w:r>
      <w:r w:rsidRPr="009E6414">
        <w:rPr>
          <w:noProof/>
          <w:lang w:val="es-ES_tradnl"/>
        </w:rPr>
        <w:t xml:space="preserve"> (véase el </w:t>
      </w:r>
      <w:hyperlink w:anchor="Innovation_RD" w:history="1">
        <w:r w:rsidRPr="009E6414">
          <w:rPr>
            <w:rStyle w:val="Hyperlink"/>
            <w:noProof/>
            <w:sz w:val="20"/>
            <w:lang w:val="es-ES_tradnl"/>
          </w:rPr>
          <w:t>capítulo 1.1</w:t>
        </w:r>
      </w:hyperlink>
      <w:r w:rsidRPr="009E6414">
        <w:rPr>
          <w:noProof/>
          <w:lang w:val="es-ES_tradnl"/>
        </w:rPr>
        <w:t>), al ofrecer la oportunidad de transferir conocimientos. Además, en el ámbito de la AIE, los asesores/ servicios de apoyo a la innovación adquieren una función de «formador» en los procesos de innovación interactiva en el contexto de los GO.</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b/>
          <w:noProof/>
          <w:lang w:val="es-ES_tradnl"/>
        </w:rPr>
        <w:t>M16</w:t>
      </w:r>
      <w:r w:rsidRPr="009E6414">
        <w:rPr>
          <w:noProof/>
          <w:lang w:val="es-ES_tradnl"/>
        </w:rPr>
        <w:t xml:space="preserve"> (artículo 35) apoya a) la cooperación entre diversos agentes que contribuyan al logro de los objetivos de la política de desarrollo rural (sectores agrario y forestal, cadena alimentaria, agrupaciones de productores, cooperativas, organizaciones interprofesionales y otros); b) la creación de grupos y redes; y c) la creación y el funcionamiento de GO de la AEI-AGRI. M16 incluye diez submedidas y apoya la innovación en relación con </w:t>
      </w:r>
      <w:r w:rsidRPr="009E6414">
        <w:rPr>
          <w:b/>
          <w:noProof/>
          <w:lang w:val="es-ES_tradnl"/>
        </w:rPr>
        <w:t>las tres vías</w:t>
      </w:r>
      <w:r w:rsidRPr="009E6414">
        <w:rPr>
          <w:noProof/>
          <w:lang w:val="es-ES_tradnl"/>
        </w:rPr>
        <w:t xml:space="preserve"> descritas en el capítulo 1.1 (véase el recuadro siguiente).</w:t>
      </w:r>
    </w:p>
    <w:p w:rsidR="006F1601" w:rsidRPr="009E6414" w:rsidRDefault="00A45935" w:rsidP="00E05D08">
      <w:pPr>
        <w:spacing w:after="120" w:line="280" w:lineRule="atLeast"/>
        <w:mirrorIndents/>
        <w:rPr>
          <w:rFonts w:eastAsia="Times New Roman" w:cs="Times New Roman"/>
          <w:noProof/>
          <w:szCs w:val="20"/>
          <w:lang w:val="es-ES_tradnl"/>
        </w:rPr>
      </w:pPr>
      <w:r w:rsidRPr="009E6414">
        <w:rPr>
          <w:b/>
          <w:noProof/>
          <w:lang w:val="es-ES_tradnl"/>
        </w:rPr>
        <w:t>M19</w:t>
      </w:r>
      <w:r w:rsidRPr="009E6414">
        <w:rPr>
          <w:noProof/>
          <w:lang w:val="es-ES_tradnl"/>
        </w:rPr>
        <w:t xml:space="preserve"> (artículo 42) apoya el desarrollo rural local mediante la aplicación de los principios del programa Leader</w:t>
      </w:r>
      <w:r w:rsidRPr="009E6414">
        <w:rPr>
          <w:noProof/>
          <w:vertAlign w:val="superscript"/>
          <w:lang w:val="es-ES_tradnl"/>
        </w:rPr>
        <w:footnoteReference w:id="50"/>
      </w:r>
      <w:r w:rsidRPr="009E6414">
        <w:rPr>
          <w:noProof/>
          <w:lang w:val="es-ES_tradnl"/>
        </w:rPr>
        <w:t>. Uno de estos principios se centra en promover las innovaciones a través de las actividades de los grupos de acción local y los beneficiarios de las estrategias de DLP. M19 incluye cinco submedidas, que pueden apoyar las innovaciones a través de una, dos o las tres vías descritas en el capítulo 1.1 (véase el recuadro siguiente).</w:t>
      </w:r>
    </w:p>
    <w:p w:rsidR="006F1601" w:rsidRPr="009E6414" w:rsidRDefault="006F1601" w:rsidP="00E05D08">
      <w:pPr>
        <w:spacing w:after="120" w:line="280" w:lineRule="atLeast"/>
        <w:mirrorIndents/>
        <w:rPr>
          <w:rFonts w:eastAsia="Calibri" w:cs="Times New Roman"/>
          <w:noProof/>
          <w:szCs w:val="20"/>
          <w:lang w:val="es-ES_tradnl"/>
        </w:rPr>
      </w:pPr>
    </w:p>
    <w:p w:rsidR="00A66F3C" w:rsidRPr="009E6414" w:rsidRDefault="009E6414" w:rsidP="00A66F3C">
      <w:pPr>
        <w:spacing w:after="120" w:line="280" w:lineRule="atLeast"/>
        <w:mirrorIndents/>
        <w:rPr>
          <w:rFonts w:eastAsia="Calibri" w:cs="Times New Roman"/>
          <w:b/>
          <w:noProof/>
          <w:color w:val="57825E"/>
          <w:szCs w:val="20"/>
          <w:shd w:val="clear" w:color="auto" w:fill="FFFFFF"/>
          <w:lang w:val="es-ES_tradnl"/>
        </w:rPr>
      </w:pPr>
      <w:r w:rsidRPr="009E6414">
        <w:rPr>
          <w:rFonts w:eastAsia="Times New Roman" w:cs="Times New Roman"/>
          <w:noProof/>
          <w:szCs w:val="20"/>
          <w:lang w:val="en-GB" w:eastAsia="en-GB" w:bidi="ar-SA"/>
        </w:rPr>
        <w:lastRenderedPageBreak/>
        <mc:AlternateContent>
          <mc:Choice Requires="wps">
            <w:drawing>
              <wp:anchor distT="0" distB="0" distL="114300" distR="114300" simplePos="0" relativeHeight="251664896" behindDoc="1" locked="0" layoutInCell="1" allowOverlap="1" wp14:anchorId="7D1A32A6" wp14:editId="711610F3">
                <wp:simplePos x="0" y="0"/>
                <wp:positionH relativeFrom="column">
                  <wp:posOffset>0</wp:posOffset>
                </wp:positionH>
                <wp:positionV relativeFrom="paragraph">
                  <wp:posOffset>285750</wp:posOffset>
                </wp:positionV>
                <wp:extent cx="5913755" cy="8115300"/>
                <wp:effectExtent l="0" t="0" r="10795" b="19050"/>
                <wp:wrapTight wrapText="bothSides">
                  <wp:wrapPolygon edited="0">
                    <wp:start x="765" y="0"/>
                    <wp:lineTo x="0" y="254"/>
                    <wp:lineTo x="0" y="21600"/>
                    <wp:lineTo x="20874" y="21600"/>
                    <wp:lineTo x="21013" y="21600"/>
                    <wp:lineTo x="21570" y="21194"/>
                    <wp:lineTo x="21570" y="0"/>
                    <wp:lineTo x="765" y="0"/>
                  </wp:wrapPolygon>
                </wp:wrapTight>
                <wp:docPr id="11" name="Rectangle: Diagonal Corners Rounded 11"/>
                <wp:cNvGraphicFramePr/>
                <a:graphic xmlns:a="http://schemas.openxmlformats.org/drawingml/2006/main">
                  <a:graphicData uri="http://schemas.microsoft.com/office/word/2010/wordprocessingShape">
                    <wps:wsp>
                      <wps:cNvSpPr/>
                      <wps:spPr>
                        <a:xfrm>
                          <a:off x="0" y="0"/>
                          <a:ext cx="5913755" cy="8115300"/>
                        </a:xfrm>
                        <a:prstGeom prst="round2DiagRect">
                          <a:avLst>
                            <a:gd name="adj1" fmla="val 5642"/>
                            <a:gd name="adj2" fmla="val 0"/>
                          </a:avLst>
                        </a:prstGeom>
                        <a:noFill/>
                        <a:ln w="25400" cap="flat" cmpd="sng" algn="ctr">
                          <a:solidFill>
                            <a:srgbClr val="F07E31"/>
                          </a:solidFill>
                          <a:prstDash val="solid"/>
                        </a:ln>
                        <a:effectLst/>
                      </wps:spPr>
                      <wps:txbx>
                        <w:txbxContent>
                          <w:p w:rsidR="008D2E0D" w:rsidRPr="00A66F3C" w:rsidRDefault="008D2E0D" w:rsidP="009E6414">
                            <w:pPr>
                              <w:pStyle w:val="HStandard"/>
                              <w:ind w:left="284" w:right="23"/>
                              <w:rPr>
                                <w:b/>
                                <w:color w:val="F07E31"/>
                                <w:sz w:val="18"/>
                                <w:szCs w:val="18"/>
                              </w:rPr>
                            </w:pPr>
                            <w:r>
                              <w:rPr>
                                <w:noProof/>
                                <w:lang w:val="en-GB" w:eastAsia="en-GB" w:bidi="ar-SA"/>
                              </w:rPr>
                              <w:drawing>
                                <wp:inline distT="0" distB="0" distL="0" distR="0" wp14:anchorId="43828C3A" wp14:editId="024A5694">
                                  <wp:extent cx="353060" cy="359410"/>
                                  <wp:effectExtent l="0" t="0" r="8890" b="2540"/>
                                  <wp:docPr id="2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rPr>
                              <w:t xml:space="preserve">Ejemplos de cómo </w:t>
                            </w:r>
                            <w:proofErr w:type="spellStart"/>
                            <w:r>
                              <w:rPr>
                                <w:b/>
                                <w:color w:val="F07E31"/>
                                <w:sz w:val="18"/>
                              </w:rPr>
                              <w:t>M1</w:t>
                            </w:r>
                            <w:proofErr w:type="spellEnd"/>
                            <w:r>
                              <w:rPr>
                                <w:b/>
                                <w:color w:val="F07E31"/>
                                <w:sz w:val="18"/>
                              </w:rPr>
                              <w:t xml:space="preserve"> puede reforzar la capacidad para innovar:</w:t>
                            </w:r>
                          </w:p>
                          <w:p w:rsidR="008D2E0D" w:rsidRPr="00A66F3C" w:rsidRDefault="008D2E0D" w:rsidP="00A66F3C">
                            <w:pPr>
                              <w:pStyle w:val="Hlistbullet"/>
                              <w:rPr>
                                <w:sz w:val="18"/>
                                <w:szCs w:val="18"/>
                              </w:rPr>
                            </w:pPr>
                            <w:r>
                              <w:rPr>
                                <w:sz w:val="18"/>
                              </w:rPr>
                              <w:t>Nuevas competencias para agricultores/pymes a la hora de aplicar procesos/</w:t>
                            </w:r>
                            <w:proofErr w:type="gramStart"/>
                            <w:r>
                              <w:rPr>
                                <w:sz w:val="18"/>
                              </w:rPr>
                              <w:t>técnicas innovadores</w:t>
                            </w:r>
                            <w:proofErr w:type="gramEnd"/>
                            <w:r>
                              <w:rPr>
                                <w:sz w:val="18"/>
                              </w:rPr>
                              <w:t xml:space="preserve"> o nuevas capacidades organizativas</w:t>
                            </w:r>
                          </w:p>
                          <w:p w:rsidR="008D2E0D" w:rsidRPr="00A66F3C" w:rsidRDefault="008D2E0D" w:rsidP="00A66F3C">
                            <w:pPr>
                              <w:pStyle w:val="Hlistbullet"/>
                              <w:rPr>
                                <w:sz w:val="18"/>
                                <w:szCs w:val="18"/>
                              </w:rPr>
                            </w:pPr>
                            <w:r>
                              <w:rPr>
                                <w:sz w:val="18"/>
                              </w:rPr>
                              <w:t>Intercambios y visitas que ayudan a transferir conocimientos desde una explotación/región a otra.</w:t>
                            </w:r>
                          </w:p>
                          <w:p w:rsidR="008D2E0D" w:rsidRPr="00A66F3C" w:rsidRDefault="008D2E0D" w:rsidP="00C3334D">
                            <w:pPr>
                              <w:pStyle w:val="HStandard"/>
                              <w:ind w:right="54"/>
                              <w:rPr>
                                <w:b/>
                                <w:color w:val="F07E31"/>
                                <w:sz w:val="18"/>
                                <w:szCs w:val="18"/>
                              </w:rPr>
                            </w:pPr>
                            <w:r>
                              <w:rPr>
                                <w:b/>
                                <w:color w:val="F07E31"/>
                                <w:sz w:val="18"/>
                              </w:rPr>
                              <w:t xml:space="preserve">Ejemplos de cómo </w:t>
                            </w:r>
                            <w:proofErr w:type="spellStart"/>
                            <w:r>
                              <w:rPr>
                                <w:b/>
                                <w:color w:val="F07E31"/>
                                <w:sz w:val="18"/>
                              </w:rPr>
                              <w:t>M16</w:t>
                            </w:r>
                            <w:proofErr w:type="spellEnd"/>
                            <w:r>
                              <w:rPr>
                                <w:b/>
                                <w:color w:val="F07E31"/>
                                <w:sz w:val="18"/>
                              </w:rPr>
                              <w:t xml:space="preserve"> apoya la innovación:</w:t>
                            </w:r>
                          </w:p>
                          <w:p w:rsidR="008D2E0D" w:rsidRPr="00A66F3C" w:rsidRDefault="008D2E0D" w:rsidP="00A66F3C">
                            <w:pPr>
                              <w:pStyle w:val="Hlistbullet"/>
                              <w:rPr>
                                <w:sz w:val="18"/>
                                <w:szCs w:val="18"/>
                              </w:rPr>
                            </w:pPr>
                            <w:r>
                              <w:rPr>
                                <w:sz w:val="18"/>
                              </w:rPr>
                              <w:t>La creación de nuevos productos, prácticas y tecnologías en los sectores agrícola, alimentario y forestal (</w:t>
                            </w:r>
                            <w:proofErr w:type="spellStart"/>
                            <w:r>
                              <w:rPr>
                                <w:sz w:val="18"/>
                              </w:rPr>
                              <w:t>submedida</w:t>
                            </w:r>
                            <w:proofErr w:type="spellEnd"/>
                            <w:r>
                              <w:rPr>
                                <w:sz w:val="18"/>
                              </w:rPr>
                              <w:t xml:space="preserve"> </w:t>
                            </w:r>
                            <w:proofErr w:type="spellStart"/>
                            <w:r>
                              <w:rPr>
                                <w:sz w:val="18"/>
                              </w:rPr>
                              <w:t>M16.2</w:t>
                            </w:r>
                            <w:r>
                              <w:rPr>
                                <w:sz w:val="18"/>
                                <w:vertAlign w:val="superscript"/>
                              </w:rPr>
                              <w:t>51</w:t>
                            </w:r>
                            <w:proofErr w:type="spellEnd"/>
                            <w:r>
                              <w:rPr>
                                <w:sz w:val="18"/>
                              </w:rPr>
                              <w:t xml:space="preserve">) está relacionado con la identificación y el impulso de la innovación de forma colaborativa. </w:t>
                            </w:r>
                          </w:p>
                          <w:p w:rsidR="008D2E0D" w:rsidRPr="00A66F3C" w:rsidRDefault="008D2E0D" w:rsidP="00A66F3C">
                            <w:pPr>
                              <w:pStyle w:val="Hlistbullet"/>
                              <w:rPr>
                                <w:sz w:val="18"/>
                                <w:szCs w:val="18"/>
                              </w:rPr>
                            </w:pPr>
                            <w:r>
                              <w:rPr>
                                <w:sz w:val="18"/>
                              </w:rPr>
                              <w:t xml:space="preserve">Todas las demás </w:t>
                            </w:r>
                            <w:proofErr w:type="spellStart"/>
                            <w:r>
                              <w:rPr>
                                <w:sz w:val="18"/>
                              </w:rPr>
                              <w:t>submedidas</w:t>
                            </w:r>
                            <w:proofErr w:type="spellEnd"/>
                            <w:r>
                              <w:rPr>
                                <w:sz w:val="18"/>
                              </w:rPr>
                              <w:t xml:space="preserve"> tienen potencial para </w:t>
                            </w:r>
                            <w:r>
                              <w:rPr>
                                <w:b/>
                                <w:sz w:val="18"/>
                              </w:rPr>
                              <w:t>reforzar la capacidad para innovar</w:t>
                            </w:r>
                            <w:r>
                              <w:rPr>
                                <w:sz w:val="18"/>
                              </w:rPr>
                              <w:t>, dado que el proceso de cooperación implica identificar colectivamente nuevas oportunidades, producir nuevas ideas, experimentar con nuevas tecnologías o identificar nuevas formas de hacer las cosas.</w:t>
                            </w:r>
                          </w:p>
                          <w:p w:rsidR="008D2E0D" w:rsidRPr="00A66F3C" w:rsidRDefault="008D2E0D" w:rsidP="00A66F3C">
                            <w:pPr>
                              <w:pStyle w:val="Hlistbullet"/>
                              <w:rPr>
                                <w:sz w:val="18"/>
                                <w:szCs w:val="18"/>
                              </w:rPr>
                            </w:pPr>
                            <w:r>
                              <w:rPr>
                                <w:sz w:val="18"/>
                              </w:rPr>
                              <w:t xml:space="preserve">Además, el apoyo prestado a los proyectos de cooperación por asesores/servicios de apoyo a la innovación, incluido el apoyo ofrecido desde la </w:t>
                            </w:r>
                            <w:proofErr w:type="spellStart"/>
                            <w:r>
                              <w:rPr>
                                <w:sz w:val="18"/>
                              </w:rPr>
                              <w:t>RRN</w:t>
                            </w:r>
                            <w:proofErr w:type="spellEnd"/>
                            <w:r>
                              <w:rPr>
                                <w:sz w:val="18"/>
                              </w:rPr>
                              <w:t xml:space="preserve"> para este fin, puede contribuir a </w:t>
                            </w:r>
                            <w:r>
                              <w:rPr>
                                <w:b/>
                                <w:sz w:val="18"/>
                              </w:rPr>
                              <w:t>consolidar la capacidad para innovar</w:t>
                            </w:r>
                            <w:r>
                              <w:rPr>
                                <w:sz w:val="18"/>
                              </w:rPr>
                              <w:t>.</w:t>
                            </w:r>
                          </w:p>
                          <w:p w:rsidR="008D2E0D" w:rsidRPr="00A66F3C" w:rsidRDefault="008D2E0D" w:rsidP="00A66F3C">
                            <w:pPr>
                              <w:pStyle w:val="Hlistbullet"/>
                              <w:rPr>
                                <w:sz w:val="18"/>
                                <w:szCs w:val="18"/>
                              </w:rPr>
                            </w:pPr>
                            <w:r>
                              <w:rPr>
                                <w:sz w:val="18"/>
                              </w:rPr>
                              <w:t xml:space="preserve">La implicación de las partes interesadas en la innovación en proyectos de cooperación (por ejemplo, servicios de apoyo a la innovación, departamentos de </w:t>
                            </w:r>
                            <w:proofErr w:type="spellStart"/>
                            <w:r>
                              <w:rPr>
                                <w:sz w:val="18"/>
                              </w:rPr>
                              <w:t>innovacion</w:t>
                            </w:r>
                            <w:proofErr w:type="spellEnd"/>
                            <w:r>
                              <w:rPr>
                                <w:sz w:val="18"/>
                              </w:rPr>
                              <w:t xml:space="preserve">, centros de </w:t>
                            </w:r>
                            <w:proofErr w:type="spellStart"/>
                            <w:r>
                              <w:rPr>
                                <w:sz w:val="18"/>
                              </w:rPr>
                              <w:t>I+D</w:t>
                            </w:r>
                            <w:proofErr w:type="spellEnd"/>
                            <w:r>
                              <w:rPr>
                                <w:sz w:val="18"/>
                              </w:rPr>
                              <w:t xml:space="preserve"> o centros de innovación y tecnología) puede contribuir a </w:t>
                            </w:r>
                            <w:r>
                              <w:rPr>
                                <w:b/>
                                <w:sz w:val="18"/>
                              </w:rPr>
                              <w:t>la consolidación de un entorno propicio para la innovación</w:t>
                            </w:r>
                            <w:r>
                              <w:rPr>
                                <w:sz w:val="18"/>
                              </w:rPr>
                              <w:t>. Por ejemplo, llevar a cabo un proyecto de investigación colectiva puede producir un resultado que puede influir en la legislación (por ejemplo, legislación medioambiental).</w:t>
                            </w:r>
                          </w:p>
                          <w:p w:rsidR="008D2E0D" w:rsidRPr="00A66F3C" w:rsidRDefault="008D2E0D" w:rsidP="00A66F3C">
                            <w:pPr>
                              <w:pStyle w:val="Hlistbullet"/>
                              <w:rPr>
                                <w:sz w:val="18"/>
                                <w:szCs w:val="18"/>
                              </w:rPr>
                            </w:pPr>
                            <w:r>
                              <w:rPr>
                                <w:sz w:val="18"/>
                              </w:rPr>
                              <w:t xml:space="preserve">La creación y el funcionamiento de los </w:t>
                            </w:r>
                            <w:proofErr w:type="spellStart"/>
                            <w:r>
                              <w:rPr>
                                <w:sz w:val="18"/>
                              </w:rPr>
                              <w:t>GO</w:t>
                            </w:r>
                            <w:proofErr w:type="spellEnd"/>
                            <w:r>
                              <w:rPr>
                                <w:sz w:val="18"/>
                              </w:rPr>
                              <w:t xml:space="preserve"> pueden aportar un enfoque aún más holístico para apoyar la innovación mediante la combinación de las </w:t>
                            </w:r>
                            <w:r>
                              <w:rPr>
                                <w:b/>
                                <w:sz w:val="18"/>
                              </w:rPr>
                              <w:t>tres vías</w:t>
                            </w:r>
                            <w:r>
                              <w:rPr>
                                <w:sz w:val="18"/>
                              </w:rPr>
                              <w:t xml:space="preserve">: la identificación de nuevas ideas (el punto de partida para los </w:t>
                            </w:r>
                            <w:proofErr w:type="spellStart"/>
                            <w:r>
                              <w:rPr>
                                <w:sz w:val="18"/>
                              </w:rPr>
                              <w:t>GO</w:t>
                            </w:r>
                            <w:proofErr w:type="spellEnd"/>
                            <w:r>
                              <w:rPr>
                                <w:sz w:val="18"/>
                              </w:rPr>
                              <w:t xml:space="preserve">), la consolidación de la capacidad para innovar (el respaldo de asesores/servicios de apoyo a la innovación) y la creación de un entorno propicio para la innovación (los resultados de los proyectos de los </w:t>
                            </w:r>
                            <w:proofErr w:type="spellStart"/>
                            <w:r>
                              <w:rPr>
                                <w:sz w:val="18"/>
                              </w:rPr>
                              <w:t>GO</w:t>
                            </w:r>
                            <w:proofErr w:type="spellEnd"/>
                            <w:r>
                              <w:rPr>
                                <w:sz w:val="18"/>
                              </w:rPr>
                              <w:t>).</w:t>
                            </w:r>
                          </w:p>
                          <w:p w:rsidR="008D2E0D" w:rsidRPr="00A66F3C" w:rsidRDefault="008D2E0D" w:rsidP="00C3334D">
                            <w:pPr>
                              <w:pStyle w:val="Normal12PTcouleurgris"/>
                              <w:ind w:left="284"/>
                              <w:rPr>
                                <w:color w:val="F07E31"/>
                                <w:sz w:val="18"/>
                              </w:rPr>
                            </w:pPr>
                            <w:r>
                              <w:rPr>
                                <w:b/>
                                <w:color w:val="F07E31"/>
                                <w:sz w:val="18"/>
                              </w:rPr>
                              <w:t xml:space="preserve">Ejemplos de cómo </w:t>
                            </w:r>
                            <w:proofErr w:type="spellStart"/>
                            <w:r>
                              <w:rPr>
                                <w:b/>
                                <w:color w:val="F07E31"/>
                                <w:sz w:val="18"/>
                              </w:rPr>
                              <w:t>M19</w:t>
                            </w:r>
                            <w:proofErr w:type="spellEnd"/>
                            <w:r>
                              <w:rPr>
                                <w:b/>
                                <w:color w:val="F07E31"/>
                                <w:sz w:val="18"/>
                              </w:rPr>
                              <w:t xml:space="preserve"> apoya la innovación:</w:t>
                            </w:r>
                          </w:p>
                          <w:p w:rsidR="008D2E0D" w:rsidRPr="00A66F3C" w:rsidRDefault="008D2E0D" w:rsidP="00A66F3C">
                            <w:pPr>
                              <w:pStyle w:val="Hlistbullet"/>
                              <w:rPr>
                                <w:sz w:val="18"/>
                                <w:szCs w:val="18"/>
                              </w:rPr>
                            </w:pPr>
                            <w:r>
                              <w:rPr>
                                <w:sz w:val="18"/>
                              </w:rPr>
                              <w:t xml:space="preserve">Aplicando nuevos métodos de concepción de la estrategia, incluidas diversas formas únicas de garantizar la participación de la población local en las decisiones estratégicas (por ejemplo, diversas actividades de animación relacionadas con la recogida de información, diversos seminarios y foros de debate, etc.) y contribuir de este modo </w:t>
                            </w:r>
                            <w:r>
                              <w:rPr>
                                <w:b/>
                                <w:sz w:val="18"/>
                              </w:rPr>
                              <w:t>al entorno propicio para la innovación (vía 3)</w:t>
                            </w:r>
                            <w:r>
                              <w:rPr>
                                <w:sz w:val="18"/>
                              </w:rPr>
                              <w:t>.</w:t>
                            </w:r>
                          </w:p>
                          <w:p w:rsidR="008D2E0D" w:rsidRPr="00A66F3C" w:rsidRDefault="008D2E0D" w:rsidP="00A66F3C">
                            <w:pPr>
                              <w:pStyle w:val="Hlistbullet"/>
                              <w:rPr>
                                <w:sz w:val="18"/>
                                <w:szCs w:val="18"/>
                              </w:rPr>
                            </w:pPr>
                            <w:r>
                              <w:rPr>
                                <w:sz w:val="18"/>
                              </w:rPr>
                              <w:t xml:space="preserve">Poniendo en marcha actividades de animación innovadoras, que vayan más allá de la concepción y ejecución de la estrategia y garanticen la participación de la población en general en varias acciones innovadoras del GAL (por ejemplo, centradas en la construcción de una fuerte identidad territorial a través de, por ejemplo, el patrimonio natural y cultural circundante) que presten un apoyo complementario al </w:t>
                            </w:r>
                            <w:r>
                              <w:rPr>
                                <w:b/>
                                <w:sz w:val="18"/>
                              </w:rPr>
                              <w:t>entorno propicio e impulsen posibles ideas innovadoras (vías 3 y 1)</w:t>
                            </w:r>
                            <w:r>
                              <w:rPr>
                                <w:sz w:val="18"/>
                              </w:rPr>
                              <w:t>.</w:t>
                            </w:r>
                          </w:p>
                          <w:p w:rsidR="008D2E0D" w:rsidRPr="00A66F3C" w:rsidRDefault="008D2E0D" w:rsidP="00A66F3C">
                            <w:pPr>
                              <w:pStyle w:val="Hlistbullet"/>
                              <w:rPr>
                                <w:sz w:val="18"/>
                                <w:szCs w:val="18"/>
                              </w:rPr>
                            </w:pPr>
                            <w:r>
                              <w:rPr>
                                <w:sz w:val="18"/>
                              </w:rPr>
                              <w:t xml:space="preserve">Iniciando proyectos de cooperación innovadores, que tengan en cuenta la transferencia de nuevos conocimientos, experiencias y tecnologías en el territorio del GAL y ofrezcan un espacio </w:t>
                            </w:r>
                            <w:r>
                              <w:rPr>
                                <w:b/>
                                <w:sz w:val="18"/>
                              </w:rPr>
                              <w:t>para impulsar ideas potencialmente innovadoras (vía 1)</w:t>
                            </w:r>
                            <w:r>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A32A6" id="Rectangle: Diagonal Corners Rounded 11" o:spid="_x0000_s1042" style="position:absolute;left:0;text-align:left;margin-left:0;margin-top:22.5pt;width:465.65pt;height:63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3755,811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" adj="-11796480,,5400" path="m333654,l5913755,r,l5913755,7781646v,184272,-149382,333654,-333654,333654l,8115300r,l,333654c,149382,149382,,333654,xe" filled="f" strokecolor="#f07e31" strokeweight="2pt">
                <v:stroke joinstyle="miter"/>
                <v:formulas/>
                <v:path arrowok="t" o:connecttype="custom" o:connectlocs="333654,0;5913755,0;5913755,0;5913755,7781646;5580101,8115300;0,8115300;0,8115300;0,333654;333654,0" o:connectangles="0,0,0,0,0,0,0,0,0" textboxrect="0,0,5913755,8115300"/>
                <v:textbox>
                  <w:txbxContent>
                    <w:p w:rsidR="008D2E0D" w:rsidRPr="00A66F3C" w:rsidRDefault="008D2E0D" w:rsidP="009E6414">
                      <w:pPr>
                        <w:pStyle w:val="HStandard"/>
                        <w:ind w:left="284" w:right="23"/>
                        <w:rPr>
                          <w:b/>
                          <w:color w:val="F07E31"/>
                          <w:sz w:val="18"/>
                          <w:szCs w:val="18"/>
                        </w:rPr>
                      </w:pPr>
                      <w:r>
                        <w:rPr>
                          <w:noProof/>
                          <w:lang w:val="en-GB" w:eastAsia="en-GB" w:bidi="ar-SA"/>
                        </w:rPr>
                        <w:drawing>
                          <wp:inline distT="0" distB="0" distL="0" distR="0" wp14:anchorId="43828C3A" wp14:editId="024A5694">
                            <wp:extent cx="353060" cy="359410"/>
                            <wp:effectExtent l="0" t="0" r="8890" b="2540"/>
                            <wp:docPr id="2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rPr>
                        <w:t xml:space="preserve">Ejemplos de cómo </w:t>
                      </w:r>
                      <w:proofErr w:type="spellStart"/>
                      <w:r>
                        <w:rPr>
                          <w:b/>
                          <w:color w:val="F07E31"/>
                          <w:sz w:val="18"/>
                        </w:rPr>
                        <w:t>M1</w:t>
                      </w:r>
                      <w:proofErr w:type="spellEnd"/>
                      <w:r>
                        <w:rPr>
                          <w:b/>
                          <w:color w:val="F07E31"/>
                          <w:sz w:val="18"/>
                        </w:rPr>
                        <w:t xml:space="preserve"> puede reforzar la capacidad para innovar:</w:t>
                      </w:r>
                    </w:p>
                    <w:p w:rsidR="008D2E0D" w:rsidRPr="00A66F3C" w:rsidRDefault="008D2E0D" w:rsidP="00A66F3C">
                      <w:pPr>
                        <w:pStyle w:val="Hlistbullet"/>
                        <w:rPr>
                          <w:sz w:val="18"/>
                          <w:szCs w:val="18"/>
                        </w:rPr>
                      </w:pPr>
                      <w:r>
                        <w:rPr>
                          <w:sz w:val="18"/>
                        </w:rPr>
                        <w:t>Nuevas competencias para agricultores/pymes a la hora de aplicar procesos/</w:t>
                      </w:r>
                      <w:proofErr w:type="gramStart"/>
                      <w:r>
                        <w:rPr>
                          <w:sz w:val="18"/>
                        </w:rPr>
                        <w:t>técnicas innovadores</w:t>
                      </w:r>
                      <w:proofErr w:type="gramEnd"/>
                      <w:r>
                        <w:rPr>
                          <w:sz w:val="18"/>
                        </w:rPr>
                        <w:t xml:space="preserve"> o nuevas capacidades organizativas</w:t>
                      </w:r>
                    </w:p>
                    <w:p w:rsidR="008D2E0D" w:rsidRPr="00A66F3C" w:rsidRDefault="008D2E0D" w:rsidP="00A66F3C">
                      <w:pPr>
                        <w:pStyle w:val="Hlistbullet"/>
                        <w:rPr>
                          <w:sz w:val="18"/>
                          <w:szCs w:val="18"/>
                        </w:rPr>
                      </w:pPr>
                      <w:r>
                        <w:rPr>
                          <w:sz w:val="18"/>
                        </w:rPr>
                        <w:t>Intercambios y visitas que ayudan a transferir conocimientos desde una explotación/región a otra.</w:t>
                      </w:r>
                    </w:p>
                    <w:p w:rsidR="008D2E0D" w:rsidRPr="00A66F3C" w:rsidRDefault="008D2E0D" w:rsidP="00C3334D">
                      <w:pPr>
                        <w:pStyle w:val="HStandard"/>
                        <w:ind w:right="54"/>
                        <w:rPr>
                          <w:b/>
                          <w:color w:val="F07E31"/>
                          <w:sz w:val="18"/>
                          <w:szCs w:val="18"/>
                        </w:rPr>
                      </w:pPr>
                      <w:r>
                        <w:rPr>
                          <w:b/>
                          <w:color w:val="F07E31"/>
                          <w:sz w:val="18"/>
                        </w:rPr>
                        <w:t xml:space="preserve">Ejemplos de cómo </w:t>
                      </w:r>
                      <w:proofErr w:type="spellStart"/>
                      <w:r>
                        <w:rPr>
                          <w:b/>
                          <w:color w:val="F07E31"/>
                          <w:sz w:val="18"/>
                        </w:rPr>
                        <w:t>M16</w:t>
                      </w:r>
                      <w:proofErr w:type="spellEnd"/>
                      <w:r>
                        <w:rPr>
                          <w:b/>
                          <w:color w:val="F07E31"/>
                          <w:sz w:val="18"/>
                        </w:rPr>
                        <w:t xml:space="preserve"> apoya la innovación:</w:t>
                      </w:r>
                    </w:p>
                    <w:p w:rsidR="008D2E0D" w:rsidRPr="00A66F3C" w:rsidRDefault="008D2E0D" w:rsidP="00A66F3C">
                      <w:pPr>
                        <w:pStyle w:val="Hlistbullet"/>
                        <w:rPr>
                          <w:sz w:val="18"/>
                          <w:szCs w:val="18"/>
                        </w:rPr>
                      </w:pPr>
                      <w:r>
                        <w:rPr>
                          <w:sz w:val="18"/>
                        </w:rPr>
                        <w:t>La creación de nuevos productos, prácticas y tecnologías en los sectores agrícola, alimentario y forestal (</w:t>
                      </w:r>
                      <w:proofErr w:type="spellStart"/>
                      <w:r>
                        <w:rPr>
                          <w:sz w:val="18"/>
                        </w:rPr>
                        <w:t>submedida</w:t>
                      </w:r>
                      <w:proofErr w:type="spellEnd"/>
                      <w:r>
                        <w:rPr>
                          <w:sz w:val="18"/>
                        </w:rPr>
                        <w:t xml:space="preserve"> </w:t>
                      </w:r>
                      <w:proofErr w:type="spellStart"/>
                      <w:r>
                        <w:rPr>
                          <w:sz w:val="18"/>
                        </w:rPr>
                        <w:t>M16.2</w:t>
                      </w:r>
                      <w:r>
                        <w:rPr>
                          <w:sz w:val="18"/>
                          <w:vertAlign w:val="superscript"/>
                        </w:rPr>
                        <w:t>51</w:t>
                      </w:r>
                      <w:proofErr w:type="spellEnd"/>
                      <w:r>
                        <w:rPr>
                          <w:sz w:val="18"/>
                        </w:rPr>
                        <w:t xml:space="preserve">) está relacionado con la identificación y el impulso de la innovación de forma colaborativa. </w:t>
                      </w:r>
                    </w:p>
                    <w:p w:rsidR="008D2E0D" w:rsidRPr="00A66F3C" w:rsidRDefault="008D2E0D" w:rsidP="00A66F3C">
                      <w:pPr>
                        <w:pStyle w:val="Hlistbullet"/>
                        <w:rPr>
                          <w:sz w:val="18"/>
                          <w:szCs w:val="18"/>
                        </w:rPr>
                      </w:pPr>
                      <w:r>
                        <w:rPr>
                          <w:sz w:val="18"/>
                        </w:rPr>
                        <w:t xml:space="preserve">Todas las demás </w:t>
                      </w:r>
                      <w:proofErr w:type="spellStart"/>
                      <w:r>
                        <w:rPr>
                          <w:sz w:val="18"/>
                        </w:rPr>
                        <w:t>submedidas</w:t>
                      </w:r>
                      <w:proofErr w:type="spellEnd"/>
                      <w:r>
                        <w:rPr>
                          <w:sz w:val="18"/>
                        </w:rPr>
                        <w:t xml:space="preserve"> tienen potencial para </w:t>
                      </w:r>
                      <w:r>
                        <w:rPr>
                          <w:b/>
                          <w:sz w:val="18"/>
                        </w:rPr>
                        <w:t>reforzar la capacidad para innovar</w:t>
                      </w:r>
                      <w:r>
                        <w:rPr>
                          <w:sz w:val="18"/>
                        </w:rPr>
                        <w:t>, dado que el proceso de cooperación implica identificar colectivamente nuevas oportunidades, producir nuevas ideas, experimentar con nuevas tecnologías o identificar nuevas formas de hacer las cosas.</w:t>
                      </w:r>
                    </w:p>
                    <w:p w:rsidR="008D2E0D" w:rsidRPr="00A66F3C" w:rsidRDefault="008D2E0D" w:rsidP="00A66F3C">
                      <w:pPr>
                        <w:pStyle w:val="Hlistbullet"/>
                        <w:rPr>
                          <w:sz w:val="18"/>
                          <w:szCs w:val="18"/>
                        </w:rPr>
                      </w:pPr>
                      <w:r>
                        <w:rPr>
                          <w:sz w:val="18"/>
                        </w:rPr>
                        <w:t xml:space="preserve">Además, el apoyo prestado a los proyectos de cooperación por asesores/servicios de apoyo a la innovación, incluido el apoyo ofrecido desde la </w:t>
                      </w:r>
                      <w:proofErr w:type="spellStart"/>
                      <w:r>
                        <w:rPr>
                          <w:sz w:val="18"/>
                        </w:rPr>
                        <w:t>RRN</w:t>
                      </w:r>
                      <w:proofErr w:type="spellEnd"/>
                      <w:r>
                        <w:rPr>
                          <w:sz w:val="18"/>
                        </w:rPr>
                        <w:t xml:space="preserve"> para este fin, puede contribuir a </w:t>
                      </w:r>
                      <w:r>
                        <w:rPr>
                          <w:b/>
                          <w:sz w:val="18"/>
                        </w:rPr>
                        <w:t>consolidar la capacidad para innovar</w:t>
                      </w:r>
                      <w:r>
                        <w:rPr>
                          <w:sz w:val="18"/>
                        </w:rPr>
                        <w:t>.</w:t>
                      </w:r>
                    </w:p>
                    <w:p w:rsidR="008D2E0D" w:rsidRPr="00A66F3C" w:rsidRDefault="008D2E0D" w:rsidP="00A66F3C">
                      <w:pPr>
                        <w:pStyle w:val="Hlistbullet"/>
                        <w:rPr>
                          <w:sz w:val="18"/>
                          <w:szCs w:val="18"/>
                        </w:rPr>
                      </w:pPr>
                      <w:r>
                        <w:rPr>
                          <w:sz w:val="18"/>
                        </w:rPr>
                        <w:t xml:space="preserve">La implicación de las partes interesadas en la innovación en proyectos de cooperación (por ejemplo, servicios de apoyo a la innovación, departamentos de </w:t>
                      </w:r>
                      <w:proofErr w:type="spellStart"/>
                      <w:r>
                        <w:rPr>
                          <w:sz w:val="18"/>
                        </w:rPr>
                        <w:t>innovacion</w:t>
                      </w:r>
                      <w:proofErr w:type="spellEnd"/>
                      <w:r>
                        <w:rPr>
                          <w:sz w:val="18"/>
                        </w:rPr>
                        <w:t xml:space="preserve">, centros de </w:t>
                      </w:r>
                      <w:proofErr w:type="spellStart"/>
                      <w:r>
                        <w:rPr>
                          <w:sz w:val="18"/>
                        </w:rPr>
                        <w:t>I+D</w:t>
                      </w:r>
                      <w:proofErr w:type="spellEnd"/>
                      <w:r>
                        <w:rPr>
                          <w:sz w:val="18"/>
                        </w:rPr>
                        <w:t xml:space="preserve"> o centros de innovación y tecnología) puede contribuir a </w:t>
                      </w:r>
                      <w:r>
                        <w:rPr>
                          <w:b/>
                          <w:sz w:val="18"/>
                        </w:rPr>
                        <w:t>la consolidación de un entorno propicio para la innovación</w:t>
                      </w:r>
                      <w:r>
                        <w:rPr>
                          <w:sz w:val="18"/>
                        </w:rPr>
                        <w:t>. Por ejemplo, llevar a cabo un proyecto de investigación colectiva puede producir un resultado que puede influir en la legislación (por ejemplo, legislación medioambiental).</w:t>
                      </w:r>
                    </w:p>
                    <w:p w:rsidR="008D2E0D" w:rsidRPr="00A66F3C" w:rsidRDefault="008D2E0D" w:rsidP="00A66F3C">
                      <w:pPr>
                        <w:pStyle w:val="Hlistbullet"/>
                        <w:rPr>
                          <w:sz w:val="18"/>
                          <w:szCs w:val="18"/>
                        </w:rPr>
                      </w:pPr>
                      <w:r>
                        <w:rPr>
                          <w:sz w:val="18"/>
                        </w:rPr>
                        <w:t xml:space="preserve">La creación y el funcionamiento de los </w:t>
                      </w:r>
                      <w:proofErr w:type="spellStart"/>
                      <w:r>
                        <w:rPr>
                          <w:sz w:val="18"/>
                        </w:rPr>
                        <w:t>GO</w:t>
                      </w:r>
                      <w:proofErr w:type="spellEnd"/>
                      <w:r>
                        <w:rPr>
                          <w:sz w:val="18"/>
                        </w:rPr>
                        <w:t xml:space="preserve"> pueden aportar un enfoque aún más holístico para apoyar la innovación mediante la combinación de las </w:t>
                      </w:r>
                      <w:r>
                        <w:rPr>
                          <w:b/>
                          <w:sz w:val="18"/>
                        </w:rPr>
                        <w:t>tres vías</w:t>
                      </w:r>
                      <w:r>
                        <w:rPr>
                          <w:sz w:val="18"/>
                        </w:rPr>
                        <w:t xml:space="preserve">: la identificación de nuevas ideas (el punto de partida para los </w:t>
                      </w:r>
                      <w:proofErr w:type="spellStart"/>
                      <w:r>
                        <w:rPr>
                          <w:sz w:val="18"/>
                        </w:rPr>
                        <w:t>GO</w:t>
                      </w:r>
                      <w:proofErr w:type="spellEnd"/>
                      <w:r>
                        <w:rPr>
                          <w:sz w:val="18"/>
                        </w:rPr>
                        <w:t xml:space="preserve">), la consolidación de la capacidad para innovar (el respaldo de asesores/servicios de apoyo a la innovación) y la creación de un entorno propicio para la innovación (los resultados de los proyectos de los </w:t>
                      </w:r>
                      <w:proofErr w:type="spellStart"/>
                      <w:r>
                        <w:rPr>
                          <w:sz w:val="18"/>
                        </w:rPr>
                        <w:t>GO</w:t>
                      </w:r>
                      <w:proofErr w:type="spellEnd"/>
                      <w:r>
                        <w:rPr>
                          <w:sz w:val="18"/>
                        </w:rPr>
                        <w:t>).</w:t>
                      </w:r>
                    </w:p>
                    <w:p w:rsidR="008D2E0D" w:rsidRPr="00A66F3C" w:rsidRDefault="008D2E0D" w:rsidP="00C3334D">
                      <w:pPr>
                        <w:pStyle w:val="Normal12PTcouleurgris"/>
                        <w:ind w:left="284"/>
                        <w:rPr>
                          <w:color w:val="F07E31"/>
                          <w:sz w:val="18"/>
                        </w:rPr>
                      </w:pPr>
                      <w:r>
                        <w:rPr>
                          <w:b/>
                          <w:color w:val="F07E31"/>
                          <w:sz w:val="18"/>
                        </w:rPr>
                        <w:t xml:space="preserve">Ejemplos de cómo </w:t>
                      </w:r>
                      <w:proofErr w:type="spellStart"/>
                      <w:r>
                        <w:rPr>
                          <w:b/>
                          <w:color w:val="F07E31"/>
                          <w:sz w:val="18"/>
                        </w:rPr>
                        <w:t>M19</w:t>
                      </w:r>
                      <w:proofErr w:type="spellEnd"/>
                      <w:r>
                        <w:rPr>
                          <w:b/>
                          <w:color w:val="F07E31"/>
                          <w:sz w:val="18"/>
                        </w:rPr>
                        <w:t xml:space="preserve"> apoya la innovación:</w:t>
                      </w:r>
                    </w:p>
                    <w:p w:rsidR="008D2E0D" w:rsidRPr="00A66F3C" w:rsidRDefault="008D2E0D" w:rsidP="00A66F3C">
                      <w:pPr>
                        <w:pStyle w:val="Hlistbullet"/>
                        <w:rPr>
                          <w:sz w:val="18"/>
                          <w:szCs w:val="18"/>
                        </w:rPr>
                      </w:pPr>
                      <w:r>
                        <w:rPr>
                          <w:sz w:val="18"/>
                        </w:rPr>
                        <w:t xml:space="preserve">Aplicando nuevos métodos de concepción de la estrategia, incluidas diversas formas únicas de garantizar la participación de la población local en las decisiones estratégicas (por ejemplo, diversas actividades de animación relacionadas con la recogida de información, diversos seminarios y foros de debate, etc.) y contribuir de este modo </w:t>
                      </w:r>
                      <w:r>
                        <w:rPr>
                          <w:b/>
                          <w:sz w:val="18"/>
                        </w:rPr>
                        <w:t>al entorno propicio para la innovación (vía 3)</w:t>
                      </w:r>
                      <w:r>
                        <w:rPr>
                          <w:sz w:val="18"/>
                        </w:rPr>
                        <w:t>.</w:t>
                      </w:r>
                    </w:p>
                    <w:p w:rsidR="008D2E0D" w:rsidRPr="00A66F3C" w:rsidRDefault="008D2E0D" w:rsidP="00A66F3C">
                      <w:pPr>
                        <w:pStyle w:val="Hlistbullet"/>
                        <w:rPr>
                          <w:sz w:val="18"/>
                          <w:szCs w:val="18"/>
                        </w:rPr>
                      </w:pPr>
                      <w:r>
                        <w:rPr>
                          <w:sz w:val="18"/>
                        </w:rPr>
                        <w:t xml:space="preserve">Poniendo en marcha actividades de animación innovadoras, que vayan más allá de la concepción y ejecución de la estrategia y garanticen la participación de la población en general en varias acciones innovadoras del GAL (por ejemplo, centradas en la construcción de una fuerte identidad territorial a través de, por ejemplo, el patrimonio natural y cultural circundante) que presten un apoyo complementario al </w:t>
                      </w:r>
                      <w:r>
                        <w:rPr>
                          <w:b/>
                          <w:sz w:val="18"/>
                        </w:rPr>
                        <w:t>entorno propicio e impulsen posibles ideas innovadoras (vías 3 y 1)</w:t>
                      </w:r>
                      <w:r>
                        <w:rPr>
                          <w:sz w:val="18"/>
                        </w:rPr>
                        <w:t>.</w:t>
                      </w:r>
                    </w:p>
                    <w:p w:rsidR="008D2E0D" w:rsidRPr="00A66F3C" w:rsidRDefault="008D2E0D" w:rsidP="00A66F3C">
                      <w:pPr>
                        <w:pStyle w:val="Hlistbullet"/>
                        <w:rPr>
                          <w:sz w:val="18"/>
                          <w:szCs w:val="18"/>
                        </w:rPr>
                      </w:pPr>
                      <w:r>
                        <w:rPr>
                          <w:sz w:val="18"/>
                        </w:rPr>
                        <w:t xml:space="preserve">Iniciando proyectos de cooperación innovadores, que tengan en cuenta la transferencia de nuevos conocimientos, experiencias y tecnologías en el territorio del GAL y ofrezcan un espacio </w:t>
                      </w:r>
                      <w:r>
                        <w:rPr>
                          <w:b/>
                          <w:sz w:val="18"/>
                        </w:rPr>
                        <w:t>para impulsar ideas potencialmente innovadoras (vía 1)</w:t>
                      </w:r>
                      <w:r>
                        <w:rPr>
                          <w:sz w:val="18"/>
                        </w:rPr>
                        <w:t>.</w:t>
                      </w:r>
                    </w:p>
                  </w:txbxContent>
                </v:textbox>
                <w10:wrap type="tight"/>
              </v:shape>
            </w:pict>
          </mc:Fallback>
        </mc:AlternateContent>
      </w:r>
      <w:r w:rsidR="00C3092C" w:rsidRPr="009E6414">
        <w:rPr>
          <w:rStyle w:val="FootnoteReference"/>
          <w:b/>
          <w:noProof/>
          <w:color w:val="FFFFFF" w:themeColor="background1"/>
          <w:shd w:val="clear" w:color="auto" w:fill="FFFFFF"/>
          <w:lang w:val="es-ES_tradnl"/>
        </w:rPr>
        <w:footnoteReference w:id="51"/>
      </w:r>
    </w:p>
    <w:p w:rsidR="00863DB0" w:rsidRPr="009E6414" w:rsidRDefault="00863DB0">
      <w:pPr>
        <w:jc w:val="left"/>
        <w:rPr>
          <w:rFonts w:eastAsia="Calibri" w:cs="Times New Roman"/>
          <w:b/>
          <w:noProof/>
          <w:color w:val="57825E"/>
          <w:szCs w:val="20"/>
          <w:shd w:val="clear" w:color="auto" w:fill="FFFFFF"/>
          <w:lang w:val="es-ES_tradnl"/>
        </w:rPr>
      </w:pPr>
      <w:r w:rsidRPr="009E6414">
        <w:rPr>
          <w:noProof/>
          <w:lang w:val="es-ES_tradnl"/>
        </w:rPr>
        <w:br w:type="page"/>
      </w:r>
    </w:p>
    <w:p w:rsidR="00A45935" w:rsidRPr="009E6414" w:rsidRDefault="00A45935" w:rsidP="00A66F3C">
      <w:pPr>
        <w:spacing w:after="120" w:line="280" w:lineRule="atLeast"/>
        <w:mirrorIndents/>
        <w:rPr>
          <w:rFonts w:eastAsia="Calibri" w:cs="Times New Roman"/>
          <w:b/>
          <w:noProof/>
          <w:color w:val="57825E"/>
          <w:szCs w:val="20"/>
          <w:shd w:val="clear" w:color="auto" w:fill="FFFFFF"/>
          <w:lang w:val="es-ES_tradnl"/>
        </w:rPr>
      </w:pPr>
      <w:r w:rsidRPr="009E6414">
        <w:rPr>
          <w:b/>
          <w:noProof/>
          <w:color w:val="57825E"/>
          <w:shd w:val="clear" w:color="auto" w:fill="FFFFFF"/>
          <w:lang w:val="es-ES_tradnl"/>
        </w:rPr>
        <w:lastRenderedPageBreak/>
        <w:t xml:space="preserve">Retos específicos </w:t>
      </w:r>
    </w:p>
    <w:p w:rsidR="00A45935" w:rsidRPr="009E6414" w:rsidRDefault="00A45935" w:rsidP="00A66F3C">
      <w:pPr>
        <w:pStyle w:val="Hlistbullet"/>
        <w:rPr>
          <w:noProof/>
          <w:lang w:val="es-ES_tradnl"/>
        </w:rPr>
      </w:pPr>
      <w:r w:rsidRPr="009E6414">
        <w:rPr>
          <w:b/>
          <w:noProof/>
          <w:lang w:val="es-ES_tradnl"/>
        </w:rPr>
        <w:t>Elaborar elementos de evaluación complementarios y específicos del programa</w:t>
      </w:r>
      <w:r w:rsidRPr="009E6414">
        <w:rPr>
          <w:noProof/>
          <w:lang w:val="es-ES_tradnl"/>
        </w:rPr>
        <w:t xml:space="preserve">: La PCE n.º 1 está vinculada a un indicador común de objetivos (T1) que puede no ser suficiente para responder a la PCE y, por lo tanto, puede necesitar ir acompañado de indicadores complementarios para medir el gasto relacionado con la innovación de las medidas pertinentes. Al mismo tiempo, para responder a la PCE n.º 1 pueden utilizarse dos indicadores comunes de productividad (O13 Número de beneficiarios asesorados y O16 Número de operaciones de la AEI). En función de la lógica de intervención específica pueden necesitarse más elementos de evaluación para valorar todos los aspectos relacionados con la innovación. </w:t>
      </w:r>
    </w:p>
    <w:p w:rsidR="00A45935" w:rsidRPr="009E6414" w:rsidRDefault="00A45935" w:rsidP="00A66F3C">
      <w:pPr>
        <w:pStyle w:val="Hlistbullet"/>
        <w:rPr>
          <w:rFonts w:eastAsia="Calibri"/>
          <w:noProof/>
          <w:shd w:val="clear" w:color="auto" w:fill="FFFFFF"/>
          <w:lang w:val="es-ES_tradnl"/>
        </w:rPr>
      </w:pPr>
      <w:r w:rsidRPr="009E6414">
        <w:rPr>
          <w:b/>
          <w:noProof/>
          <w:shd w:val="clear" w:color="auto" w:fill="FFFFFF"/>
          <w:lang w:val="es-ES_tradnl"/>
        </w:rPr>
        <w:t>Atribuir los cambios observados</w:t>
      </w:r>
      <w:r w:rsidRPr="009E6414">
        <w:rPr>
          <w:noProof/>
          <w:lang w:val="es-ES_tradnl"/>
        </w:rPr>
        <w:t xml:space="preserve"> con respecto al apoyo a la innovación a las </w:t>
      </w:r>
      <w:r w:rsidRPr="009E6414">
        <w:rPr>
          <w:b/>
          <w:noProof/>
          <w:shd w:val="clear" w:color="auto" w:fill="FFFFFF"/>
          <w:lang w:val="es-ES_tradnl"/>
        </w:rPr>
        <w:t>medidas</w:t>
      </w:r>
      <w:r w:rsidRPr="009E6414">
        <w:rPr>
          <w:noProof/>
          <w:lang w:val="es-ES_tradnl"/>
        </w:rPr>
        <w:t xml:space="preserve"> M1, M2, M16 y M19.</w:t>
      </w:r>
    </w:p>
    <w:p w:rsidR="00A45935" w:rsidRPr="009E6414" w:rsidRDefault="00A45935" w:rsidP="00A66F3C">
      <w:pPr>
        <w:pStyle w:val="Hlistbullet"/>
        <w:rPr>
          <w:rFonts w:eastAsia="Calibri"/>
          <w:noProof/>
          <w:shd w:val="clear" w:color="auto" w:fill="FFFFFF"/>
          <w:lang w:val="es-ES_tradnl"/>
        </w:rPr>
      </w:pPr>
      <w:r w:rsidRPr="009E6414">
        <w:rPr>
          <w:b/>
          <w:noProof/>
          <w:shd w:val="clear" w:color="auto" w:fill="FFFFFF"/>
          <w:lang w:val="es-ES_tradnl"/>
        </w:rPr>
        <w:t>Captar las contribuciones de las medidas programadas en el marco de otros AI</w:t>
      </w:r>
      <w:r w:rsidRPr="009E6414">
        <w:rPr>
          <w:noProof/>
          <w:lang w:val="es-ES_tradnl"/>
        </w:rPr>
        <w:t xml:space="preserve"> (excepto el AI 1B) para apoyar la innovación. </w:t>
      </w:r>
    </w:p>
    <w:p w:rsidR="00A45935" w:rsidRPr="009E6414" w:rsidRDefault="00A45935" w:rsidP="00E05D08">
      <w:pPr>
        <w:keepNext/>
        <w:keepLines/>
        <w:tabs>
          <w:tab w:val="left" w:pos="680"/>
        </w:tabs>
        <w:spacing w:before="240" w:after="240" w:line="280" w:lineRule="atLeast"/>
        <w:mirrorIndents/>
        <w:outlineLvl w:val="3"/>
        <w:rPr>
          <w:rFonts w:eastAsia="Calibri" w:cs="Times New Roman"/>
          <w:b/>
          <w:noProof/>
          <w:color w:val="57825E"/>
          <w:szCs w:val="20"/>
          <w:shd w:val="clear" w:color="auto" w:fill="FFFFFF"/>
          <w:lang w:val="es-ES_tradnl"/>
        </w:rPr>
      </w:pPr>
      <w:r w:rsidRPr="009E6414">
        <w:rPr>
          <w:b/>
          <w:noProof/>
          <w:color w:val="57825E"/>
          <w:shd w:val="clear" w:color="auto" w:fill="FFFFFF"/>
          <w:lang w:val="es-ES_tradnl"/>
        </w:rPr>
        <w:t>Planteamiento propuesto para responder a la PCE n.º 1</w:t>
      </w:r>
    </w:p>
    <w:p w:rsidR="00A45935" w:rsidRPr="009E6414" w:rsidRDefault="00A45935" w:rsidP="00582F60">
      <w:pPr>
        <w:numPr>
          <w:ilvl w:val="0"/>
          <w:numId w:val="55"/>
        </w:numPr>
        <w:spacing w:before="120" w:after="120" w:line="280" w:lineRule="atLeast"/>
        <w:ind w:left="567" w:hanging="567"/>
        <w:mirrorIndents/>
        <w:rPr>
          <w:rFonts w:eastAsia="Times New Roman" w:cs="Times New Roman"/>
          <w:b/>
          <w:noProof/>
          <w:szCs w:val="20"/>
          <w:lang w:val="es-ES_tradnl"/>
        </w:rPr>
      </w:pPr>
      <w:r w:rsidRPr="009E6414">
        <w:rPr>
          <w:b/>
          <w:noProof/>
          <w:lang w:val="es-ES_tradnl"/>
        </w:rPr>
        <w:t xml:space="preserve">Lógica de intervención </w:t>
      </w:r>
    </w:p>
    <w:p w:rsidR="00863DB0" w:rsidRPr="009E6414" w:rsidRDefault="00A45935" w:rsidP="00A66F3C">
      <w:pPr>
        <w:spacing w:after="120" w:line="280" w:lineRule="atLeast"/>
        <w:mirrorIndents/>
        <w:rPr>
          <w:rFonts w:eastAsia="Times New Roman" w:cs="Times New Roman"/>
          <w:noProof/>
          <w:szCs w:val="20"/>
          <w:lang w:val="es-ES_tradnl"/>
        </w:rPr>
      </w:pPr>
      <w:r w:rsidRPr="009E6414">
        <w:rPr>
          <w:noProof/>
          <w:lang w:val="es-ES_tradnl"/>
        </w:rPr>
        <w:t xml:space="preserve">La lógica de intervención vinculada a la PCE n.º 1 también puede replantearse desde el punto de vista de la innovación. Esto puede hacerse a partir de los resultados del examen del potencial de innovación (véase el </w:t>
      </w:r>
      <w:hyperlink w:anchor="Screening_Potential" w:history="1">
        <w:r w:rsidRPr="009E6414">
          <w:rPr>
            <w:rStyle w:val="Hyperlink"/>
            <w:noProof/>
            <w:sz w:val="20"/>
            <w:lang w:val="es-ES_tradnl"/>
          </w:rPr>
          <w:t>capítulo 2.2</w:t>
        </w:r>
      </w:hyperlink>
      <w:r w:rsidRPr="009E6414">
        <w:rPr>
          <w:noProof/>
          <w:lang w:val="es-ES_tradnl"/>
        </w:rPr>
        <w:t xml:space="preserve">) de las medidas M1, M2, M16 y M19 que normalmente están programadas en el marco de otros AI, excepto el AI 1A, en combinación con otras medidas. Esto ayudará a captar los logros del programa con respecto a los objetivos del AI 1A e identificar qué beneficiarios y partes interesadas del PDR pueden ser provedores de datos y de información. </w:t>
      </w:r>
    </w:p>
    <w:p w:rsidR="00A45935" w:rsidRPr="009E6414" w:rsidRDefault="00DD247A" w:rsidP="00A66F3C">
      <w:pPr>
        <w:pStyle w:val="HHeadingfigures"/>
      </w:pPr>
      <w:bookmarkStart w:id="21" w:name="_Toc508707935"/>
      <w:r w:rsidRPr="009E6414">
        <w:t>Ejemplo de una lógica de intervención vinculada a la PCE n.º 1</w:t>
      </w:r>
      <w:bookmarkEnd w:id="21"/>
      <w:r w:rsidRPr="009E6414">
        <w:t xml:space="preserve"> </w:t>
      </w:r>
    </w:p>
    <w:p w:rsidR="007D2A0C" w:rsidRPr="009E6414" w:rsidRDefault="006172D0" w:rsidP="00690E70">
      <w:pPr>
        <w:spacing w:after="120" w:line="280" w:lineRule="atLeast"/>
        <w:mirrorIndents/>
        <w:jc w:val="center"/>
        <w:rPr>
          <w:rFonts w:eastAsia="Times New Roman" w:cs="Times New Roman"/>
          <w:i/>
          <w:noProof/>
          <w:sz w:val="16"/>
          <w:szCs w:val="16"/>
          <w:lang w:val="es-ES_tradnl"/>
        </w:rPr>
      </w:pPr>
      <w:r w:rsidRPr="006172D0">
        <w:rPr>
          <w:noProof/>
          <w:lang w:val="en-GB" w:eastAsia="en-GB" w:bidi="ar-SA"/>
        </w:rPr>
        <w:drawing>
          <wp:inline distT="0" distB="0" distL="0" distR="0">
            <wp:extent cx="5334000" cy="323695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000" cy="3236959"/>
                    </a:xfrm>
                    <a:prstGeom prst="rect">
                      <a:avLst/>
                    </a:prstGeom>
                    <a:noFill/>
                    <a:ln>
                      <a:noFill/>
                    </a:ln>
                  </pic:spPr>
                </pic:pic>
              </a:graphicData>
            </a:graphic>
          </wp:inline>
        </w:drawing>
      </w:r>
    </w:p>
    <w:p w:rsidR="00A45935" w:rsidRPr="009E6414" w:rsidRDefault="007D2A0C" w:rsidP="00690E70">
      <w:pPr>
        <w:spacing w:after="120" w:line="280" w:lineRule="atLeast"/>
        <w:mirrorIndents/>
        <w:jc w:val="center"/>
        <w:rPr>
          <w:rFonts w:eastAsia="Times New Roman" w:cs="Times New Roman"/>
          <w:i/>
          <w:noProof/>
          <w:sz w:val="16"/>
          <w:szCs w:val="20"/>
          <w:lang w:val="es-ES_tradnl"/>
        </w:rPr>
        <w:sectPr w:rsidR="00A45935" w:rsidRPr="009E6414" w:rsidSect="001F6F07">
          <w:endnotePr>
            <w:numFmt w:val="decimal"/>
          </w:endnotePr>
          <w:type w:val="continuous"/>
          <w:pgSz w:w="11906" w:h="16838" w:code="9"/>
          <w:pgMar w:top="1440" w:right="1440" w:bottom="1134" w:left="1440" w:header="567" w:footer="1021" w:gutter="0"/>
          <w:cols w:space="708"/>
          <w:noEndnote/>
          <w:docGrid w:linePitch="360"/>
        </w:sectPr>
      </w:pPr>
      <w:r w:rsidRPr="009E6414">
        <w:rPr>
          <w:rFonts w:eastAsia="Times New Roman" w:cs="Times New Roman"/>
          <w:i/>
          <w:noProof/>
          <w:sz w:val="18"/>
          <w:szCs w:val="24"/>
          <w:lang w:val="en-GB" w:eastAsia="en-GB" w:bidi="ar-SA"/>
        </w:rPr>
        <w:lastRenderedPageBreak/>
        <mc:AlternateContent>
          <mc:Choice Requires="wps">
            <w:drawing>
              <wp:anchor distT="0" distB="0" distL="114300" distR="114300" simplePos="0" relativeHeight="251667968" behindDoc="0" locked="0" layoutInCell="1" allowOverlap="1" wp14:anchorId="2BB8CBFE" wp14:editId="6B76A9EF">
                <wp:simplePos x="0" y="0"/>
                <wp:positionH relativeFrom="column">
                  <wp:posOffset>0</wp:posOffset>
                </wp:positionH>
                <wp:positionV relativeFrom="paragraph">
                  <wp:posOffset>304165</wp:posOffset>
                </wp:positionV>
                <wp:extent cx="5732780" cy="1914525"/>
                <wp:effectExtent l="0" t="0" r="20320" b="28575"/>
                <wp:wrapSquare wrapText="bothSides"/>
                <wp:docPr id="23" name="Rectangle: Diagonal Corners Rounded 23"/>
                <wp:cNvGraphicFramePr/>
                <a:graphic xmlns:a="http://schemas.openxmlformats.org/drawingml/2006/main">
                  <a:graphicData uri="http://schemas.microsoft.com/office/word/2010/wordprocessingShape">
                    <wps:wsp>
                      <wps:cNvSpPr/>
                      <wps:spPr>
                        <a:xfrm>
                          <a:off x="0" y="0"/>
                          <a:ext cx="5732780" cy="1914525"/>
                        </a:xfrm>
                        <a:prstGeom prst="round2DiagRect">
                          <a:avLst>
                            <a:gd name="adj1" fmla="val 11556"/>
                            <a:gd name="adj2" fmla="val 0"/>
                          </a:avLst>
                        </a:prstGeom>
                        <a:noFill/>
                        <a:ln w="25400" cap="flat" cmpd="sng" algn="ctr">
                          <a:solidFill>
                            <a:srgbClr val="F07E31"/>
                          </a:solidFill>
                          <a:prstDash val="solid"/>
                        </a:ln>
                        <a:effectLst/>
                      </wps:spPr>
                      <wps:txbx>
                        <w:txbxContent>
                          <w:p w:rsidR="008D2E0D" w:rsidRPr="00D33212" w:rsidRDefault="008D2E0D" w:rsidP="00863DB0">
                            <w:pPr>
                              <w:pStyle w:val="H-Standard"/>
                            </w:pPr>
                            <w:r>
                              <w:rPr>
                                <w:noProof/>
                                <w:lang w:val="en-GB" w:eastAsia="en-GB" w:bidi="ar-SA"/>
                              </w:rPr>
                              <w:drawing>
                                <wp:inline distT="0" distB="0" distL="0" distR="0" wp14:anchorId="52CAA20C" wp14:editId="42B78D3C">
                                  <wp:extent cx="353060" cy="359410"/>
                                  <wp:effectExtent l="0" t="0" r="8890" b="2540"/>
                                  <wp:docPr id="60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En este ejemplo, se ha determinado que la </w:t>
                            </w:r>
                            <w:proofErr w:type="spellStart"/>
                            <w:r>
                              <w:t>submedida</w:t>
                            </w:r>
                            <w:proofErr w:type="spellEnd"/>
                            <w:r>
                              <w:t xml:space="preserve"> </w:t>
                            </w:r>
                            <w:proofErr w:type="spellStart"/>
                            <w:r>
                              <w:t>M1</w:t>
                            </w:r>
                            <w:proofErr w:type="spellEnd"/>
                            <w:r>
                              <w:t xml:space="preserve"> «Formación y adquisición de competencias» y la </w:t>
                            </w:r>
                            <w:proofErr w:type="spellStart"/>
                            <w:r>
                              <w:t>submedida</w:t>
                            </w:r>
                            <w:proofErr w:type="spellEnd"/>
                            <w:r>
                              <w:t xml:space="preserve"> </w:t>
                            </w:r>
                            <w:proofErr w:type="spellStart"/>
                            <w:r>
                              <w:t>M2</w:t>
                            </w:r>
                            <w:proofErr w:type="spellEnd"/>
                            <w:r>
                              <w:t xml:space="preserve"> «Formación de asesores» tienen potencial para fomentar la innovación a través del refuerzo de las capacidades para innovar. La combinación de las medidas 16.7 y 16.8 tiene potencial para apoyar la innovación a través del impulso de ideas innovadoras, mientras que la medida 16.1 tiene potencial para apoyar la innovación a través de las tres vías. La </w:t>
                            </w:r>
                            <w:proofErr w:type="spellStart"/>
                            <w:r>
                              <w:t>submedida</w:t>
                            </w:r>
                            <w:proofErr w:type="spellEnd"/>
                            <w:r>
                              <w:t xml:space="preserve"> 19.2, que apoya estrategias de DLP contribuye al entorno propicio. La </w:t>
                            </w:r>
                            <w:proofErr w:type="spellStart"/>
                            <w:r>
                              <w:t>submedida</w:t>
                            </w:r>
                            <w:proofErr w:type="spellEnd"/>
                            <w:r>
                              <w:t xml:space="preserve"> de cooperación de Leader (</w:t>
                            </w:r>
                            <w:proofErr w:type="spellStart"/>
                            <w:r>
                              <w:t>M19.3</w:t>
                            </w:r>
                            <w:proofErr w:type="spellEnd"/>
                            <w:r>
                              <w:t>) ayuda a impulsar ideas innovadoras de forma colaborativa y refuerza las capacidades para innovar.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8CBFE" id="Rectangle: Diagonal Corners Rounded 23" o:spid="_x0000_s1043" style="position:absolute;left:0;text-align:left;margin-left:0;margin-top:23.95pt;width:451.4pt;height:150.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2780,1914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" adj="-11796480,,5400" path="m221243,l5732780,r,l5732780,1693282v,122189,-99054,221243,-221243,221243l,1914525r,l,221243c,99054,99054,,221243,xe" filled="f" strokecolor="#f07e31" strokeweight="2pt">
                <v:stroke joinstyle="miter"/>
                <v:formulas/>
                <v:path arrowok="t" o:connecttype="custom" o:connectlocs="221243,0;5732780,0;5732780,0;5732780,1693282;5511537,1914525;0,1914525;0,1914525;0,221243;221243,0" o:connectangles="0,0,0,0,0,0,0,0,0" textboxrect="0,0,5732780,1914525"/>
                <v:textbox>
                  <w:txbxContent>
                    <w:p w:rsidR="008D2E0D" w:rsidRPr="00D33212" w:rsidRDefault="008D2E0D" w:rsidP="00863DB0">
                      <w:pPr>
                        <w:pStyle w:val="H-Standard"/>
                      </w:pPr>
                      <w:r>
                        <w:rPr>
                          <w:noProof/>
                          <w:lang w:val="en-GB" w:eastAsia="en-GB" w:bidi="ar-SA"/>
                        </w:rPr>
                        <w:drawing>
                          <wp:inline distT="0" distB="0" distL="0" distR="0" wp14:anchorId="52CAA20C" wp14:editId="42B78D3C">
                            <wp:extent cx="353060" cy="359410"/>
                            <wp:effectExtent l="0" t="0" r="8890" b="2540"/>
                            <wp:docPr id="60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En este ejemplo, se ha determinado que la </w:t>
                      </w:r>
                      <w:proofErr w:type="spellStart"/>
                      <w:r>
                        <w:t>submedida</w:t>
                      </w:r>
                      <w:proofErr w:type="spellEnd"/>
                      <w:r>
                        <w:t xml:space="preserve"> </w:t>
                      </w:r>
                      <w:proofErr w:type="spellStart"/>
                      <w:r>
                        <w:t>M1</w:t>
                      </w:r>
                      <w:proofErr w:type="spellEnd"/>
                      <w:r>
                        <w:t xml:space="preserve"> «Formación y adquisición de competencias» y la </w:t>
                      </w:r>
                      <w:proofErr w:type="spellStart"/>
                      <w:r>
                        <w:t>submedida</w:t>
                      </w:r>
                      <w:proofErr w:type="spellEnd"/>
                      <w:r>
                        <w:t xml:space="preserve"> </w:t>
                      </w:r>
                      <w:proofErr w:type="spellStart"/>
                      <w:r>
                        <w:t>M2</w:t>
                      </w:r>
                      <w:proofErr w:type="spellEnd"/>
                      <w:r>
                        <w:t xml:space="preserve"> «Formación de asesores» tienen potencial para fomentar la innovación a través del refuerzo de las capacidades para innovar. La combinación de las medidas 16.7 y 16.8 tiene potencial para apoyar la innovación a través del impulso de ideas innovadoras, mientras que la medida 16.1 tiene potencial para apoyar la innovación a través de las tres vías. La </w:t>
                      </w:r>
                      <w:proofErr w:type="spellStart"/>
                      <w:r>
                        <w:t>submedida</w:t>
                      </w:r>
                      <w:proofErr w:type="spellEnd"/>
                      <w:r>
                        <w:t xml:space="preserve"> 19.2, que apoya estrategias de DLP contribuye al entorno propicio. La </w:t>
                      </w:r>
                      <w:proofErr w:type="spellStart"/>
                      <w:r>
                        <w:t>submedida</w:t>
                      </w:r>
                      <w:proofErr w:type="spellEnd"/>
                      <w:r>
                        <w:t xml:space="preserve"> de cooperación de Leader (</w:t>
                      </w:r>
                      <w:proofErr w:type="spellStart"/>
                      <w:r>
                        <w:t>M19.3</w:t>
                      </w:r>
                      <w:proofErr w:type="spellEnd"/>
                      <w:r>
                        <w:t>) ayuda a impulsar ideas innovadoras de forma colaborativa y refuerza las capacidades para innovar.</w:t>
                      </w:r>
                    </w:p>
                  </w:txbxContent>
                </v:textbox>
                <w10:wrap type="square"/>
              </v:shape>
            </w:pict>
          </mc:Fallback>
        </mc:AlternateContent>
      </w:r>
      <w:r w:rsidRPr="009E6414">
        <w:rPr>
          <w:i/>
          <w:noProof/>
          <w:lang w:val="es-ES_tradnl"/>
        </w:rPr>
        <w:t>Fuente:</w:t>
      </w:r>
      <w:r w:rsidRPr="009E6414">
        <w:rPr>
          <w:i/>
          <w:noProof/>
          <w:sz w:val="16"/>
          <w:lang w:val="es-ES_tradnl"/>
        </w:rPr>
        <w:t xml:space="preserve"> Servicio de asistencia de evaluación europeo para el desarrollo rural, 2017</w:t>
      </w:r>
    </w:p>
    <w:p w:rsidR="00A45935" w:rsidRPr="009E6414" w:rsidRDefault="00A45935" w:rsidP="008C0B17">
      <w:pPr>
        <w:numPr>
          <w:ilvl w:val="0"/>
          <w:numId w:val="55"/>
        </w:numPr>
        <w:spacing w:before="120" w:after="120" w:line="280" w:lineRule="atLeast"/>
        <w:ind w:left="567" w:hanging="567"/>
        <w:mirrorIndents/>
        <w:rPr>
          <w:rFonts w:eastAsia="Times New Roman" w:cs="Times New Roman"/>
          <w:b/>
          <w:noProof/>
          <w:szCs w:val="20"/>
          <w:lang w:val="es-ES_tradnl"/>
        </w:rPr>
      </w:pPr>
      <w:r w:rsidRPr="009E6414">
        <w:rPr>
          <w:b/>
          <w:noProof/>
          <w:lang w:val="es-ES_tradnl"/>
        </w:rPr>
        <w:t xml:space="preserve">Elementos de evaluación </w:t>
      </w:r>
    </w:p>
    <w:p w:rsidR="00A45935" w:rsidRPr="009E6414" w:rsidRDefault="00734B11" w:rsidP="00E05D08">
      <w:pPr>
        <w:spacing w:before="120" w:after="120" w:line="280" w:lineRule="atLeast"/>
        <w:mirrorIndents/>
        <w:rPr>
          <w:rFonts w:eastAsia="Times New Roman" w:cs="Times New Roman"/>
          <w:noProof/>
          <w:szCs w:val="20"/>
          <w:lang w:val="es-ES_tradnl"/>
        </w:rPr>
      </w:pPr>
      <w:r w:rsidRPr="009E6414">
        <w:rPr>
          <w:noProof/>
          <w:lang w:val="es-ES_tradnl"/>
        </w:rPr>
        <w:t xml:space="preserve">Los criterios de valoración e indicadores comunes para la PCE n.º 1 se mantienen al nivel de los resultados de ls operaciones en el marco de las medidas 1, 2, 16 y 19. Con el fin de evaluar los resultados de estas medidas (véase el </w:t>
      </w:r>
      <w:hyperlink w:anchor="Evaluation_elements" w:history="1">
        <w:r w:rsidRPr="009E6414">
          <w:rPr>
            <w:rStyle w:val="Hyperlink"/>
            <w:noProof/>
            <w:sz w:val="20"/>
            <w:lang w:val="es-ES_tradnl"/>
          </w:rPr>
          <w:t>cuadro 1</w:t>
        </w:r>
      </w:hyperlink>
      <w:r w:rsidRPr="009E6414">
        <w:rPr>
          <w:noProof/>
          <w:lang w:val="es-ES_tradnl"/>
        </w:rPr>
        <w:t>) puede ser preciso elaborar criterios de valoración e indicadores complementarios.</w:t>
      </w:r>
    </w:p>
    <w:p w:rsidR="00863DB0" w:rsidRPr="009E6414" w:rsidRDefault="00863DB0" w:rsidP="00E05D08">
      <w:pPr>
        <w:spacing w:before="120" w:after="120" w:line="280" w:lineRule="atLeast"/>
        <w:mirrorIndents/>
        <w:rPr>
          <w:rFonts w:eastAsia="Times New Roman" w:cs="Times New Roman"/>
          <w:noProof/>
          <w:szCs w:val="20"/>
          <w:lang w:val="es-ES_tradnl"/>
        </w:rPr>
      </w:pPr>
    </w:p>
    <w:p w:rsidR="00A45935" w:rsidRPr="009E6414" w:rsidRDefault="00A45935" w:rsidP="00E05D08">
      <w:pPr>
        <w:numPr>
          <w:ilvl w:val="0"/>
          <w:numId w:val="9"/>
        </w:numPr>
        <w:spacing w:before="60" w:after="0" w:line="280" w:lineRule="atLeast"/>
        <w:ind w:left="0" w:firstLine="0"/>
        <w:rPr>
          <w:rFonts w:eastAsia="Times New Roman" w:cs="Arial"/>
          <w:noProof/>
          <w:szCs w:val="18"/>
          <w:lang w:val="es-ES_tradnl"/>
          <w14:textFill>
            <w14:solidFill>
              <w14:srgbClr w14:val="373737">
                <w14:lumMod w14:val="75000"/>
              </w14:srgbClr>
            </w14:solidFill>
          </w14:textFill>
        </w:rPr>
        <w:sectPr w:rsidR="00A45935" w:rsidRPr="009E6414"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9E6414" w:rsidRDefault="00A45935" w:rsidP="00A43EFD">
      <w:pPr>
        <w:pStyle w:val="HHeadingtables"/>
        <w:rPr>
          <w:noProof/>
          <w:color w:val="6F6F6F"/>
          <w:sz w:val="18"/>
          <w:szCs w:val="18"/>
          <w:lang w:val="es-ES_tradnl"/>
        </w:rPr>
      </w:pPr>
      <w:r w:rsidRPr="009E6414">
        <w:rPr>
          <w:noProof/>
          <w:color w:val="6F6F6F"/>
          <w:sz w:val="18"/>
          <w:lang w:val="es-ES_tradnl"/>
        </w:rPr>
        <w:lastRenderedPageBreak/>
        <w:t>Elementos de evaluación y fuentes de información en relación con la PCE n.º 1</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47"/>
        <w:gridCol w:w="3118"/>
        <w:gridCol w:w="2835"/>
        <w:gridCol w:w="248"/>
        <w:gridCol w:w="5508"/>
      </w:tblGrid>
      <w:tr w:rsidR="00A45935" w:rsidRPr="009E6414" w:rsidTr="00E05D08">
        <w:trPr>
          <w:tblHeader/>
        </w:trPr>
        <w:tc>
          <w:tcPr>
            <w:tcW w:w="2547" w:type="dxa"/>
            <w:shd w:val="clear" w:color="auto" w:fill="F07E31"/>
          </w:tcPr>
          <w:p w:rsidR="00A45935" w:rsidRPr="009E6414" w:rsidRDefault="00A45935" w:rsidP="00E05D08">
            <w:pPr>
              <w:spacing w:after="120" w:line="280" w:lineRule="atLeast"/>
              <w:mirrorIndents/>
              <w:jc w:val="center"/>
              <w:rPr>
                <w:rFonts w:cs="Arial"/>
                <w:b/>
                <w:noProof/>
                <w:color w:val="FFFFFF"/>
                <w:sz w:val="18"/>
                <w:szCs w:val="18"/>
                <w:lang w:val="es-ES_tradnl"/>
              </w:rPr>
            </w:pPr>
            <w:r w:rsidRPr="009E6414">
              <w:rPr>
                <w:b/>
                <w:noProof/>
                <w:color w:val="FFFFFF"/>
                <w:sz w:val="18"/>
                <w:lang w:val="es-ES_tradnl"/>
              </w:rPr>
              <w:t>Criterios de valoración</w:t>
            </w:r>
          </w:p>
        </w:tc>
        <w:tc>
          <w:tcPr>
            <w:tcW w:w="3118" w:type="dxa"/>
            <w:shd w:val="clear" w:color="auto" w:fill="F07E31"/>
          </w:tcPr>
          <w:p w:rsidR="00A45935" w:rsidRPr="009E6414" w:rsidRDefault="00A45935" w:rsidP="00E05D08">
            <w:pPr>
              <w:spacing w:after="120" w:line="280" w:lineRule="atLeast"/>
              <w:mirrorIndents/>
              <w:jc w:val="center"/>
              <w:rPr>
                <w:rFonts w:cs="Arial"/>
                <w:b/>
                <w:noProof/>
                <w:color w:val="FFFFFF"/>
                <w:sz w:val="18"/>
                <w:szCs w:val="18"/>
                <w:lang w:val="es-ES_tradnl"/>
              </w:rPr>
            </w:pPr>
            <w:r w:rsidRPr="009E6414">
              <w:rPr>
                <w:b/>
                <w:noProof/>
                <w:color w:val="FFFFFF"/>
                <w:sz w:val="18"/>
                <w:lang w:val="es-ES_tradnl"/>
              </w:rPr>
              <w:t>Indicadores</w:t>
            </w:r>
          </w:p>
        </w:tc>
        <w:tc>
          <w:tcPr>
            <w:tcW w:w="2835" w:type="dxa"/>
            <w:shd w:val="clear" w:color="auto" w:fill="F07E31"/>
          </w:tcPr>
          <w:p w:rsidR="00A45935" w:rsidRPr="009E6414" w:rsidRDefault="00A45935" w:rsidP="00E05D08">
            <w:pPr>
              <w:spacing w:after="120" w:line="280" w:lineRule="atLeast"/>
              <w:mirrorIndents/>
              <w:jc w:val="center"/>
              <w:rPr>
                <w:rFonts w:cs="Arial"/>
                <w:b/>
                <w:noProof/>
                <w:color w:val="FFFFFF"/>
                <w:sz w:val="18"/>
                <w:szCs w:val="18"/>
                <w:lang w:val="es-ES_tradnl"/>
              </w:rPr>
            </w:pPr>
            <w:r w:rsidRPr="009E6414">
              <w:rPr>
                <w:b/>
                <w:noProof/>
                <w:color w:val="FFFFFF"/>
                <w:sz w:val="18"/>
                <w:lang w:val="es-ES_tradnl"/>
              </w:rPr>
              <w:t>Datos necesarios</w:t>
            </w:r>
          </w:p>
        </w:tc>
        <w:tc>
          <w:tcPr>
            <w:tcW w:w="5756" w:type="dxa"/>
            <w:gridSpan w:val="2"/>
            <w:shd w:val="clear" w:color="auto" w:fill="F07E31"/>
          </w:tcPr>
          <w:p w:rsidR="00A45935" w:rsidRPr="009E6414" w:rsidRDefault="00A45935" w:rsidP="00E05D08">
            <w:pPr>
              <w:spacing w:after="120" w:line="280" w:lineRule="atLeast"/>
              <w:mirrorIndents/>
              <w:jc w:val="center"/>
              <w:rPr>
                <w:rFonts w:cs="Arial"/>
                <w:b/>
                <w:noProof/>
                <w:color w:val="FFFFFF"/>
                <w:sz w:val="18"/>
                <w:szCs w:val="18"/>
                <w:lang w:val="es-ES_tradnl"/>
              </w:rPr>
            </w:pPr>
            <w:r w:rsidRPr="009E6414">
              <w:rPr>
                <w:b/>
                <w:noProof/>
                <w:color w:val="FFFFFF"/>
                <w:sz w:val="18"/>
                <w:lang w:val="es-ES_tradnl"/>
              </w:rPr>
              <w:t>Fuentes de datos</w:t>
            </w:r>
          </w:p>
        </w:tc>
      </w:tr>
      <w:tr w:rsidR="00A45935" w:rsidRPr="009E6414" w:rsidTr="00E05D08">
        <w:tc>
          <w:tcPr>
            <w:tcW w:w="14256" w:type="dxa"/>
            <w:gridSpan w:val="5"/>
            <w:shd w:val="clear" w:color="auto" w:fill="8BAB80"/>
          </w:tcPr>
          <w:p w:rsidR="00A45935" w:rsidRPr="009E6414" w:rsidRDefault="00A45935" w:rsidP="00E05D08">
            <w:pPr>
              <w:spacing w:after="120" w:line="280" w:lineRule="atLeast"/>
              <w:mirrorIndents/>
              <w:rPr>
                <w:rFonts w:cs="Arial"/>
                <w:b/>
                <w:noProof/>
                <w:color w:val="FFFFFF"/>
                <w:sz w:val="18"/>
                <w:szCs w:val="18"/>
                <w:lang w:val="es-ES_tradnl"/>
              </w:rPr>
            </w:pPr>
            <w:r w:rsidRPr="009E6414">
              <w:rPr>
                <w:b/>
                <w:noProof/>
                <w:color w:val="FFFFFF"/>
                <w:sz w:val="18"/>
                <w:lang w:val="es-ES_tradnl"/>
              </w:rPr>
              <w:t>Elementos comunes de evaluación (SCSE y elementos propuestos en el documento de trabajo «</w:t>
            </w:r>
            <w:r w:rsidRPr="009E6414">
              <w:rPr>
                <w:b/>
                <w:i/>
                <w:noProof/>
                <w:color w:val="FFFFFF"/>
                <w:sz w:val="18"/>
                <w:lang w:val="es-ES_tradnl"/>
              </w:rPr>
              <w:t>Preguntas comunes de evaluación 2014-2020</w:t>
            </w:r>
            <w:r w:rsidRPr="009E6414">
              <w:rPr>
                <w:b/>
                <w:noProof/>
                <w:color w:val="FFFFFF"/>
                <w:sz w:val="18"/>
                <w:lang w:val="es-ES_tradnl"/>
              </w:rPr>
              <w:t>»)</w:t>
            </w:r>
          </w:p>
        </w:tc>
      </w:tr>
      <w:tr w:rsidR="00A45935" w:rsidRPr="009E6414" w:rsidTr="00447B72">
        <w:trPr>
          <w:trHeight w:val="1184"/>
        </w:trPr>
        <w:tc>
          <w:tcPr>
            <w:tcW w:w="2547"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Los proyectos del PDR han sido innovadores y se han basado en conocimientos desarrollados.</w:t>
            </w:r>
          </w:p>
        </w:tc>
        <w:tc>
          <w:tcPr>
            <w:tcW w:w="311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T1: porcentaje del gasto en virtud de los artículos 14, 15 y 35 del Reglamento (UE) n.º 1305/2013 en relación con el gasto total del PDR.</w:t>
            </w:r>
          </w:p>
          <w:p w:rsidR="00A45935" w:rsidRPr="009E6414" w:rsidRDefault="00A45935" w:rsidP="007E63EF">
            <w:pPr>
              <w:spacing w:after="120" w:line="280" w:lineRule="atLeast"/>
              <w:jc w:val="left"/>
              <w:rPr>
                <w:rFonts w:eastAsia="Calibri" w:cs="Arial"/>
                <w:noProof/>
                <w:color w:val="57825E"/>
                <w:sz w:val="18"/>
                <w:szCs w:val="18"/>
                <w:lang w:val="es-ES_tradnl"/>
                <w14:textFill>
                  <w14:solidFill>
                    <w14:srgbClr w14:val="57825E">
                      <w14:lumMod w14:val="75000"/>
                    </w14:srgbClr>
                  </w14:solidFill>
                </w14:textFill>
              </w:rPr>
            </w:pPr>
            <w:r w:rsidRPr="009E6414">
              <w:rPr>
                <w:noProof/>
                <w:color w:val="57825E"/>
                <w:sz w:val="18"/>
                <w:u w:val="single"/>
                <w:lang w:val="es-ES_tradnl"/>
                <w14:textFill>
                  <w14:solidFill>
                    <w14:srgbClr w14:val="57825E">
                      <w14:lumMod w14:val="75000"/>
                    </w14:srgbClr>
                  </w14:solidFill>
                </w14:textFill>
              </w:rPr>
              <w:t>Indicador complementario</w:t>
            </w:r>
            <w:r w:rsidRPr="009E6414">
              <w:rPr>
                <w:noProof/>
                <w:color w:val="57825E"/>
                <w:sz w:val="18"/>
                <w:lang w:val="es-ES_tradnl"/>
                <w14:textFill>
                  <w14:solidFill>
                    <w14:srgbClr w14:val="57825E">
                      <w14:lumMod w14:val="75000"/>
                    </w14:srgbClr>
                  </w14:solidFill>
                </w14:textFill>
              </w:rPr>
              <w:t xml:space="preserve">: porcentaje de proyectos innovadores de todos los proyectos financiados con el PDR </w:t>
            </w:r>
          </w:p>
        </w:tc>
        <w:tc>
          <w:tcPr>
            <w:tcW w:w="3083" w:type="dxa"/>
            <w:gridSpan w:val="2"/>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Datos sobre los gastos realizados para las medidas 1, 2 y 16.</w:t>
            </w:r>
          </w:p>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Siempre que sea posible, también deben recopilarse los datos sobre los gastos de las submedidas con respecto a las cuales se haya determinado su potencial para apoyar la innovación.</w:t>
            </w:r>
          </w:p>
        </w:tc>
        <w:tc>
          <w:tcPr>
            <w:tcW w:w="550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 xml:space="preserve">Sistema de seguimiento del PDR </w:t>
            </w:r>
          </w:p>
          <w:p w:rsidR="00A45935" w:rsidRPr="009E6414" w:rsidRDefault="00A45935" w:rsidP="007E63EF">
            <w:pPr>
              <w:numPr>
                <w:ilvl w:val="0"/>
                <w:numId w:val="81"/>
              </w:numPr>
              <w:suppressAutoHyphens/>
              <w:spacing w:before="40" w:after="40"/>
              <w:jc w:val="left"/>
              <w:rPr>
                <w:rFonts w:cs="Arial"/>
                <w:noProof/>
                <w:sz w:val="18"/>
                <w:szCs w:val="18"/>
                <w:lang w:val="es-ES_tradnl"/>
              </w:rPr>
            </w:pPr>
            <w:r w:rsidRPr="009E6414">
              <w:rPr>
                <w:noProof/>
                <w:sz w:val="18"/>
                <w:lang w:val="es-ES_tradnl"/>
              </w:rPr>
              <w:t>Formularios de solicitud de los beneficiarios (inicio del proyecto)</w:t>
            </w:r>
          </w:p>
          <w:p w:rsidR="00A45935" w:rsidRPr="009E6414" w:rsidRDefault="00A45935" w:rsidP="007E63EF">
            <w:pPr>
              <w:numPr>
                <w:ilvl w:val="0"/>
                <w:numId w:val="81"/>
              </w:numPr>
              <w:suppressAutoHyphens/>
              <w:spacing w:before="40" w:after="40"/>
              <w:jc w:val="left"/>
              <w:rPr>
                <w:rFonts w:cs="Arial"/>
                <w:noProof/>
                <w:sz w:val="18"/>
                <w:szCs w:val="18"/>
                <w:lang w:val="es-ES_tradnl"/>
              </w:rPr>
            </w:pPr>
            <w:r w:rsidRPr="009E6414">
              <w:rPr>
                <w:noProof/>
                <w:sz w:val="18"/>
                <w:lang w:val="es-ES_tradnl"/>
              </w:rPr>
              <w:t>Solicitudes de pago de los beneficiarios (fin del proyecto)</w:t>
            </w:r>
          </w:p>
        </w:tc>
      </w:tr>
      <w:tr w:rsidR="00A45935" w:rsidRPr="009E6414" w:rsidTr="00447B72">
        <w:tc>
          <w:tcPr>
            <w:tcW w:w="2547"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Se han creado grupos operativos.</w:t>
            </w:r>
          </w:p>
        </w:tc>
        <w:tc>
          <w:tcPr>
            <w:tcW w:w="3118" w:type="dxa"/>
          </w:tcPr>
          <w:p w:rsidR="00A45935" w:rsidRPr="009E6414" w:rsidRDefault="00A45935" w:rsidP="00F200A2">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O.16 Número de operaciones de la AEI.</w:t>
            </w:r>
          </w:p>
        </w:tc>
        <w:tc>
          <w:tcPr>
            <w:tcW w:w="3083" w:type="dxa"/>
            <w:gridSpan w:val="2"/>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Número de operaciones de la AEI (elemento de datos O.16).</w:t>
            </w:r>
          </w:p>
        </w:tc>
        <w:tc>
          <w:tcPr>
            <w:tcW w:w="550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 xml:space="preserve">Sistema de seguimiento del PDR </w:t>
            </w:r>
          </w:p>
          <w:p w:rsidR="00A45935" w:rsidRPr="009E6414" w:rsidRDefault="00A45935" w:rsidP="007E63EF">
            <w:pPr>
              <w:numPr>
                <w:ilvl w:val="0"/>
                <w:numId w:val="82"/>
              </w:numPr>
              <w:suppressAutoHyphens/>
              <w:spacing w:before="40" w:after="40"/>
              <w:jc w:val="left"/>
              <w:rPr>
                <w:rFonts w:cs="Arial"/>
                <w:noProof/>
                <w:sz w:val="18"/>
                <w:szCs w:val="18"/>
                <w:lang w:val="es-ES_tradnl"/>
              </w:rPr>
            </w:pPr>
            <w:r w:rsidRPr="009E6414">
              <w:rPr>
                <w:noProof/>
                <w:sz w:val="18"/>
                <w:lang w:val="es-ES_tradnl"/>
              </w:rPr>
              <w:t>Formularios de solicitud de los beneficiarios (inicio del proyecto)</w:t>
            </w:r>
          </w:p>
          <w:p w:rsidR="00A45935" w:rsidRPr="009E6414" w:rsidRDefault="00A45935" w:rsidP="007E63EF">
            <w:pPr>
              <w:numPr>
                <w:ilvl w:val="0"/>
                <w:numId w:val="82"/>
              </w:numPr>
              <w:suppressAutoHyphens/>
              <w:spacing w:before="40" w:after="40"/>
              <w:jc w:val="left"/>
              <w:rPr>
                <w:rFonts w:cs="Arial"/>
                <w:noProof/>
                <w:sz w:val="18"/>
                <w:szCs w:val="18"/>
                <w:lang w:val="es-ES_tradnl"/>
              </w:rPr>
            </w:pPr>
            <w:r w:rsidRPr="009E6414">
              <w:rPr>
                <w:noProof/>
                <w:sz w:val="18"/>
                <w:lang w:val="es-ES_tradnl"/>
              </w:rPr>
              <w:t>Solicitudes de pago de los beneficiarios (fin del proyecto)</w:t>
            </w:r>
          </w:p>
        </w:tc>
      </w:tr>
      <w:tr w:rsidR="00A45935" w:rsidRPr="009E6414" w:rsidTr="00447B72">
        <w:tc>
          <w:tcPr>
            <w:tcW w:w="2547"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Variedad de socios participantes en los GO de la AEI.</w:t>
            </w:r>
          </w:p>
        </w:tc>
        <w:tc>
          <w:tcPr>
            <w:tcW w:w="311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O.16 Número y tipo de socios en operaciones de la AEI.</w:t>
            </w:r>
          </w:p>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color w:val="57825E"/>
                <w:sz w:val="18"/>
                <w:u w:val="single"/>
                <w:lang w:val="es-ES_tradnl"/>
                <w14:textFill>
                  <w14:solidFill>
                    <w14:srgbClr w14:val="57825E">
                      <w14:lumMod w14:val="75000"/>
                    </w14:srgbClr>
                  </w14:solidFill>
                </w14:textFill>
              </w:rPr>
              <w:t>Indicador complementario</w:t>
            </w:r>
            <w:r w:rsidRPr="009E6414">
              <w:rPr>
                <w:noProof/>
                <w:color w:val="57825E"/>
                <w:sz w:val="18"/>
                <w:lang w:val="es-ES_tradnl"/>
                <w14:textFill>
                  <w14:solidFill>
                    <w14:srgbClr w14:val="57825E">
                      <w14:lumMod w14:val="75000"/>
                    </w14:srgbClr>
                  </w14:solidFill>
                </w14:textFill>
              </w:rPr>
              <w:t>: número y tipos de socios participantes en proyectos de cooperación.</w:t>
            </w:r>
          </w:p>
        </w:tc>
        <w:tc>
          <w:tcPr>
            <w:tcW w:w="3083" w:type="dxa"/>
            <w:gridSpan w:val="2"/>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Número y tipo de socios.</w:t>
            </w:r>
          </w:p>
        </w:tc>
        <w:tc>
          <w:tcPr>
            <w:tcW w:w="550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 xml:space="preserve">Sistema de seguimiento del PDR </w:t>
            </w:r>
          </w:p>
          <w:p w:rsidR="00A45935" w:rsidRPr="009E6414" w:rsidRDefault="00A45935" w:rsidP="007E63EF">
            <w:pPr>
              <w:numPr>
                <w:ilvl w:val="0"/>
                <w:numId w:val="83"/>
              </w:numPr>
              <w:suppressAutoHyphens/>
              <w:spacing w:before="40" w:after="40"/>
              <w:jc w:val="left"/>
              <w:rPr>
                <w:rFonts w:cs="Arial"/>
                <w:noProof/>
                <w:sz w:val="18"/>
                <w:szCs w:val="18"/>
                <w:lang w:val="es-ES_tradnl"/>
              </w:rPr>
            </w:pPr>
            <w:r w:rsidRPr="009E6414">
              <w:rPr>
                <w:noProof/>
                <w:sz w:val="18"/>
                <w:lang w:val="es-ES_tradnl"/>
              </w:rPr>
              <w:t>Formularios de solicitud de los beneficiarios (inicio del proyecto)</w:t>
            </w:r>
          </w:p>
          <w:p w:rsidR="00A45935" w:rsidRPr="009E6414" w:rsidRDefault="00A45935" w:rsidP="007E63EF">
            <w:pPr>
              <w:numPr>
                <w:ilvl w:val="0"/>
                <w:numId w:val="83"/>
              </w:numPr>
              <w:suppressAutoHyphens/>
              <w:spacing w:before="40" w:after="40"/>
              <w:jc w:val="left"/>
              <w:rPr>
                <w:rFonts w:cs="Arial"/>
                <w:noProof/>
                <w:sz w:val="18"/>
                <w:szCs w:val="18"/>
                <w:lang w:val="es-ES_tradnl"/>
              </w:rPr>
            </w:pPr>
            <w:r w:rsidRPr="009E6414">
              <w:rPr>
                <w:noProof/>
                <w:sz w:val="18"/>
                <w:lang w:val="es-ES_tradnl"/>
              </w:rPr>
              <w:t>Solicitudes de pago de los beneficiarios (fin del proyecto)</w:t>
            </w:r>
          </w:p>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Sumarios de práctica de los GO.</w:t>
            </w:r>
          </w:p>
        </w:tc>
      </w:tr>
      <w:tr w:rsidR="00A45935" w:rsidRPr="009E6414" w:rsidTr="00447B72">
        <w:tc>
          <w:tcPr>
            <w:tcW w:w="2547"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Las acciones innovadoras han sido ejecutadas y difundidas por GO de la AEI.</w:t>
            </w:r>
          </w:p>
        </w:tc>
        <w:tc>
          <w:tcPr>
            <w:tcW w:w="311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O.16 Número de operaciones de la AEI.</w:t>
            </w:r>
          </w:p>
          <w:p w:rsidR="00A45935" w:rsidRPr="00447B72" w:rsidRDefault="00A45935" w:rsidP="007E63EF">
            <w:pPr>
              <w:spacing w:after="120" w:line="280" w:lineRule="atLeast"/>
              <w:jc w:val="left"/>
              <w:rPr>
                <w:rFonts w:eastAsia="Calibri" w:cs="Arial"/>
                <w:noProof/>
                <w:color w:val="57825E"/>
                <w:sz w:val="18"/>
                <w:szCs w:val="18"/>
                <w:lang w:val="es-ES_tradnl"/>
              </w:rPr>
            </w:pPr>
            <w:r w:rsidRPr="009E6414">
              <w:rPr>
                <w:noProof/>
                <w:color w:val="57825E"/>
                <w:sz w:val="18"/>
                <w:u w:val="single"/>
                <w:lang w:val="es-ES_tradnl"/>
              </w:rPr>
              <w:t>Indicador complementario</w:t>
            </w:r>
            <w:r w:rsidRPr="009E6414">
              <w:rPr>
                <w:noProof/>
                <w:color w:val="57825E"/>
                <w:sz w:val="18"/>
                <w:lang w:val="es-ES_tradnl"/>
              </w:rPr>
              <w:t>: número de acciones innovadoras subvencionadas ejecutadas y difundidas por GO de la AEI desglosadas por tipo, sector, etc.</w:t>
            </w:r>
          </w:p>
        </w:tc>
        <w:tc>
          <w:tcPr>
            <w:tcW w:w="3083" w:type="dxa"/>
            <w:gridSpan w:val="2"/>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Número de operaciones de la AEI (elemento de datos O.16).</w:t>
            </w:r>
          </w:p>
        </w:tc>
        <w:tc>
          <w:tcPr>
            <w:tcW w:w="550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 xml:space="preserve">Sistema de seguimiento del PDR </w:t>
            </w:r>
          </w:p>
          <w:p w:rsidR="00A45935" w:rsidRPr="009E6414" w:rsidRDefault="00A45935" w:rsidP="007E63EF">
            <w:pPr>
              <w:numPr>
                <w:ilvl w:val="0"/>
                <w:numId w:val="84"/>
              </w:numPr>
              <w:suppressAutoHyphens/>
              <w:spacing w:before="40" w:after="40"/>
              <w:jc w:val="left"/>
              <w:rPr>
                <w:rFonts w:cs="Arial"/>
                <w:noProof/>
                <w:sz w:val="18"/>
                <w:szCs w:val="18"/>
                <w:lang w:val="es-ES_tradnl"/>
              </w:rPr>
            </w:pPr>
            <w:r w:rsidRPr="009E6414">
              <w:rPr>
                <w:noProof/>
                <w:sz w:val="18"/>
                <w:lang w:val="es-ES_tradnl"/>
              </w:rPr>
              <w:t>Formularios de solicitud de los beneficiarios (inicio del proyecto)</w:t>
            </w:r>
          </w:p>
          <w:p w:rsidR="00A45935" w:rsidRPr="009E6414" w:rsidRDefault="00A45935" w:rsidP="007E63EF">
            <w:pPr>
              <w:numPr>
                <w:ilvl w:val="0"/>
                <w:numId w:val="84"/>
              </w:numPr>
              <w:suppressAutoHyphens/>
              <w:spacing w:before="40" w:after="40"/>
              <w:jc w:val="left"/>
              <w:rPr>
                <w:rFonts w:cs="Arial"/>
                <w:noProof/>
                <w:sz w:val="18"/>
                <w:szCs w:val="18"/>
                <w:lang w:val="es-ES_tradnl"/>
              </w:rPr>
            </w:pPr>
            <w:r w:rsidRPr="009E6414">
              <w:rPr>
                <w:noProof/>
                <w:sz w:val="18"/>
                <w:lang w:val="es-ES_tradnl"/>
              </w:rPr>
              <w:t>Solicitudes de pago de los beneficiarios (fin del proyecto)</w:t>
            </w:r>
          </w:p>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Sumarios de práctica de los GO.</w:t>
            </w:r>
          </w:p>
        </w:tc>
      </w:tr>
      <w:tr w:rsidR="00A45935" w:rsidRPr="009E6414" w:rsidTr="00E05D08">
        <w:tc>
          <w:tcPr>
            <w:tcW w:w="14256" w:type="dxa"/>
            <w:gridSpan w:val="5"/>
            <w:shd w:val="clear" w:color="auto" w:fill="8BAB80"/>
          </w:tcPr>
          <w:p w:rsidR="00A45935" w:rsidRPr="009E6414" w:rsidRDefault="00A45935" w:rsidP="00E05D08">
            <w:pPr>
              <w:spacing w:after="120" w:line="280" w:lineRule="atLeast"/>
              <w:rPr>
                <w:rFonts w:eastAsia="Calibri" w:cs="Arial"/>
                <w:b/>
                <w:noProof/>
                <w:color w:val="FFFFFF"/>
                <w:sz w:val="18"/>
                <w:szCs w:val="18"/>
                <w:lang w:val="es-ES_tradnl"/>
                <w14:textFill>
                  <w14:solidFill>
                    <w14:srgbClr w14:val="FFFFFF">
                      <w14:lumMod w14:val="75000"/>
                      <w14:lumMod w14:val="75000"/>
                    </w14:srgbClr>
                  </w14:solidFill>
                </w14:textFill>
              </w:rPr>
            </w:pPr>
            <w:r w:rsidRPr="009E6414">
              <w:rPr>
                <w:b/>
                <w:noProof/>
                <w:color w:val="FFFFFF" w:themeColor="background1"/>
                <w:sz w:val="18"/>
                <w:lang w:val="es-ES_tradnl"/>
              </w:rPr>
              <w:lastRenderedPageBreak/>
              <w:t>Elementos de evaluación complementarios (opcional)</w:t>
            </w:r>
          </w:p>
        </w:tc>
      </w:tr>
      <w:tr w:rsidR="00A45935" w:rsidRPr="009E6414" w:rsidTr="00E05D08">
        <w:tc>
          <w:tcPr>
            <w:tcW w:w="2547"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La composición de los GO de la AEI incluye a las partes interesadas en la innovación.</w:t>
            </w:r>
          </w:p>
        </w:tc>
        <w:tc>
          <w:tcPr>
            <w:tcW w:w="311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Composición de los grupos operativos de la AEI (número y tipo de socios), entre los cuales se encuentran partes interesadas en la innovación.</w:t>
            </w:r>
          </w:p>
        </w:tc>
        <w:tc>
          <w:tcPr>
            <w:tcW w:w="2835" w:type="dxa"/>
          </w:tcPr>
          <w:p w:rsidR="00A45935" w:rsidRPr="009E6414" w:rsidRDefault="00A45935" w:rsidP="007E63EF">
            <w:pPr>
              <w:suppressAutoHyphens/>
              <w:spacing w:before="40" w:after="40"/>
              <w:jc w:val="left"/>
              <w:rPr>
                <w:rFonts w:cs="Arial"/>
                <w:noProof/>
                <w:sz w:val="18"/>
                <w:szCs w:val="18"/>
                <w:lang w:val="es-ES_tradnl"/>
              </w:rPr>
            </w:pPr>
            <w:r w:rsidRPr="009E6414">
              <w:rPr>
                <w:noProof/>
                <w:sz w:val="18"/>
                <w:lang w:val="es-ES_tradnl"/>
              </w:rPr>
              <w:t>Número de socios de los GO.</w:t>
            </w:r>
          </w:p>
          <w:p w:rsidR="00A45935" w:rsidRPr="009E6414" w:rsidRDefault="00A45935" w:rsidP="007E63EF">
            <w:pPr>
              <w:suppressAutoHyphens/>
              <w:spacing w:before="40" w:after="40"/>
              <w:jc w:val="left"/>
              <w:rPr>
                <w:rFonts w:cs="Arial"/>
                <w:noProof/>
                <w:sz w:val="18"/>
                <w:szCs w:val="18"/>
                <w:lang w:val="es-ES_tradnl"/>
              </w:rPr>
            </w:pPr>
            <w:r w:rsidRPr="009E6414">
              <w:rPr>
                <w:noProof/>
                <w:sz w:val="18"/>
                <w:lang w:val="es-ES_tradnl"/>
              </w:rPr>
              <w:t>Tipo de socios de los GO.</w:t>
            </w:r>
          </w:p>
        </w:tc>
        <w:tc>
          <w:tcPr>
            <w:tcW w:w="5756" w:type="dxa"/>
            <w:gridSpan w:val="2"/>
          </w:tcPr>
          <w:p w:rsidR="00A45935" w:rsidRPr="009E6414" w:rsidRDefault="00A45935" w:rsidP="007E63EF">
            <w:pPr>
              <w:suppressAutoHyphens/>
              <w:spacing w:before="40" w:after="40"/>
              <w:jc w:val="left"/>
              <w:rPr>
                <w:rFonts w:cs="Arial"/>
                <w:noProof/>
                <w:sz w:val="18"/>
                <w:szCs w:val="18"/>
                <w:lang w:val="es-ES_tradnl"/>
              </w:rPr>
            </w:pPr>
            <w:r w:rsidRPr="009E6414">
              <w:rPr>
                <w:noProof/>
                <w:sz w:val="18"/>
                <w:lang w:val="es-ES_tradnl"/>
              </w:rPr>
              <w:t xml:space="preserve">Sistema de seguimiento del PDR </w:t>
            </w:r>
          </w:p>
          <w:p w:rsidR="00A45935" w:rsidRPr="009E6414" w:rsidRDefault="00A45935" w:rsidP="007E63EF">
            <w:pPr>
              <w:numPr>
                <w:ilvl w:val="0"/>
                <w:numId w:val="85"/>
              </w:numPr>
              <w:suppressAutoHyphens/>
              <w:spacing w:before="40" w:after="40"/>
              <w:jc w:val="left"/>
              <w:rPr>
                <w:rFonts w:cs="Arial"/>
                <w:noProof/>
                <w:sz w:val="18"/>
                <w:szCs w:val="18"/>
                <w:lang w:val="es-ES_tradnl"/>
              </w:rPr>
            </w:pPr>
            <w:r w:rsidRPr="009E6414">
              <w:rPr>
                <w:noProof/>
                <w:sz w:val="18"/>
                <w:lang w:val="es-ES_tradnl"/>
              </w:rPr>
              <w:t>Formularios de solicitud de los beneficiarios (inicio del proyecto)</w:t>
            </w:r>
          </w:p>
          <w:p w:rsidR="00A45935" w:rsidRPr="009E6414" w:rsidRDefault="00A45935" w:rsidP="007E63EF">
            <w:pPr>
              <w:numPr>
                <w:ilvl w:val="0"/>
                <w:numId w:val="85"/>
              </w:numPr>
              <w:suppressAutoHyphens/>
              <w:spacing w:before="40" w:after="40"/>
              <w:jc w:val="left"/>
              <w:rPr>
                <w:rFonts w:cs="Arial"/>
                <w:noProof/>
                <w:sz w:val="18"/>
                <w:szCs w:val="18"/>
                <w:lang w:val="es-ES_tradnl"/>
              </w:rPr>
            </w:pPr>
            <w:r w:rsidRPr="009E6414">
              <w:rPr>
                <w:noProof/>
                <w:sz w:val="18"/>
                <w:lang w:val="es-ES_tradnl"/>
              </w:rPr>
              <w:t>Solicitudes de pago de los beneficiarios (fin del proyecto)</w:t>
            </w:r>
          </w:p>
          <w:p w:rsidR="00A45935" w:rsidRPr="009E6414" w:rsidRDefault="00A45935" w:rsidP="007E63EF">
            <w:pPr>
              <w:suppressAutoHyphens/>
              <w:spacing w:before="40" w:after="40"/>
              <w:jc w:val="left"/>
              <w:rPr>
                <w:rFonts w:cs="Arial"/>
                <w:noProof/>
                <w:sz w:val="18"/>
                <w:szCs w:val="18"/>
                <w:lang w:val="es-ES_tradnl"/>
              </w:rPr>
            </w:pPr>
            <w:r w:rsidRPr="009E6414">
              <w:rPr>
                <w:noProof/>
                <w:sz w:val="18"/>
                <w:lang w:val="es-ES_tradnl"/>
              </w:rPr>
              <w:t>Encuestas a los GO de la AEI y a los GAL.</w:t>
            </w:r>
          </w:p>
          <w:p w:rsidR="00A45935" w:rsidRPr="009E6414" w:rsidRDefault="00A45935" w:rsidP="007E63EF">
            <w:pPr>
              <w:suppressAutoHyphens/>
              <w:spacing w:before="40" w:after="40"/>
              <w:jc w:val="left"/>
              <w:rPr>
                <w:rFonts w:cs="Arial"/>
                <w:noProof/>
                <w:sz w:val="18"/>
                <w:szCs w:val="18"/>
                <w:lang w:val="es-ES_tradnl"/>
              </w:rPr>
            </w:pPr>
            <w:r w:rsidRPr="009E6414">
              <w:rPr>
                <w:noProof/>
                <w:sz w:val="18"/>
                <w:lang w:val="es-ES_tradnl"/>
              </w:rPr>
              <w:t>Plataformas de los GO basadas en la web.</w:t>
            </w:r>
          </w:p>
          <w:p w:rsidR="00A45935" w:rsidRPr="009E6414" w:rsidRDefault="00A45935" w:rsidP="007E63EF">
            <w:pPr>
              <w:suppressAutoHyphens/>
              <w:spacing w:before="40" w:after="40"/>
              <w:jc w:val="left"/>
              <w:rPr>
                <w:rFonts w:cs="Arial"/>
                <w:noProof/>
                <w:sz w:val="18"/>
                <w:szCs w:val="18"/>
                <w:lang w:val="es-ES_tradnl"/>
              </w:rPr>
            </w:pPr>
            <w:r w:rsidRPr="009E6414">
              <w:rPr>
                <w:noProof/>
                <w:sz w:val="18"/>
                <w:lang w:val="es-ES_tradnl"/>
              </w:rPr>
              <w:t>Sumarios de práctica de los GO.</w:t>
            </w:r>
          </w:p>
        </w:tc>
      </w:tr>
      <w:tr w:rsidR="00A45935" w:rsidRPr="009E6414" w:rsidTr="00E05D08">
        <w:tc>
          <w:tcPr>
            <w:tcW w:w="2547"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Los GAL han apoyado proyectos de innovación.</w:t>
            </w:r>
          </w:p>
        </w:tc>
        <w:tc>
          <w:tcPr>
            <w:tcW w:w="311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Número de proyectos ejecutados por los GAL y sus beneficiarios calificados como innovadores (respetando los criterios de subvencionabilidad y selección).</w:t>
            </w:r>
          </w:p>
        </w:tc>
        <w:tc>
          <w:tcPr>
            <w:tcW w:w="2835"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 xml:space="preserve">Datos de seguimiento de los proyectos del GAL. </w:t>
            </w:r>
          </w:p>
        </w:tc>
        <w:tc>
          <w:tcPr>
            <w:tcW w:w="5756" w:type="dxa"/>
            <w:gridSpan w:val="2"/>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Base de datos de operaciones de los GAL.</w:t>
            </w:r>
          </w:p>
        </w:tc>
      </w:tr>
      <w:tr w:rsidR="00A45935" w:rsidRPr="009E6414" w:rsidTr="00E05D08">
        <w:tc>
          <w:tcPr>
            <w:tcW w:w="2547"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Las partes interesadas en la innovación han recibido formación.</w:t>
            </w:r>
          </w:p>
        </w:tc>
        <w:tc>
          <w:tcPr>
            <w:tcW w:w="311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Número y tipo de partes interesadas en la innovación que han recibido formación.</w:t>
            </w:r>
          </w:p>
        </w:tc>
        <w:tc>
          <w:tcPr>
            <w:tcW w:w="2835"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Número y tipo de partes interesadas que han recbido formación.</w:t>
            </w:r>
          </w:p>
        </w:tc>
        <w:tc>
          <w:tcPr>
            <w:tcW w:w="5756" w:type="dxa"/>
            <w:gridSpan w:val="2"/>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 xml:space="preserve">Sistema de seguimiento del PDR </w:t>
            </w:r>
          </w:p>
          <w:p w:rsidR="00A45935" w:rsidRPr="009E6414" w:rsidRDefault="00A45935" w:rsidP="007E63EF">
            <w:pPr>
              <w:numPr>
                <w:ilvl w:val="0"/>
                <w:numId w:val="86"/>
              </w:numPr>
              <w:suppressAutoHyphens/>
              <w:spacing w:before="40" w:after="40"/>
              <w:jc w:val="left"/>
              <w:rPr>
                <w:rFonts w:cs="Arial"/>
                <w:noProof/>
                <w:sz w:val="18"/>
                <w:szCs w:val="18"/>
                <w:lang w:val="es-ES_tradnl"/>
              </w:rPr>
            </w:pPr>
            <w:r w:rsidRPr="009E6414">
              <w:rPr>
                <w:noProof/>
                <w:sz w:val="18"/>
                <w:lang w:val="es-ES_tradnl"/>
              </w:rPr>
              <w:t>Formularios de solicitud de los beneficiarios (inicio del proyecto)</w:t>
            </w:r>
          </w:p>
          <w:p w:rsidR="00A45935" w:rsidRPr="009E6414" w:rsidRDefault="00A45935" w:rsidP="007E63EF">
            <w:pPr>
              <w:numPr>
                <w:ilvl w:val="0"/>
                <w:numId w:val="86"/>
              </w:numPr>
              <w:suppressAutoHyphens/>
              <w:spacing w:before="40" w:after="40"/>
              <w:jc w:val="left"/>
              <w:rPr>
                <w:rFonts w:cs="Arial"/>
                <w:noProof/>
                <w:sz w:val="18"/>
                <w:szCs w:val="18"/>
                <w:lang w:val="es-ES_tradnl"/>
              </w:rPr>
            </w:pPr>
            <w:r w:rsidRPr="009E6414">
              <w:rPr>
                <w:noProof/>
                <w:sz w:val="18"/>
                <w:lang w:val="es-ES_tradnl"/>
              </w:rPr>
              <w:t>Solicitudes de pago de los beneficiarios (fin del proyecto)</w:t>
            </w:r>
          </w:p>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Entrevistas, encuestas con la AG y con proveedores de formación.</w:t>
            </w:r>
          </w:p>
        </w:tc>
      </w:tr>
      <w:tr w:rsidR="00A45935" w:rsidRPr="009E6414" w:rsidTr="00E05D08">
        <w:tc>
          <w:tcPr>
            <w:tcW w:w="2547"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Factores de éxito fundamentales para el apoyo de la innovación a través de las medidas 1, 2, 16 y 19.</w:t>
            </w:r>
          </w:p>
        </w:tc>
        <w:tc>
          <w:tcPr>
            <w:tcW w:w="311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Descripción de los principales factores que han contribuido a apoyar la innovación en las zonas rurales.</w:t>
            </w:r>
          </w:p>
        </w:tc>
        <w:tc>
          <w:tcPr>
            <w:tcW w:w="2835"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Información cualitativa.</w:t>
            </w:r>
          </w:p>
        </w:tc>
        <w:tc>
          <w:tcPr>
            <w:tcW w:w="5756" w:type="dxa"/>
            <w:gridSpan w:val="2"/>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 xml:space="preserve">Entrevistas, encuestas y grupos de discusión con los beneficiarios de las submedidas relacionadas con la innovación de las medidas 1 y 2 y con los GO. </w:t>
            </w:r>
          </w:p>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AEI-AGRI y GAL.</w:t>
            </w:r>
          </w:p>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 xml:space="preserve">Sumarios de práctica de los GO. </w:t>
            </w:r>
          </w:p>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Base de datos de operaciones de los GAL.</w:t>
            </w:r>
          </w:p>
        </w:tc>
      </w:tr>
    </w:tbl>
    <w:p w:rsidR="00A45935" w:rsidRPr="009E6414" w:rsidRDefault="00A45935" w:rsidP="00E05D08">
      <w:pPr>
        <w:spacing w:after="120" w:line="280" w:lineRule="atLeast"/>
        <w:mirrorIndents/>
        <w:rPr>
          <w:rFonts w:eastAsia="Times New Roman" w:cs="Times New Roman"/>
          <w:noProof/>
          <w:color w:val="FF0000"/>
          <w:szCs w:val="20"/>
          <w:lang w:val="es-ES_tradnl"/>
        </w:rPr>
      </w:pPr>
    </w:p>
    <w:p w:rsidR="00A45935" w:rsidRPr="009E6414" w:rsidRDefault="00A45935" w:rsidP="00541A7D">
      <w:pPr>
        <w:spacing w:before="60" w:after="0" w:line="280" w:lineRule="atLeast"/>
        <w:rPr>
          <w:rFonts w:eastAsia="Times New Roman" w:cs="Arial"/>
          <w:noProof/>
          <w:szCs w:val="18"/>
          <w:lang w:val="es-ES_tradnl"/>
          <w14:textFill>
            <w14:solidFill>
              <w14:srgbClr w14:val="373737">
                <w14:lumMod w14:val="75000"/>
              </w14:srgbClr>
            </w14:solidFill>
          </w14:textFill>
        </w:rPr>
      </w:pPr>
    </w:p>
    <w:p w:rsidR="00A45935" w:rsidRPr="009E6414" w:rsidRDefault="00A45935" w:rsidP="00E05D08">
      <w:pPr>
        <w:spacing w:after="120" w:line="280" w:lineRule="atLeast"/>
        <w:mirrorIndents/>
        <w:rPr>
          <w:rFonts w:eastAsia="Times New Roman" w:cs="Times New Roman"/>
          <w:noProof/>
          <w:szCs w:val="20"/>
          <w:lang w:val="es-ES_tradnl"/>
        </w:rPr>
        <w:sectPr w:rsidR="00A45935" w:rsidRPr="009E6414"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9E6414" w:rsidRDefault="00A45935" w:rsidP="008C0B17">
      <w:pPr>
        <w:numPr>
          <w:ilvl w:val="0"/>
          <w:numId w:val="55"/>
        </w:numPr>
        <w:spacing w:before="120" w:after="120" w:line="280" w:lineRule="atLeast"/>
        <w:ind w:left="567" w:hanging="567"/>
        <w:mirrorIndents/>
        <w:rPr>
          <w:rFonts w:eastAsia="Times New Roman" w:cs="Times New Roman"/>
          <w:b/>
          <w:noProof/>
          <w:szCs w:val="20"/>
          <w:lang w:val="es-ES_tradnl"/>
        </w:rPr>
      </w:pPr>
      <w:r w:rsidRPr="009E6414">
        <w:rPr>
          <w:b/>
          <w:noProof/>
          <w:lang w:val="es-ES_tradnl"/>
        </w:rPr>
        <w:lastRenderedPageBreak/>
        <w:t xml:space="preserve">Metodología de evaluación propuesta para responder a la PCE 1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El cálculo de los indicadores comunes vinculados a la PCE 1 se describe en el anexo 11 de las Directrices «</w:t>
      </w:r>
      <w:hyperlink r:id="rId39">
        <w:r w:rsidRPr="009E6414">
          <w:rPr>
            <w:noProof/>
            <w:color w:val="F07E31"/>
            <w:u w:val="single"/>
            <w:lang w:val="es-ES_tradnl"/>
          </w:rPr>
          <w:t>Evaluación de los resultados del PDR: Cómo elaborar los informes sobre evaluación en 2017</w:t>
        </w:r>
      </w:hyperlink>
      <w:r w:rsidRPr="009E6414">
        <w:rPr>
          <w:noProof/>
          <w:lang w:val="es-ES_tradnl"/>
        </w:rPr>
        <w:t xml:space="preserve">».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Para evaluar la parte de la PCE n.º 1 relacionada con la innovación se propone lo siguiente:</w:t>
      </w:r>
    </w:p>
    <w:p w:rsidR="00A45935" w:rsidRPr="009E6414" w:rsidRDefault="00A45935" w:rsidP="00C202EC">
      <w:pPr>
        <w:pStyle w:val="Hlistbullet"/>
        <w:rPr>
          <w:noProof/>
          <w:lang w:val="es-ES_tradnl"/>
        </w:rPr>
      </w:pPr>
      <w:r w:rsidRPr="009E6414">
        <w:rPr>
          <w:b/>
          <w:noProof/>
          <w:lang w:val="es-ES_tradnl"/>
        </w:rPr>
        <w:t>FASE 1: Identificar el potencial de innovación de los beneficiarios</w:t>
      </w:r>
      <w:r w:rsidRPr="009E6414">
        <w:rPr>
          <w:noProof/>
          <w:lang w:val="es-ES_tradnl"/>
        </w:rPr>
        <w:t xml:space="preserve"> de las medidas/submedidas M1, M2, M16 y M19 (beneficiarios que ejecutaron operaciones clasificadas como innovadoras). </w:t>
      </w:r>
    </w:p>
    <w:p w:rsidR="00A45935" w:rsidRPr="009E6414" w:rsidRDefault="00A45935" w:rsidP="00C202EC">
      <w:pPr>
        <w:pStyle w:val="Hlistbullet"/>
        <w:rPr>
          <w:noProof/>
          <w:lang w:val="es-ES_tradnl"/>
        </w:rPr>
      </w:pPr>
      <w:r w:rsidRPr="009E6414">
        <w:rPr>
          <w:b/>
          <w:noProof/>
          <w:lang w:val="es-ES_tradnl"/>
        </w:rPr>
        <w:t>FASE 2: Cuantificar los indicadores de productividad y de objetivos</w:t>
      </w:r>
      <w:r w:rsidRPr="009E6414">
        <w:rPr>
          <w:noProof/>
          <w:lang w:val="es-ES_tradnl"/>
        </w:rPr>
        <w:t xml:space="preserve"> utilizando los datos de seguimiento de la base de datos de operaciones del PDR/GAL sobre los beneficiarios (que ejecutaron operaciones clasificadas como innovadoras). Con el fin de utilizar la base de datos de operaciones para la evaluación de la innovación, las autoridades de gestión pueden optar por añadir y recopilar elementos de datos vinculados a la innovación. </w:t>
      </w:r>
    </w:p>
    <w:p w:rsidR="00A45935" w:rsidRPr="009E6414" w:rsidRDefault="00A45935" w:rsidP="00C202EC">
      <w:pPr>
        <w:pStyle w:val="Hlistbullet"/>
        <w:rPr>
          <w:noProof/>
          <w:lang w:val="es-ES_tradnl"/>
        </w:rPr>
      </w:pPr>
      <w:r w:rsidRPr="009E6414">
        <w:rPr>
          <w:b/>
          <w:noProof/>
          <w:lang w:val="es-ES_tradnl"/>
        </w:rPr>
        <w:t>FASE 3: Recopilar pruebas para responder a la PCE con la ayuda de métodos específicos.</w:t>
      </w:r>
      <w:r w:rsidRPr="009E6414">
        <w:rPr>
          <w:noProof/>
          <w:lang w:val="es-ES_tradnl"/>
        </w:rPr>
        <w:t xml:space="preserve"> Las encuestas, los grupos de discusión y el método Delphi, por ejemplo, pueden servir de ayuda a la hora de recopilar datos para los criterios de valoración propuestos y los indicadores de resultado complementarios. Si se aplican estos métodos debe tenerse en cuenta la cuestión de la calidad y de la validez de los datos cuando son comunicados por los beneficiarios (véase el </w:t>
      </w:r>
      <w:hyperlink w:anchor="Recommended_Methods" w:history="1">
        <w:r w:rsidRPr="009E6414">
          <w:rPr>
            <w:rStyle w:val="Hyperlink"/>
            <w:noProof/>
            <w:sz w:val="20"/>
            <w:lang w:val="es-ES_tradnl"/>
          </w:rPr>
          <w:t>cuadro 2</w:t>
        </w:r>
      </w:hyperlink>
      <w:r w:rsidRPr="009E6414">
        <w:rPr>
          <w:noProof/>
          <w:lang w:val="es-ES_tradnl"/>
        </w:rPr>
        <w:t xml:space="preserve">). </w:t>
      </w:r>
    </w:p>
    <w:p w:rsidR="00A45935" w:rsidRPr="009E6414" w:rsidRDefault="00A45935" w:rsidP="00C202EC">
      <w:pPr>
        <w:pStyle w:val="Hlistbullet"/>
        <w:rPr>
          <w:b/>
          <w:noProof/>
          <w:sz w:val="16"/>
          <w:lang w:val="es-ES_tradnl"/>
        </w:rPr>
      </w:pPr>
      <w:r w:rsidRPr="009E6414">
        <w:rPr>
          <w:b/>
          <w:noProof/>
          <w:lang w:val="es-ES_tradnl"/>
        </w:rPr>
        <w:t>FASE 4: Analizar e interpretar las pruebas recopiladas</w:t>
      </w:r>
      <w:r w:rsidRPr="009E6414">
        <w:rPr>
          <w:noProof/>
          <w:lang w:val="es-ES_tradnl"/>
        </w:rPr>
        <w:t xml:space="preserve"> y utilizarlas para responder a la PCE n.º 1 en términos de apoyo a la innovación. </w:t>
      </w:r>
    </w:p>
    <w:p w:rsidR="00A45935" w:rsidRPr="009E6414" w:rsidRDefault="00A45935" w:rsidP="00FA6691">
      <w:pPr>
        <w:pStyle w:val="HHeadingtables"/>
        <w:rPr>
          <w:noProof/>
          <w:color w:val="6F6F6F"/>
          <w:sz w:val="18"/>
          <w:szCs w:val="18"/>
          <w:lang w:val="es-ES_tradnl"/>
        </w:rPr>
      </w:pPr>
      <w:r w:rsidRPr="009E6414">
        <w:rPr>
          <w:noProof/>
          <w:color w:val="6F6F6F"/>
          <w:sz w:val="18"/>
          <w:lang w:val="es-ES_tradnl"/>
        </w:rPr>
        <w:t xml:space="preserve">Métodos recomendados para la PCE n.º 1 </w:t>
      </w:r>
    </w:p>
    <w:tbl>
      <w:tblPr>
        <w:tblStyle w:val="TableGrid"/>
        <w:tblW w:w="8613" w:type="dxa"/>
        <w:tblInd w:w="45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43"/>
        <w:gridCol w:w="6770"/>
      </w:tblGrid>
      <w:tr w:rsidR="00A45935" w:rsidRPr="009E6414" w:rsidTr="00E05D08">
        <w:trPr>
          <w:tblHeader/>
        </w:trPr>
        <w:tc>
          <w:tcPr>
            <w:tcW w:w="1843" w:type="dxa"/>
            <w:shd w:val="clear" w:color="auto" w:fill="F07E31"/>
          </w:tcPr>
          <w:p w:rsidR="00A45935" w:rsidRPr="009E6414" w:rsidRDefault="00A45935" w:rsidP="00E05D08">
            <w:pPr>
              <w:spacing w:after="120" w:line="280" w:lineRule="atLeast"/>
              <w:mirrorIndents/>
              <w:jc w:val="center"/>
              <w:rPr>
                <w:b/>
                <w:noProof/>
                <w:color w:val="FFFFFF"/>
                <w:sz w:val="18"/>
                <w:szCs w:val="18"/>
                <w:lang w:val="es-ES_tradnl"/>
              </w:rPr>
            </w:pPr>
            <w:r w:rsidRPr="009E6414">
              <w:rPr>
                <w:b/>
                <w:noProof/>
                <w:color w:val="FFFFFF"/>
                <w:sz w:val="18"/>
                <w:lang w:val="es-ES_tradnl"/>
              </w:rPr>
              <w:t>Métodos</w:t>
            </w:r>
          </w:p>
        </w:tc>
        <w:tc>
          <w:tcPr>
            <w:tcW w:w="6770" w:type="dxa"/>
            <w:shd w:val="clear" w:color="auto" w:fill="F07E31"/>
          </w:tcPr>
          <w:p w:rsidR="00A45935" w:rsidRPr="009E6414" w:rsidRDefault="00A45935" w:rsidP="00E05D08">
            <w:pPr>
              <w:spacing w:after="120" w:line="280" w:lineRule="atLeast"/>
              <w:mirrorIndents/>
              <w:jc w:val="center"/>
              <w:rPr>
                <w:b/>
                <w:noProof/>
                <w:color w:val="FFFFFF"/>
                <w:sz w:val="18"/>
                <w:szCs w:val="18"/>
                <w:lang w:val="es-ES_tradnl"/>
              </w:rPr>
            </w:pPr>
            <w:r w:rsidRPr="009E6414">
              <w:rPr>
                <w:b/>
                <w:noProof/>
                <w:color w:val="FFFFFF"/>
                <w:sz w:val="18"/>
                <w:lang w:val="es-ES_tradnl"/>
              </w:rPr>
              <w:t>Consejos sobre cómo usar los métodos</w:t>
            </w:r>
          </w:p>
        </w:tc>
      </w:tr>
      <w:tr w:rsidR="00A45935" w:rsidRPr="009E6414" w:rsidTr="00E05D08">
        <w:tc>
          <w:tcPr>
            <w:tcW w:w="1843" w:type="dxa"/>
          </w:tcPr>
          <w:p w:rsidR="00A45935" w:rsidRPr="009E6414" w:rsidRDefault="00A45935" w:rsidP="007E63EF">
            <w:pPr>
              <w:spacing w:after="120" w:line="280" w:lineRule="atLeast"/>
              <w:ind w:right="116"/>
              <w:mirrorIndents/>
              <w:jc w:val="left"/>
              <w:rPr>
                <w:noProof/>
                <w:sz w:val="18"/>
                <w:szCs w:val="18"/>
                <w:lang w:val="es-ES_tradnl"/>
              </w:rPr>
            </w:pPr>
            <w:r w:rsidRPr="009E6414">
              <w:rPr>
                <w:noProof/>
                <w:sz w:val="18"/>
                <w:lang w:val="es-ES_tradnl"/>
              </w:rPr>
              <w:t xml:space="preserve">Encuestas a los gestores de las medidas 1 y 2 </w:t>
            </w:r>
          </w:p>
          <w:p w:rsidR="00A45935" w:rsidRPr="009E6414" w:rsidRDefault="00A45935" w:rsidP="007E63EF">
            <w:pPr>
              <w:spacing w:after="120" w:line="280" w:lineRule="atLeast"/>
              <w:ind w:right="116"/>
              <w:mirrorIndents/>
              <w:jc w:val="left"/>
              <w:rPr>
                <w:noProof/>
                <w:sz w:val="18"/>
                <w:szCs w:val="18"/>
                <w:lang w:val="es-ES_tradnl"/>
              </w:rPr>
            </w:pPr>
            <w:r w:rsidRPr="009E6414">
              <w:rPr>
                <w:noProof/>
                <w:sz w:val="18"/>
                <w:lang w:val="es-ES_tradnl"/>
              </w:rPr>
              <w:t>Encuestas a los beneficiarios de las medidas 1 y 2</w:t>
            </w:r>
          </w:p>
          <w:p w:rsidR="00A45935" w:rsidRPr="009E6414" w:rsidRDefault="00A45935" w:rsidP="007E63EF">
            <w:pPr>
              <w:spacing w:after="120" w:line="280" w:lineRule="atLeast"/>
              <w:ind w:right="116"/>
              <w:mirrorIndents/>
              <w:jc w:val="left"/>
              <w:rPr>
                <w:noProof/>
                <w:sz w:val="18"/>
                <w:szCs w:val="18"/>
                <w:lang w:val="es-ES_tradnl"/>
              </w:rPr>
            </w:pPr>
            <w:r w:rsidRPr="009E6414">
              <w:rPr>
                <w:noProof/>
                <w:sz w:val="18"/>
                <w:lang w:val="es-ES_tradnl"/>
              </w:rPr>
              <w:t>Encuestas sobre los proyectos de cooperación de los GO</w:t>
            </w:r>
          </w:p>
          <w:p w:rsidR="00A45935" w:rsidRPr="009E6414" w:rsidRDefault="00A45935" w:rsidP="007E63EF">
            <w:pPr>
              <w:spacing w:after="120" w:line="280" w:lineRule="atLeast"/>
              <w:ind w:right="116"/>
              <w:mirrorIndents/>
              <w:jc w:val="left"/>
              <w:rPr>
                <w:noProof/>
                <w:sz w:val="18"/>
                <w:szCs w:val="18"/>
                <w:lang w:val="es-ES_tradnl"/>
              </w:rPr>
            </w:pPr>
            <w:r w:rsidRPr="009E6414">
              <w:rPr>
                <w:noProof/>
                <w:sz w:val="18"/>
                <w:lang w:val="es-ES_tradnl"/>
              </w:rPr>
              <w:t xml:space="preserve">Encuestas con los GAL y sus beneficiarios </w:t>
            </w:r>
          </w:p>
        </w:tc>
        <w:tc>
          <w:tcPr>
            <w:tcW w:w="6770" w:type="dxa"/>
          </w:tcPr>
          <w:p w:rsidR="00A45935" w:rsidRPr="009E6414" w:rsidRDefault="00A45935" w:rsidP="00C202EC">
            <w:pPr>
              <w:pStyle w:val="Hlistbullet"/>
              <w:rPr>
                <w:noProof/>
                <w:sz w:val="18"/>
                <w:szCs w:val="18"/>
                <w:lang w:val="es-ES_tradnl"/>
              </w:rPr>
            </w:pPr>
            <w:r w:rsidRPr="009E6414">
              <w:rPr>
                <w:noProof/>
                <w:sz w:val="18"/>
                <w:lang w:val="es-ES_tradnl"/>
              </w:rPr>
              <w:t xml:space="preserve">Seleccionar a los gestores/beneficiarios de las submedidas relacionadas con la innovación de las medidas 1 y 2 para realizar la encuesta. </w:t>
            </w:r>
          </w:p>
          <w:p w:rsidR="00A45935" w:rsidRPr="009E6414" w:rsidRDefault="00A45935" w:rsidP="00C202EC">
            <w:pPr>
              <w:pStyle w:val="Hlistbullet"/>
              <w:rPr>
                <w:noProof/>
                <w:sz w:val="18"/>
                <w:szCs w:val="18"/>
                <w:lang w:val="es-ES_tradnl"/>
              </w:rPr>
            </w:pPr>
            <w:r w:rsidRPr="009E6414">
              <w:rPr>
                <w:noProof/>
                <w:sz w:val="18"/>
                <w:lang w:val="es-ES_tradnl"/>
              </w:rPr>
              <w:t>Seleccionar una muestra de proyectos de cooperación (por ejemplo, por sector, tamaño del GO, localización, etc.) para recoger datos e información de los beneficiarios para los indicadores a través de la encuesta.</w:t>
            </w:r>
          </w:p>
          <w:p w:rsidR="00A45935" w:rsidRPr="009E6414" w:rsidRDefault="00A45935" w:rsidP="00C202EC">
            <w:pPr>
              <w:pStyle w:val="Hlistbullet"/>
              <w:rPr>
                <w:noProof/>
                <w:sz w:val="18"/>
                <w:szCs w:val="18"/>
                <w:lang w:val="es-ES_tradnl"/>
              </w:rPr>
            </w:pPr>
            <w:r w:rsidRPr="009E6414">
              <w:rPr>
                <w:noProof/>
                <w:sz w:val="18"/>
                <w:lang w:val="es-ES_tradnl"/>
              </w:rPr>
              <w:t>Elaborar encuestas que incluyan preguntas abiertas sobre cómo las actividades de las medidas 1 y 2, los GO y los GAL contribuyeron a: a) compartir ideas innovadoras, b) consolidar la capacidad para innovar, c) crear un entorno propicio para la innovación.</w:t>
            </w:r>
          </w:p>
          <w:p w:rsidR="00A45935" w:rsidRPr="009E6414" w:rsidRDefault="00A45935" w:rsidP="00C202EC">
            <w:pPr>
              <w:pStyle w:val="Hlistbullet"/>
              <w:rPr>
                <w:noProof/>
                <w:sz w:val="18"/>
                <w:szCs w:val="18"/>
                <w:lang w:val="es-ES_tradnl"/>
              </w:rPr>
            </w:pPr>
            <w:r w:rsidRPr="009E6414">
              <w:rPr>
                <w:noProof/>
                <w:sz w:val="18"/>
                <w:lang w:val="es-ES_tradnl"/>
              </w:rPr>
              <w:t>Utilizar las conclusiones de las encuestas para:</w:t>
            </w:r>
          </w:p>
          <w:p w:rsidR="00A45935" w:rsidRPr="009E6414" w:rsidRDefault="00A45935" w:rsidP="00C202EC">
            <w:pPr>
              <w:pStyle w:val="Hlistbullet2"/>
              <w:rPr>
                <w:noProof/>
                <w:sz w:val="18"/>
                <w:szCs w:val="18"/>
                <w:lang w:val="es-ES_tradnl"/>
              </w:rPr>
            </w:pPr>
            <w:r w:rsidRPr="009E6414">
              <w:rPr>
                <w:noProof/>
                <w:sz w:val="18"/>
                <w:lang w:val="es-ES_tradnl"/>
              </w:rPr>
              <w:t>Valorar cómo diferentes tipos de acciones de formación e información en el marco de la M1 contribuyen a apoyar la innovación.</w:t>
            </w:r>
          </w:p>
          <w:p w:rsidR="00A45935" w:rsidRPr="009E6414" w:rsidRDefault="00A45935" w:rsidP="00C202EC">
            <w:pPr>
              <w:pStyle w:val="Hlistbullet2"/>
              <w:rPr>
                <w:noProof/>
                <w:sz w:val="18"/>
                <w:szCs w:val="18"/>
                <w:lang w:val="es-ES_tradnl"/>
              </w:rPr>
            </w:pPr>
            <w:r w:rsidRPr="009E6414">
              <w:rPr>
                <w:noProof/>
                <w:sz w:val="18"/>
                <w:lang w:val="es-ES_tradnl"/>
              </w:rPr>
              <w:t>Valorar cómo contribuyen los servicios de asesoramiento a apoyar a la innovación.</w:t>
            </w:r>
          </w:p>
          <w:p w:rsidR="00A45935" w:rsidRPr="009E6414" w:rsidRDefault="00A45935" w:rsidP="00C202EC">
            <w:pPr>
              <w:pStyle w:val="Hlistbullet2"/>
              <w:rPr>
                <w:noProof/>
                <w:sz w:val="18"/>
                <w:szCs w:val="18"/>
                <w:lang w:val="es-ES_tradnl"/>
              </w:rPr>
            </w:pPr>
            <w:r w:rsidRPr="009E6414">
              <w:rPr>
                <w:noProof/>
                <w:sz w:val="18"/>
                <w:lang w:val="es-ES_tradnl"/>
              </w:rPr>
              <w:t xml:space="preserve">Evaluar cómo los GO contribuyen a la producción de resultados que puedan ser útiles. </w:t>
            </w:r>
          </w:p>
          <w:p w:rsidR="00A45935" w:rsidRPr="009E6414" w:rsidRDefault="00A45935" w:rsidP="00C202EC">
            <w:pPr>
              <w:pStyle w:val="Hlistbullet2"/>
              <w:rPr>
                <w:noProof/>
                <w:lang w:val="es-ES_tradnl"/>
              </w:rPr>
            </w:pPr>
            <w:r w:rsidRPr="009E6414">
              <w:rPr>
                <w:noProof/>
                <w:sz w:val="18"/>
                <w:lang w:val="es-ES_tradnl"/>
              </w:rPr>
              <w:t>Evaluar cómo los GAL promueven la innovación a través de proyectos respaldados por estrategias de DLP o actividades dirigidas por el GAL a través de su promoción.</w:t>
            </w:r>
          </w:p>
        </w:tc>
      </w:tr>
      <w:tr w:rsidR="00A45935" w:rsidRPr="009E6414" w:rsidTr="00E05D08">
        <w:tc>
          <w:tcPr>
            <w:tcW w:w="1843" w:type="dxa"/>
          </w:tcPr>
          <w:p w:rsidR="00A45935" w:rsidRPr="009E6414" w:rsidRDefault="00A45935" w:rsidP="007E63EF">
            <w:pPr>
              <w:spacing w:after="120" w:line="280" w:lineRule="atLeast"/>
              <w:mirrorIndents/>
              <w:jc w:val="left"/>
              <w:rPr>
                <w:noProof/>
                <w:sz w:val="18"/>
                <w:szCs w:val="18"/>
                <w:lang w:val="es-ES_tradnl"/>
              </w:rPr>
            </w:pPr>
            <w:r w:rsidRPr="009E6414">
              <w:rPr>
                <w:noProof/>
                <w:sz w:val="18"/>
                <w:lang w:val="es-ES_tradnl"/>
              </w:rPr>
              <w:lastRenderedPageBreak/>
              <w:t>Grupos de discusión</w:t>
            </w:r>
          </w:p>
        </w:tc>
        <w:tc>
          <w:tcPr>
            <w:tcW w:w="6770" w:type="dxa"/>
          </w:tcPr>
          <w:p w:rsidR="00A45935" w:rsidRPr="009E6414" w:rsidRDefault="00A45935" w:rsidP="00C202EC">
            <w:pPr>
              <w:pStyle w:val="Hlistbullet"/>
              <w:rPr>
                <w:noProof/>
                <w:sz w:val="18"/>
                <w:szCs w:val="18"/>
                <w:lang w:val="es-ES_tradnl"/>
              </w:rPr>
            </w:pPr>
            <w:r w:rsidRPr="009E6414">
              <w:rPr>
                <w:noProof/>
                <w:sz w:val="18"/>
                <w:lang w:val="es-ES_tradnl"/>
              </w:rPr>
              <w:t>Implicar a los agentes de la innovación en los grupos de discusión (por ejemplo, servicios de apoyo a la innovación, asesores que actúan como mediadores para la innovación, centros de investigación e innovación, etc.).</w:t>
            </w:r>
          </w:p>
          <w:p w:rsidR="00A45935" w:rsidRPr="009E6414" w:rsidRDefault="00A45935" w:rsidP="00C202EC">
            <w:pPr>
              <w:pStyle w:val="Hlistbullet"/>
              <w:rPr>
                <w:noProof/>
                <w:sz w:val="18"/>
                <w:szCs w:val="18"/>
                <w:lang w:val="es-ES_tradnl"/>
              </w:rPr>
            </w:pPr>
            <w:r w:rsidRPr="009E6414">
              <w:rPr>
                <w:noProof/>
                <w:sz w:val="18"/>
                <w:lang w:val="es-ES_tradnl"/>
              </w:rPr>
              <w:t>Analizar cómo las submedidas pertinentes de las medidas 1 y 2, los GO y los GAL influyen en la capacidad para innovar y en la creación de un entorno propicio para la innovación.</w:t>
            </w:r>
          </w:p>
          <w:p w:rsidR="00A45935" w:rsidRPr="009E6414" w:rsidRDefault="00A45935" w:rsidP="00C202EC">
            <w:pPr>
              <w:pStyle w:val="Hlistbullet"/>
              <w:rPr>
                <w:noProof/>
                <w:sz w:val="18"/>
                <w:szCs w:val="18"/>
                <w:lang w:val="es-ES_tradnl"/>
              </w:rPr>
            </w:pPr>
            <w:r w:rsidRPr="009E6414">
              <w:rPr>
                <w:noProof/>
                <w:sz w:val="18"/>
                <w:lang w:val="es-ES_tradnl"/>
              </w:rPr>
              <w:t>Considerar la opción de grupos de discusión temáticos (por ejemplo, un grupo de discusión sobre la mediación para la innovación).</w:t>
            </w:r>
          </w:p>
        </w:tc>
      </w:tr>
      <w:tr w:rsidR="00A45935" w:rsidRPr="009E6414" w:rsidTr="00E05D08">
        <w:tc>
          <w:tcPr>
            <w:tcW w:w="1843" w:type="dxa"/>
          </w:tcPr>
          <w:p w:rsidR="00A45935" w:rsidRPr="009E6414" w:rsidRDefault="00A45935" w:rsidP="00E05D08">
            <w:pPr>
              <w:spacing w:after="120" w:line="280" w:lineRule="atLeast"/>
              <w:ind w:right="399"/>
              <w:mirrorIndents/>
              <w:rPr>
                <w:noProof/>
                <w:sz w:val="18"/>
                <w:szCs w:val="18"/>
                <w:lang w:val="es-ES_tradnl"/>
              </w:rPr>
            </w:pPr>
            <w:r w:rsidRPr="009E6414">
              <w:rPr>
                <w:noProof/>
                <w:sz w:val="18"/>
                <w:lang w:val="es-ES_tradnl"/>
              </w:rPr>
              <w:t>Método Delphi</w:t>
            </w:r>
          </w:p>
        </w:tc>
        <w:tc>
          <w:tcPr>
            <w:tcW w:w="6770" w:type="dxa"/>
          </w:tcPr>
          <w:p w:rsidR="00A45935" w:rsidRPr="009E6414" w:rsidRDefault="00A45935" w:rsidP="00C202EC">
            <w:pPr>
              <w:pStyle w:val="Hlistbullet"/>
              <w:rPr>
                <w:noProof/>
                <w:sz w:val="18"/>
                <w:szCs w:val="18"/>
                <w:lang w:val="es-ES_tradnl"/>
              </w:rPr>
            </w:pPr>
            <w:r w:rsidRPr="009E6414">
              <w:rPr>
                <w:noProof/>
                <w:sz w:val="18"/>
                <w:lang w:val="es-ES_tradnl"/>
              </w:rPr>
              <w:t>Implicar a expertos en innovación (por ejemplo, los que participan en medidas y proyectos de cooperación, pero también otros expertos en innovación como el personal académico, etc.).</w:t>
            </w:r>
          </w:p>
        </w:tc>
      </w:tr>
    </w:tbl>
    <w:p w:rsidR="00526777" w:rsidRDefault="00526777" w:rsidP="00EF1B0F">
      <w:pPr>
        <w:spacing w:before="240" w:after="120" w:line="280" w:lineRule="atLeast"/>
        <w:mirrorIndents/>
        <w:rPr>
          <w:b/>
          <w:i/>
          <w:noProof/>
          <w:sz w:val="18"/>
          <w:lang w:val="es-ES_tradnl"/>
        </w:rPr>
      </w:pPr>
    </w:p>
    <w:p w:rsidR="00526777" w:rsidRDefault="00526777" w:rsidP="00EF1B0F">
      <w:pPr>
        <w:spacing w:before="240" w:after="120" w:line="280" w:lineRule="atLeast"/>
        <w:mirrorIndents/>
        <w:rPr>
          <w:b/>
          <w:i/>
          <w:noProof/>
          <w:sz w:val="18"/>
          <w:lang w:val="es-ES_tradnl"/>
        </w:rPr>
      </w:pPr>
    </w:p>
    <w:p w:rsidR="00526777" w:rsidRDefault="00526777" w:rsidP="00EF1B0F">
      <w:pPr>
        <w:spacing w:before="240" w:after="120" w:line="280" w:lineRule="atLeast"/>
        <w:mirrorIndents/>
        <w:rPr>
          <w:b/>
          <w:i/>
          <w:noProof/>
          <w:sz w:val="18"/>
          <w:lang w:val="es-ES_tradnl"/>
        </w:rPr>
      </w:pPr>
    </w:p>
    <w:p w:rsidR="00526777" w:rsidRDefault="00526777" w:rsidP="00EF1B0F">
      <w:pPr>
        <w:spacing w:before="240" w:after="120" w:line="280" w:lineRule="atLeast"/>
        <w:mirrorIndents/>
        <w:rPr>
          <w:b/>
          <w:i/>
          <w:noProof/>
          <w:sz w:val="18"/>
          <w:lang w:val="es-ES_tradnl"/>
        </w:rPr>
      </w:pPr>
    </w:p>
    <w:p w:rsidR="00526777" w:rsidRDefault="00526777" w:rsidP="00EF1B0F">
      <w:pPr>
        <w:spacing w:before="240" w:after="120" w:line="280" w:lineRule="atLeast"/>
        <w:mirrorIndents/>
        <w:rPr>
          <w:b/>
          <w:i/>
          <w:noProof/>
          <w:sz w:val="18"/>
          <w:lang w:val="es-ES_tradnl"/>
        </w:rPr>
      </w:pPr>
    </w:p>
    <w:p w:rsidR="00526777" w:rsidRDefault="00526777" w:rsidP="00EF1B0F">
      <w:pPr>
        <w:spacing w:before="240" w:after="120" w:line="280" w:lineRule="atLeast"/>
        <w:mirrorIndents/>
        <w:rPr>
          <w:b/>
          <w:i/>
          <w:noProof/>
          <w:sz w:val="18"/>
          <w:lang w:val="es-ES_tradnl"/>
        </w:rPr>
      </w:pPr>
    </w:p>
    <w:p w:rsidR="00526777" w:rsidRDefault="00526777" w:rsidP="00EF1B0F">
      <w:pPr>
        <w:spacing w:before="240" w:after="120" w:line="280" w:lineRule="atLeast"/>
        <w:mirrorIndents/>
        <w:rPr>
          <w:b/>
          <w:i/>
          <w:noProof/>
          <w:sz w:val="18"/>
          <w:lang w:val="es-ES_tradnl"/>
        </w:rPr>
      </w:pPr>
    </w:p>
    <w:p w:rsidR="00526777" w:rsidRDefault="00526777" w:rsidP="00EF1B0F">
      <w:pPr>
        <w:spacing w:before="240" w:after="120" w:line="280" w:lineRule="atLeast"/>
        <w:mirrorIndents/>
        <w:rPr>
          <w:b/>
          <w:i/>
          <w:noProof/>
          <w:sz w:val="18"/>
          <w:lang w:val="es-ES_tradnl"/>
        </w:rPr>
      </w:pPr>
    </w:p>
    <w:p w:rsidR="00526777" w:rsidRDefault="00526777" w:rsidP="00EF1B0F">
      <w:pPr>
        <w:spacing w:before="240" w:after="120" w:line="280" w:lineRule="atLeast"/>
        <w:mirrorIndents/>
        <w:rPr>
          <w:b/>
          <w:i/>
          <w:noProof/>
          <w:sz w:val="18"/>
          <w:lang w:val="es-ES_tradnl"/>
        </w:rPr>
      </w:pPr>
    </w:p>
    <w:p w:rsidR="00526777" w:rsidRDefault="00526777" w:rsidP="00EF1B0F">
      <w:pPr>
        <w:spacing w:before="240" w:after="120" w:line="280" w:lineRule="atLeast"/>
        <w:mirrorIndents/>
        <w:rPr>
          <w:b/>
          <w:i/>
          <w:noProof/>
          <w:sz w:val="18"/>
          <w:lang w:val="es-ES_tradnl"/>
        </w:rPr>
      </w:pPr>
    </w:p>
    <w:p w:rsidR="00526777" w:rsidRDefault="00526777" w:rsidP="00EF1B0F">
      <w:pPr>
        <w:spacing w:before="240" w:after="120" w:line="280" w:lineRule="atLeast"/>
        <w:mirrorIndents/>
        <w:rPr>
          <w:b/>
          <w:i/>
          <w:noProof/>
          <w:sz w:val="18"/>
          <w:lang w:val="es-ES_tradnl"/>
        </w:rPr>
      </w:pPr>
    </w:p>
    <w:p w:rsidR="00526777" w:rsidRDefault="00526777" w:rsidP="00EF1B0F">
      <w:pPr>
        <w:spacing w:before="240" w:after="120" w:line="280" w:lineRule="atLeast"/>
        <w:mirrorIndents/>
        <w:rPr>
          <w:b/>
          <w:i/>
          <w:noProof/>
          <w:sz w:val="18"/>
          <w:lang w:val="es-ES_tradnl"/>
        </w:rPr>
      </w:pPr>
    </w:p>
    <w:p w:rsidR="00526777" w:rsidRDefault="00526777" w:rsidP="00EF1B0F">
      <w:pPr>
        <w:spacing w:before="240" w:after="120" w:line="280" w:lineRule="atLeast"/>
        <w:mirrorIndents/>
        <w:rPr>
          <w:b/>
          <w:i/>
          <w:noProof/>
          <w:sz w:val="18"/>
          <w:lang w:val="es-ES_tradnl"/>
        </w:rPr>
      </w:pPr>
    </w:p>
    <w:p w:rsidR="00526777" w:rsidRDefault="00526777" w:rsidP="00EF1B0F">
      <w:pPr>
        <w:spacing w:before="240" w:after="120" w:line="280" w:lineRule="atLeast"/>
        <w:mirrorIndents/>
        <w:rPr>
          <w:b/>
          <w:i/>
          <w:noProof/>
          <w:sz w:val="18"/>
          <w:lang w:val="es-ES_tradnl"/>
        </w:rPr>
      </w:pPr>
    </w:p>
    <w:p w:rsidR="00526777" w:rsidRDefault="00526777" w:rsidP="00EF1B0F">
      <w:pPr>
        <w:spacing w:before="240" w:after="120" w:line="280" w:lineRule="atLeast"/>
        <w:mirrorIndents/>
        <w:rPr>
          <w:b/>
          <w:i/>
          <w:noProof/>
          <w:sz w:val="18"/>
          <w:lang w:val="es-ES_tradnl"/>
        </w:rPr>
      </w:pPr>
    </w:p>
    <w:p w:rsidR="00526777" w:rsidRDefault="00526777" w:rsidP="00EF1B0F">
      <w:pPr>
        <w:spacing w:before="240" w:after="120" w:line="280" w:lineRule="atLeast"/>
        <w:mirrorIndents/>
        <w:rPr>
          <w:b/>
          <w:i/>
          <w:noProof/>
          <w:sz w:val="18"/>
          <w:lang w:val="es-ES_tradnl"/>
        </w:rPr>
      </w:pPr>
    </w:p>
    <w:p w:rsidR="00526777" w:rsidRDefault="00526777" w:rsidP="00EF1B0F">
      <w:pPr>
        <w:spacing w:before="240" w:after="120" w:line="280" w:lineRule="atLeast"/>
        <w:mirrorIndents/>
        <w:rPr>
          <w:b/>
          <w:i/>
          <w:noProof/>
          <w:sz w:val="18"/>
          <w:lang w:val="es-ES_tradnl"/>
        </w:rPr>
      </w:pPr>
    </w:p>
    <w:p w:rsidR="00526777" w:rsidRDefault="00526777" w:rsidP="00EF1B0F">
      <w:pPr>
        <w:spacing w:before="240" w:after="120" w:line="280" w:lineRule="atLeast"/>
        <w:mirrorIndents/>
        <w:rPr>
          <w:b/>
          <w:i/>
          <w:noProof/>
          <w:sz w:val="18"/>
          <w:lang w:val="es-ES_tradnl"/>
        </w:rPr>
      </w:pPr>
    </w:p>
    <w:p w:rsidR="00526777" w:rsidRDefault="00526777" w:rsidP="00EF1B0F">
      <w:pPr>
        <w:spacing w:before="240" w:after="120" w:line="280" w:lineRule="atLeast"/>
        <w:mirrorIndents/>
        <w:rPr>
          <w:b/>
          <w:i/>
          <w:noProof/>
          <w:sz w:val="18"/>
          <w:lang w:val="es-ES_tradnl"/>
        </w:rPr>
      </w:pPr>
    </w:p>
    <w:p w:rsidR="00EF1B0F" w:rsidRPr="009E6414" w:rsidRDefault="00EF1B0F" w:rsidP="00EF1B0F">
      <w:pPr>
        <w:spacing w:before="240" w:after="120" w:line="280" w:lineRule="atLeast"/>
        <w:mirrorIndents/>
        <w:rPr>
          <w:rFonts w:eastAsia="Times New Roman" w:cs="Times New Roman"/>
          <w:b/>
          <w:i/>
          <w:noProof/>
          <w:sz w:val="18"/>
          <w:szCs w:val="18"/>
          <w:lang w:val="es-ES_tradnl"/>
        </w:rPr>
      </w:pPr>
      <w:r w:rsidRPr="009E6414">
        <w:rPr>
          <w:b/>
          <w:i/>
          <w:noProof/>
          <w:sz w:val="18"/>
          <w:lang w:val="es-ES_tradnl"/>
        </w:rPr>
        <w:lastRenderedPageBreak/>
        <w:t>Prácticas de evaluación comunicadas en los IAE en 2017</w:t>
      </w:r>
    </w:p>
    <w:p w:rsidR="00A45935" w:rsidRPr="009E6414" w:rsidRDefault="00A45935" w:rsidP="00E05D08">
      <w:pPr>
        <w:spacing w:after="120" w:line="280" w:lineRule="atLeast"/>
        <w:mirrorIndents/>
        <w:rPr>
          <w:rFonts w:eastAsia="Times New Roman" w:cs="Times New Roman"/>
          <w:i/>
          <w:noProof/>
          <w:szCs w:val="20"/>
          <w:lang w:val="es-ES_tradnl"/>
        </w:rPr>
        <w:sectPr w:rsidR="00A45935" w:rsidRPr="009E6414" w:rsidSect="00055039">
          <w:endnotePr>
            <w:numFmt w:val="decimal"/>
          </w:endnotePr>
          <w:type w:val="continuous"/>
          <w:pgSz w:w="11906" w:h="16838" w:code="9"/>
          <w:pgMar w:top="1134" w:right="1440" w:bottom="1440" w:left="1440" w:header="567" w:footer="1021" w:gutter="0"/>
          <w:cols w:space="708"/>
          <w:noEndnote/>
          <w:titlePg/>
          <w:docGrid w:linePitch="360"/>
        </w:sectPr>
      </w:pPr>
    </w:p>
    <w:p w:rsidR="00C202EC" w:rsidRPr="009E6414" w:rsidRDefault="006F1601" w:rsidP="00E05D08">
      <w:pPr>
        <w:spacing w:after="120" w:line="280" w:lineRule="atLeast"/>
        <w:mirrorIndents/>
        <w:rPr>
          <w:rFonts w:eastAsia="Times New Roman" w:cs="Times New Roman"/>
          <w:b/>
          <w:i/>
          <w:noProof/>
          <w:sz w:val="18"/>
          <w:szCs w:val="18"/>
          <w:lang w:val="es-ES_tradnl"/>
        </w:rPr>
      </w:pPr>
      <w:r w:rsidRPr="009E6414">
        <w:rPr>
          <w:rFonts w:eastAsia="Times New Roman" w:cs="Times New Roman"/>
          <w:noProof/>
          <w:sz w:val="18"/>
          <w:szCs w:val="24"/>
          <w:lang w:val="en-GB" w:eastAsia="en-GB" w:bidi="ar-SA"/>
        </w:rPr>
        <mc:AlternateContent>
          <mc:Choice Requires="wps">
            <w:drawing>
              <wp:inline distT="0" distB="0" distL="0" distR="0" wp14:anchorId="42622DC9" wp14:editId="4B834A84">
                <wp:extent cx="5878195" cy="6619875"/>
                <wp:effectExtent l="0" t="0" r="27305" b="28575"/>
                <wp:docPr id="60" name="Rectangle: Diagonal Corners Rounded 60"/>
                <wp:cNvGraphicFramePr/>
                <a:graphic xmlns:a="http://schemas.openxmlformats.org/drawingml/2006/main">
                  <a:graphicData uri="http://schemas.microsoft.com/office/word/2010/wordprocessingShape">
                    <wps:wsp>
                      <wps:cNvSpPr/>
                      <wps:spPr>
                        <a:xfrm>
                          <a:off x="0" y="0"/>
                          <a:ext cx="5878195" cy="6619875"/>
                        </a:xfrm>
                        <a:prstGeom prst="round2DiagRect">
                          <a:avLst>
                            <a:gd name="adj1" fmla="val 5521"/>
                            <a:gd name="adj2" fmla="val 0"/>
                          </a:avLst>
                        </a:prstGeom>
                        <a:noFill/>
                        <a:ln w="25400" cap="flat" cmpd="sng" algn="ctr">
                          <a:solidFill>
                            <a:srgbClr val="F07E31"/>
                          </a:solidFill>
                          <a:prstDash val="solid"/>
                        </a:ln>
                        <a:effectLst/>
                      </wps:spPr>
                      <wps:txbx>
                        <w:txbxContent>
                          <w:p w:rsidR="008D2E0D" w:rsidRPr="00C202EC" w:rsidRDefault="008D2E0D" w:rsidP="00447B72">
                            <w:pPr>
                              <w:pStyle w:val="Normal12PTcouleurgris"/>
                              <w:ind w:left="567" w:hanging="567"/>
                              <w:rPr>
                                <w:b/>
                                <w:color w:val="F07E31"/>
                                <w:sz w:val="18"/>
                              </w:rPr>
                            </w:pPr>
                            <w:r>
                              <w:rPr>
                                <w:noProof/>
                                <w:color w:val="F07E31"/>
                                <w:lang w:val="en-GB" w:eastAsia="en-GB" w:bidi="ar-SA"/>
                              </w:rPr>
                              <w:drawing>
                                <wp:inline distT="0" distB="0" distL="0" distR="0" wp14:anchorId="5B4286D8" wp14:editId="223BF49F">
                                  <wp:extent cx="353060" cy="359410"/>
                                  <wp:effectExtent l="0" t="0" r="8890" b="2540"/>
                                  <wp:docPr id="74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rPr>
                              <w:t>Ejemplos para determinar el potencial de innovación</w:t>
                            </w:r>
                          </w:p>
                          <w:p w:rsidR="008D2E0D" w:rsidRPr="00C202EC" w:rsidRDefault="008D2E0D" w:rsidP="00C202EC">
                            <w:pPr>
                              <w:pStyle w:val="Hlistbullet"/>
                              <w:rPr>
                                <w:sz w:val="18"/>
                                <w:szCs w:val="18"/>
                              </w:rPr>
                            </w:pPr>
                            <w:r>
                              <w:rPr>
                                <w:b/>
                              </w:rPr>
                              <w:t>Castilla y León (ES)</w:t>
                            </w:r>
                            <w:r>
                              <w:t xml:space="preserve"> - recalca el potencial de innovación de los GAL y recomienda el análisis de las estrategias de desarrollo local para identificar tipos de operaciones ejecutadas en el marco de estrategias que fomentan la contribución de los GAL a los objetivos del </w:t>
                            </w:r>
                            <w:proofErr w:type="spellStart"/>
                            <w:r>
                              <w:t>AI1A</w:t>
                            </w:r>
                            <w:proofErr w:type="spellEnd"/>
                            <w:r>
                              <w:t xml:space="preserve"> relacionados con la innovación.</w:t>
                            </w:r>
                            <w:r>
                              <w:rPr>
                                <w:b/>
                                <w:sz w:val="18"/>
                              </w:rPr>
                              <w:t xml:space="preserve"> </w:t>
                            </w:r>
                          </w:p>
                          <w:p w:rsidR="008D2E0D" w:rsidRPr="00C202EC" w:rsidRDefault="008D2E0D" w:rsidP="00C202EC">
                            <w:pPr>
                              <w:pStyle w:val="Hlistbullet"/>
                              <w:rPr>
                                <w:sz w:val="18"/>
                                <w:szCs w:val="18"/>
                              </w:rPr>
                            </w:pPr>
                            <w:r>
                              <w:rPr>
                                <w:b/>
                              </w:rPr>
                              <w:t>Canarias (ES)</w:t>
                            </w:r>
                            <w:r>
                              <w:t xml:space="preserve"> - también recalca el potencial de innovación de los GAL y recomienda incluir una variable en el sistema de seguimiento y evaluación que indique si las operaciones ejecutadas por los GAL en el contexto de estrategias de desarrollo local en el marco de la </w:t>
                            </w:r>
                            <w:proofErr w:type="spellStart"/>
                            <w:r>
                              <w:t>M19</w:t>
                            </w:r>
                            <w:proofErr w:type="spellEnd"/>
                            <w:r>
                              <w:t xml:space="preserve"> son innovadoras.</w:t>
                            </w:r>
                          </w:p>
                          <w:p w:rsidR="008D2E0D" w:rsidRPr="00C202EC" w:rsidRDefault="008D2E0D" w:rsidP="003F6478">
                            <w:pPr>
                              <w:pStyle w:val="HStandard"/>
                              <w:ind w:left="567" w:hanging="567"/>
                              <w:rPr>
                                <w:b/>
                                <w:color w:val="F07E31"/>
                                <w:sz w:val="18"/>
                                <w:szCs w:val="18"/>
                              </w:rPr>
                            </w:pPr>
                            <w:r>
                              <w:rPr>
                                <w:b/>
                                <w:color w:val="F07E31"/>
                                <w:sz w:val="18"/>
                              </w:rPr>
                              <w:t xml:space="preserve">Ejemplos de elementos de evaluación complementarios </w:t>
                            </w:r>
                          </w:p>
                          <w:p w:rsidR="008D2E0D" w:rsidRPr="00C202EC" w:rsidRDefault="008D2E0D" w:rsidP="00C202EC">
                            <w:pPr>
                              <w:pStyle w:val="Hlistbullet"/>
                              <w:rPr>
                                <w:sz w:val="18"/>
                                <w:szCs w:val="18"/>
                              </w:rPr>
                            </w:pPr>
                            <w:r>
                              <w:rPr>
                                <w:b/>
                              </w:rPr>
                              <w:t>Baviera (DE)</w:t>
                            </w:r>
                            <w:r>
                              <w:t xml:space="preserve"> - menciona la utilización de criterios de valoración complementarios relacionados con la innovación a nivel del GAL (por ejemplo, nuevos proyectos multisectoriales empleados por el GAL, nuevos procesos o técnicas objeto de ensayo).</w:t>
                            </w:r>
                            <w:r>
                              <w:rPr>
                                <w:sz w:val="18"/>
                              </w:rPr>
                              <w:t xml:space="preserve"> Se ha empleado un indicador de resultados complementario (nuevas ideas/soluciones, innovaciones - </w:t>
                            </w:r>
                            <w:proofErr w:type="spellStart"/>
                            <w:r>
                              <w:rPr>
                                <w:sz w:val="18"/>
                              </w:rPr>
                              <w:t>M19</w:t>
                            </w:r>
                            <w:proofErr w:type="spellEnd"/>
                            <w:r>
                              <w:rPr>
                                <w:sz w:val="18"/>
                              </w:rPr>
                              <w:t xml:space="preserve">). El indicador se ha cuantificado y la información se ha recopilado a través de a) una encuesta en línea con los directores de los GAL; b) entrevistas semiestructuradas con los directores de los GAL seleccionados. </w:t>
                            </w:r>
                          </w:p>
                          <w:p w:rsidR="008D2E0D" w:rsidRPr="00C202EC" w:rsidRDefault="008D2E0D" w:rsidP="00C202EC">
                            <w:pPr>
                              <w:pStyle w:val="Hlistbullet"/>
                              <w:rPr>
                                <w:sz w:val="18"/>
                                <w:szCs w:val="18"/>
                              </w:rPr>
                            </w:pPr>
                            <w:r>
                              <w:rPr>
                                <w:b/>
                              </w:rPr>
                              <w:t>República Checa</w:t>
                            </w:r>
                            <w:r>
                              <w:t xml:space="preserve"> - describe la recopilación de datos para el indicador de resultados complementario «número de participantes que finalizaron las actividades centradas en las innovaciones» a través de la base de datos de operaciones.</w:t>
                            </w:r>
                            <w:r>
                              <w:rPr>
                                <w:sz w:val="18"/>
                              </w:rPr>
                              <w:t xml:space="preserve"> También menciona una encuesta con beneficiarios de proyectos subvencionados para recopilar información sobre innovación.</w:t>
                            </w:r>
                          </w:p>
                          <w:p w:rsidR="008D2E0D" w:rsidRPr="00C202EC" w:rsidRDefault="008D2E0D" w:rsidP="00142A64">
                            <w:pPr>
                              <w:pStyle w:val="HStandard"/>
                              <w:rPr>
                                <w:b/>
                                <w:sz w:val="18"/>
                                <w:szCs w:val="18"/>
                              </w:rPr>
                            </w:pPr>
                            <w:r>
                              <w:rPr>
                                <w:b/>
                                <w:color w:val="F07E31"/>
                                <w:sz w:val="18"/>
                              </w:rPr>
                              <w:t>Ejemplos de métodos</w:t>
                            </w:r>
                          </w:p>
                          <w:p w:rsidR="008D2E0D" w:rsidRPr="00C202EC" w:rsidRDefault="008D2E0D" w:rsidP="00C202EC">
                            <w:pPr>
                              <w:pStyle w:val="Hlistbullet"/>
                              <w:rPr>
                                <w:sz w:val="18"/>
                                <w:szCs w:val="18"/>
                              </w:rPr>
                            </w:pPr>
                            <w:r>
                              <w:rPr>
                                <w:b/>
                              </w:rPr>
                              <w:t>Castilla y León (ES)</w:t>
                            </w:r>
                            <w:r>
                              <w:t xml:space="preserve"> - recomienda entrevistar a cada gestor de la medida e incluir nuevos elementos de datos en el sistema de seguimiento que permitan evaluar cómo diferentes operaciones incorporan elementos innovadores y contribuyen a los objetivos de innovación.</w:t>
                            </w:r>
                          </w:p>
                          <w:p w:rsidR="008D2E0D" w:rsidRPr="00C202EC" w:rsidRDefault="008D2E0D" w:rsidP="00C202EC">
                            <w:pPr>
                              <w:pStyle w:val="Hlistbullet"/>
                            </w:pPr>
                            <w:r>
                              <w:rPr>
                                <w:b/>
                              </w:rPr>
                              <w:t>Castilla-La Mancha (ES)</w:t>
                            </w:r>
                            <w:r>
                              <w:t xml:space="preserve"> - utilizó una encuesta enviada a todos los participantes en acciones de formación para evaluar, entre otras cosas, las contribuciones de las acciones de transferencia de conocimientos e información a la innovación.</w:t>
                            </w:r>
                            <w:r>
                              <w:rPr>
                                <w:sz w:val="18"/>
                              </w:rPr>
                              <w:t xml:space="preserve"> La encuesta permitió hacer una valoración de las sesiones de formación innovadoras.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622DC9" id="Rectangle: Diagonal Corners Rounded 60" o:spid="_x0000_s1044" style="width:462.85pt;height:521.25pt;visibility:visible;mso-wrap-style:square;mso-left-percent:-10001;mso-top-percent:-10001;mso-position-horizontal:absolute;mso-position-horizontal-relative:char;mso-position-vertical:absolute;mso-position-vertical-relative:line;mso-left-percent:-10001;mso-top-percent:-10001;v-text-anchor:middle" coordsize="5878195,661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" adj="-11796480,,5400" path="m324535,l5878195,r,l5878195,6295340v,179236,-145299,324535,-324535,324535l,6619875r,l,324535c,145299,145299,,324535,xe" filled="f" strokecolor="#f07e31" strokeweight="2pt">
                <v:stroke joinstyle="miter"/>
                <v:formulas/>
                <v:path arrowok="t" o:connecttype="custom" o:connectlocs="324535,0;5878195,0;5878195,0;5878195,6295340;5553660,6619875;0,6619875;0,6619875;0,324535;324535,0" o:connectangles="0,0,0,0,0,0,0,0,0" textboxrect="0,0,5878195,6619875"/>
                <v:textbox>
                  <w:txbxContent>
                    <w:p w:rsidR="008D2E0D" w:rsidRPr="00C202EC" w:rsidRDefault="008D2E0D" w:rsidP="00447B72">
                      <w:pPr>
                        <w:pStyle w:val="Normal12PTcouleurgris"/>
                        <w:ind w:left="567" w:hanging="567"/>
                        <w:rPr>
                          <w:b/>
                          <w:color w:val="F07E31"/>
                          <w:sz w:val="18"/>
                        </w:rPr>
                      </w:pPr>
                      <w:r>
                        <w:rPr>
                          <w:noProof/>
                          <w:color w:val="F07E31"/>
                          <w:lang w:val="en-GB" w:eastAsia="en-GB" w:bidi="ar-SA"/>
                        </w:rPr>
                        <w:drawing>
                          <wp:inline distT="0" distB="0" distL="0" distR="0" wp14:anchorId="5B4286D8" wp14:editId="223BF49F">
                            <wp:extent cx="353060" cy="359410"/>
                            <wp:effectExtent l="0" t="0" r="8890" b="2540"/>
                            <wp:docPr id="74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rPr>
                        <w:t>Ejemplos para determinar el potencial de innovación</w:t>
                      </w:r>
                    </w:p>
                    <w:p w:rsidR="008D2E0D" w:rsidRPr="00C202EC" w:rsidRDefault="008D2E0D" w:rsidP="00C202EC">
                      <w:pPr>
                        <w:pStyle w:val="Hlistbullet"/>
                        <w:rPr>
                          <w:sz w:val="18"/>
                          <w:szCs w:val="18"/>
                        </w:rPr>
                      </w:pPr>
                      <w:r>
                        <w:rPr>
                          <w:b/>
                        </w:rPr>
                        <w:t>Castilla y León (ES)</w:t>
                      </w:r>
                      <w:r>
                        <w:t xml:space="preserve"> - recalca el potencial de innovación de los GAL y recomienda el análisis de las estrategias de desarrollo local para identificar tipos de operaciones ejecutadas en el marco de estrategias que fomentan la contribución de los GAL a los objetivos del </w:t>
                      </w:r>
                      <w:proofErr w:type="spellStart"/>
                      <w:r>
                        <w:t>AI1A</w:t>
                      </w:r>
                      <w:proofErr w:type="spellEnd"/>
                      <w:r>
                        <w:t xml:space="preserve"> relacionados con la innovación.</w:t>
                      </w:r>
                      <w:r>
                        <w:rPr>
                          <w:b/>
                          <w:sz w:val="18"/>
                        </w:rPr>
                        <w:t xml:space="preserve"> </w:t>
                      </w:r>
                    </w:p>
                    <w:p w:rsidR="008D2E0D" w:rsidRPr="00C202EC" w:rsidRDefault="008D2E0D" w:rsidP="00C202EC">
                      <w:pPr>
                        <w:pStyle w:val="Hlistbullet"/>
                        <w:rPr>
                          <w:sz w:val="18"/>
                          <w:szCs w:val="18"/>
                        </w:rPr>
                      </w:pPr>
                      <w:r>
                        <w:rPr>
                          <w:b/>
                        </w:rPr>
                        <w:t>Canarias (ES)</w:t>
                      </w:r>
                      <w:r>
                        <w:t xml:space="preserve"> - también recalca el potencial de innovación de los GAL y recomienda incluir una variable en el sistema de seguimiento y evaluación que indique si las operaciones ejecutadas por los GAL en el contexto de estrategias de desarrollo local en el marco de la </w:t>
                      </w:r>
                      <w:proofErr w:type="spellStart"/>
                      <w:r>
                        <w:t>M19</w:t>
                      </w:r>
                      <w:proofErr w:type="spellEnd"/>
                      <w:r>
                        <w:t xml:space="preserve"> son innovadoras.</w:t>
                      </w:r>
                    </w:p>
                    <w:p w:rsidR="008D2E0D" w:rsidRPr="00C202EC" w:rsidRDefault="008D2E0D" w:rsidP="003F6478">
                      <w:pPr>
                        <w:pStyle w:val="HStandard"/>
                        <w:ind w:left="567" w:hanging="567"/>
                        <w:rPr>
                          <w:b/>
                          <w:color w:val="F07E31"/>
                          <w:sz w:val="18"/>
                          <w:szCs w:val="18"/>
                        </w:rPr>
                      </w:pPr>
                      <w:r>
                        <w:rPr>
                          <w:b/>
                          <w:color w:val="F07E31"/>
                          <w:sz w:val="18"/>
                        </w:rPr>
                        <w:t xml:space="preserve">Ejemplos de elementos de evaluación complementarios </w:t>
                      </w:r>
                    </w:p>
                    <w:p w:rsidR="008D2E0D" w:rsidRPr="00C202EC" w:rsidRDefault="008D2E0D" w:rsidP="00C202EC">
                      <w:pPr>
                        <w:pStyle w:val="Hlistbullet"/>
                        <w:rPr>
                          <w:sz w:val="18"/>
                          <w:szCs w:val="18"/>
                        </w:rPr>
                      </w:pPr>
                      <w:r>
                        <w:rPr>
                          <w:b/>
                        </w:rPr>
                        <w:t>Baviera (DE)</w:t>
                      </w:r>
                      <w:r>
                        <w:t xml:space="preserve"> - menciona la utilización de criterios de valoración complementarios relacionados con la innovación a nivel del GAL (por ejemplo, nuevos proyectos multisectoriales empleados por el GAL, nuevos procesos o técnicas objeto de ensayo).</w:t>
                      </w:r>
                      <w:r>
                        <w:rPr>
                          <w:sz w:val="18"/>
                        </w:rPr>
                        <w:t xml:space="preserve"> Se ha empleado un indicador de resultados complementario (nuevas ideas/soluciones, innovaciones - </w:t>
                      </w:r>
                      <w:proofErr w:type="spellStart"/>
                      <w:r>
                        <w:rPr>
                          <w:sz w:val="18"/>
                        </w:rPr>
                        <w:t>M19</w:t>
                      </w:r>
                      <w:proofErr w:type="spellEnd"/>
                      <w:r>
                        <w:rPr>
                          <w:sz w:val="18"/>
                        </w:rPr>
                        <w:t xml:space="preserve">). El indicador se ha cuantificado y la información se ha recopilado a través de a) una encuesta en línea con los directores de los GAL; b) entrevistas semiestructuradas con los directores de los GAL seleccionados. </w:t>
                      </w:r>
                    </w:p>
                    <w:p w:rsidR="008D2E0D" w:rsidRPr="00C202EC" w:rsidRDefault="008D2E0D" w:rsidP="00C202EC">
                      <w:pPr>
                        <w:pStyle w:val="Hlistbullet"/>
                        <w:rPr>
                          <w:sz w:val="18"/>
                          <w:szCs w:val="18"/>
                        </w:rPr>
                      </w:pPr>
                      <w:r>
                        <w:rPr>
                          <w:b/>
                        </w:rPr>
                        <w:t>República Checa</w:t>
                      </w:r>
                      <w:r>
                        <w:t xml:space="preserve"> - describe la recopilación de datos para el indicador de resultados complementario «número de participantes que finalizaron las actividades centradas en las innovaciones» a través de la base de datos de operaciones.</w:t>
                      </w:r>
                      <w:r>
                        <w:rPr>
                          <w:sz w:val="18"/>
                        </w:rPr>
                        <w:t xml:space="preserve"> También menciona una encuesta con beneficiarios de proyectos subvencionados para recopilar información sobre innovación.</w:t>
                      </w:r>
                    </w:p>
                    <w:p w:rsidR="008D2E0D" w:rsidRPr="00C202EC" w:rsidRDefault="008D2E0D" w:rsidP="00142A64">
                      <w:pPr>
                        <w:pStyle w:val="HStandard"/>
                        <w:rPr>
                          <w:b/>
                          <w:sz w:val="18"/>
                          <w:szCs w:val="18"/>
                        </w:rPr>
                      </w:pPr>
                      <w:r>
                        <w:rPr>
                          <w:b/>
                          <w:color w:val="F07E31"/>
                          <w:sz w:val="18"/>
                        </w:rPr>
                        <w:t>Ejemplos de métodos</w:t>
                      </w:r>
                    </w:p>
                    <w:p w:rsidR="008D2E0D" w:rsidRPr="00C202EC" w:rsidRDefault="008D2E0D" w:rsidP="00C202EC">
                      <w:pPr>
                        <w:pStyle w:val="Hlistbullet"/>
                        <w:rPr>
                          <w:sz w:val="18"/>
                          <w:szCs w:val="18"/>
                        </w:rPr>
                      </w:pPr>
                      <w:r>
                        <w:rPr>
                          <w:b/>
                        </w:rPr>
                        <w:t>Castilla y León (ES)</w:t>
                      </w:r>
                      <w:r>
                        <w:t xml:space="preserve"> - recomienda entrevistar a cada gestor de la medida e incluir nuevos elementos de datos en el sistema de seguimiento que permitan evaluar cómo diferentes operaciones incorporan elementos innovadores y contribuyen a los objetivos de innovación.</w:t>
                      </w:r>
                    </w:p>
                    <w:p w:rsidR="008D2E0D" w:rsidRPr="00C202EC" w:rsidRDefault="008D2E0D" w:rsidP="00C202EC">
                      <w:pPr>
                        <w:pStyle w:val="Hlistbullet"/>
                      </w:pPr>
                      <w:r>
                        <w:rPr>
                          <w:b/>
                        </w:rPr>
                        <w:t>Castilla-La Mancha (ES)</w:t>
                      </w:r>
                      <w:r>
                        <w:t xml:space="preserve"> - utilizó una encuesta enviada a todos los participantes en acciones de formación para evaluar, entre otras cosas, las contribuciones de las acciones de transferencia de conocimientos e información a la innovación.</w:t>
                      </w:r>
                      <w:r>
                        <w:rPr>
                          <w:sz w:val="18"/>
                        </w:rPr>
                        <w:t xml:space="preserve"> La encuesta permitió hacer una valoración de las sesiones de formación innovadoras.</w:t>
                      </w:r>
                    </w:p>
                  </w:txbxContent>
                </v:textbox>
                <w10:anchorlock/>
              </v:shape>
            </w:pict>
          </mc:Fallback>
        </mc:AlternateContent>
      </w:r>
    </w:p>
    <w:p w:rsidR="00C202EC" w:rsidRPr="009E6414" w:rsidRDefault="00C202EC">
      <w:pPr>
        <w:jc w:val="left"/>
        <w:rPr>
          <w:rFonts w:eastAsia="Times New Roman" w:cs="Times New Roman"/>
          <w:b/>
          <w:i/>
          <w:noProof/>
          <w:sz w:val="18"/>
          <w:szCs w:val="18"/>
          <w:lang w:val="es-ES_tradnl"/>
        </w:rPr>
      </w:pPr>
      <w:r w:rsidRPr="009E6414">
        <w:rPr>
          <w:noProof/>
          <w:lang w:val="es-ES_tradnl"/>
        </w:rPr>
        <w:br w:type="page"/>
      </w:r>
    </w:p>
    <w:p w:rsidR="00A45935" w:rsidRPr="009E6414" w:rsidRDefault="00A45935" w:rsidP="00AB16BB">
      <w:pPr>
        <w:pStyle w:val="ListParagraph"/>
        <w:numPr>
          <w:ilvl w:val="0"/>
          <w:numId w:val="55"/>
        </w:numPr>
        <w:spacing w:after="120" w:line="280" w:lineRule="atLeast"/>
        <w:ind w:left="567" w:hanging="567"/>
        <w:rPr>
          <w:rFonts w:eastAsia="Times New Roman" w:cs="Times New Roman"/>
          <w:b/>
          <w:noProof/>
          <w:szCs w:val="20"/>
          <w:lang w:val="es-ES_tradnl"/>
        </w:rPr>
      </w:pPr>
      <w:r w:rsidRPr="009E6414">
        <w:rPr>
          <w:b/>
          <w:noProof/>
          <w:lang w:val="es-ES_tradnl"/>
        </w:rPr>
        <w:lastRenderedPageBreak/>
        <w:t xml:space="preserve">Riesgos y soluciones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833"/>
        <w:gridCol w:w="5097"/>
      </w:tblGrid>
      <w:tr w:rsidR="00A45935" w:rsidRPr="009E6414" w:rsidTr="00E05D08">
        <w:tc>
          <w:tcPr>
            <w:tcW w:w="3833" w:type="dxa"/>
            <w:shd w:val="clear" w:color="auto" w:fill="F07E31"/>
            <w:hideMark/>
          </w:tcPr>
          <w:p w:rsidR="00A45935" w:rsidRPr="009E6414" w:rsidRDefault="00A45935" w:rsidP="00E05D08">
            <w:pPr>
              <w:tabs>
                <w:tab w:val="left" w:pos="2070"/>
              </w:tabs>
              <w:spacing w:after="120" w:line="280" w:lineRule="atLeast"/>
              <w:mirrorIndents/>
              <w:jc w:val="center"/>
              <w:rPr>
                <w:b/>
                <w:noProof/>
                <w:color w:val="FFFFFF" w:themeColor="background1"/>
                <w:sz w:val="18"/>
                <w:szCs w:val="18"/>
                <w:lang w:val="es-ES_tradnl"/>
              </w:rPr>
            </w:pPr>
            <w:r w:rsidRPr="009E6414">
              <w:rPr>
                <w:b/>
                <w:noProof/>
                <w:color w:val="FFFFFF" w:themeColor="background1"/>
                <w:sz w:val="18"/>
                <w:lang w:val="es-ES_tradnl"/>
              </w:rPr>
              <w:t>Riesgos</w:t>
            </w:r>
          </w:p>
        </w:tc>
        <w:tc>
          <w:tcPr>
            <w:tcW w:w="5097" w:type="dxa"/>
            <w:shd w:val="clear" w:color="auto" w:fill="F07E31"/>
            <w:hideMark/>
          </w:tcPr>
          <w:p w:rsidR="00A45935" w:rsidRPr="009E6414" w:rsidRDefault="00A45935" w:rsidP="00E05D08">
            <w:pPr>
              <w:spacing w:after="120" w:line="280" w:lineRule="atLeast"/>
              <w:mirrorIndents/>
              <w:jc w:val="center"/>
              <w:rPr>
                <w:b/>
                <w:noProof/>
                <w:color w:val="FFFFFF" w:themeColor="background1"/>
                <w:sz w:val="18"/>
                <w:szCs w:val="18"/>
                <w:lang w:val="es-ES_tradnl"/>
              </w:rPr>
            </w:pPr>
            <w:r w:rsidRPr="009E6414">
              <w:rPr>
                <w:b/>
                <w:noProof/>
                <w:color w:val="FFFFFF" w:themeColor="background1"/>
                <w:sz w:val="18"/>
                <w:lang w:val="es-ES_tradnl"/>
              </w:rPr>
              <w:t>Soluciones</w:t>
            </w:r>
          </w:p>
        </w:tc>
      </w:tr>
      <w:tr w:rsidR="00A45935" w:rsidRPr="009E6414" w:rsidTr="00E05D08">
        <w:tc>
          <w:tcPr>
            <w:tcW w:w="3833" w:type="dxa"/>
          </w:tcPr>
          <w:p w:rsidR="00A45935" w:rsidRPr="009E6414" w:rsidRDefault="00A45935" w:rsidP="007E63EF">
            <w:pPr>
              <w:spacing w:after="120" w:line="280" w:lineRule="atLeast"/>
              <w:ind w:left="164" w:right="49"/>
              <w:mirrorIndents/>
              <w:rPr>
                <w:noProof/>
                <w:sz w:val="18"/>
                <w:szCs w:val="18"/>
                <w:lang w:val="es-ES_tradnl"/>
              </w:rPr>
            </w:pPr>
            <w:r w:rsidRPr="009E6414">
              <w:rPr>
                <w:noProof/>
                <w:sz w:val="18"/>
                <w:lang w:val="es-ES_tradnl"/>
              </w:rPr>
              <w:t>Algunos elementos de datos (por ejemplo, el número definitivo de proyectos de cooperación) puede no estar disponible hasta después del final del período de programación.</w:t>
            </w:r>
          </w:p>
        </w:tc>
        <w:tc>
          <w:tcPr>
            <w:tcW w:w="5097" w:type="dxa"/>
          </w:tcPr>
          <w:p w:rsidR="00A45935" w:rsidRPr="009E6414" w:rsidRDefault="00A45935" w:rsidP="007E63EF">
            <w:pPr>
              <w:spacing w:after="120" w:line="280" w:lineRule="atLeast"/>
              <w:ind w:left="164" w:right="49"/>
              <w:mirrorIndents/>
              <w:rPr>
                <w:noProof/>
                <w:sz w:val="18"/>
                <w:szCs w:val="18"/>
                <w:lang w:val="es-ES_tradnl"/>
              </w:rPr>
            </w:pPr>
            <w:r w:rsidRPr="009E6414">
              <w:rPr>
                <w:noProof/>
                <w:sz w:val="18"/>
                <w:lang w:val="es-ES_tradnl"/>
              </w:rPr>
              <w:t>Los tipos de estructuras de cooperación o GO creados (estructura jurídica, composición, declaración de compromiso de los socios, etc.) pueden analizarse mediante una evaluación cualitativa como un indicador del número definitivo de estructuras de cooperación.</w:t>
            </w:r>
          </w:p>
        </w:tc>
      </w:tr>
      <w:tr w:rsidR="00A45935" w:rsidRPr="009E6414" w:rsidTr="00E05D08">
        <w:tc>
          <w:tcPr>
            <w:tcW w:w="3833" w:type="dxa"/>
          </w:tcPr>
          <w:p w:rsidR="00A45935" w:rsidRPr="009E6414" w:rsidRDefault="00A45935" w:rsidP="007E63EF">
            <w:pPr>
              <w:spacing w:after="120" w:line="280" w:lineRule="atLeast"/>
              <w:ind w:left="164" w:right="49"/>
              <w:mirrorIndents/>
              <w:rPr>
                <w:noProof/>
                <w:sz w:val="18"/>
                <w:szCs w:val="18"/>
                <w:lang w:val="es-ES_tradnl"/>
              </w:rPr>
            </w:pPr>
            <w:r w:rsidRPr="009E6414">
              <w:rPr>
                <w:noProof/>
                <w:sz w:val="18"/>
                <w:lang w:val="es-ES_tradnl"/>
              </w:rPr>
              <w:t>La información sobre la composición y los tipos de socios en proyectos de cooperación o partes interesadas en la innovación en M1 y M2 no pueden consignarse en los datos de seguimiento.</w:t>
            </w:r>
          </w:p>
        </w:tc>
        <w:tc>
          <w:tcPr>
            <w:tcW w:w="5097" w:type="dxa"/>
          </w:tcPr>
          <w:p w:rsidR="00A45935" w:rsidRPr="009E6414" w:rsidRDefault="00A45935" w:rsidP="007E63EF">
            <w:pPr>
              <w:spacing w:after="120" w:line="280" w:lineRule="atLeast"/>
              <w:ind w:left="164" w:right="49"/>
              <w:mirrorIndents/>
              <w:rPr>
                <w:noProof/>
                <w:sz w:val="18"/>
                <w:szCs w:val="18"/>
                <w:lang w:val="es-ES_tradnl"/>
              </w:rPr>
            </w:pPr>
            <w:r w:rsidRPr="009E6414">
              <w:rPr>
                <w:noProof/>
                <w:sz w:val="18"/>
                <w:lang w:val="es-ES_tradnl"/>
              </w:rPr>
              <w:t>La composición y los tipos de socios pueden evaluarse mediante encuestas y entrevistas sobre operaciones subvencionadas. Alternativamente, los formularios de solicitud de las operaciones subvencionadas pueden proporcionar datos útiles.</w:t>
            </w:r>
          </w:p>
        </w:tc>
      </w:tr>
      <w:tr w:rsidR="00A45935" w:rsidRPr="009E6414" w:rsidTr="00E05D08">
        <w:tc>
          <w:tcPr>
            <w:tcW w:w="3833" w:type="dxa"/>
          </w:tcPr>
          <w:p w:rsidR="00A45935" w:rsidRPr="009E6414" w:rsidRDefault="00A45935" w:rsidP="007E63EF">
            <w:pPr>
              <w:spacing w:after="120" w:line="280" w:lineRule="atLeast"/>
              <w:ind w:left="164" w:right="49"/>
              <w:mirrorIndents/>
              <w:rPr>
                <w:noProof/>
                <w:sz w:val="18"/>
                <w:szCs w:val="18"/>
                <w:lang w:val="es-ES_tradnl"/>
              </w:rPr>
            </w:pPr>
            <w:r w:rsidRPr="009E6414">
              <w:rPr>
                <w:noProof/>
                <w:sz w:val="18"/>
                <w:lang w:val="es-ES_tradnl"/>
              </w:rPr>
              <w:t>El tipo de innovación creada y su utilización no pueden registrarse en los cuadros de seguimiento.</w:t>
            </w:r>
          </w:p>
        </w:tc>
        <w:tc>
          <w:tcPr>
            <w:tcW w:w="5097" w:type="dxa"/>
          </w:tcPr>
          <w:p w:rsidR="00A45935" w:rsidRPr="009E6414" w:rsidRDefault="00A45935" w:rsidP="007E63EF">
            <w:pPr>
              <w:spacing w:after="120" w:line="280" w:lineRule="atLeast"/>
              <w:ind w:left="164" w:right="49"/>
              <w:mirrorIndents/>
              <w:rPr>
                <w:noProof/>
                <w:sz w:val="18"/>
                <w:szCs w:val="18"/>
                <w:lang w:val="es-ES_tradnl"/>
              </w:rPr>
            </w:pPr>
            <w:r w:rsidRPr="009E6414">
              <w:rPr>
                <w:noProof/>
                <w:sz w:val="18"/>
                <w:lang w:val="es-ES_tradnl"/>
              </w:rPr>
              <w:t xml:space="preserve">Encuestas, grupos de discusión y entrevistas con los grupos operativos pueden ayudar a estimar los tipos de innovación creados. </w:t>
            </w:r>
          </w:p>
        </w:tc>
      </w:tr>
    </w:tbl>
    <w:p w:rsidR="00A45935" w:rsidRPr="009E6414" w:rsidRDefault="00A45935" w:rsidP="00582F60">
      <w:pPr>
        <w:numPr>
          <w:ilvl w:val="0"/>
          <w:numId w:val="55"/>
        </w:numPr>
        <w:spacing w:before="120" w:after="120" w:line="280" w:lineRule="atLeast"/>
        <w:ind w:left="567" w:hanging="567"/>
        <w:mirrorIndents/>
        <w:rPr>
          <w:rFonts w:eastAsia="Times New Roman" w:cs="Times New Roman"/>
          <w:b/>
          <w:noProof/>
          <w:szCs w:val="20"/>
          <w:lang w:val="es-ES_tradnl"/>
        </w:rPr>
      </w:pPr>
      <w:r w:rsidRPr="009E6414">
        <w:rPr>
          <w:b/>
          <w:noProof/>
          <w:lang w:val="es-ES_tradnl"/>
        </w:rPr>
        <w:t>Conclusiones y recomendaciones</w:t>
      </w:r>
    </w:p>
    <w:p w:rsidR="00A45935" w:rsidRPr="009E6414" w:rsidRDefault="00A45935" w:rsidP="00E05D08">
      <w:pPr>
        <w:spacing w:after="120" w:line="280" w:lineRule="atLeast"/>
        <w:mirrorIndents/>
        <w:rPr>
          <w:rFonts w:eastAsia="Calibri" w:cs="Times New Roman"/>
          <w:noProof/>
          <w:szCs w:val="20"/>
          <w:shd w:val="clear" w:color="auto" w:fill="FFFFFF"/>
          <w:lang w:val="es-ES_tradnl"/>
        </w:rPr>
      </w:pPr>
      <w:r w:rsidRPr="009E6414">
        <w:rPr>
          <w:noProof/>
          <w:lang w:val="es-ES_tradnl"/>
        </w:rPr>
        <w:t>Las conclusiones y recomendaciones deben abordar, al menos, las siguientes cuestiones políticas:</w:t>
      </w:r>
    </w:p>
    <w:p w:rsidR="00A45935" w:rsidRPr="009E6414" w:rsidRDefault="00A45935" w:rsidP="00AB16BB">
      <w:pPr>
        <w:pStyle w:val="Hlistbullet"/>
        <w:rPr>
          <w:rFonts w:eastAsia="Calibri"/>
          <w:noProof/>
          <w:shd w:val="clear" w:color="auto" w:fill="FFFFFF"/>
          <w:lang w:val="es-ES_tradnl"/>
        </w:rPr>
      </w:pPr>
      <w:r w:rsidRPr="009E6414">
        <w:rPr>
          <w:b/>
          <w:noProof/>
          <w:shd w:val="clear" w:color="auto" w:fill="FFFFFF"/>
          <w:lang w:val="es-ES_tradnl"/>
        </w:rPr>
        <w:t>La realización del potencial de innovación</w:t>
      </w:r>
      <w:r w:rsidRPr="009E6414">
        <w:rPr>
          <w:noProof/>
          <w:lang w:val="es-ES_tradnl"/>
        </w:rPr>
        <w:t xml:space="preserve"> (a través de las tres vías) de las medidas M1, M2, M16 y M19 y sus submedidas identificadas.</w:t>
      </w:r>
    </w:p>
    <w:p w:rsidR="00A45935" w:rsidRPr="009E6414" w:rsidRDefault="00A45935" w:rsidP="00AB16BB">
      <w:pPr>
        <w:pStyle w:val="Hlistbullet"/>
        <w:rPr>
          <w:rFonts w:eastAsia="Calibri"/>
          <w:noProof/>
          <w:shd w:val="clear" w:color="auto" w:fill="FFFFFF"/>
          <w:lang w:val="es-ES_tradnl"/>
        </w:rPr>
      </w:pPr>
      <w:r w:rsidRPr="009E6414">
        <w:rPr>
          <w:b/>
          <w:noProof/>
          <w:shd w:val="clear" w:color="auto" w:fill="FFFFFF"/>
          <w:lang w:val="es-ES_tradnl"/>
        </w:rPr>
        <w:t>El efecto de las acciones de formación e información</w:t>
      </w:r>
      <w:r w:rsidRPr="009E6414">
        <w:rPr>
          <w:noProof/>
          <w:lang w:val="es-ES_tradnl"/>
        </w:rPr>
        <w:t xml:space="preserve"> en el marco de la M1 y de los servicios de asesoramiento en el marco de la M2 sobre la consolidación de la capacidad para innovar.</w:t>
      </w:r>
    </w:p>
    <w:p w:rsidR="00A45935" w:rsidRPr="009E6414" w:rsidRDefault="00A45935" w:rsidP="00AB16BB">
      <w:pPr>
        <w:pStyle w:val="Hlistbullet"/>
        <w:rPr>
          <w:rFonts w:eastAsia="Calibri"/>
          <w:noProof/>
          <w:shd w:val="clear" w:color="auto" w:fill="FFFFFF"/>
          <w:lang w:val="es-ES_tradnl"/>
        </w:rPr>
      </w:pPr>
      <w:r w:rsidRPr="009E6414">
        <w:rPr>
          <w:b/>
          <w:noProof/>
          <w:shd w:val="clear" w:color="auto" w:fill="FFFFFF"/>
          <w:lang w:val="es-ES_tradnl"/>
        </w:rPr>
        <w:t>El efecto de los proyectos de cooperación</w:t>
      </w:r>
      <w:r w:rsidRPr="009E6414">
        <w:rPr>
          <w:noProof/>
          <w:lang w:val="es-ES_tradnl"/>
        </w:rPr>
        <w:t>, especialmente de los GO sobre el apoyo a la innovación, más concretamente:</w:t>
      </w:r>
    </w:p>
    <w:p w:rsidR="00A45935" w:rsidRPr="009E6414" w:rsidRDefault="00A45935" w:rsidP="00AB16BB">
      <w:pPr>
        <w:pStyle w:val="Hlistbullet2"/>
        <w:rPr>
          <w:rFonts w:eastAsia="Calibri"/>
          <w:noProof/>
          <w:shd w:val="clear" w:color="auto" w:fill="FFFFFF"/>
          <w:lang w:val="es-ES_tradnl"/>
        </w:rPr>
      </w:pPr>
      <w:r w:rsidRPr="009E6414">
        <w:rPr>
          <w:noProof/>
          <w:lang w:val="es-ES_tradnl"/>
        </w:rPr>
        <w:t>El número, alcance, contenido y duración de los proyectos del GO pueden aportar conclusiones útiles sobre la identificación de ideas innovadoras que deben ponerse en práctica.</w:t>
      </w:r>
    </w:p>
    <w:p w:rsidR="00A45935" w:rsidRPr="009E6414" w:rsidRDefault="00A45935" w:rsidP="00AB16BB">
      <w:pPr>
        <w:pStyle w:val="Hlistbullet2"/>
        <w:rPr>
          <w:rFonts w:eastAsia="Calibri"/>
          <w:noProof/>
          <w:shd w:val="clear" w:color="auto" w:fill="FFFFFF"/>
          <w:lang w:val="es-ES_tradnl"/>
        </w:rPr>
      </w:pPr>
      <w:r w:rsidRPr="009E6414">
        <w:rPr>
          <w:noProof/>
          <w:lang w:val="es-ES_tradnl"/>
        </w:rPr>
        <w:t>El número y tipo de proyectos del GO así como la implicación de las partes interesadas en la innovación pueden proporcionar conclusiones pertinentes sobre los logros de la medida de cooperación en relación con la capacidad de innovación en las zonas rurales.</w:t>
      </w:r>
    </w:p>
    <w:p w:rsidR="00A45935" w:rsidRPr="009E6414" w:rsidRDefault="00A45935" w:rsidP="00AB16BB">
      <w:pPr>
        <w:pStyle w:val="Hlistbullet2"/>
        <w:rPr>
          <w:rFonts w:eastAsia="Calibri"/>
          <w:noProof/>
          <w:shd w:val="clear" w:color="auto" w:fill="FFFFFF"/>
          <w:lang w:val="es-ES_tradnl"/>
        </w:rPr>
      </w:pPr>
      <w:r w:rsidRPr="009E6414">
        <w:rPr>
          <w:noProof/>
          <w:lang w:val="es-ES_tradnl"/>
        </w:rPr>
        <w:t xml:space="preserve">Las conclusiones sobre el grado en que los proyectos del GO generan estructuras y procedimientos que facilitan la producción de innovación. </w:t>
      </w:r>
    </w:p>
    <w:p w:rsidR="00A45935" w:rsidRPr="009E6414" w:rsidRDefault="00A45935" w:rsidP="008C0B17">
      <w:pPr>
        <w:numPr>
          <w:ilvl w:val="0"/>
          <w:numId w:val="88"/>
        </w:numPr>
        <w:tabs>
          <w:tab w:val="left" w:pos="426"/>
        </w:tabs>
        <w:ind w:left="426" w:hanging="284"/>
        <w:mirrorIndents/>
        <w:rPr>
          <w:rFonts w:eastAsia="Calibri"/>
          <w:noProof/>
          <w:szCs w:val="20"/>
          <w:shd w:val="clear" w:color="auto" w:fill="FFFFFF"/>
          <w:lang w:val="es-ES_tradnl"/>
        </w:rPr>
      </w:pPr>
      <w:r w:rsidRPr="009E6414">
        <w:rPr>
          <w:b/>
          <w:noProof/>
          <w:shd w:val="clear" w:color="auto" w:fill="FFFFFF"/>
          <w:lang w:val="es-ES_tradnl"/>
        </w:rPr>
        <w:t>Los efectos de las actividades de los GAL</w:t>
      </w:r>
      <w:r w:rsidRPr="009E6414">
        <w:rPr>
          <w:noProof/>
          <w:lang w:val="es-ES_tradnl"/>
        </w:rPr>
        <w:t xml:space="preserve"> (incluida la cooperación entre ellos) y proyectos ejecutados a través de estrategias de DLP. </w:t>
      </w:r>
    </w:p>
    <w:p w:rsidR="00A45935" w:rsidRPr="009E6414" w:rsidRDefault="00A45935" w:rsidP="00E05D08">
      <w:pPr>
        <w:keepNext/>
        <w:keepLines/>
        <w:tabs>
          <w:tab w:val="left" w:pos="680"/>
        </w:tabs>
        <w:spacing w:before="240" w:after="240" w:line="280" w:lineRule="atLeast"/>
        <w:mirrorIndents/>
        <w:outlineLvl w:val="3"/>
        <w:rPr>
          <w:rFonts w:eastAsia="Calibri" w:cs="Times New Roman"/>
          <w:b/>
          <w:noProof/>
          <w:color w:val="57825E"/>
          <w:szCs w:val="20"/>
          <w:shd w:val="clear" w:color="auto" w:fill="FFFFFF"/>
          <w:lang w:val="es-ES_tradnl"/>
        </w:rPr>
      </w:pPr>
      <w:r w:rsidRPr="009E6414">
        <w:rPr>
          <w:b/>
          <w:noProof/>
          <w:color w:val="57825E"/>
          <w:shd w:val="clear" w:color="auto" w:fill="FFFFFF"/>
          <w:lang w:val="es-ES_tradnl"/>
        </w:rPr>
        <w:lastRenderedPageBreak/>
        <w:t>Bibliografía adicional</w:t>
      </w:r>
    </w:p>
    <w:p w:rsidR="00A45935" w:rsidRPr="009E6414" w:rsidRDefault="00A45935" w:rsidP="00E05D08">
      <w:pPr>
        <w:spacing w:after="120" w:line="280" w:lineRule="atLeast"/>
        <w:mirrorIndents/>
        <w:rPr>
          <w:rFonts w:eastAsia="Calibri" w:cs="Times New Roman"/>
          <w:noProof/>
          <w:szCs w:val="20"/>
          <w:lang w:val="es-ES_tradnl"/>
        </w:rPr>
      </w:pPr>
      <w:r w:rsidRPr="009E6414">
        <w:rPr>
          <w:rFonts w:eastAsia="Times New Roman" w:cs="Times New Roman"/>
          <w:noProof/>
          <w:sz w:val="18"/>
          <w:szCs w:val="24"/>
          <w:lang w:val="en-GB" w:eastAsia="en-GB" w:bidi="ar-SA"/>
        </w:rPr>
        <mc:AlternateContent>
          <mc:Choice Requires="wps">
            <w:drawing>
              <wp:inline distT="0" distB="0" distL="0" distR="0" wp14:anchorId="06CE8345" wp14:editId="3B8EB553">
                <wp:extent cx="5633634" cy="2238375"/>
                <wp:effectExtent l="0" t="0" r="24765" b="28575"/>
                <wp:docPr id="5" name="Rectangle: Diagonal Corners Rounded 5"/>
                <wp:cNvGraphicFramePr/>
                <a:graphic xmlns:a="http://schemas.openxmlformats.org/drawingml/2006/main">
                  <a:graphicData uri="http://schemas.microsoft.com/office/word/2010/wordprocessingShape">
                    <wps:wsp>
                      <wps:cNvSpPr/>
                      <wps:spPr>
                        <a:xfrm>
                          <a:off x="0" y="0"/>
                          <a:ext cx="5633634" cy="2238375"/>
                        </a:xfrm>
                        <a:prstGeom prst="round2DiagRect">
                          <a:avLst>
                            <a:gd name="adj1" fmla="val 11556"/>
                            <a:gd name="adj2" fmla="val 0"/>
                          </a:avLst>
                        </a:prstGeom>
                        <a:noFill/>
                        <a:ln w="25400" cap="flat" cmpd="sng" algn="ctr">
                          <a:solidFill>
                            <a:srgbClr val="59638E"/>
                          </a:solidFill>
                          <a:prstDash val="solid"/>
                        </a:ln>
                        <a:effectLst/>
                      </wps:spPr>
                      <wps:txbx>
                        <w:txbxContent>
                          <w:p w:rsidR="008D2E0D" w:rsidRPr="00EB3015" w:rsidRDefault="008D2E0D" w:rsidP="00E05D08">
                            <w:pPr>
                              <w:pStyle w:val="HStandard"/>
                              <w:rPr>
                                <w:color w:val="000000"/>
                                <w:sz w:val="18"/>
                              </w:rPr>
                            </w:pPr>
                            <w:r>
                              <w:rPr>
                                <w:noProof/>
                                <w:lang w:val="en-GB" w:eastAsia="en-GB" w:bidi="ar-SA"/>
                              </w:rPr>
                              <w:drawing>
                                <wp:inline distT="0" distB="0" distL="0" distR="0" wp14:anchorId="010A752D" wp14:editId="093DFA2C">
                                  <wp:extent cx="360465" cy="360000"/>
                                  <wp:effectExtent l="0" t="0" r="1905" b="2540"/>
                                  <wp:docPr id="74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r>
                              <w:t xml:space="preserve">Directrices </w:t>
                            </w:r>
                            <w:hyperlink r:id="rId41">
                              <w:r>
                                <w:rPr>
                                  <w:rStyle w:val="Hyperlink"/>
                                  <w:sz w:val="18"/>
                                </w:rPr>
                                <w:t xml:space="preserve">Evaluación de los resultados del </w:t>
                              </w:r>
                              <w:proofErr w:type="spellStart"/>
                              <w:r>
                                <w:rPr>
                                  <w:rStyle w:val="Hyperlink"/>
                                  <w:sz w:val="18"/>
                                </w:rPr>
                                <w:t>PDR</w:t>
                              </w:r>
                              <w:proofErr w:type="spellEnd"/>
                              <w:r>
                                <w:rPr>
                                  <w:rStyle w:val="Hyperlink"/>
                                  <w:sz w:val="18"/>
                                </w:rPr>
                                <w:t>: Cómo elaborar los informes sobre evaluación en 2017</w:t>
                              </w:r>
                            </w:hyperlink>
                            <w:r>
                              <w:t>, anexo 11</w:t>
                            </w:r>
                            <w:r>
                              <w:rPr>
                                <w:color w:val="000000"/>
                                <w:sz w:val="18"/>
                              </w:rPr>
                              <w:t xml:space="preserve"> </w:t>
                            </w:r>
                          </w:p>
                          <w:p w:rsidR="008D2E0D" w:rsidRPr="00730192" w:rsidRDefault="008D2E0D" w:rsidP="00E05D08">
                            <w:pPr>
                              <w:pStyle w:val="HStandard"/>
                              <w:rPr>
                                <w:sz w:val="18"/>
                              </w:rPr>
                            </w:pPr>
                            <w:r>
                              <w:t>Documento de orientación «</w:t>
                            </w:r>
                            <w:hyperlink r:id="rId42">
                              <w:r>
                                <w:rPr>
                                  <w:rStyle w:val="Hyperlink"/>
                                  <w:sz w:val="18"/>
                                </w:rPr>
                                <w:t>Medida “Cooperación”</w:t>
                              </w:r>
                            </w:hyperlink>
                            <w:r>
                              <w:t>», artículo 35 del Reglamento (UE) n.º 1305/2013, noviembre de 2014</w:t>
                            </w:r>
                          </w:p>
                          <w:p w:rsidR="008D2E0D" w:rsidRPr="009D62F4" w:rsidRDefault="008D2E0D" w:rsidP="00E05D08">
                            <w:pPr>
                              <w:pStyle w:val="HStandard"/>
                              <w:rPr>
                                <w:sz w:val="18"/>
                                <w:szCs w:val="18"/>
                              </w:rPr>
                            </w:pPr>
                            <w:r>
                              <w:rPr>
                                <w:sz w:val="18"/>
                              </w:rPr>
                              <w:t xml:space="preserve">Documentos del Taller de la </w:t>
                            </w:r>
                            <w:proofErr w:type="spellStart"/>
                            <w:r>
                              <w:rPr>
                                <w:sz w:val="18"/>
                              </w:rPr>
                              <w:t>REDR</w:t>
                            </w:r>
                            <w:proofErr w:type="spellEnd"/>
                            <w:r>
                              <w:rPr>
                                <w:sz w:val="18"/>
                              </w:rPr>
                              <w:t xml:space="preserve"> sobre </w:t>
                            </w:r>
                            <w:proofErr w:type="spellStart"/>
                            <w:r>
                              <w:rPr>
                                <w:sz w:val="18"/>
                              </w:rPr>
                              <w:t>M16</w:t>
                            </w:r>
                            <w:proofErr w:type="spellEnd"/>
                            <w:r>
                              <w:rPr>
                                <w:sz w:val="18"/>
                              </w:rPr>
                              <w:t xml:space="preserve"> «Cooperación», junio de 2016, Bruselas: </w:t>
                            </w:r>
                            <w:hyperlink r:id="rId43">
                              <w:r>
                                <w:rPr>
                                  <w:rStyle w:val="Hyperlink"/>
                                  <w:sz w:val="18"/>
                                </w:rPr>
                                <w:t>http://enrd.ec.europa.eu/news-events/events/enrd-workshop-measure-16-cooperation_en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6CE8345" id="Rectangle: Diagonal Corners Rounded 5" o:spid="_x0000_s1045" style="width:443.6pt;height:176.25pt;visibility:visible;mso-wrap-style:square;mso-left-percent:-10001;mso-top-percent:-10001;mso-position-horizontal:absolute;mso-position-horizontal-relative:char;mso-position-vertical:absolute;mso-position-vertical-relative:line;mso-left-percent:-10001;mso-top-percent:-10001;v-text-anchor:middle" coordsize="5633634,2238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" adj="-11796480,,5400" path="m258667,l5633634,r,l5633634,1979708v,142858,-115809,258667,-258667,258667l,2238375r,l,258667c,115809,115809,,258667,xe" filled="f" strokecolor="#59638e" strokeweight="2pt">
                <v:stroke joinstyle="miter"/>
                <v:formulas/>
                <v:path arrowok="t" o:connecttype="custom" o:connectlocs="258667,0;5633634,0;5633634,0;5633634,1979708;5374967,2238375;0,2238375;0,2238375;0,258667;258667,0" o:connectangles="0,0,0,0,0,0,0,0,0" textboxrect="0,0,5633634,2238375"/>
                <v:textbox>
                  <w:txbxContent>
                    <w:p w:rsidR="008D2E0D" w:rsidRPr="00EB3015" w:rsidRDefault="008D2E0D" w:rsidP="00E05D08">
                      <w:pPr>
                        <w:pStyle w:val="HStandard"/>
                        <w:rPr>
                          <w:color w:val="000000"/>
                          <w:sz w:val="18"/>
                        </w:rPr>
                      </w:pPr>
                      <w:r>
                        <w:rPr>
                          <w:noProof/>
                          <w:lang w:val="en-GB" w:eastAsia="en-GB" w:bidi="ar-SA"/>
                        </w:rPr>
                        <w:drawing>
                          <wp:inline distT="0" distB="0" distL="0" distR="0" wp14:anchorId="010A752D" wp14:editId="093DFA2C">
                            <wp:extent cx="360465" cy="360000"/>
                            <wp:effectExtent l="0" t="0" r="1905" b="2540"/>
                            <wp:docPr id="74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r>
                        <w:t xml:space="preserve">Directrices </w:t>
                      </w:r>
                      <w:hyperlink r:id="rId44">
                        <w:r>
                          <w:rPr>
                            <w:rStyle w:val="Hyperlink"/>
                            <w:sz w:val="18"/>
                          </w:rPr>
                          <w:t xml:space="preserve">Evaluación de los resultados del </w:t>
                        </w:r>
                        <w:proofErr w:type="spellStart"/>
                        <w:r>
                          <w:rPr>
                            <w:rStyle w:val="Hyperlink"/>
                            <w:sz w:val="18"/>
                          </w:rPr>
                          <w:t>PDR</w:t>
                        </w:r>
                        <w:proofErr w:type="spellEnd"/>
                        <w:r>
                          <w:rPr>
                            <w:rStyle w:val="Hyperlink"/>
                            <w:sz w:val="18"/>
                          </w:rPr>
                          <w:t>: Cómo elaborar los informes sobre evaluación en 2017</w:t>
                        </w:r>
                      </w:hyperlink>
                      <w:r>
                        <w:t>, anexo 11</w:t>
                      </w:r>
                      <w:r>
                        <w:rPr>
                          <w:color w:val="000000"/>
                          <w:sz w:val="18"/>
                        </w:rPr>
                        <w:t xml:space="preserve"> </w:t>
                      </w:r>
                    </w:p>
                    <w:p w:rsidR="008D2E0D" w:rsidRPr="00730192" w:rsidRDefault="008D2E0D" w:rsidP="00E05D08">
                      <w:pPr>
                        <w:pStyle w:val="HStandard"/>
                        <w:rPr>
                          <w:sz w:val="18"/>
                        </w:rPr>
                      </w:pPr>
                      <w:r>
                        <w:t>Documento de orientación «</w:t>
                      </w:r>
                      <w:hyperlink r:id="rId45">
                        <w:r>
                          <w:rPr>
                            <w:rStyle w:val="Hyperlink"/>
                            <w:sz w:val="18"/>
                          </w:rPr>
                          <w:t>Medida “Cooperación”</w:t>
                        </w:r>
                      </w:hyperlink>
                      <w:r>
                        <w:t>», artículo 35 del Reglamento (UE) n.º 1305/2013, noviembre de 2014</w:t>
                      </w:r>
                    </w:p>
                    <w:p w:rsidR="008D2E0D" w:rsidRPr="009D62F4" w:rsidRDefault="008D2E0D" w:rsidP="00E05D08">
                      <w:pPr>
                        <w:pStyle w:val="HStandard"/>
                        <w:rPr>
                          <w:sz w:val="18"/>
                          <w:szCs w:val="18"/>
                        </w:rPr>
                      </w:pPr>
                      <w:r>
                        <w:rPr>
                          <w:sz w:val="18"/>
                        </w:rPr>
                        <w:t xml:space="preserve">Documentos del Taller de la </w:t>
                      </w:r>
                      <w:proofErr w:type="spellStart"/>
                      <w:r>
                        <w:rPr>
                          <w:sz w:val="18"/>
                        </w:rPr>
                        <w:t>REDR</w:t>
                      </w:r>
                      <w:proofErr w:type="spellEnd"/>
                      <w:r>
                        <w:rPr>
                          <w:sz w:val="18"/>
                        </w:rPr>
                        <w:t xml:space="preserve"> sobre </w:t>
                      </w:r>
                      <w:proofErr w:type="spellStart"/>
                      <w:r>
                        <w:rPr>
                          <w:sz w:val="18"/>
                        </w:rPr>
                        <w:t>M16</w:t>
                      </w:r>
                      <w:proofErr w:type="spellEnd"/>
                      <w:r>
                        <w:rPr>
                          <w:sz w:val="18"/>
                        </w:rPr>
                        <w:t xml:space="preserve"> «Cooperación», junio de 2016, Bruselas: </w:t>
                      </w:r>
                      <w:hyperlink r:id="rId46">
                        <w:r>
                          <w:rPr>
                            <w:rStyle w:val="Hyperlink"/>
                            <w:sz w:val="18"/>
                          </w:rPr>
                          <w:t>http://enrd.ec.europa.eu/news-events/events/enrd-workshop-measure-16-cooperation_en</w:t>
                        </w:r>
                      </w:hyperlink>
                    </w:p>
                  </w:txbxContent>
                </v:textbox>
                <w10:anchorlock/>
              </v:shape>
            </w:pict>
          </mc:Fallback>
        </mc:AlternateContent>
      </w:r>
    </w:p>
    <w:p w:rsidR="00A45935" w:rsidRPr="009E6414" w:rsidRDefault="00A45935" w:rsidP="009B603C">
      <w:pPr>
        <w:pStyle w:val="HHeading3"/>
        <w:numPr>
          <w:ilvl w:val="2"/>
          <w:numId w:val="119"/>
        </w:numPr>
        <w:tabs>
          <w:tab w:val="clear" w:pos="567"/>
        </w:tabs>
        <w:spacing w:line="280" w:lineRule="exact"/>
        <w:ind w:left="567" w:hanging="567"/>
        <w:rPr>
          <w:noProof/>
          <w:lang w:val="es-ES_tradnl"/>
        </w:rPr>
      </w:pPr>
      <w:bookmarkStart w:id="22" w:name="_Toc508707921"/>
      <w:r w:rsidRPr="009E6414">
        <w:rPr>
          <w:noProof/>
          <w:lang w:val="es-ES_tradnl"/>
        </w:rPr>
        <w:t>PCE n.º 2: «¿En qué medida las intervenciones del PDR han apoyado el refuerzo de los lazos entre la agricultura, la producción de alimentos y la silvicultura, por una parte, y la investigación y la innovación, por otra, también a efectos de conseguir una mejor gestión y mejores resultados medioambientales?»</w:t>
      </w:r>
      <w:bookmarkEnd w:id="22"/>
    </w:p>
    <w:p w:rsidR="00A45935" w:rsidRPr="009E6414" w:rsidRDefault="00A45935" w:rsidP="00E05D08">
      <w:pPr>
        <w:keepNext/>
        <w:keepLines/>
        <w:tabs>
          <w:tab w:val="left" w:pos="680"/>
        </w:tabs>
        <w:spacing w:before="240" w:after="240" w:line="280" w:lineRule="atLeast"/>
        <w:mirrorIndents/>
        <w:outlineLvl w:val="3"/>
        <w:rPr>
          <w:rFonts w:eastAsia="Calibri" w:cs="Times New Roman"/>
          <w:b/>
          <w:noProof/>
          <w:color w:val="57825E"/>
          <w:szCs w:val="20"/>
          <w:shd w:val="clear" w:color="auto" w:fill="FFFFFF"/>
          <w:lang w:val="es-ES_tradnl"/>
        </w:rPr>
      </w:pPr>
      <w:r w:rsidRPr="009E6414">
        <w:rPr>
          <w:b/>
          <w:noProof/>
          <w:color w:val="57825E"/>
          <w:shd w:val="clear" w:color="auto" w:fill="FFFFFF"/>
          <w:lang w:val="es-ES_tradnl"/>
        </w:rPr>
        <w:t>Entender la PCE</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La PCE 2 está principalmente vinculada a la medida 16 y a sus diez submedidas del artículo 35 - Cooperación</w:t>
      </w:r>
      <w:r w:rsidRPr="009E6414">
        <w:rPr>
          <w:noProof/>
          <w:vertAlign w:val="superscript"/>
          <w:lang w:val="es-ES_tradnl"/>
        </w:rPr>
        <w:footnoteReference w:id="52"/>
      </w:r>
      <w:r w:rsidRPr="009E6414">
        <w:rPr>
          <w:noProof/>
          <w:lang w:val="es-ES_tradnl"/>
        </w:rPr>
        <w:t xml:space="preserve">. </w:t>
      </w:r>
      <w:r w:rsidRPr="009E6414">
        <w:rPr>
          <w:b/>
          <w:noProof/>
          <w:lang w:val="es-ES_tradnl"/>
        </w:rPr>
        <w:t>Los vínculos entre agricultura, producción de alimentos, silvicultura e investigación e innovación</w:t>
      </w:r>
      <w:r w:rsidRPr="009E6414">
        <w:rPr>
          <w:noProof/>
          <w:lang w:val="es-ES_tradnl"/>
        </w:rPr>
        <w:t xml:space="preserve"> pueden fomentarse de tres maneras</w:t>
      </w:r>
      <w:r w:rsidRPr="009E6414">
        <w:rPr>
          <w:noProof/>
          <w:vertAlign w:val="superscript"/>
          <w:lang w:val="es-ES_tradnl"/>
        </w:rPr>
        <w:footnoteReference w:id="53"/>
      </w:r>
      <w:r w:rsidRPr="009E6414">
        <w:rPr>
          <w:noProof/>
          <w:lang w:val="es-ES_tradnl"/>
        </w:rPr>
        <w:t>:</w:t>
      </w:r>
    </w:p>
    <w:p w:rsidR="00A45935" w:rsidRPr="009E6414" w:rsidRDefault="00A45935" w:rsidP="008C0B17">
      <w:pPr>
        <w:numPr>
          <w:ilvl w:val="0"/>
          <w:numId w:val="25"/>
        </w:numPr>
        <w:spacing w:before="60" w:after="120" w:line="280" w:lineRule="atLeast"/>
        <w:ind w:left="567" w:hanging="567"/>
        <w:rPr>
          <w:rFonts w:eastAsia="Times New Roman" w:cs="Times New Roman"/>
          <w:noProof/>
          <w:szCs w:val="20"/>
          <w:lang w:val="es-ES_tradnl"/>
        </w:rPr>
      </w:pPr>
      <w:r w:rsidRPr="009E6414">
        <w:rPr>
          <w:noProof/>
          <w:lang w:val="es-ES_tradnl"/>
        </w:rPr>
        <w:t>La cooperación entre una amplia gama de agentes de los sectores agrario y forestal, de la cadena alimentaria y otros agentes que contribuyan al logro de los objetivos de la política de desarrollo rural, como las agrupaciones de productores, las cooperativas y las organizaciones interprofesionales.</w:t>
      </w:r>
    </w:p>
    <w:p w:rsidR="00A45935" w:rsidRPr="009E6414" w:rsidRDefault="00A45935" w:rsidP="008C0B17">
      <w:pPr>
        <w:numPr>
          <w:ilvl w:val="0"/>
          <w:numId w:val="25"/>
        </w:numPr>
        <w:spacing w:before="60" w:after="120" w:line="280" w:lineRule="atLeast"/>
        <w:ind w:left="567" w:hanging="567"/>
        <w:rPr>
          <w:rFonts w:eastAsia="Times New Roman" w:cs="Times New Roman"/>
          <w:noProof/>
          <w:szCs w:val="20"/>
          <w:lang w:val="es-ES_tradnl"/>
        </w:rPr>
      </w:pPr>
      <w:r w:rsidRPr="009E6414">
        <w:rPr>
          <w:noProof/>
          <w:lang w:val="es-ES_tradnl"/>
        </w:rPr>
        <w:t>La creación de grupos y redes, que son más específicos pero representan importantes formas de cooperación.</w:t>
      </w:r>
    </w:p>
    <w:p w:rsidR="00A45935" w:rsidRPr="009E6414" w:rsidRDefault="00A45935" w:rsidP="008C0B17">
      <w:pPr>
        <w:numPr>
          <w:ilvl w:val="0"/>
          <w:numId w:val="25"/>
        </w:numPr>
        <w:spacing w:before="60" w:after="120" w:line="280" w:lineRule="atLeast"/>
        <w:ind w:left="567" w:hanging="567"/>
        <w:rPr>
          <w:rFonts w:eastAsia="Times New Roman" w:cs="Times New Roman"/>
          <w:noProof/>
          <w:szCs w:val="20"/>
          <w:lang w:val="es-ES_tradnl"/>
        </w:rPr>
      </w:pPr>
      <w:r w:rsidRPr="009E6414">
        <w:rPr>
          <w:noProof/>
          <w:lang w:val="es-ES_tradnl"/>
        </w:rPr>
        <w:t>La creación de GO de la AEI-AGRI, un nuevo componente de la política de desarrollo rural, con el objetivo de acercar la investigación y la práctica.</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El apoyo de la política de desarrollo rural a estas formas de cooperación han evolucionado a lo largo del tiempo. En el último período de programación, han recibido ayuda formas muy específicas de cooperación (programas sobre calidad de los alimentos y agrupaciones de productores) o la cooperación a nivel local (en el marco de Leader). La política actual fomenta los vínculos entre una gama más amplia de actores y ofrece más flexibilidad en lo que atañe al alcance y la composición de las actividades de cooperación. Al vincular agricultura, silvicultura y cadena alimentaria con agentes de innovación e investigación, la política de desarrollo rural pone un gran énfasis en la innovación como vía para lograr los objetivos del PDR. Por ejemplo:</w:t>
      </w:r>
    </w:p>
    <w:p w:rsidR="00A45935" w:rsidRPr="009E6414" w:rsidRDefault="00A45935" w:rsidP="00AB16BB">
      <w:pPr>
        <w:pStyle w:val="Hlistbullet"/>
        <w:rPr>
          <w:noProof/>
          <w:lang w:val="es-ES_tradnl"/>
        </w:rPr>
      </w:pPr>
      <w:r w:rsidRPr="009E6414">
        <w:rPr>
          <w:noProof/>
          <w:lang w:val="es-ES_tradnl"/>
        </w:rPr>
        <w:t>Vincular la investigación y la práctica puede ayudar a identificar la innovación que pueda mejorar la ejecución del programa y contribuir a los objetivos del PDR.</w:t>
      </w:r>
    </w:p>
    <w:p w:rsidR="00EF1B0F" w:rsidRPr="009E6414" w:rsidRDefault="00EB31A3" w:rsidP="00734B11">
      <w:pPr>
        <w:pStyle w:val="Hlistbullet"/>
        <w:rPr>
          <w:noProof/>
          <w:lang w:val="es-ES_tradnl"/>
        </w:rPr>
      </w:pPr>
      <w:r w:rsidRPr="009E6414">
        <w:rPr>
          <w:noProof/>
          <w:lang w:val="es-ES_tradnl"/>
        </w:rPr>
        <w:lastRenderedPageBreak/>
        <w:t>El énfasis en el apoyo prestado a los proyectos de cooperación por asesores y servicios de apoyo a la innovación (incluido el apoyo ofrecido por las RRN) puede contribuir a consolidar la capacidad para innovar y a mejorar la competitividad y/o el medio ambiente.</w:t>
      </w:r>
    </w:p>
    <w:p w:rsidR="00EF1B0F" w:rsidRPr="009E6414" w:rsidRDefault="00A45935" w:rsidP="00734B11">
      <w:pPr>
        <w:pStyle w:val="Hlistbullet"/>
        <w:rPr>
          <w:noProof/>
          <w:lang w:val="es-ES_tradnl"/>
        </w:rPr>
      </w:pPr>
      <w:r w:rsidRPr="009E6414">
        <w:rPr>
          <w:b/>
          <w:noProof/>
          <w:lang w:val="es-ES_tradnl"/>
        </w:rPr>
        <w:t>La cooperación para conseguir una mejor gestión y mejores resultados medioambientales</w:t>
      </w:r>
      <w:r w:rsidRPr="009E6414">
        <w:rPr>
          <w:noProof/>
          <w:lang w:val="es-ES_tradnl"/>
        </w:rPr>
        <w:t xml:space="preserve"> es otro aspecto importante de la PCE n.º 2. El alcance de los proyectos de cooperación incluye la protección y mejora de los recursos (agua, suelo, aire), la biodiversidad y el medio natural, así como la mitigación del cambio climático y la adaptación al mismo. La gestión ambiental para objetivos relacionados con el cambio climático puede incluir medidas relacionadas con el uso eficiente del agua y de la energía y con el ahorro de agua y energía.</w:t>
      </w:r>
    </w:p>
    <w:p w:rsidR="009C6BCC" w:rsidRPr="009C6BCC" w:rsidRDefault="009C6BCC" w:rsidP="009C6BCC">
      <w:pPr>
        <w:keepNext/>
        <w:keepLines/>
        <w:tabs>
          <w:tab w:val="left" w:pos="680"/>
        </w:tabs>
        <w:spacing w:before="240" w:after="240" w:line="280" w:lineRule="atLeast"/>
        <w:mirrorIndents/>
        <w:outlineLvl w:val="3"/>
        <w:rPr>
          <w:b/>
          <w:noProof/>
          <w:color w:val="57825E"/>
          <w:shd w:val="clear" w:color="auto" w:fill="FFFFFF"/>
          <w:lang w:val="es-ES_tradnl"/>
        </w:rPr>
      </w:pPr>
      <w:r w:rsidRPr="009E6414">
        <w:rPr>
          <w:noProof/>
          <w:color w:val="auto"/>
          <w:sz w:val="18"/>
          <w:lang w:val="en-GB" w:eastAsia="en-GB" w:bidi="ar-SA"/>
        </w:rPr>
        <w:lastRenderedPageBreak/>
        <mc:AlternateContent>
          <mc:Choice Requires="wps">
            <w:drawing>
              <wp:anchor distT="0" distB="0" distL="114300" distR="114300" simplePos="0" relativeHeight="251664896" behindDoc="0" locked="0" layoutInCell="1" allowOverlap="1" wp14:anchorId="430A8170" wp14:editId="05148886">
                <wp:simplePos x="0" y="0"/>
                <wp:positionH relativeFrom="column">
                  <wp:posOffset>13904</wp:posOffset>
                </wp:positionH>
                <wp:positionV relativeFrom="page">
                  <wp:posOffset>925934</wp:posOffset>
                </wp:positionV>
                <wp:extent cx="5763260" cy="7362825"/>
                <wp:effectExtent l="0" t="0" r="27940" b="28575"/>
                <wp:wrapSquare wrapText="bothSides"/>
                <wp:docPr id="30" name="Rectangle: Diagonal Corners Rounded 30"/>
                <wp:cNvGraphicFramePr/>
                <a:graphic xmlns:a="http://schemas.openxmlformats.org/drawingml/2006/main">
                  <a:graphicData uri="http://schemas.microsoft.com/office/word/2010/wordprocessingShape">
                    <wps:wsp>
                      <wps:cNvSpPr/>
                      <wps:spPr>
                        <a:xfrm>
                          <a:off x="0" y="0"/>
                          <a:ext cx="5763260" cy="7362825"/>
                        </a:xfrm>
                        <a:prstGeom prst="round2DiagRect">
                          <a:avLst>
                            <a:gd name="adj1" fmla="val 5422"/>
                            <a:gd name="adj2" fmla="val 0"/>
                          </a:avLst>
                        </a:prstGeom>
                        <a:noFill/>
                        <a:ln w="25400" cap="flat" cmpd="sng" algn="ctr">
                          <a:solidFill>
                            <a:srgbClr val="F07E31"/>
                          </a:solidFill>
                          <a:prstDash val="solid"/>
                        </a:ln>
                        <a:effectLst/>
                      </wps:spPr>
                      <wps:txbx>
                        <w:txbxContent>
                          <w:p w:rsidR="009C6BCC" w:rsidRPr="007B4A6D" w:rsidRDefault="009C6BCC" w:rsidP="009C6BCC">
                            <w:pPr>
                              <w:pStyle w:val="HStandard"/>
                              <w:ind w:left="567" w:hanging="567"/>
                              <w:rPr>
                                <w:b/>
                                <w:color w:val="648659"/>
                                <w:sz w:val="18"/>
                                <w:szCs w:val="18"/>
                              </w:rPr>
                            </w:pPr>
                            <w:r>
                              <w:rPr>
                                <w:noProof/>
                                <w:sz w:val="18"/>
                                <w:szCs w:val="18"/>
                                <w:lang w:val="en-GB" w:eastAsia="en-GB" w:bidi="ar-SA"/>
                              </w:rPr>
                              <w:drawing>
                                <wp:inline distT="0" distB="0" distL="0" distR="0" wp14:anchorId="7612D95E" wp14:editId="4C29F1DE">
                                  <wp:extent cx="353060" cy="359410"/>
                                  <wp:effectExtent l="0" t="0" r="8890" b="2540"/>
                                  <wp:docPr id="704"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rPr>
                              <w:t>Ejemplo: Medidas de cooperación para mejorar la gestión medioambiental</w:t>
                            </w:r>
                          </w:p>
                          <w:p w:rsidR="009C6BCC" w:rsidRPr="007B4A6D" w:rsidRDefault="009C6BCC" w:rsidP="009C6BCC">
                            <w:pPr>
                              <w:pStyle w:val="HStandard"/>
                              <w:rPr>
                                <w:sz w:val="18"/>
                                <w:szCs w:val="18"/>
                              </w:rPr>
                            </w:pPr>
                            <w:r>
                              <w:rPr>
                                <w:b/>
                              </w:rPr>
                              <w:t>Finlandia</w:t>
                            </w:r>
                            <w:r>
                              <w:t xml:space="preserve"> - la </w:t>
                            </w:r>
                            <w:proofErr w:type="spellStart"/>
                            <w:r>
                              <w:t>M16</w:t>
                            </w:r>
                            <w:proofErr w:type="spellEnd"/>
                            <w:r>
                              <w:t xml:space="preserve"> complementa otras medidas del </w:t>
                            </w:r>
                            <w:proofErr w:type="spellStart"/>
                            <w:r>
                              <w:t>PDR</w:t>
                            </w:r>
                            <w:proofErr w:type="spellEnd"/>
                            <w:r>
                              <w:t xml:space="preserve"> para alcanzar los objetivos de las prioridades </w:t>
                            </w:r>
                            <w:proofErr w:type="spellStart"/>
                            <w:r>
                              <w:t>P4</w:t>
                            </w:r>
                            <w:proofErr w:type="spellEnd"/>
                            <w:r>
                              <w:t xml:space="preserve"> y </w:t>
                            </w:r>
                            <w:proofErr w:type="spellStart"/>
                            <w:r>
                              <w:t>P5</w:t>
                            </w:r>
                            <w:proofErr w:type="spellEnd"/>
                            <w:r>
                              <w:t>:</w:t>
                            </w:r>
                          </w:p>
                          <w:p w:rsidR="009C6BCC" w:rsidRPr="00055039" w:rsidRDefault="009C6BCC" w:rsidP="009C6BCC">
                            <w:pPr>
                              <w:pStyle w:val="HStandard"/>
                              <w:numPr>
                                <w:ilvl w:val="0"/>
                                <w:numId w:val="24"/>
                              </w:numPr>
                              <w:ind w:left="567" w:hanging="567"/>
                              <w:rPr>
                                <w:sz w:val="18"/>
                                <w:szCs w:val="18"/>
                              </w:rPr>
                            </w:pPr>
                            <w:r>
                              <w:rPr>
                                <w:sz w:val="18"/>
                              </w:rPr>
                              <w:t xml:space="preserve">el 58 % de la </w:t>
                            </w:r>
                            <w:proofErr w:type="spellStart"/>
                            <w:proofErr w:type="gramStart"/>
                            <w:r>
                              <w:rPr>
                                <w:sz w:val="18"/>
                              </w:rPr>
                              <w:t>M16</w:t>
                            </w:r>
                            <w:proofErr w:type="spellEnd"/>
                            <w:proofErr w:type="gramEnd"/>
                            <w:r>
                              <w:rPr>
                                <w:sz w:val="18"/>
                              </w:rPr>
                              <w:t xml:space="preserve"> así como partes de la </w:t>
                            </w:r>
                            <w:proofErr w:type="spellStart"/>
                            <w:r>
                              <w:rPr>
                                <w:sz w:val="18"/>
                              </w:rPr>
                              <w:t>M1</w:t>
                            </w:r>
                            <w:proofErr w:type="spellEnd"/>
                            <w:r>
                              <w:rPr>
                                <w:sz w:val="18"/>
                              </w:rPr>
                              <w:t xml:space="preserve"> y la </w:t>
                            </w:r>
                            <w:proofErr w:type="spellStart"/>
                            <w:r>
                              <w:rPr>
                                <w:sz w:val="18"/>
                              </w:rPr>
                              <w:t>M2</w:t>
                            </w:r>
                            <w:proofErr w:type="spellEnd"/>
                            <w:r>
                              <w:rPr>
                                <w:sz w:val="18"/>
                              </w:rPr>
                              <w:t xml:space="preserve"> se utilizan para promover la eficiencia energética.</w:t>
                            </w:r>
                          </w:p>
                          <w:p w:rsidR="009C6BCC" w:rsidRPr="00D66182" w:rsidRDefault="009C6BCC" w:rsidP="009C6BCC">
                            <w:pPr>
                              <w:pStyle w:val="HStandard"/>
                              <w:numPr>
                                <w:ilvl w:val="0"/>
                                <w:numId w:val="24"/>
                              </w:numPr>
                              <w:ind w:left="567" w:hanging="567"/>
                              <w:rPr>
                                <w:sz w:val="18"/>
                                <w:szCs w:val="18"/>
                              </w:rPr>
                            </w:pPr>
                            <w:r>
                              <w:rPr>
                                <w:sz w:val="18"/>
                              </w:rPr>
                              <w:t xml:space="preserve">el 49 % de la </w:t>
                            </w:r>
                            <w:proofErr w:type="spellStart"/>
                            <w:proofErr w:type="gramStart"/>
                            <w:r>
                              <w:rPr>
                                <w:sz w:val="18"/>
                              </w:rPr>
                              <w:t>M16</w:t>
                            </w:r>
                            <w:proofErr w:type="spellEnd"/>
                            <w:proofErr w:type="gramEnd"/>
                            <w:r>
                              <w:rPr>
                                <w:sz w:val="18"/>
                              </w:rPr>
                              <w:t xml:space="preserve"> así como partes de la </w:t>
                            </w:r>
                            <w:proofErr w:type="spellStart"/>
                            <w:r>
                              <w:rPr>
                                <w:sz w:val="18"/>
                              </w:rPr>
                              <w:t>M1</w:t>
                            </w:r>
                            <w:proofErr w:type="spellEnd"/>
                            <w:r>
                              <w:rPr>
                                <w:sz w:val="18"/>
                              </w:rPr>
                              <w:t xml:space="preserve"> y la </w:t>
                            </w:r>
                            <w:proofErr w:type="spellStart"/>
                            <w:r>
                              <w:rPr>
                                <w:sz w:val="18"/>
                              </w:rPr>
                              <w:t>M2</w:t>
                            </w:r>
                            <w:proofErr w:type="spellEnd"/>
                            <w:r>
                              <w:rPr>
                                <w:sz w:val="18"/>
                              </w:rPr>
                              <w:t xml:space="preserve"> se utilizan para la captura y conservación de carbono.</w:t>
                            </w:r>
                          </w:p>
                          <w:p w:rsidR="009C6BCC" w:rsidRPr="000E1D4B" w:rsidRDefault="009C6BCC" w:rsidP="009C6BCC">
                            <w:pPr>
                              <w:pStyle w:val="HStandard"/>
                              <w:numPr>
                                <w:ilvl w:val="0"/>
                                <w:numId w:val="24"/>
                              </w:numPr>
                              <w:ind w:left="567" w:hanging="567"/>
                              <w:rPr>
                                <w:sz w:val="18"/>
                                <w:szCs w:val="18"/>
                              </w:rPr>
                            </w:pPr>
                            <w:r>
                              <w:rPr>
                                <w:sz w:val="18"/>
                              </w:rPr>
                              <w:t xml:space="preserve">el 10 % de la </w:t>
                            </w:r>
                            <w:proofErr w:type="spellStart"/>
                            <w:r>
                              <w:rPr>
                                <w:sz w:val="18"/>
                              </w:rPr>
                              <w:t>M16</w:t>
                            </w:r>
                            <w:proofErr w:type="spellEnd"/>
                            <w:r>
                              <w:rPr>
                                <w:sz w:val="18"/>
                              </w:rPr>
                              <w:t xml:space="preserve">, el 84 % de la </w:t>
                            </w:r>
                            <w:proofErr w:type="spellStart"/>
                            <w:proofErr w:type="gramStart"/>
                            <w:r>
                              <w:rPr>
                                <w:sz w:val="18"/>
                              </w:rPr>
                              <w:t>M4</w:t>
                            </w:r>
                            <w:proofErr w:type="spellEnd"/>
                            <w:proofErr w:type="gramEnd"/>
                            <w:r>
                              <w:rPr>
                                <w:sz w:val="18"/>
                              </w:rPr>
                              <w:t xml:space="preserve"> así como partes de la </w:t>
                            </w:r>
                            <w:proofErr w:type="spellStart"/>
                            <w:r>
                              <w:rPr>
                                <w:sz w:val="18"/>
                              </w:rPr>
                              <w:t>M1</w:t>
                            </w:r>
                            <w:proofErr w:type="spellEnd"/>
                            <w:r>
                              <w:rPr>
                                <w:sz w:val="18"/>
                              </w:rPr>
                              <w:t xml:space="preserve"> y la </w:t>
                            </w:r>
                            <w:proofErr w:type="spellStart"/>
                            <w:r>
                              <w:rPr>
                                <w:sz w:val="18"/>
                              </w:rPr>
                              <w:t>M2</w:t>
                            </w:r>
                            <w:proofErr w:type="spellEnd"/>
                            <w:r>
                              <w:rPr>
                                <w:sz w:val="18"/>
                              </w:rPr>
                              <w:t xml:space="preserve"> se utilizan para fuentes renovables y gestión de residuos.</w:t>
                            </w:r>
                          </w:p>
                          <w:p w:rsidR="009C6BCC" w:rsidRPr="000E1D4B" w:rsidRDefault="009C6BCC" w:rsidP="009C6BCC">
                            <w:pPr>
                              <w:pStyle w:val="HStandard"/>
                              <w:numPr>
                                <w:ilvl w:val="0"/>
                                <w:numId w:val="24"/>
                              </w:numPr>
                              <w:ind w:left="567" w:hanging="567"/>
                              <w:rPr>
                                <w:sz w:val="18"/>
                                <w:szCs w:val="18"/>
                              </w:rPr>
                            </w:pPr>
                            <w:r>
                              <w:rPr>
                                <w:sz w:val="18"/>
                              </w:rPr>
                              <w:t xml:space="preserve">el 5,5 % de la </w:t>
                            </w:r>
                            <w:proofErr w:type="spellStart"/>
                            <w:r>
                              <w:rPr>
                                <w:sz w:val="18"/>
                              </w:rPr>
                              <w:t>M16</w:t>
                            </w:r>
                            <w:proofErr w:type="spellEnd"/>
                            <w:r>
                              <w:rPr>
                                <w:sz w:val="18"/>
                              </w:rPr>
                              <w:t xml:space="preserve">, el 89 % de la </w:t>
                            </w:r>
                            <w:proofErr w:type="spellStart"/>
                            <w:proofErr w:type="gramStart"/>
                            <w:r>
                              <w:rPr>
                                <w:sz w:val="18"/>
                              </w:rPr>
                              <w:t>M4</w:t>
                            </w:r>
                            <w:proofErr w:type="spellEnd"/>
                            <w:proofErr w:type="gramEnd"/>
                            <w:r>
                              <w:rPr>
                                <w:sz w:val="18"/>
                              </w:rPr>
                              <w:t xml:space="preserve"> así como partes de la </w:t>
                            </w:r>
                            <w:proofErr w:type="spellStart"/>
                            <w:r>
                              <w:rPr>
                                <w:sz w:val="18"/>
                              </w:rPr>
                              <w:t>M1</w:t>
                            </w:r>
                            <w:proofErr w:type="spellEnd"/>
                            <w:r>
                              <w:rPr>
                                <w:sz w:val="18"/>
                              </w:rPr>
                              <w:t xml:space="preserve"> y la </w:t>
                            </w:r>
                            <w:proofErr w:type="spellStart"/>
                            <w:r>
                              <w:rPr>
                                <w:sz w:val="18"/>
                              </w:rPr>
                              <w:t>M2</w:t>
                            </w:r>
                            <w:proofErr w:type="spellEnd"/>
                            <w:r>
                              <w:rPr>
                                <w:sz w:val="18"/>
                              </w:rPr>
                              <w:t xml:space="preserve"> se utilizan para reducir las emisiones de </w:t>
                            </w:r>
                            <w:proofErr w:type="spellStart"/>
                            <w:r>
                              <w:rPr>
                                <w:sz w:val="18"/>
                              </w:rPr>
                              <w:t>GEI</w:t>
                            </w:r>
                            <w:proofErr w:type="spellEnd"/>
                            <w:r>
                              <w:rPr>
                                <w:sz w:val="18"/>
                              </w:rPr>
                              <w:t xml:space="preserve"> y amoníaco.</w:t>
                            </w:r>
                          </w:p>
                          <w:p w:rsidR="009C6BCC" w:rsidRPr="000E1D4B" w:rsidRDefault="009C6BCC" w:rsidP="009C6BCC">
                            <w:pPr>
                              <w:pStyle w:val="HStandard"/>
                              <w:rPr>
                                <w:sz w:val="18"/>
                                <w:szCs w:val="18"/>
                              </w:rPr>
                            </w:pPr>
                            <w:r>
                              <w:rPr>
                                <w:sz w:val="18"/>
                              </w:rPr>
                              <w:t xml:space="preserve">Algunas </w:t>
                            </w:r>
                            <w:proofErr w:type="spellStart"/>
                            <w:r>
                              <w:rPr>
                                <w:sz w:val="18"/>
                              </w:rPr>
                              <w:t>submedidas</w:t>
                            </w:r>
                            <w:proofErr w:type="spellEnd"/>
                            <w:r>
                              <w:rPr>
                                <w:sz w:val="18"/>
                              </w:rPr>
                              <w:t xml:space="preserve"> de cooperación [por ejemplo, apoyo para proyectos piloto (</w:t>
                            </w:r>
                            <w:proofErr w:type="spellStart"/>
                            <w:r>
                              <w:rPr>
                                <w:sz w:val="18"/>
                              </w:rPr>
                              <w:t>M16.2</w:t>
                            </w:r>
                            <w:proofErr w:type="spellEnd"/>
                            <w:r>
                              <w:rPr>
                                <w:sz w:val="18"/>
                              </w:rPr>
                              <w:t>), apoyo a acciones conjuntas para la mitigación y la adaptación al cambio climático y para planteamientos conjuntos con respecto a proyectos y prácticas medioambientales (</w:t>
                            </w:r>
                            <w:proofErr w:type="spellStart"/>
                            <w:r>
                              <w:rPr>
                                <w:sz w:val="18"/>
                              </w:rPr>
                              <w:t>M16.5</w:t>
                            </w:r>
                            <w:proofErr w:type="spellEnd"/>
                            <w:r>
                              <w:rPr>
                                <w:sz w:val="18"/>
                              </w:rPr>
                              <w:t xml:space="preserve">)] tienen repercusiones principales en los ámbitos de interés </w:t>
                            </w:r>
                            <w:proofErr w:type="spellStart"/>
                            <w:r>
                              <w:rPr>
                                <w:sz w:val="18"/>
                              </w:rPr>
                              <w:t>4A</w:t>
                            </w:r>
                            <w:proofErr w:type="spellEnd"/>
                            <w:r>
                              <w:rPr>
                                <w:sz w:val="18"/>
                              </w:rPr>
                              <w:t xml:space="preserve">-C y </w:t>
                            </w:r>
                            <w:proofErr w:type="spellStart"/>
                            <w:r>
                              <w:rPr>
                                <w:sz w:val="18"/>
                              </w:rPr>
                              <w:t>5A</w:t>
                            </w:r>
                            <w:proofErr w:type="spellEnd"/>
                            <w:r>
                              <w:rPr>
                                <w:sz w:val="18"/>
                              </w:rPr>
                              <w:t>-E.</w:t>
                            </w:r>
                          </w:p>
                          <w:p w:rsidR="009C6BCC" w:rsidRPr="00AB16BB" w:rsidRDefault="009C6BCC" w:rsidP="009C6BCC">
                            <w:pPr>
                              <w:pStyle w:val="HSource"/>
                              <w:ind w:right="8"/>
                              <w:jc w:val="right"/>
                              <w:rPr>
                                <w:rFonts w:eastAsia="Calibri"/>
                                <w:sz w:val="14"/>
                                <w:szCs w:val="14"/>
                              </w:rPr>
                            </w:pPr>
                            <w:r>
                              <w:rPr>
                                <w:sz w:val="14"/>
                              </w:rPr>
                              <w:t xml:space="preserve">Fuente: </w:t>
                            </w:r>
                            <w:proofErr w:type="spellStart"/>
                            <w:r>
                              <w:rPr>
                                <w:sz w:val="14"/>
                              </w:rPr>
                              <w:t>REDR</w:t>
                            </w:r>
                            <w:proofErr w:type="spellEnd"/>
                            <w:r>
                              <w:rPr>
                                <w:sz w:val="14"/>
                              </w:rPr>
                              <w:t xml:space="preserve"> (2016). Taller sobre la medida 16: </w:t>
                            </w:r>
                            <w:proofErr w:type="spellStart"/>
                            <w:r>
                              <w:rPr>
                                <w:sz w:val="14"/>
                              </w:rPr>
                              <w:t>Cooperación</w:t>
                            </w:r>
                            <w:r>
                              <w:rPr>
                                <w:sz w:val="14"/>
                                <w:vertAlign w:val="superscript"/>
                              </w:rPr>
                              <w:t>54</w:t>
                            </w:r>
                            <w:proofErr w:type="spellEnd"/>
                            <w:r>
                              <w:rPr>
                                <w:sz w:val="14"/>
                              </w:rPr>
                              <w:t>.</w:t>
                            </w:r>
                          </w:p>
                          <w:p w:rsidR="009C6BCC" w:rsidRPr="007B4A6D" w:rsidRDefault="009C6BCC" w:rsidP="009C6BCC">
                            <w:pPr>
                              <w:pStyle w:val="HStandard"/>
                              <w:spacing w:after="0"/>
                              <w:ind w:left="567" w:hanging="567"/>
                              <w:rPr>
                                <w:b/>
                                <w:sz w:val="18"/>
                                <w:szCs w:val="18"/>
                              </w:rPr>
                            </w:pPr>
                            <w:r>
                              <w:rPr>
                                <w:b/>
                                <w:color w:val="F07E31"/>
                                <w:sz w:val="18"/>
                              </w:rPr>
                              <w:t>Ejemplo:</w:t>
                            </w:r>
                            <w:r>
                              <w:rPr>
                                <w:color w:val="F07E31"/>
                                <w:sz w:val="18"/>
                              </w:rPr>
                              <w:t xml:space="preserve"> </w:t>
                            </w:r>
                            <w:r>
                              <w:rPr>
                                <w:b/>
                                <w:color w:val="F07E31"/>
                                <w:sz w:val="18"/>
                              </w:rPr>
                              <w:t>Conectar investigadores y agricultores</w:t>
                            </w:r>
                            <w:r>
                              <w:rPr>
                                <w:color w:val="F07E31"/>
                                <w:sz w:val="18"/>
                              </w:rPr>
                              <w:t xml:space="preserve"> </w:t>
                            </w:r>
                          </w:p>
                          <w:p w:rsidR="009C6BCC" w:rsidRPr="00D66182" w:rsidRDefault="009C6BCC" w:rsidP="009C6BCC">
                            <w:pPr>
                              <w:pStyle w:val="HStandard"/>
                              <w:rPr>
                                <w:sz w:val="18"/>
                                <w:szCs w:val="18"/>
                              </w:rPr>
                            </w:pPr>
                            <w:r>
                              <w:rPr>
                                <w:b/>
                              </w:rPr>
                              <w:t>Bélgica -</w:t>
                            </w:r>
                            <w:r>
                              <w:t xml:space="preserve"> una innovadora explotación porcina contribuye a reducir las emisiones de amoniaco.</w:t>
                            </w:r>
                            <w:r>
                              <w:rPr>
                                <w:sz w:val="18"/>
                              </w:rPr>
                              <w:t xml:space="preserve"> Poner en contacto a investigadores y agricultores a través de los servicios de apoyo a la innovación ha sido clave para desarrollar y ensayar estas técnicas de reducción de las emisiones de amoníaco mediante la incorporación de bacterias específicas al estiércol porcino. Esto también contribuye a la consecución de los objetivos medioambientales del </w:t>
                            </w:r>
                            <w:proofErr w:type="spellStart"/>
                            <w:r>
                              <w:rPr>
                                <w:sz w:val="18"/>
                              </w:rPr>
                              <w:t>PDR</w:t>
                            </w:r>
                            <w:proofErr w:type="spellEnd"/>
                            <w:r>
                              <w:rPr>
                                <w:sz w:val="18"/>
                              </w:rPr>
                              <w:t xml:space="preserve">. </w:t>
                            </w:r>
                          </w:p>
                          <w:p w:rsidR="009C6BCC" w:rsidRPr="00AB16BB" w:rsidRDefault="009C6BCC" w:rsidP="009C6BCC">
                            <w:pPr>
                              <w:pStyle w:val="HStandard"/>
                              <w:jc w:val="right"/>
                              <w:rPr>
                                <w:sz w:val="14"/>
                                <w:szCs w:val="14"/>
                                <w:vertAlign w:val="superscript"/>
                              </w:rPr>
                            </w:pPr>
                            <w:r>
                              <w:rPr>
                                <w:i/>
                                <w:sz w:val="14"/>
                              </w:rPr>
                              <w:t xml:space="preserve">Fuente: </w:t>
                            </w:r>
                            <w:proofErr w:type="spellStart"/>
                            <w:r>
                              <w:rPr>
                                <w:i/>
                                <w:sz w:val="14"/>
                              </w:rPr>
                              <w:t>AEI</w:t>
                            </w:r>
                            <w:proofErr w:type="spellEnd"/>
                            <w:r>
                              <w:rPr>
                                <w:i/>
                                <w:sz w:val="14"/>
                              </w:rPr>
                              <w:t xml:space="preserve"> - Punto de </w:t>
                            </w:r>
                            <w:proofErr w:type="spellStart"/>
                            <w:r>
                              <w:rPr>
                                <w:i/>
                                <w:sz w:val="14"/>
                              </w:rPr>
                              <w:t>servicio</w:t>
                            </w:r>
                            <w:r>
                              <w:rPr>
                                <w:i/>
                                <w:sz w:val="14"/>
                                <w:vertAlign w:val="superscript"/>
                              </w:rPr>
                              <w:t>55</w:t>
                            </w:r>
                            <w:proofErr w:type="spellEnd"/>
                          </w:p>
                          <w:p w:rsidR="009C6BCC" w:rsidRPr="007B4A6D" w:rsidRDefault="009C6BCC" w:rsidP="009C6BCC">
                            <w:pPr>
                              <w:pStyle w:val="HStandard"/>
                              <w:rPr>
                                <w:b/>
                                <w:color w:val="F07E31"/>
                                <w:sz w:val="18"/>
                                <w:szCs w:val="18"/>
                              </w:rPr>
                            </w:pPr>
                            <w:r>
                              <w:rPr>
                                <w:b/>
                                <w:color w:val="F07E31"/>
                                <w:sz w:val="18"/>
                              </w:rPr>
                              <w:t xml:space="preserve">Ejemplo: Servicios de apoyo a la innovación </w:t>
                            </w:r>
                          </w:p>
                          <w:p w:rsidR="009C6BCC" w:rsidRPr="007B4A6D" w:rsidRDefault="009C6BCC" w:rsidP="009C6BCC">
                            <w:pPr>
                              <w:pStyle w:val="HStandard"/>
                              <w:spacing w:after="0"/>
                              <w:rPr>
                                <w:b/>
                                <w:sz w:val="18"/>
                                <w:szCs w:val="18"/>
                              </w:rPr>
                            </w:pPr>
                            <w:proofErr w:type="spellStart"/>
                            <w:r>
                              <w:rPr>
                                <w:b/>
                              </w:rPr>
                              <w:t>Hessen</w:t>
                            </w:r>
                            <w:proofErr w:type="spellEnd"/>
                            <w:r>
                              <w:rPr>
                                <w:b/>
                              </w:rPr>
                              <w:t xml:space="preserve"> (DE)</w:t>
                            </w:r>
                            <w:r>
                              <w:t xml:space="preserve"> - los servicios de apoyo a la innovación contribuyeron a reforzar la capacidad para innovar a través de:</w:t>
                            </w:r>
                          </w:p>
                          <w:p w:rsidR="009C6BCC" w:rsidRPr="00055039" w:rsidRDefault="009C6BCC" w:rsidP="009C6BCC">
                            <w:pPr>
                              <w:pStyle w:val="HStandard"/>
                              <w:numPr>
                                <w:ilvl w:val="0"/>
                                <w:numId w:val="24"/>
                              </w:numPr>
                              <w:ind w:left="567" w:hanging="567"/>
                              <w:rPr>
                                <w:sz w:val="18"/>
                                <w:szCs w:val="18"/>
                              </w:rPr>
                            </w:pPr>
                            <w:r>
                              <w:rPr>
                                <w:sz w:val="18"/>
                              </w:rPr>
                              <w:t xml:space="preserve">el apoyo a la ejecución de la </w:t>
                            </w:r>
                            <w:proofErr w:type="spellStart"/>
                            <w:r>
                              <w:rPr>
                                <w:sz w:val="18"/>
                              </w:rPr>
                              <w:t>M16</w:t>
                            </w:r>
                            <w:proofErr w:type="spellEnd"/>
                            <w:r>
                              <w:rPr>
                                <w:sz w:val="18"/>
                              </w:rPr>
                              <w:t>,</w:t>
                            </w:r>
                          </w:p>
                          <w:p w:rsidR="009C6BCC" w:rsidRPr="00D66182" w:rsidRDefault="009C6BCC" w:rsidP="009C6BCC">
                            <w:pPr>
                              <w:pStyle w:val="HStandard"/>
                              <w:numPr>
                                <w:ilvl w:val="0"/>
                                <w:numId w:val="24"/>
                              </w:numPr>
                              <w:ind w:left="567" w:hanging="567"/>
                              <w:rPr>
                                <w:sz w:val="18"/>
                                <w:szCs w:val="18"/>
                              </w:rPr>
                            </w:pPr>
                            <w:r>
                              <w:rPr>
                                <w:sz w:val="18"/>
                              </w:rPr>
                              <w:t>la información y la publicidad en la región,</w:t>
                            </w:r>
                          </w:p>
                          <w:p w:rsidR="009C6BCC" w:rsidRPr="000E1D4B" w:rsidRDefault="009C6BCC" w:rsidP="009C6BCC">
                            <w:pPr>
                              <w:pStyle w:val="HStandard"/>
                              <w:numPr>
                                <w:ilvl w:val="0"/>
                                <w:numId w:val="24"/>
                              </w:numPr>
                              <w:ind w:left="567" w:hanging="567"/>
                              <w:rPr>
                                <w:sz w:val="18"/>
                                <w:szCs w:val="18"/>
                              </w:rPr>
                            </w:pPr>
                            <w:r>
                              <w:rPr>
                                <w:sz w:val="18"/>
                              </w:rPr>
                              <w:t xml:space="preserve">el establecimiento de redes entre las actividades de cooperación en </w:t>
                            </w:r>
                            <w:proofErr w:type="spellStart"/>
                            <w:r>
                              <w:rPr>
                                <w:sz w:val="18"/>
                              </w:rPr>
                              <w:t>Hessen</w:t>
                            </w:r>
                            <w:proofErr w:type="spellEnd"/>
                            <w:r>
                              <w:rPr>
                                <w:sz w:val="18"/>
                              </w:rPr>
                              <w:t>, Alemania,</w:t>
                            </w:r>
                          </w:p>
                          <w:p w:rsidR="009C6BCC" w:rsidRPr="000E1D4B" w:rsidRDefault="009C6BCC" w:rsidP="009C6BCC">
                            <w:pPr>
                              <w:pStyle w:val="HStandard"/>
                              <w:numPr>
                                <w:ilvl w:val="0"/>
                                <w:numId w:val="24"/>
                              </w:numPr>
                              <w:ind w:left="567" w:hanging="567"/>
                              <w:rPr>
                                <w:sz w:val="18"/>
                                <w:szCs w:val="18"/>
                              </w:rPr>
                            </w:pPr>
                            <w:r>
                              <w:rPr>
                                <w:sz w:val="18"/>
                              </w:rPr>
                              <w:t>el respaldo de las actividades de cooperación durante la fase de elaboración y ejecución.</w:t>
                            </w:r>
                          </w:p>
                          <w:p w:rsidR="009C6BCC" w:rsidRPr="00AB16BB" w:rsidRDefault="009C6BCC" w:rsidP="009C6BCC">
                            <w:pPr>
                              <w:pStyle w:val="HSource"/>
                              <w:spacing w:before="0" w:after="0"/>
                              <w:ind w:right="11"/>
                              <w:jc w:val="right"/>
                              <w:rPr>
                                <w:rFonts w:eastAsia="Calibri"/>
                                <w:sz w:val="14"/>
                                <w:szCs w:val="14"/>
                              </w:rPr>
                            </w:pPr>
                            <w:r>
                              <w:rPr>
                                <w:sz w:val="14"/>
                              </w:rPr>
                              <w:t xml:space="preserve">Fuente: </w:t>
                            </w:r>
                            <w:proofErr w:type="spellStart"/>
                            <w:r>
                              <w:rPr>
                                <w:sz w:val="14"/>
                              </w:rPr>
                              <w:t>REDR</w:t>
                            </w:r>
                            <w:proofErr w:type="spellEnd"/>
                            <w:r>
                              <w:rPr>
                                <w:sz w:val="14"/>
                              </w:rPr>
                              <w:t xml:space="preserve"> (2016). </w:t>
                            </w:r>
                          </w:p>
                          <w:p w:rsidR="009C6BCC" w:rsidRPr="00AB16BB" w:rsidRDefault="009C6BCC" w:rsidP="009C6BCC">
                            <w:pPr>
                              <w:pStyle w:val="HSource"/>
                              <w:spacing w:before="0" w:after="0"/>
                              <w:ind w:right="11"/>
                              <w:jc w:val="right"/>
                              <w:rPr>
                                <w:sz w:val="14"/>
                                <w:szCs w:val="14"/>
                              </w:rPr>
                            </w:pPr>
                            <w:r>
                              <w:rPr>
                                <w:sz w:val="14"/>
                              </w:rPr>
                              <w:t xml:space="preserve">Taller sobre la medida 16: </w:t>
                            </w:r>
                            <w:proofErr w:type="spellStart"/>
                            <w:r>
                              <w:rPr>
                                <w:sz w:val="14"/>
                              </w:rPr>
                              <w:t>Cooperación</w:t>
                            </w:r>
                            <w:r>
                              <w:rPr>
                                <w:sz w:val="14"/>
                                <w:vertAlign w:val="superscript"/>
                              </w:rPr>
                              <w:t>56</w:t>
                            </w:r>
                            <w:proofErr w:type="spellEnd"/>
                            <w:r>
                              <w:rPr>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A8170" id="Rectangle: Diagonal Corners Rounded 30" o:spid="_x0000_s1046" style="position:absolute;left:0;text-align:left;margin-left:1.1pt;margin-top:72.9pt;width:453.8pt;height:579.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763260,7362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" adj="-11796480,,5400" path="m312484,l5763260,r,l5763260,7050341v,172580,-139904,312484,-312484,312484l,7362825r,l,312484c,139904,139904,,312484,xe" filled="f" strokecolor="#f07e31" strokeweight="2pt">
                <v:stroke joinstyle="miter"/>
                <v:formulas/>
                <v:path arrowok="t" o:connecttype="custom" o:connectlocs="312484,0;5763260,0;5763260,0;5763260,7050341;5450776,7362825;0,7362825;0,7362825;0,312484;312484,0" o:connectangles="0,0,0,0,0,0,0,0,0" textboxrect="0,0,5763260,7362825"/>
                <v:textbox>
                  <w:txbxContent>
                    <w:p w:rsidR="009C6BCC" w:rsidRPr="007B4A6D" w:rsidRDefault="009C6BCC" w:rsidP="009C6BCC">
                      <w:pPr>
                        <w:pStyle w:val="HStandard"/>
                        <w:ind w:left="567" w:hanging="567"/>
                        <w:rPr>
                          <w:b/>
                          <w:color w:val="648659"/>
                          <w:sz w:val="18"/>
                          <w:szCs w:val="18"/>
                        </w:rPr>
                      </w:pPr>
                      <w:r>
                        <w:rPr>
                          <w:noProof/>
                          <w:sz w:val="18"/>
                          <w:szCs w:val="18"/>
                          <w:lang w:val="en-GB" w:eastAsia="en-GB" w:bidi="ar-SA"/>
                        </w:rPr>
                        <w:drawing>
                          <wp:inline distT="0" distB="0" distL="0" distR="0" wp14:anchorId="7612D95E" wp14:editId="4C29F1DE">
                            <wp:extent cx="353060" cy="359410"/>
                            <wp:effectExtent l="0" t="0" r="8890" b="2540"/>
                            <wp:docPr id="704"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rPr>
                        <w:t>Ejemplo: Medidas de cooperación para mejorar la gestión medioambiental</w:t>
                      </w:r>
                    </w:p>
                    <w:p w:rsidR="009C6BCC" w:rsidRPr="007B4A6D" w:rsidRDefault="009C6BCC" w:rsidP="009C6BCC">
                      <w:pPr>
                        <w:pStyle w:val="HStandard"/>
                        <w:rPr>
                          <w:sz w:val="18"/>
                          <w:szCs w:val="18"/>
                        </w:rPr>
                      </w:pPr>
                      <w:r>
                        <w:rPr>
                          <w:b/>
                        </w:rPr>
                        <w:t>Finlandia</w:t>
                      </w:r>
                      <w:r>
                        <w:t xml:space="preserve"> - la </w:t>
                      </w:r>
                      <w:proofErr w:type="spellStart"/>
                      <w:r>
                        <w:t>M16</w:t>
                      </w:r>
                      <w:proofErr w:type="spellEnd"/>
                      <w:r>
                        <w:t xml:space="preserve"> complementa otras medidas del </w:t>
                      </w:r>
                      <w:proofErr w:type="spellStart"/>
                      <w:r>
                        <w:t>PDR</w:t>
                      </w:r>
                      <w:proofErr w:type="spellEnd"/>
                      <w:r>
                        <w:t xml:space="preserve"> para alcanzar los objetivos de las prioridades </w:t>
                      </w:r>
                      <w:proofErr w:type="spellStart"/>
                      <w:r>
                        <w:t>P4</w:t>
                      </w:r>
                      <w:proofErr w:type="spellEnd"/>
                      <w:r>
                        <w:t xml:space="preserve"> y </w:t>
                      </w:r>
                      <w:proofErr w:type="spellStart"/>
                      <w:r>
                        <w:t>P5</w:t>
                      </w:r>
                      <w:proofErr w:type="spellEnd"/>
                      <w:r>
                        <w:t>:</w:t>
                      </w:r>
                    </w:p>
                    <w:p w:rsidR="009C6BCC" w:rsidRPr="00055039" w:rsidRDefault="009C6BCC" w:rsidP="009C6BCC">
                      <w:pPr>
                        <w:pStyle w:val="HStandard"/>
                        <w:numPr>
                          <w:ilvl w:val="0"/>
                          <w:numId w:val="24"/>
                        </w:numPr>
                        <w:ind w:left="567" w:hanging="567"/>
                        <w:rPr>
                          <w:sz w:val="18"/>
                          <w:szCs w:val="18"/>
                        </w:rPr>
                      </w:pPr>
                      <w:r>
                        <w:rPr>
                          <w:sz w:val="18"/>
                        </w:rPr>
                        <w:t xml:space="preserve">el 58 % de la </w:t>
                      </w:r>
                      <w:proofErr w:type="spellStart"/>
                      <w:proofErr w:type="gramStart"/>
                      <w:r>
                        <w:rPr>
                          <w:sz w:val="18"/>
                        </w:rPr>
                        <w:t>M16</w:t>
                      </w:r>
                      <w:proofErr w:type="spellEnd"/>
                      <w:proofErr w:type="gramEnd"/>
                      <w:r>
                        <w:rPr>
                          <w:sz w:val="18"/>
                        </w:rPr>
                        <w:t xml:space="preserve"> así como partes de la </w:t>
                      </w:r>
                      <w:proofErr w:type="spellStart"/>
                      <w:r>
                        <w:rPr>
                          <w:sz w:val="18"/>
                        </w:rPr>
                        <w:t>M1</w:t>
                      </w:r>
                      <w:proofErr w:type="spellEnd"/>
                      <w:r>
                        <w:rPr>
                          <w:sz w:val="18"/>
                        </w:rPr>
                        <w:t xml:space="preserve"> y la </w:t>
                      </w:r>
                      <w:proofErr w:type="spellStart"/>
                      <w:r>
                        <w:rPr>
                          <w:sz w:val="18"/>
                        </w:rPr>
                        <w:t>M2</w:t>
                      </w:r>
                      <w:proofErr w:type="spellEnd"/>
                      <w:r>
                        <w:rPr>
                          <w:sz w:val="18"/>
                        </w:rPr>
                        <w:t xml:space="preserve"> se utilizan para promover la eficiencia energética.</w:t>
                      </w:r>
                    </w:p>
                    <w:p w:rsidR="009C6BCC" w:rsidRPr="00D66182" w:rsidRDefault="009C6BCC" w:rsidP="009C6BCC">
                      <w:pPr>
                        <w:pStyle w:val="HStandard"/>
                        <w:numPr>
                          <w:ilvl w:val="0"/>
                          <w:numId w:val="24"/>
                        </w:numPr>
                        <w:ind w:left="567" w:hanging="567"/>
                        <w:rPr>
                          <w:sz w:val="18"/>
                          <w:szCs w:val="18"/>
                        </w:rPr>
                      </w:pPr>
                      <w:r>
                        <w:rPr>
                          <w:sz w:val="18"/>
                        </w:rPr>
                        <w:t xml:space="preserve">el 49 % de la </w:t>
                      </w:r>
                      <w:proofErr w:type="spellStart"/>
                      <w:proofErr w:type="gramStart"/>
                      <w:r>
                        <w:rPr>
                          <w:sz w:val="18"/>
                        </w:rPr>
                        <w:t>M16</w:t>
                      </w:r>
                      <w:proofErr w:type="spellEnd"/>
                      <w:proofErr w:type="gramEnd"/>
                      <w:r>
                        <w:rPr>
                          <w:sz w:val="18"/>
                        </w:rPr>
                        <w:t xml:space="preserve"> así como partes de la </w:t>
                      </w:r>
                      <w:proofErr w:type="spellStart"/>
                      <w:r>
                        <w:rPr>
                          <w:sz w:val="18"/>
                        </w:rPr>
                        <w:t>M1</w:t>
                      </w:r>
                      <w:proofErr w:type="spellEnd"/>
                      <w:r>
                        <w:rPr>
                          <w:sz w:val="18"/>
                        </w:rPr>
                        <w:t xml:space="preserve"> y la </w:t>
                      </w:r>
                      <w:proofErr w:type="spellStart"/>
                      <w:r>
                        <w:rPr>
                          <w:sz w:val="18"/>
                        </w:rPr>
                        <w:t>M2</w:t>
                      </w:r>
                      <w:proofErr w:type="spellEnd"/>
                      <w:r>
                        <w:rPr>
                          <w:sz w:val="18"/>
                        </w:rPr>
                        <w:t xml:space="preserve"> se utilizan para la captura y conservación de carbono.</w:t>
                      </w:r>
                    </w:p>
                    <w:p w:rsidR="009C6BCC" w:rsidRPr="000E1D4B" w:rsidRDefault="009C6BCC" w:rsidP="009C6BCC">
                      <w:pPr>
                        <w:pStyle w:val="HStandard"/>
                        <w:numPr>
                          <w:ilvl w:val="0"/>
                          <w:numId w:val="24"/>
                        </w:numPr>
                        <w:ind w:left="567" w:hanging="567"/>
                        <w:rPr>
                          <w:sz w:val="18"/>
                          <w:szCs w:val="18"/>
                        </w:rPr>
                      </w:pPr>
                      <w:r>
                        <w:rPr>
                          <w:sz w:val="18"/>
                        </w:rPr>
                        <w:t xml:space="preserve">el 10 % de la </w:t>
                      </w:r>
                      <w:proofErr w:type="spellStart"/>
                      <w:r>
                        <w:rPr>
                          <w:sz w:val="18"/>
                        </w:rPr>
                        <w:t>M16</w:t>
                      </w:r>
                      <w:proofErr w:type="spellEnd"/>
                      <w:r>
                        <w:rPr>
                          <w:sz w:val="18"/>
                        </w:rPr>
                        <w:t xml:space="preserve">, el 84 % de la </w:t>
                      </w:r>
                      <w:proofErr w:type="spellStart"/>
                      <w:proofErr w:type="gramStart"/>
                      <w:r>
                        <w:rPr>
                          <w:sz w:val="18"/>
                        </w:rPr>
                        <w:t>M4</w:t>
                      </w:r>
                      <w:proofErr w:type="spellEnd"/>
                      <w:proofErr w:type="gramEnd"/>
                      <w:r>
                        <w:rPr>
                          <w:sz w:val="18"/>
                        </w:rPr>
                        <w:t xml:space="preserve"> así como partes de la </w:t>
                      </w:r>
                      <w:proofErr w:type="spellStart"/>
                      <w:r>
                        <w:rPr>
                          <w:sz w:val="18"/>
                        </w:rPr>
                        <w:t>M1</w:t>
                      </w:r>
                      <w:proofErr w:type="spellEnd"/>
                      <w:r>
                        <w:rPr>
                          <w:sz w:val="18"/>
                        </w:rPr>
                        <w:t xml:space="preserve"> y la </w:t>
                      </w:r>
                      <w:proofErr w:type="spellStart"/>
                      <w:r>
                        <w:rPr>
                          <w:sz w:val="18"/>
                        </w:rPr>
                        <w:t>M2</w:t>
                      </w:r>
                      <w:proofErr w:type="spellEnd"/>
                      <w:r>
                        <w:rPr>
                          <w:sz w:val="18"/>
                        </w:rPr>
                        <w:t xml:space="preserve"> se utilizan para fuentes renovables y gestión de residuos.</w:t>
                      </w:r>
                    </w:p>
                    <w:p w:rsidR="009C6BCC" w:rsidRPr="000E1D4B" w:rsidRDefault="009C6BCC" w:rsidP="009C6BCC">
                      <w:pPr>
                        <w:pStyle w:val="HStandard"/>
                        <w:numPr>
                          <w:ilvl w:val="0"/>
                          <w:numId w:val="24"/>
                        </w:numPr>
                        <w:ind w:left="567" w:hanging="567"/>
                        <w:rPr>
                          <w:sz w:val="18"/>
                          <w:szCs w:val="18"/>
                        </w:rPr>
                      </w:pPr>
                      <w:r>
                        <w:rPr>
                          <w:sz w:val="18"/>
                        </w:rPr>
                        <w:t xml:space="preserve">el 5,5 % de la </w:t>
                      </w:r>
                      <w:proofErr w:type="spellStart"/>
                      <w:r>
                        <w:rPr>
                          <w:sz w:val="18"/>
                        </w:rPr>
                        <w:t>M16</w:t>
                      </w:r>
                      <w:proofErr w:type="spellEnd"/>
                      <w:r>
                        <w:rPr>
                          <w:sz w:val="18"/>
                        </w:rPr>
                        <w:t xml:space="preserve">, el 89 % de la </w:t>
                      </w:r>
                      <w:proofErr w:type="spellStart"/>
                      <w:proofErr w:type="gramStart"/>
                      <w:r>
                        <w:rPr>
                          <w:sz w:val="18"/>
                        </w:rPr>
                        <w:t>M4</w:t>
                      </w:r>
                      <w:proofErr w:type="spellEnd"/>
                      <w:proofErr w:type="gramEnd"/>
                      <w:r>
                        <w:rPr>
                          <w:sz w:val="18"/>
                        </w:rPr>
                        <w:t xml:space="preserve"> así como partes de la </w:t>
                      </w:r>
                      <w:proofErr w:type="spellStart"/>
                      <w:r>
                        <w:rPr>
                          <w:sz w:val="18"/>
                        </w:rPr>
                        <w:t>M1</w:t>
                      </w:r>
                      <w:proofErr w:type="spellEnd"/>
                      <w:r>
                        <w:rPr>
                          <w:sz w:val="18"/>
                        </w:rPr>
                        <w:t xml:space="preserve"> y la </w:t>
                      </w:r>
                      <w:proofErr w:type="spellStart"/>
                      <w:r>
                        <w:rPr>
                          <w:sz w:val="18"/>
                        </w:rPr>
                        <w:t>M2</w:t>
                      </w:r>
                      <w:proofErr w:type="spellEnd"/>
                      <w:r>
                        <w:rPr>
                          <w:sz w:val="18"/>
                        </w:rPr>
                        <w:t xml:space="preserve"> se utilizan para reducir las emisiones de </w:t>
                      </w:r>
                      <w:proofErr w:type="spellStart"/>
                      <w:r>
                        <w:rPr>
                          <w:sz w:val="18"/>
                        </w:rPr>
                        <w:t>GEI</w:t>
                      </w:r>
                      <w:proofErr w:type="spellEnd"/>
                      <w:r>
                        <w:rPr>
                          <w:sz w:val="18"/>
                        </w:rPr>
                        <w:t xml:space="preserve"> y amoníaco.</w:t>
                      </w:r>
                    </w:p>
                    <w:p w:rsidR="009C6BCC" w:rsidRPr="000E1D4B" w:rsidRDefault="009C6BCC" w:rsidP="009C6BCC">
                      <w:pPr>
                        <w:pStyle w:val="HStandard"/>
                        <w:rPr>
                          <w:sz w:val="18"/>
                          <w:szCs w:val="18"/>
                        </w:rPr>
                      </w:pPr>
                      <w:r>
                        <w:rPr>
                          <w:sz w:val="18"/>
                        </w:rPr>
                        <w:t xml:space="preserve">Algunas </w:t>
                      </w:r>
                      <w:proofErr w:type="spellStart"/>
                      <w:r>
                        <w:rPr>
                          <w:sz w:val="18"/>
                        </w:rPr>
                        <w:t>submedidas</w:t>
                      </w:r>
                      <w:proofErr w:type="spellEnd"/>
                      <w:r>
                        <w:rPr>
                          <w:sz w:val="18"/>
                        </w:rPr>
                        <w:t xml:space="preserve"> de cooperación [por ejemplo, apoyo para proyectos piloto (</w:t>
                      </w:r>
                      <w:proofErr w:type="spellStart"/>
                      <w:r>
                        <w:rPr>
                          <w:sz w:val="18"/>
                        </w:rPr>
                        <w:t>M16.2</w:t>
                      </w:r>
                      <w:proofErr w:type="spellEnd"/>
                      <w:r>
                        <w:rPr>
                          <w:sz w:val="18"/>
                        </w:rPr>
                        <w:t>), apoyo a acciones conjuntas para la mitigación y la adaptación al cambio climático y para planteamientos conjuntos con respecto a proyectos y prácticas medioambientales (</w:t>
                      </w:r>
                      <w:proofErr w:type="spellStart"/>
                      <w:r>
                        <w:rPr>
                          <w:sz w:val="18"/>
                        </w:rPr>
                        <w:t>M16.5</w:t>
                      </w:r>
                      <w:proofErr w:type="spellEnd"/>
                      <w:r>
                        <w:rPr>
                          <w:sz w:val="18"/>
                        </w:rPr>
                        <w:t xml:space="preserve">)] tienen repercusiones principales en los ámbitos de interés </w:t>
                      </w:r>
                      <w:proofErr w:type="spellStart"/>
                      <w:r>
                        <w:rPr>
                          <w:sz w:val="18"/>
                        </w:rPr>
                        <w:t>4A</w:t>
                      </w:r>
                      <w:proofErr w:type="spellEnd"/>
                      <w:r>
                        <w:rPr>
                          <w:sz w:val="18"/>
                        </w:rPr>
                        <w:t xml:space="preserve">-C y </w:t>
                      </w:r>
                      <w:proofErr w:type="spellStart"/>
                      <w:r>
                        <w:rPr>
                          <w:sz w:val="18"/>
                        </w:rPr>
                        <w:t>5A</w:t>
                      </w:r>
                      <w:proofErr w:type="spellEnd"/>
                      <w:r>
                        <w:rPr>
                          <w:sz w:val="18"/>
                        </w:rPr>
                        <w:t>-E.</w:t>
                      </w:r>
                    </w:p>
                    <w:p w:rsidR="009C6BCC" w:rsidRPr="00AB16BB" w:rsidRDefault="009C6BCC" w:rsidP="009C6BCC">
                      <w:pPr>
                        <w:pStyle w:val="HSource"/>
                        <w:ind w:right="8"/>
                        <w:jc w:val="right"/>
                        <w:rPr>
                          <w:rFonts w:eastAsia="Calibri"/>
                          <w:sz w:val="14"/>
                          <w:szCs w:val="14"/>
                        </w:rPr>
                      </w:pPr>
                      <w:r>
                        <w:rPr>
                          <w:sz w:val="14"/>
                        </w:rPr>
                        <w:t xml:space="preserve">Fuente: </w:t>
                      </w:r>
                      <w:proofErr w:type="spellStart"/>
                      <w:r>
                        <w:rPr>
                          <w:sz w:val="14"/>
                        </w:rPr>
                        <w:t>REDR</w:t>
                      </w:r>
                      <w:proofErr w:type="spellEnd"/>
                      <w:r>
                        <w:rPr>
                          <w:sz w:val="14"/>
                        </w:rPr>
                        <w:t xml:space="preserve"> (2016). Taller sobre la medida 16: </w:t>
                      </w:r>
                      <w:proofErr w:type="spellStart"/>
                      <w:r>
                        <w:rPr>
                          <w:sz w:val="14"/>
                        </w:rPr>
                        <w:t>Cooperación</w:t>
                      </w:r>
                      <w:r>
                        <w:rPr>
                          <w:sz w:val="14"/>
                          <w:vertAlign w:val="superscript"/>
                        </w:rPr>
                        <w:t>54</w:t>
                      </w:r>
                      <w:proofErr w:type="spellEnd"/>
                      <w:r>
                        <w:rPr>
                          <w:sz w:val="14"/>
                        </w:rPr>
                        <w:t>.</w:t>
                      </w:r>
                    </w:p>
                    <w:p w:rsidR="009C6BCC" w:rsidRPr="007B4A6D" w:rsidRDefault="009C6BCC" w:rsidP="009C6BCC">
                      <w:pPr>
                        <w:pStyle w:val="HStandard"/>
                        <w:spacing w:after="0"/>
                        <w:ind w:left="567" w:hanging="567"/>
                        <w:rPr>
                          <w:b/>
                          <w:sz w:val="18"/>
                          <w:szCs w:val="18"/>
                        </w:rPr>
                      </w:pPr>
                      <w:r>
                        <w:rPr>
                          <w:b/>
                          <w:color w:val="F07E31"/>
                          <w:sz w:val="18"/>
                        </w:rPr>
                        <w:t>Ejemplo:</w:t>
                      </w:r>
                      <w:r>
                        <w:rPr>
                          <w:color w:val="F07E31"/>
                          <w:sz w:val="18"/>
                        </w:rPr>
                        <w:t xml:space="preserve"> </w:t>
                      </w:r>
                      <w:r>
                        <w:rPr>
                          <w:b/>
                          <w:color w:val="F07E31"/>
                          <w:sz w:val="18"/>
                        </w:rPr>
                        <w:t>Conectar investigadores y agricultores</w:t>
                      </w:r>
                      <w:r>
                        <w:rPr>
                          <w:color w:val="F07E31"/>
                          <w:sz w:val="18"/>
                        </w:rPr>
                        <w:t xml:space="preserve"> </w:t>
                      </w:r>
                    </w:p>
                    <w:p w:rsidR="009C6BCC" w:rsidRPr="00D66182" w:rsidRDefault="009C6BCC" w:rsidP="009C6BCC">
                      <w:pPr>
                        <w:pStyle w:val="HStandard"/>
                        <w:rPr>
                          <w:sz w:val="18"/>
                          <w:szCs w:val="18"/>
                        </w:rPr>
                      </w:pPr>
                      <w:r>
                        <w:rPr>
                          <w:b/>
                        </w:rPr>
                        <w:t>Bélgica -</w:t>
                      </w:r>
                      <w:r>
                        <w:t xml:space="preserve"> una innovadora explotación porcina contribuye a reducir las emisiones de amoniaco.</w:t>
                      </w:r>
                      <w:r>
                        <w:rPr>
                          <w:sz w:val="18"/>
                        </w:rPr>
                        <w:t xml:space="preserve"> Poner en contacto a investigadores y agricultores a través de los servicios de apoyo a la innovación ha sido clave para desarrollar y ensayar estas técnicas de reducción de las emisiones de amoníaco mediante la incorporación de bacterias específicas al estiércol porcino. Esto también contribuye a la consecución de los objetivos medioambientales del </w:t>
                      </w:r>
                      <w:proofErr w:type="spellStart"/>
                      <w:r>
                        <w:rPr>
                          <w:sz w:val="18"/>
                        </w:rPr>
                        <w:t>PDR</w:t>
                      </w:r>
                      <w:proofErr w:type="spellEnd"/>
                      <w:r>
                        <w:rPr>
                          <w:sz w:val="18"/>
                        </w:rPr>
                        <w:t xml:space="preserve">. </w:t>
                      </w:r>
                    </w:p>
                    <w:p w:rsidR="009C6BCC" w:rsidRPr="00AB16BB" w:rsidRDefault="009C6BCC" w:rsidP="009C6BCC">
                      <w:pPr>
                        <w:pStyle w:val="HStandard"/>
                        <w:jc w:val="right"/>
                        <w:rPr>
                          <w:sz w:val="14"/>
                          <w:szCs w:val="14"/>
                          <w:vertAlign w:val="superscript"/>
                        </w:rPr>
                      </w:pPr>
                      <w:r>
                        <w:rPr>
                          <w:i/>
                          <w:sz w:val="14"/>
                        </w:rPr>
                        <w:t xml:space="preserve">Fuente: </w:t>
                      </w:r>
                      <w:proofErr w:type="spellStart"/>
                      <w:r>
                        <w:rPr>
                          <w:i/>
                          <w:sz w:val="14"/>
                        </w:rPr>
                        <w:t>AEI</w:t>
                      </w:r>
                      <w:proofErr w:type="spellEnd"/>
                      <w:r>
                        <w:rPr>
                          <w:i/>
                          <w:sz w:val="14"/>
                        </w:rPr>
                        <w:t xml:space="preserve"> - Punto de </w:t>
                      </w:r>
                      <w:proofErr w:type="spellStart"/>
                      <w:r>
                        <w:rPr>
                          <w:i/>
                          <w:sz w:val="14"/>
                        </w:rPr>
                        <w:t>servicio</w:t>
                      </w:r>
                      <w:r>
                        <w:rPr>
                          <w:i/>
                          <w:sz w:val="14"/>
                          <w:vertAlign w:val="superscript"/>
                        </w:rPr>
                        <w:t>55</w:t>
                      </w:r>
                      <w:proofErr w:type="spellEnd"/>
                    </w:p>
                    <w:p w:rsidR="009C6BCC" w:rsidRPr="007B4A6D" w:rsidRDefault="009C6BCC" w:rsidP="009C6BCC">
                      <w:pPr>
                        <w:pStyle w:val="HStandard"/>
                        <w:rPr>
                          <w:b/>
                          <w:color w:val="F07E31"/>
                          <w:sz w:val="18"/>
                          <w:szCs w:val="18"/>
                        </w:rPr>
                      </w:pPr>
                      <w:r>
                        <w:rPr>
                          <w:b/>
                          <w:color w:val="F07E31"/>
                          <w:sz w:val="18"/>
                        </w:rPr>
                        <w:t xml:space="preserve">Ejemplo: Servicios de apoyo a la innovación </w:t>
                      </w:r>
                    </w:p>
                    <w:p w:rsidR="009C6BCC" w:rsidRPr="007B4A6D" w:rsidRDefault="009C6BCC" w:rsidP="009C6BCC">
                      <w:pPr>
                        <w:pStyle w:val="HStandard"/>
                        <w:spacing w:after="0"/>
                        <w:rPr>
                          <w:b/>
                          <w:sz w:val="18"/>
                          <w:szCs w:val="18"/>
                        </w:rPr>
                      </w:pPr>
                      <w:proofErr w:type="spellStart"/>
                      <w:r>
                        <w:rPr>
                          <w:b/>
                        </w:rPr>
                        <w:t>Hessen</w:t>
                      </w:r>
                      <w:proofErr w:type="spellEnd"/>
                      <w:r>
                        <w:rPr>
                          <w:b/>
                        </w:rPr>
                        <w:t xml:space="preserve"> (DE)</w:t>
                      </w:r>
                      <w:r>
                        <w:t xml:space="preserve"> - los servicios de apoyo a la innovación contribuyeron a reforzar la capacidad para innovar a través de:</w:t>
                      </w:r>
                    </w:p>
                    <w:p w:rsidR="009C6BCC" w:rsidRPr="00055039" w:rsidRDefault="009C6BCC" w:rsidP="009C6BCC">
                      <w:pPr>
                        <w:pStyle w:val="HStandard"/>
                        <w:numPr>
                          <w:ilvl w:val="0"/>
                          <w:numId w:val="24"/>
                        </w:numPr>
                        <w:ind w:left="567" w:hanging="567"/>
                        <w:rPr>
                          <w:sz w:val="18"/>
                          <w:szCs w:val="18"/>
                        </w:rPr>
                      </w:pPr>
                      <w:r>
                        <w:rPr>
                          <w:sz w:val="18"/>
                        </w:rPr>
                        <w:t xml:space="preserve">el apoyo a la ejecución de la </w:t>
                      </w:r>
                      <w:proofErr w:type="spellStart"/>
                      <w:r>
                        <w:rPr>
                          <w:sz w:val="18"/>
                        </w:rPr>
                        <w:t>M16</w:t>
                      </w:r>
                      <w:proofErr w:type="spellEnd"/>
                      <w:r>
                        <w:rPr>
                          <w:sz w:val="18"/>
                        </w:rPr>
                        <w:t>,</w:t>
                      </w:r>
                    </w:p>
                    <w:p w:rsidR="009C6BCC" w:rsidRPr="00D66182" w:rsidRDefault="009C6BCC" w:rsidP="009C6BCC">
                      <w:pPr>
                        <w:pStyle w:val="HStandard"/>
                        <w:numPr>
                          <w:ilvl w:val="0"/>
                          <w:numId w:val="24"/>
                        </w:numPr>
                        <w:ind w:left="567" w:hanging="567"/>
                        <w:rPr>
                          <w:sz w:val="18"/>
                          <w:szCs w:val="18"/>
                        </w:rPr>
                      </w:pPr>
                      <w:r>
                        <w:rPr>
                          <w:sz w:val="18"/>
                        </w:rPr>
                        <w:t>la información y la publicidad en la región,</w:t>
                      </w:r>
                    </w:p>
                    <w:p w:rsidR="009C6BCC" w:rsidRPr="000E1D4B" w:rsidRDefault="009C6BCC" w:rsidP="009C6BCC">
                      <w:pPr>
                        <w:pStyle w:val="HStandard"/>
                        <w:numPr>
                          <w:ilvl w:val="0"/>
                          <w:numId w:val="24"/>
                        </w:numPr>
                        <w:ind w:left="567" w:hanging="567"/>
                        <w:rPr>
                          <w:sz w:val="18"/>
                          <w:szCs w:val="18"/>
                        </w:rPr>
                      </w:pPr>
                      <w:r>
                        <w:rPr>
                          <w:sz w:val="18"/>
                        </w:rPr>
                        <w:t xml:space="preserve">el establecimiento de redes entre las actividades de cooperación en </w:t>
                      </w:r>
                      <w:proofErr w:type="spellStart"/>
                      <w:r>
                        <w:rPr>
                          <w:sz w:val="18"/>
                        </w:rPr>
                        <w:t>Hessen</w:t>
                      </w:r>
                      <w:proofErr w:type="spellEnd"/>
                      <w:r>
                        <w:rPr>
                          <w:sz w:val="18"/>
                        </w:rPr>
                        <w:t>, Alemania,</w:t>
                      </w:r>
                    </w:p>
                    <w:p w:rsidR="009C6BCC" w:rsidRPr="000E1D4B" w:rsidRDefault="009C6BCC" w:rsidP="009C6BCC">
                      <w:pPr>
                        <w:pStyle w:val="HStandard"/>
                        <w:numPr>
                          <w:ilvl w:val="0"/>
                          <w:numId w:val="24"/>
                        </w:numPr>
                        <w:ind w:left="567" w:hanging="567"/>
                        <w:rPr>
                          <w:sz w:val="18"/>
                          <w:szCs w:val="18"/>
                        </w:rPr>
                      </w:pPr>
                      <w:r>
                        <w:rPr>
                          <w:sz w:val="18"/>
                        </w:rPr>
                        <w:t>el respaldo de las actividades de cooperación durante la fase de elaboración y ejecución.</w:t>
                      </w:r>
                    </w:p>
                    <w:p w:rsidR="009C6BCC" w:rsidRPr="00AB16BB" w:rsidRDefault="009C6BCC" w:rsidP="009C6BCC">
                      <w:pPr>
                        <w:pStyle w:val="HSource"/>
                        <w:spacing w:before="0" w:after="0"/>
                        <w:ind w:right="11"/>
                        <w:jc w:val="right"/>
                        <w:rPr>
                          <w:rFonts w:eastAsia="Calibri"/>
                          <w:sz w:val="14"/>
                          <w:szCs w:val="14"/>
                        </w:rPr>
                      </w:pPr>
                      <w:r>
                        <w:rPr>
                          <w:sz w:val="14"/>
                        </w:rPr>
                        <w:t xml:space="preserve">Fuente: </w:t>
                      </w:r>
                      <w:proofErr w:type="spellStart"/>
                      <w:r>
                        <w:rPr>
                          <w:sz w:val="14"/>
                        </w:rPr>
                        <w:t>REDR</w:t>
                      </w:r>
                      <w:proofErr w:type="spellEnd"/>
                      <w:r>
                        <w:rPr>
                          <w:sz w:val="14"/>
                        </w:rPr>
                        <w:t xml:space="preserve"> (2016). </w:t>
                      </w:r>
                    </w:p>
                    <w:p w:rsidR="009C6BCC" w:rsidRPr="00AB16BB" w:rsidRDefault="009C6BCC" w:rsidP="009C6BCC">
                      <w:pPr>
                        <w:pStyle w:val="HSource"/>
                        <w:spacing w:before="0" w:after="0"/>
                        <w:ind w:right="11"/>
                        <w:jc w:val="right"/>
                        <w:rPr>
                          <w:sz w:val="14"/>
                          <w:szCs w:val="14"/>
                        </w:rPr>
                      </w:pPr>
                      <w:r>
                        <w:rPr>
                          <w:sz w:val="14"/>
                        </w:rPr>
                        <w:t xml:space="preserve">Taller sobre la medida 16: </w:t>
                      </w:r>
                      <w:proofErr w:type="spellStart"/>
                      <w:r>
                        <w:rPr>
                          <w:sz w:val="14"/>
                        </w:rPr>
                        <w:t>Cooperación</w:t>
                      </w:r>
                      <w:r>
                        <w:rPr>
                          <w:sz w:val="14"/>
                          <w:vertAlign w:val="superscript"/>
                        </w:rPr>
                        <w:t>56</w:t>
                      </w:r>
                      <w:proofErr w:type="spellEnd"/>
                      <w:r>
                        <w:rPr>
                          <w:sz w:val="14"/>
                        </w:rPr>
                        <w:t xml:space="preserve">. </w:t>
                      </w:r>
                    </w:p>
                  </w:txbxContent>
                </v:textbox>
                <w10:wrap type="square" anchory="page"/>
              </v:shape>
            </w:pict>
          </mc:Fallback>
        </mc:AlternateContent>
      </w:r>
      <w:r w:rsidRPr="009E6414">
        <w:rPr>
          <w:rStyle w:val="FootnoteReference"/>
          <w:noProof/>
          <w:color w:val="FFFFFF" w:themeColor="background1"/>
          <w:lang w:val="es-ES_tradnl"/>
        </w:rPr>
        <w:footnoteReference w:id="54"/>
      </w:r>
      <w:r w:rsidRPr="009E6414">
        <w:rPr>
          <w:noProof/>
          <w:color w:val="FFFFFF" w:themeColor="background1"/>
          <w:lang w:val="es-ES_tradnl"/>
        </w:rPr>
        <w:t xml:space="preserve"> </w:t>
      </w:r>
      <w:r w:rsidRPr="009E6414">
        <w:rPr>
          <w:rStyle w:val="FootnoteReference"/>
          <w:noProof/>
          <w:color w:val="FFFFFF" w:themeColor="background1"/>
          <w:lang w:val="es-ES_tradnl"/>
        </w:rPr>
        <w:footnoteReference w:id="55"/>
      </w:r>
      <w:r w:rsidRPr="009E6414">
        <w:rPr>
          <w:rStyle w:val="FootnoteReference"/>
          <w:noProof/>
          <w:color w:val="FFFFFF" w:themeColor="background1"/>
          <w:lang w:val="es-ES_tradnl"/>
        </w:rPr>
        <w:footnoteReference w:id="56"/>
      </w:r>
    </w:p>
    <w:p w:rsidR="009C6BCC" w:rsidRDefault="009C6BCC" w:rsidP="00E05D08">
      <w:pPr>
        <w:keepNext/>
        <w:keepLines/>
        <w:tabs>
          <w:tab w:val="left" w:pos="680"/>
        </w:tabs>
        <w:spacing w:before="240" w:after="240" w:line="280" w:lineRule="atLeast"/>
        <w:mirrorIndents/>
        <w:outlineLvl w:val="3"/>
        <w:rPr>
          <w:b/>
          <w:noProof/>
          <w:color w:val="57825E"/>
          <w:shd w:val="clear" w:color="auto" w:fill="FFFFFF"/>
          <w:lang w:val="es-ES_tradnl"/>
        </w:rPr>
      </w:pPr>
    </w:p>
    <w:p w:rsidR="00A45935" w:rsidRPr="009E6414" w:rsidRDefault="00A45935" w:rsidP="00E05D08">
      <w:pPr>
        <w:keepNext/>
        <w:keepLines/>
        <w:tabs>
          <w:tab w:val="left" w:pos="680"/>
        </w:tabs>
        <w:spacing w:before="240" w:after="240" w:line="280" w:lineRule="atLeast"/>
        <w:mirrorIndents/>
        <w:outlineLvl w:val="3"/>
        <w:rPr>
          <w:rFonts w:eastAsia="Times New Roman" w:cs="Times New Roman"/>
          <w:b/>
          <w:noProof/>
          <w:color w:val="57825E"/>
          <w:szCs w:val="20"/>
          <w:lang w:val="es-ES_tradnl"/>
        </w:rPr>
      </w:pPr>
      <w:r w:rsidRPr="009E6414">
        <w:rPr>
          <w:b/>
          <w:noProof/>
          <w:color w:val="57825E"/>
          <w:shd w:val="clear" w:color="auto" w:fill="FFFFFF"/>
          <w:lang w:val="es-ES_tradnl"/>
        </w:rPr>
        <w:lastRenderedPageBreak/>
        <w:t xml:space="preserve">Retos específicos </w:t>
      </w:r>
    </w:p>
    <w:p w:rsidR="00A45935" w:rsidRPr="009E6414" w:rsidRDefault="00A45935" w:rsidP="00AB16BB">
      <w:pPr>
        <w:pStyle w:val="Hlistbullet"/>
        <w:rPr>
          <w:noProof/>
          <w:lang w:val="es-ES_tradnl"/>
        </w:rPr>
      </w:pPr>
      <w:r w:rsidRPr="009E6414">
        <w:rPr>
          <w:b/>
          <w:noProof/>
          <w:shd w:val="clear" w:color="auto" w:fill="FFFFFF"/>
          <w:lang w:val="es-ES_tradnl"/>
        </w:rPr>
        <w:t>Elaborar elementos de evaluación complementarios y específicos del programa</w:t>
      </w:r>
      <w:r w:rsidRPr="009E6414">
        <w:rPr>
          <w:noProof/>
          <w:lang w:val="es-ES_tradnl"/>
        </w:rPr>
        <w:t xml:space="preserve">: </w:t>
      </w:r>
      <w:r w:rsidRPr="009E6414">
        <w:rPr>
          <w:noProof/>
          <w:color w:val="545454"/>
          <w:shd w:val="clear" w:color="auto" w:fill="FFFFFF"/>
          <w:lang w:val="es-ES_tradnl"/>
        </w:rPr>
        <w:t xml:space="preserve">La PCE n.º 2 está vinculada a un único indicador de objetivos común (T2: </w:t>
      </w:r>
      <w:r w:rsidRPr="009E6414">
        <w:rPr>
          <w:noProof/>
          <w:lang w:val="es-ES_tradnl"/>
        </w:rPr>
        <w:t xml:space="preserve">Número total de operaciones de cooperación subvencionadas en el marco de la medida de cooperación), </w:t>
      </w:r>
      <w:r w:rsidRPr="009E6414">
        <w:rPr>
          <w:noProof/>
          <w:color w:val="545454"/>
          <w:shd w:val="clear" w:color="auto" w:fill="FFFFFF"/>
          <w:lang w:val="es-ES_tradnl"/>
        </w:rPr>
        <w:t>que podría no ser suficiente para responder a dicha PCE.</w:t>
      </w:r>
    </w:p>
    <w:p w:rsidR="00A45935" w:rsidRPr="009E6414" w:rsidRDefault="00A45935" w:rsidP="00AB16BB">
      <w:pPr>
        <w:pStyle w:val="Hlistbullet"/>
        <w:rPr>
          <w:rFonts w:eastAsia="Calibri"/>
          <w:noProof/>
          <w:shd w:val="clear" w:color="auto" w:fill="FFFFFF"/>
          <w:lang w:val="es-ES_tradnl"/>
        </w:rPr>
      </w:pPr>
      <w:r w:rsidRPr="009E6414">
        <w:rPr>
          <w:b/>
          <w:noProof/>
          <w:shd w:val="clear" w:color="auto" w:fill="FFFFFF"/>
          <w:lang w:val="es-ES_tradnl"/>
        </w:rPr>
        <w:t>Atribuir los cambios observados</w:t>
      </w:r>
      <w:r w:rsidRPr="009E6414">
        <w:rPr>
          <w:noProof/>
          <w:lang w:val="es-ES_tradnl"/>
        </w:rPr>
        <w:t xml:space="preserve"> a los</w:t>
      </w:r>
      <w:r w:rsidRPr="009E6414">
        <w:rPr>
          <w:b/>
          <w:noProof/>
          <w:shd w:val="clear" w:color="auto" w:fill="FFFFFF"/>
          <w:lang w:val="es-ES_tradnl"/>
        </w:rPr>
        <w:t xml:space="preserve"> </w:t>
      </w:r>
      <w:r w:rsidRPr="009E6414">
        <w:rPr>
          <w:noProof/>
          <w:lang w:val="es-ES_tradnl"/>
        </w:rPr>
        <w:t>vínculos entre agricultura, silvicultura e investigación e innovación. Se trata de los cambios vinculados a una mejor gestión y mejores resultados medioambientales</w:t>
      </w:r>
      <w:r w:rsidRPr="009E6414">
        <w:rPr>
          <w:b/>
          <w:noProof/>
          <w:shd w:val="clear" w:color="auto" w:fill="FFFFFF"/>
          <w:lang w:val="es-ES_tradnl"/>
        </w:rPr>
        <w:t>,</w:t>
      </w:r>
      <w:r w:rsidRPr="009E6414">
        <w:rPr>
          <w:noProof/>
          <w:lang w:val="es-ES_tradnl"/>
        </w:rPr>
        <w:t xml:space="preserve"> a la medida de cooperación M16 y su contribución a la consecución de los objetivos del PDR. </w:t>
      </w:r>
    </w:p>
    <w:p w:rsidR="00A45935" w:rsidRPr="009E6414" w:rsidRDefault="00A45935" w:rsidP="00AB16BB">
      <w:pPr>
        <w:pStyle w:val="Hlistbullet"/>
        <w:rPr>
          <w:rFonts w:eastAsia="Calibri"/>
          <w:noProof/>
          <w:shd w:val="clear" w:color="auto" w:fill="FFFFFF"/>
          <w:lang w:val="es-ES_tradnl"/>
        </w:rPr>
      </w:pPr>
      <w:r w:rsidRPr="009E6414">
        <w:rPr>
          <w:b/>
          <w:noProof/>
          <w:shd w:val="clear" w:color="auto" w:fill="FFFFFF"/>
          <w:lang w:val="es-ES_tradnl"/>
        </w:rPr>
        <w:t>Captar las contribuciones de las medidas programadas en el marco de los AI distintos del AI 1B</w:t>
      </w:r>
      <w:r w:rsidRPr="009E6414">
        <w:rPr>
          <w:noProof/>
          <w:lang w:val="es-ES_tradnl"/>
        </w:rPr>
        <w:t xml:space="preserve"> (incluidas las submedidas de la M16) concebidas para reforzar los vínculos entre</w:t>
      </w:r>
      <w:r w:rsidRPr="009E6414">
        <w:rPr>
          <w:b/>
          <w:noProof/>
          <w:shd w:val="clear" w:color="auto" w:fill="FFFFFF"/>
          <w:lang w:val="es-ES_tradnl"/>
        </w:rPr>
        <w:t xml:space="preserve"> </w:t>
      </w:r>
      <w:r w:rsidRPr="009E6414">
        <w:rPr>
          <w:noProof/>
          <w:lang w:val="es-ES_tradnl"/>
        </w:rPr>
        <w:t xml:space="preserve">agricultura, silvicultura, investigación e innovación, en particular las relacionadas con una mejor gestión y mejores resultados medioambientales. </w:t>
      </w:r>
    </w:p>
    <w:p w:rsidR="00A45935" w:rsidRPr="009E6414" w:rsidRDefault="00A45935" w:rsidP="00E05D08">
      <w:pPr>
        <w:keepNext/>
        <w:keepLines/>
        <w:tabs>
          <w:tab w:val="left" w:pos="680"/>
        </w:tabs>
        <w:spacing w:before="240" w:after="240" w:line="280" w:lineRule="atLeast"/>
        <w:mirrorIndents/>
        <w:outlineLvl w:val="3"/>
        <w:rPr>
          <w:rFonts w:eastAsia="Calibri" w:cs="Times New Roman"/>
          <w:b/>
          <w:noProof/>
          <w:color w:val="57825E"/>
          <w:szCs w:val="20"/>
          <w:shd w:val="clear" w:color="auto" w:fill="FFFFFF"/>
          <w:lang w:val="es-ES_tradnl"/>
        </w:rPr>
      </w:pPr>
      <w:r w:rsidRPr="009E6414">
        <w:rPr>
          <w:b/>
          <w:noProof/>
          <w:color w:val="57825E"/>
          <w:shd w:val="clear" w:color="auto" w:fill="FFFFFF"/>
          <w:lang w:val="es-ES_tradnl"/>
        </w:rPr>
        <w:t>Planteamiento propuesto para responder a la PCE n.º 2</w:t>
      </w:r>
    </w:p>
    <w:p w:rsidR="00A45935" w:rsidRPr="009E6414" w:rsidRDefault="00A45935" w:rsidP="008C0B17">
      <w:pPr>
        <w:numPr>
          <w:ilvl w:val="0"/>
          <w:numId w:val="56"/>
        </w:numPr>
        <w:spacing w:before="120" w:after="120" w:line="280" w:lineRule="atLeast"/>
        <w:ind w:left="567" w:hanging="567"/>
        <w:mirrorIndents/>
        <w:rPr>
          <w:rFonts w:eastAsia="Times New Roman" w:cs="Times New Roman"/>
          <w:b/>
          <w:noProof/>
          <w:szCs w:val="20"/>
          <w:lang w:val="es-ES_tradnl"/>
        </w:rPr>
      </w:pPr>
      <w:r w:rsidRPr="009E6414">
        <w:rPr>
          <w:b/>
          <w:noProof/>
          <w:lang w:val="es-ES_tradnl"/>
        </w:rPr>
        <w:t xml:space="preserve">Lógica de intervención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 xml:space="preserve">En el ejemplo que figura a continuación, la lógica de intervención vinculada a la PCE n.º 2 se compone de submedidas de la M16, programadas en el marco del AI 1B o en el marco de otros AI que contribuyen a los objetivos del AI 1B.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 xml:space="preserve">Un posible punto de partida para revisar la lógica de intervención es el examen del potencial de innovación de las submedidas de la M16 para potenciar la innovación a través de las tres vías. </w:t>
      </w:r>
    </w:p>
    <w:p w:rsidR="00A45935" w:rsidRPr="009E6414" w:rsidRDefault="00BE1F31" w:rsidP="00547012">
      <w:pPr>
        <w:pStyle w:val="HHeadingfigures"/>
      </w:pPr>
      <w:bookmarkStart w:id="23" w:name="_Toc508707936"/>
      <w:r w:rsidRPr="009E6414">
        <w:t>Ejemplo del potencial de innovación de cada submedida de la M16</w:t>
      </w:r>
      <w:bookmarkEnd w:id="23"/>
    </w:p>
    <w:p w:rsidR="00A45935" w:rsidRPr="009E6414" w:rsidRDefault="006172D0" w:rsidP="002C2C15">
      <w:pPr>
        <w:spacing w:after="120" w:line="280" w:lineRule="atLeast"/>
        <w:mirrorIndents/>
        <w:jc w:val="center"/>
        <w:rPr>
          <w:rFonts w:eastAsia="Times New Roman" w:cs="Times New Roman"/>
          <w:noProof/>
          <w:szCs w:val="20"/>
          <w:lang w:val="es-ES_tradnl"/>
        </w:rPr>
      </w:pPr>
      <w:r w:rsidRPr="006172D0">
        <w:rPr>
          <w:noProof/>
          <w:lang w:val="en-GB" w:eastAsia="en-GB" w:bidi="ar-SA"/>
        </w:rPr>
        <w:drawing>
          <wp:inline distT="0" distB="0" distL="0" distR="0">
            <wp:extent cx="5729605" cy="3298825"/>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9605" cy="3298825"/>
                    </a:xfrm>
                    <a:prstGeom prst="rect">
                      <a:avLst/>
                    </a:prstGeom>
                    <a:noFill/>
                    <a:ln>
                      <a:noFill/>
                    </a:ln>
                  </pic:spPr>
                </pic:pic>
              </a:graphicData>
            </a:graphic>
          </wp:inline>
        </w:drawing>
      </w:r>
    </w:p>
    <w:p w:rsidR="00A45935" w:rsidRPr="009E6414" w:rsidRDefault="00A45935" w:rsidP="00BD7227">
      <w:pPr>
        <w:suppressAutoHyphens/>
        <w:spacing w:before="60" w:after="140" w:line="240" w:lineRule="auto"/>
        <w:mirrorIndents/>
        <w:jc w:val="center"/>
        <w:rPr>
          <w:rFonts w:eastAsia="Times New Roman" w:cs="Times New Roman"/>
          <w:i/>
          <w:noProof/>
          <w:sz w:val="16"/>
          <w:szCs w:val="20"/>
          <w:lang w:val="es-ES_tradnl"/>
        </w:rPr>
      </w:pPr>
      <w:r w:rsidRPr="009E6414">
        <w:rPr>
          <w:i/>
          <w:noProof/>
          <w:sz w:val="16"/>
          <w:lang w:val="es-ES_tradnl"/>
        </w:rPr>
        <w:t>Fuente: Servicio de asistencia de evaluación europeo para el desarrollo rural, 2017</w:t>
      </w:r>
    </w:p>
    <w:p w:rsidR="00A45935" w:rsidRPr="009E6414" w:rsidRDefault="00647766" w:rsidP="00E05D08">
      <w:pPr>
        <w:spacing w:after="120" w:line="280" w:lineRule="atLeast"/>
        <w:mirrorIndents/>
        <w:rPr>
          <w:rFonts w:eastAsia="Times New Roman" w:cs="Times New Roman"/>
          <w:noProof/>
          <w:szCs w:val="20"/>
          <w:lang w:val="es-ES_tradnl"/>
        </w:rPr>
      </w:pPr>
      <w:r w:rsidRPr="009E6414">
        <w:rPr>
          <w:rFonts w:eastAsia="Times New Roman" w:cs="Times New Roman"/>
          <w:noProof/>
          <w:sz w:val="18"/>
          <w:szCs w:val="24"/>
          <w:lang w:val="en-GB" w:eastAsia="en-GB" w:bidi="ar-SA"/>
        </w:rPr>
        <w:lastRenderedPageBreak/>
        <mc:AlternateContent>
          <mc:Choice Requires="wps">
            <w:drawing>
              <wp:inline distT="0" distB="0" distL="0" distR="0">
                <wp:extent cx="5733415" cy="2066925"/>
                <wp:effectExtent l="0" t="0" r="19685" b="28575"/>
                <wp:docPr id="83" name="Rectangle: Diagonal Corners Rounded 83"/>
                <wp:cNvGraphicFramePr/>
                <a:graphic xmlns:a="http://schemas.openxmlformats.org/drawingml/2006/main">
                  <a:graphicData uri="http://schemas.microsoft.com/office/word/2010/wordprocessingShape">
                    <wps:wsp>
                      <wps:cNvSpPr/>
                      <wps:spPr>
                        <a:xfrm>
                          <a:off x="0" y="0"/>
                          <a:ext cx="5733415" cy="2066925"/>
                        </a:xfrm>
                        <a:prstGeom prst="round2DiagRect">
                          <a:avLst>
                            <a:gd name="adj1" fmla="val 11556"/>
                            <a:gd name="adj2" fmla="val 0"/>
                          </a:avLst>
                        </a:prstGeom>
                        <a:noFill/>
                        <a:ln w="25400" cap="flat" cmpd="sng" algn="ctr">
                          <a:solidFill>
                            <a:srgbClr val="F07E31"/>
                          </a:solidFill>
                          <a:prstDash val="solid"/>
                        </a:ln>
                        <a:effectLst/>
                      </wps:spPr>
                      <wps:txbx>
                        <w:txbxContent>
                          <w:p w:rsidR="008D2E0D" w:rsidRPr="00A10ACC" w:rsidRDefault="008D2E0D" w:rsidP="00E05D08">
                            <w:pPr>
                              <w:pStyle w:val="HStandard"/>
                              <w:rPr>
                                <w:sz w:val="18"/>
                              </w:rPr>
                            </w:pPr>
                            <w:r>
                              <w:rPr>
                                <w:noProof/>
                                <w:lang w:val="en-GB" w:eastAsia="en-GB" w:bidi="ar-SA"/>
                              </w:rPr>
                              <w:drawing>
                                <wp:inline distT="0" distB="0" distL="0" distR="0" wp14:anchorId="3175B99F" wp14:editId="0C5EE899">
                                  <wp:extent cx="353060" cy="359410"/>
                                  <wp:effectExtent l="0" t="0" r="8890" b="2540"/>
                                  <wp:docPr id="2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El ejemplo muestra el potencial de innovación de las </w:t>
                            </w:r>
                            <w:proofErr w:type="spellStart"/>
                            <w:r>
                              <w:t>submedidas</w:t>
                            </w:r>
                            <w:proofErr w:type="spellEnd"/>
                            <w:r>
                              <w:t xml:space="preserve"> de la </w:t>
                            </w:r>
                            <w:proofErr w:type="spellStart"/>
                            <w:r>
                              <w:t>M16</w:t>
                            </w:r>
                            <w:proofErr w:type="spellEnd"/>
                            <w:r>
                              <w:t xml:space="preserve"> (ya que podrían programarse en el marco de cualquier </w:t>
                            </w:r>
                            <w:proofErr w:type="spellStart"/>
                            <w:r>
                              <w:t>AI</w:t>
                            </w:r>
                            <w:proofErr w:type="spellEnd"/>
                            <w:r>
                              <w:t xml:space="preserve"> del desarrollo rural) que contribuyen al objetivo político del </w:t>
                            </w:r>
                            <w:proofErr w:type="spellStart"/>
                            <w:r>
                              <w:t>AI</w:t>
                            </w:r>
                            <w:proofErr w:type="spellEnd"/>
                            <w:r>
                              <w:t xml:space="preserve"> </w:t>
                            </w:r>
                            <w:proofErr w:type="spellStart"/>
                            <w:r>
                              <w:t>1B</w:t>
                            </w:r>
                            <w:proofErr w:type="spellEnd"/>
                            <w:r>
                              <w:t>.</w:t>
                            </w:r>
                            <w:r>
                              <w:rPr>
                                <w:sz w:val="18"/>
                              </w:rPr>
                              <w:t xml:space="preserve"> Aunque la totalidad de las diez </w:t>
                            </w:r>
                            <w:proofErr w:type="spellStart"/>
                            <w:r>
                              <w:rPr>
                                <w:sz w:val="18"/>
                              </w:rPr>
                              <w:t>submedidas</w:t>
                            </w:r>
                            <w:proofErr w:type="spellEnd"/>
                            <w:r>
                              <w:rPr>
                                <w:sz w:val="18"/>
                              </w:rPr>
                              <w:t xml:space="preserve"> de la </w:t>
                            </w:r>
                            <w:proofErr w:type="spellStart"/>
                            <w:r>
                              <w:rPr>
                                <w:sz w:val="18"/>
                              </w:rPr>
                              <w:t>M16</w:t>
                            </w:r>
                            <w:proofErr w:type="spellEnd"/>
                            <w:r>
                              <w:rPr>
                                <w:sz w:val="18"/>
                              </w:rPr>
                              <w:t xml:space="preserve"> contribuyen a reforzar los vínculos entre agricultura, producción de alimentos, silvicultura, investigación e innovación, solo las </w:t>
                            </w:r>
                            <w:proofErr w:type="spellStart"/>
                            <w:r>
                              <w:rPr>
                                <w:sz w:val="18"/>
                              </w:rPr>
                              <w:t>submedidas</w:t>
                            </w:r>
                            <w:proofErr w:type="spellEnd"/>
                            <w:r>
                              <w:rPr>
                                <w:sz w:val="18"/>
                              </w:rPr>
                              <w:t xml:space="preserve"> 5, 6, 8 y 9 muestran potencial para contribuir a reforzar estos vínculos para una mejor gestión y mejores resultados medioambientales. Con respecto a las tres vías de innovación, las </w:t>
                            </w:r>
                            <w:proofErr w:type="spellStart"/>
                            <w:r>
                              <w:rPr>
                                <w:sz w:val="18"/>
                              </w:rPr>
                              <w:t>submedidas</w:t>
                            </w:r>
                            <w:proofErr w:type="spellEnd"/>
                            <w:r>
                              <w:rPr>
                                <w:sz w:val="18"/>
                              </w:rPr>
                              <w:t xml:space="preserve"> 1, 5, 6, 7, 8 fomentan el impulso de ideas innovadoras (vía 1). La </w:t>
                            </w:r>
                            <w:proofErr w:type="spellStart"/>
                            <w:r>
                              <w:rPr>
                                <w:sz w:val="18"/>
                              </w:rPr>
                              <w:t>submedida</w:t>
                            </w:r>
                            <w:proofErr w:type="spellEnd"/>
                            <w:r>
                              <w:rPr>
                                <w:sz w:val="18"/>
                              </w:rPr>
                              <w:t xml:space="preserve"> 1 también fomenta la consolidación de capacidades y la creación de un entorno propicio (vías 2 y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ectangle: Diagonal Corners Rounded 83" o:spid="_x0000_s1047" style="width:451.45pt;height:162.75pt;visibility:visible;mso-wrap-style:square;mso-left-percent:-10001;mso-top-percent:-10001;mso-position-horizontal:absolute;mso-position-horizontal-relative:char;mso-position-vertical:absolute;mso-position-vertical-relative:line;mso-left-percent:-10001;mso-top-percent:-10001;v-text-anchor:middle" coordsize="5733415,2066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" adj="-11796480,,5400" path="m238854,l5733415,r,l5733415,1828071v,131915,-106939,238854,-238854,238854l,2066925r,l,238854c,106939,106939,,238854,xe" filled="f" strokecolor="#f07e31" strokeweight="2pt">
                <v:stroke joinstyle="miter"/>
                <v:formulas/>
                <v:path arrowok="t" o:connecttype="custom" o:connectlocs="238854,0;5733415,0;5733415,0;5733415,1828071;5494561,2066925;0,2066925;0,2066925;0,238854;238854,0" o:connectangles="0,0,0,0,0,0,0,0,0" textboxrect="0,0,5733415,2066925"/>
                <v:textbox>
                  <w:txbxContent>
                    <w:p w:rsidR="008D2E0D" w:rsidRPr="00A10ACC" w:rsidRDefault="008D2E0D" w:rsidP="00E05D08">
                      <w:pPr>
                        <w:pStyle w:val="HStandard"/>
                        <w:rPr>
                          <w:sz w:val="18"/>
                        </w:rPr>
                      </w:pPr>
                      <w:r>
                        <w:rPr>
                          <w:noProof/>
                          <w:lang w:val="en-GB" w:eastAsia="en-GB" w:bidi="ar-SA"/>
                        </w:rPr>
                        <w:drawing>
                          <wp:inline distT="0" distB="0" distL="0" distR="0" wp14:anchorId="3175B99F" wp14:editId="0C5EE899">
                            <wp:extent cx="353060" cy="359410"/>
                            <wp:effectExtent l="0" t="0" r="8890" b="2540"/>
                            <wp:docPr id="2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El ejemplo muestra el potencial de innovación de las </w:t>
                      </w:r>
                      <w:proofErr w:type="spellStart"/>
                      <w:r>
                        <w:t>submedidas</w:t>
                      </w:r>
                      <w:proofErr w:type="spellEnd"/>
                      <w:r>
                        <w:t xml:space="preserve"> de la </w:t>
                      </w:r>
                      <w:proofErr w:type="spellStart"/>
                      <w:r>
                        <w:t>M16</w:t>
                      </w:r>
                      <w:proofErr w:type="spellEnd"/>
                      <w:r>
                        <w:t xml:space="preserve"> (ya que podrían programarse en el marco de cualquier </w:t>
                      </w:r>
                      <w:proofErr w:type="spellStart"/>
                      <w:r>
                        <w:t>AI</w:t>
                      </w:r>
                      <w:proofErr w:type="spellEnd"/>
                      <w:r>
                        <w:t xml:space="preserve"> del desarrollo rural) que contribuyen al objetivo político del </w:t>
                      </w:r>
                      <w:proofErr w:type="spellStart"/>
                      <w:r>
                        <w:t>AI</w:t>
                      </w:r>
                      <w:proofErr w:type="spellEnd"/>
                      <w:r>
                        <w:t xml:space="preserve"> </w:t>
                      </w:r>
                      <w:proofErr w:type="spellStart"/>
                      <w:r>
                        <w:t>1B</w:t>
                      </w:r>
                      <w:proofErr w:type="spellEnd"/>
                      <w:r>
                        <w:t>.</w:t>
                      </w:r>
                      <w:r>
                        <w:rPr>
                          <w:sz w:val="18"/>
                        </w:rPr>
                        <w:t xml:space="preserve"> Aunque la totalidad de las diez </w:t>
                      </w:r>
                      <w:proofErr w:type="spellStart"/>
                      <w:r>
                        <w:rPr>
                          <w:sz w:val="18"/>
                        </w:rPr>
                        <w:t>submedidas</w:t>
                      </w:r>
                      <w:proofErr w:type="spellEnd"/>
                      <w:r>
                        <w:rPr>
                          <w:sz w:val="18"/>
                        </w:rPr>
                        <w:t xml:space="preserve"> de la </w:t>
                      </w:r>
                      <w:proofErr w:type="spellStart"/>
                      <w:r>
                        <w:rPr>
                          <w:sz w:val="18"/>
                        </w:rPr>
                        <w:t>M16</w:t>
                      </w:r>
                      <w:proofErr w:type="spellEnd"/>
                      <w:r>
                        <w:rPr>
                          <w:sz w:val="18"/>
                        </w:rPr>
                        <w:t xml:space="preserve"> contribuyen a reforzar los vínculos entre agricultura, producción de alimentos, silvicultura, investigación e innovación, solo las </w:t>
                      </w:r>
                      <w:proofErr w:type="spellStart"/>
                      <w:r>
                        <w:rPr>
                          <w:sz w:val="18"/>
                        </w:rPr>
                        <w:t>submedidas</w:t>
                      </w:r>
                      <w:proofErr w:type="spellEnd"/>
                      <w:r>
                        <w:rPr>
                          <w:sz w:val="18"/>
                        </w:rPr>
                        <w:t xml:space="preserve"> 5, 6, 8 y 9 muestran potencial para contribuir a reforzar estos vínculos para una mejor gestión y mejores resultados medioambientales. Con respecto a las tres vías de innovación, las </w:t>
                      </w:r>
                      <w:proofErr w:type="spellStart"/>
                      <w:r>
                        <w:rPr>
                          <w:sz w:val="18"/>
                        </w:rPr>
                        <w:t>submedidas</w:t>
                      </w:r>
                      <w:proofErr w:type="spellEnd"/>
                      <w:r>
                        <w:rPr>
                          <w:sz w:val="18"/>
                        </w:rPr>
                        <w:t xml:space="preserve"> 1, 5, 6, 7, 8 fomentan el impulso de ideas innovadoras (vía 1). La </w:t>
                      </w:r>
                      <w:proofErr w:type="spellStart"/>
                      <w:r>
                        <w:rPr>
                          <w:sz w:val="18"/>
                        </w:rPr>
                        <w:t>submedida</w:t>
                      </w:r>
                      <w:proofErr w:type="spellEnd"/>
                      <w:r>
                        <w:rPr>
                          <w:sz w:val="18"/>
                        </w:rPr>
                        <w:t xml:space="preserve"> 1 también fomenta la consolidación de capacidades y la creación de un entorno propicio (vías 2 y 3).</w:t>
                      </w:r>
                    </w:p>
                  </w:txbxContent>
                </v:textbox>
                <w10:anchorlock/>
              </v:shape>
            </w:pict>
          </mc:Fallback>
        </mc:AlternateContent>
      </w:r>
      <w:r w:rsidRPr="009E6414">
        <w:rPr>
          <w:noProof/>
          <w:lang w:val="es-ES_tradnl"/>
        </w:rPr>
        <w:t>Además, todas las submedidas de la M16 programadas en el marco de otros AI distintos del AI 1B deben incluirse en la evaluación de la consecución de los aspectos relacionados con la innovación de la PCE n.º 2. Por ejemplo, si M16.1 se programa en el marco del AI 2A, las contribuciones a las relaciones entre agricultores, investigadores y consejeros de innovación pueden tenerse en consideración en la evaluación de la PCE n.º 2.</w:t>
      </w:r>
    </w:p>
    <w:p w:rsidR="00A45935" w:rsidRPr="009E6414" w:rsidRDefault="00A45935" w:rsidP="008C0B17">
      <w:pPr>
        <w:numPr>
          <w:ilvl w:val="0"/>
          <w:numId w:val="56"/>
        </w:numPr>
        <w:spacing w:before="120" w:after="120" w:line="280" w:lineRule="atLeast"/>
        <w:ind w:left="567" w:hanging="567"/>
        <w:mirrorIndents/>
        <w:rPr>
          <w:rFonts w:eastAsia="Times New Roman" w:cs="Times New Roman"/>
          <w:b/>
          <w:noProof/>
          <w:szCs w:val="20"/>
          <w:lang w:val="es-ES_tradnl"/>
        </w:rPr>
      </w:pPr>
      <w:r w:rsidRPr="009E6414">
        <w:rPr>
          <w:b/>
          <w:noProof/>
          <w:lang w:val="es-ES_tradnl"/>
        </w:rPr>
        <w:t xml:space="preserve">Elementos de evaluación </w:t>
      </w:r>
    </w:p>
    <w:p w:rsidR="00A45935" w:rsidRDefault="00734B11" w:rsidP="00E05D08">
      <w:pPr>
        <w:spacing w:after="120" w:line="280" w:lineRule="atLeast"/>
        <w:mirrorIndents/>
        <w:rPr>
          <w:noProof/>
          <w:lang w:val="es-ES_tradnl"/>
        </w:rPr>
      </w:pPr>
      <w:r w:rsidRPr="009E6414">
        <w:rPr>
          <w:noProof/>
          <w:lang w:val="es-ES_tradnl"/>
        </w:rPr>
        <w:t>Los criterios de valoración e indicadores comunes para la PCE n.º 2 se mantienen al nivel de ejecución de operaciones en el marco de la medida de cooperación. Con el fin de evaluar los resultados de estas medidas puede ser preciso elaborar criterios de valoración e indicadores complementarios. En el cuadro siguiente se enumeran los criterios de valoración, indicadores y requisitos de datos para responder a la PCE n.º 2.</w:t>
      </w:r>
    </w:p>
    <w:p w:rsidR="00447B72" w:rsidRPr="009E6414" w:rsidRDefault="00447B72" w:rsidP="00E05D08">
      <w:pPr>
        <w:spacing w:after="120" w:line="280" w:lineRule="atLeast"/>
        <w:mirrorIndents/>
        <w:rPr>
          <w:rFonts w:eastAsia="Times New Roman" w:cs="Times New Roman"/>
          <w:noProof/>
          <w:szCs w:val="20"/>
          <w:lang w:val="es-ES_tradnl"/>
        </w:rPr>
        <w:sectPr w:rsidR="00447B72" w:rsidRPr="009E6414" w:rsidSect="00055039">
          <w:endnotePr>
            <w:numFmt w:val="decimal"/>
          </w:endnotePr>
          <w:type w:val="continuous"/>
          <w:pgSz w:w="11906" w:h="16838" w:code="9"/>
          <w:pgMar w:top="1134" w:right="1440" w:bottom="1440" w:left="1440" w:header="567" w:footer="1021" w:gutter="0"/>
          <w:cols w:space="708"/>
          <w:noEndnote/>
          <w:docGrid w:linePitch="360"/>
        </w:sectPr>
      </w:pPr>
    </w:p>
    <w:p w:rsidR="00A45935" w:rsidRPr="009E6414" w:rsidRDefault="00A45935" w:rsidP="009A2DAD">
      <w:pPr>
        <w:pStyle w:val="HHeadingtables"/>
        <w:rPr>
          <w:noProof/>
          <w:color w:val="6F6F6F"/>
          <w:sz w:val="18"/>
          <w:szCs w:val="18"/>
          <w:lang w:val="es-ES_tradnl"/>
        </w:rPr>
      </w:pPr>
      <w:r w:rsidRPr="009E6414">
        <w:rPr>
          <w:noProof/>
          <w:color w:val="6F6F6F"/>
          <w:sz w:val="18"/>
          <w:lang w:val="es-ES_tradnl"/>
        </w:rPr>
        <w:lastRenderedPageBreak/>
        <w:t>Criterios de valoración, indicadores, datos necesarios y fuentes de datos</w:t>
      </w:r>
    </w:p>
    <w:tbl>
      <w:tblPr>
        <w:tblStyle w:val="TableGrid"/>
        <w:tblW w:w="143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78"/>
        <w:gridCol w:w="3578"/>
        <w:gridCol w:w="3578"/>
        <w:gridCol w:w="3578"/>
      </w:tblGrid>
      <w:tr w:rsidR="00A45935" w:rsidRPr="009E6414" w:rsidTr="00E05D08">
        <w:trPr>
          <w:tblHeader/>
        </w:trPr>
        <w:tc>
          <w:tcPr>
            <w:tcW w:w="3578" w:type="dxa"/>
            <w:shd w:val="clear" w:color="auto" w:fill="F07E31"/>
          </w:tcPr>
          <w:p w:rsidR="00A45935" w:rsidRPr="009E6414" w:rsidRDefault="00A45935" w:rsidP="00E05D08">
            <w:pPr>
              <w:spacing w:after="120" w:line="280" w:lineRule="atLeast"/>
              <w:ind w:left="29" w:right="110"/>
              <w:mirrorIndents/>
              <w:jc w:val="center"/>
              <w:rPr>
                <w:rFonts w:cs="Arial"/>
                <w:b/>
                <w:noProof/>
                <w:color w:val="FFFFFF"/>
                <w:sz w:val="18"/>
                <w:szCs w:val="18"/>
                <w:lang w:val="es-ES_tradnl"/>
              </w:rPr>
            </w:pPr>
            <w:r w:rsidRPr="009E6414">
              <w:rPr>
                <w:b/>
                <w:noProof/>
                <w:color w:val="FFFFFF"/>
                <w:sz w:val="18"/>
                <w:lang w:val="es-ES_tradnl"/>
              </w:rPr>
              <w:t>Criterios de valoración</w:t>
            </w:r>
          </w:p>
        </w:tc>
        <w:tc>
          <w:tcPr>
            <w:tcW w:w="3578" w:type="dxa"/>
            <w:shd w:val="clear" w:color="auto" w:fill="F07E31"/>
          </w:tcPr>
          <w:p w:rsidR="00A45935" w:rsidRPr="009E6414" w:rsidRDefault="00A45935" w:rsidP="00E05D08">
            <w:pPr>
              <w:spacing w:after="120" w:line="280" w:lineRule="atLeast"/>
              <w:ind w:left="75" w:right="61"/>
              <w:mirrorIndents/>
              <w:jc w:val="center"/>
              <w:rPr>
                <w:rFonts w:cs="Arial"/>
                <w:b/>
                <w:noProof/>
                <w:color w:val="FFFFFF"/>
                <w:sz w:val="18"/>
                <w:szCs w:val="18"/>
                <w:lang w:val="es-ES_tradnl"/>
              </w:rPr>
            </w:pPr>
            <w:r w:rsidRPr="009E6414">
              <w:rPr>
                <w:b/>
                <w:noProof/>
                <w:color w:val="FFFFFF"/>
                <w:sz w:val="18"/>
                <w:lang w:val="es-ES_tradnl"/>
              </w:rPr>
              <w:t>Indicadores</w:t>
            </w:r>
          </w:p>
        </w:tc>
        <w:tc>
          <w:tcPr>
            <w:tcW w:w="3578" w:type="dxa"/>
            <w:shd w:val="clear" w:color="auto" w:fill="F07E31"/>
          </w:tcPr>
          <w:p w:rsidR="00A45935" w:rsidRPr="009E6414" w:rsidRDefault="00A45935" w:rsidP="00E05D08">
            <w:pPr>
              <w:spacing w:after="120" w:line="280" w:lineRule="atLeast"/>
              <w:ind w:left="11" w:right="12"/>
              <w:mirrorIndents/>
              <w:jc w:val="center"/>
              <w:rPr>
                <w:rFonts w:cs="Arial"/>
                <w:b/>
                <w:noProof/>
                <w:color w:val="FFFFFF"/>
                <w:sz w:val="18"/>
                <w:szCs w:val="18"/>
                <w:lang w:val="es-ES_tradnl"/>
              </w:rPr>
            </w:pPr>
            <w:r w:rsidRPr="009E6414">
              <w:rPr>
                <w:b/>
                <w:noProof/>
                <w:color w:val="FFFFFF"/>
                <w:sz w:val="18"/>
                <w:lang w:val="es-ES_tradnl"/>
              </w:rPr>
              <w:t>Datos necesarios</w:t>
            </w:r>
          </w:p>
        </w:tc>
        <w:tc>
          <w:tcPr>
            <w:tcW w:w="3578" w:type="dxa"/>
            <w:shd w:val="clear" w:color="auto" w:fill="F07E31"/>
          </w:tcPr>
          <w:p w:rsidR="00A45935" w:rsidRPr="009E6414" w:rsidRDefault="00A45935" w:rsidP="00E05D08">
            <w:pPr>
              <w:spacing w:after="120" w:line="280" w:lineRule="atLeast"/>
              <w:ind w:left="355" w:right="31"/>
              <w:mirrorIndents/>
              <w:jc w:val="center"/>
              <w:rPr>
                <w:rFonts w:cs="Arial"/>
                <w:b/>
                <w:noProof/>
                <w:color w:val="FFFFFF"/>
                <w:sz w:val="18"/>
                <w:szCs w:val="18"/>
                <w:lang w:val="es-ES_tradnl"/>
              </w:rPr>
            </w:pPr>
            <w:r w:rsidRPr="009E6414">
              <w:rPr>
                <w:b/>
                <w:noProof/>
                <w:color w:val="FFFFFF"/>
                <w:sz w:val="18"/>
                <w:lang w:val="es-ES_tradnl"/>
              </w:rPr>
              <w:t>Fuentes de datos</w:t>
            </w:r>
          </w:p>
        </w:tc>
      </w:tr>
      <w:tr w:rsidR="00A45935" w:rsidRPr="009E6414" w:rsidTr="00406C98">
        <w:tc>
          <w:tcPr>
            <w:tcW w:w="14312" w:type="dxa"/>
            <w:gridSpan w:val="4"/>
            <w:tcBorders>
              <w:bottom w:val="single" w:sz="4" w:space="0" w:color="808080"/>
            </w:tcBorders>
            <w:shd w:val="clear" w:color="auto" w:fill="8BAB80"/>
          </w:tcPr>
          <w:p w:rsidR="00A45935" w:rsidRPr="009E6414" w:rsidRDefault="00A45935" w:rsidP="00E05D08">
            <w:pPr>
              <w:spacing w:after="120" w:line="280" w:lineRule="atLeast"/>
              <w:ind w:left="355" w:right="31"/>
              <w:mirrorIndents/>
              <w:rPr>
                <w:rFonts w:cs="Arial"/>
                <w:b/>
                <w:noProof/>
                <w:color w:val="FFFFFF"/>
                <w:sz w:val="18"/>
                <w:szCs w:val="18"/>
                <w:lang w:val="es-ES_tradnl"/>
              </w:rPr>
            </w:pPr>
            <w:r w:rsidRPr="009E6414">
              <w:rPr>
                <w:b/>
                <w:noProof/>
                <w:color w:val="FFFFFF"/>
                <w:sz w:val="18"/>
                <w:lang w:val="es-ES_tradnl"/>
              </w:rPr>
              <w:t>Elementos comunes de evaluación (SCSE y elementos propuestos en el documento de trabajo «Preguntas comunes de evaluación 2014-2020»)</w:t>
            </w:r>
          </w:p>
        </w:tc>
      </w:tr>
      <w:tr w:rsidR="00A45935" w:rsidRPr="009E6414" w:rsidTr="00406C98">
        <w:tc>
          <w:tcPr>
            <w:tcW w:w="3578" w:type="dxa"/>
            <w:tcBorders>
              <w:bottom w:val="nil"/>
            </w:tcBorders>
          </w:tcPr>
          <w:p w:rsidR="00A45935" w:rsidRPr="009E6414" w:rsidRDefault="00A45935" w:rsidP="007E63EF">
            <w:pPr>
              <w:spacing w:after="120" w:line="280" w:lineRule="atLeast"/>
              <w:ind w:left="29" w:right="110"/>
              <w:mirrorIndents/>
              <w:jc w:val="left"/>
              <w:rPr>
                <w:rFonts w:cs="Arial"/>
                <w:noProof/>
                <w:sz w:val="18"/>
                <w:szCs w:val="18"/>
                <w:lang w:val="es-ES_tradnl"/>
              </w:rPr>
            </w:pPr>
            <w:r w:rsidRPr="009E6414">
              <w:rPr>
                <w:noProof/>
                <w:sz w:val="18"/>
                <w:lang w:val="es-ES_tradnl"/>
              </w:rPr>
              <w:t>Se ha establecido una colaboración a largo plazo entre entidades de la agricultura, la producción de alimentos y la silvicultura e instituciones de investigación e innovación.</w:t>
            </w:r>
          </w:p>
        </w:tc>
        <w:tc>
          <w:tcPr>
            <w:tcW w:w="3578" w:type="dxa"/>
            <w:tcBorders>
              <w:bottom w:val="nil"/>
            </w:tcBorders>
          </w:tcPr>
          <w:p w:rsidR="00A45935" w:rsidRPr="009E6414" w:rsidRDefault="00A45935" w:rsidP="007E63EF">
            <w:pPr>
              <w:spacing w:after="120" w:line="280" w:lineRule="atLeast"/>
              <w:ind w:left="75" w:right="61"/>
              <w:mirrorIndents/>
              <w:jc w:val="left"/>
              <w:rPr>
                <w:rFonts w:cs="Arial"/>
                <w:noProof/>
                <w:sz w:val="18"/>
                <w:szCs w:val="18"/>
                <w:lang w:val="es-ES_tradnl"/>
              </w:rPr>
            </w:pPr>
            <w:r w:rsidRPr="009E6414">
              <w:rPr>
                <w:noProof/>
                <w:sz w:val="18"/>
                <w:lang w:val="es-ES_tradnl"/>
              </w:rPr>
              <w:t>T2: Número total de operaciones de cooperación subvencionadas en el marco de la medida de cooperación [artículo 35 del Reglamento (UE) n.º 1305/2013] (grupos, redes, proyectos piloto, etc.)</w:t>
            </w:r>
          </w:p>
          <w:p w:rsidR="00A45935" w:rsidRPr="009E6414" w:rsidRDefault="00A45935" w:rsidP="007E63EF">
            <w:pPr>
              <w:spacing w:after="120" w:line="280" w:lineRule="atLeast"/>
              <w:ind w:left="75" w:right="61"/>
              <w:mirrorIndents/>
              <w:jc w:val="left"/>
              <w:rPr>
                <w:rFonts w:cs="Arial"/>
                <w:noProof/>
                <w:sz w:val="18"/>
                <w:szCs w:val="18"/>
                <w:lang w:val="es-ES_tradnl"/>
              </w:rPr>
            </w:pPr>
            <w:r w:rsidRPr="009E6414">
              <w:rPr>
                <w:noProof/>
                <w:color w:val="57825E"/>
                <w:sz w:val="18"/>
                <w:u w:val="single"/>
                <w:lang w:val="es-ES_tradnl"/>
              </w:rPr>
              <w:t>Indicador complementario:</w:t>
            </w:r>
            <w:r w:rsidRPr="009E6414">
              <w:rPr>
                <w:noProof/>
                <w:color w:val="57825E"/>
                <w:sz w:val="18"/>
                <w:lang w:val="es-ES_tradnl"/>
              </w:rPr>
              <w:t xml:space="preserve"> Número y tipos de socios participantes en proyectos de cooperación, incluidas sus tareas y responsabilidades.</w:t>
            </w:r>
          </w:p>
        </w:tc>
        <w:tc>
          <w:tcPr>
            <w:tcW w:w="3578" w:type="dxa"/>
            <w:tcBorders>
              <w:bottom w:val="nil"/>
            </w:tcBorders>
          </w:tcPr>
          <w:p w:rsidR="00A45935" w:rsidRPr="009E6414" w:rsidRDefault="00A45935" w:rsidP="007E63EF">
            <w:pPr>
              <w:spacing w:after="120" w:line="280" w:lineRule="atLeast"/>
              <w:ind w:left="11" w:right="12"/>
              <w:mirrorIndents/>
              <w:jc w:val="left"/>
              <w:rPr>
                <w:rFonts w:cs="Arial"/>
                <w:noProof/>
                <w:sz w:val="18"/>
                <w:szCs w:val="18"/>
                <w:lang w:val="es-ES_tradnl"/>
              </w:rPr>
            </w:pPr>
            <w:r w:rsidRPr="009E6414">
              <w:rPr>
                <w:noProof/>
                <w:sz w:val="18"/>
                <w:lang w:val="es-ES_tradnl"/>
              </w:rPr>
              <w:t>Número de operaciones de la AEI (elemento de dato O.16).</w:t>
            </w:r>
          </w:p>
          <w:p w:rsidR="00A45935" w:rsidRPr="009E6414" w:rsidRDefault="00A45935" w:rsidP="007E63EF">
            <w:pPr>
              <w:spacing w:after="120" w:line="280" w:lineRule="atLeast"/>
              <w:ind w:left="11" w:right="12"/>
              <w:mirrorIndents/>
              <w:jc w:val="left"/>
              <w:rPr>
                <w:rFonts w:cs="Arial"/>
                <w:noProof/>
                <w:sz w:val="18"/>
                <w:szCs w:val="18"/>
                <w:lang w:val="es-ES_tradnl"/>
              </w:rPr>
            </w:pPr>
            <w:r w:rsidRPr="009E6414">
              <w:rPr>
                <w:noProof/>
                <w:sz w:val="18"/>
                <w:lang w:val="es-ES_tradnl"/>
              </w:rPr>
              <w:t>Número de otras operaciones de cooperación (grupos, redes, proyectos piloto) que deben financiarse en el marco de la M16 «Cooperación» (elemento de dato O.17).</w:t>
            </w:r>
          </w:p>
          <w:p w:rsidR="00A45935" w:rsidRPr="009E6414" w:rsidRDefault="00A45935" w:rsidP="007E63EF">
            <w:pPr>
              <w:spacing w:after="120" w:line="280" w:lineRule="atLeast"/>
              <w:ind w:left="11" w:right="12"/>
              <w:mirrorIndents/>
              <w:jc w:val="left"/>
              <w:rPr>
                <w:rFonts w:cs="Arial"/>
                <w:noProof/>
                <w:sz w:val="18"/>
                <w:szCs w:val="18"/>
                <w:lang w:val="es-ES_tradnl"/>
              </w:rPr>
            </w:pPr>
            <w:r w:rsidRPr="009E6414">
              <w:rPr>
                <w:noProof/>
                <w:sz w:val="18"/>
                <w:lang w:val="es-ES_tradnl"/>
              </w:rPr>
              <w:t xml:space="preserve">Tipos de socios participantes y número. </w:t>
            </w:r>
          </w:p>
        </w:tc>
        <w:tc>
          <w:tcPr>
            <w:tcW w:w="3578" w:type="dxa"/>
            <w:tcBorders>
              <w:bottom w:val="nil"/>
            </w:tcBorders>
          </w:tcPr>
          <w:p w:rsidR="00A45935" w:rsidRPr="009E6414" w:rsidRDefault="00A45935" w:rsidP="007E63EF">
            <w:pPr>
              <w:spacing w:after="120" w:line="280" w:lineRule="atLeast"/>
              <w:ind w:left="355" w:right="31"/>
              <w:mirrorIndents/>
              <w:jc w:val="left"/>
              <w:rPr>
                <w:rFonts w:cs="Arial"/>
                <w:noProof/>
                <w:sz w:val="18"/>
                <w:szCs w:val="18"/>
                <w:lang w:val="es-ES_tradnl"/>
              </w:rPr>
            </w:pPr>
            <w:r w:rsidRPr="009E6414">
              <w:rPr>
                <w:noProof/>
                <w:sz w:val="18"/>
                <w:lang w:val="es-ES_tradnl"/>
              </w:rPr>
              <w:t>Sistema de seguimiento del PDR.</w:t>
            </w:r>
          </w:p>
          <w:p w:rsidR="00A45935" w:rsidRPr="009E6414" w:rsidRDefault="00A45935" w:rsidP="007E63EF">
            <w:pPr>
              <w:numPr>
                <w:ilvl w:val="0"/>
                <w:numId w:val="20"/>
              </w:numPr>
              <w:spacing w:before="60" w:after="120" w:line="280" w:lineRule="atLeast"/>
              <w:ind w:left="355" w:right="31" w:hanging="357"/>
              <w:jc w:val="left"/>
              <w:rPr>
                <w:rFonts w:cs="Arial"/>
                <w:noProof/>
                <w:sz w:val="18"/>
                <w:szCs w:val="18"/>
                <w:lang w:val="es-ES_tradnl"/>
              </w:rPr>
            </w:pPr>
            <w:r w:rsidRPr="009E6414">
              <w:rPr>
                <w:noProof/>
                <w:sz w:val="18"/>
                <w:lang w:val="es-ES_tradnl"/>
              </w:rPr>
              <w:t>Formularios de solicitud de los beneficiarios (inicio del proyecto)</w:t>
            </w:r>
          </w:p>
          <w:p w:rsidR="00A45935" w:rsidRPr="009E6414" w:rsidRDefault="00A45935" w:rsidP="007E63EF">
            <w:pPr>
              <w:numPr>
                <w:ilvl w:val="0"/>
                <w:numId w:val="20"/>
              </w:numPr>
              <w:spacing w:before="60" w:after="120" w:line="280" w:lineRule="atLeast"/>
              <w:ind w:left="355" w:right="31" w:hanging="357"/>
              <w:jc w:val="left"/>
              <w:rPr>
                <w:rFonts w:cs="Arial"/>
                <w:noProof/>
                <w:sz w:val="18"/>
                <w:szCs w:val="18"/>
                <w:lang w:val="es-ES_tradnl"/>
              </w:rPr>
            </w:pPr>
            <w:r w:rsidRPr="009E6414">
              <w:rPr>
                <w:noProof/>
                <w:sz w:val="18"/>
                <w:lang w:val="es-ES_tradnl"/>
              </w:rPr>
              <w:t>Solicitudes de pago de los beneficiarios (fin del proyecto)</w:t>
            </w:r>
          </w:p>
        </w:tc>
      </w:tr>
      <w:tr w:rsidR="00A45935" w:rsidRPr="009E6414" w:rsidTr="005520BA">
        <w:tc>
          <w:tcPr>
            <w:tcW w:w="3578" w:type="dxa"/>
            <w:tcBorders>
              <w:top w:val="nil"/>
              <w:bottom w:val="single" w:sz="4" w:space="0" w:color="808080"/>
            </w:tcBorders>
          </w:tcPr>
          <w:p w:rsidR="00A45935" w:rsidRPr="009E6414" w:rsidRDefault="00A45935" w:rsidP="007E63EF">
            <w:pPr>
              <w:spacing w:after="120" w:line="280" w:lineRule="atLeast"/>
              <w:ind w:left="29" w:right="110"/>
              <w:mirrorIndents/>
              <w:jc w:val="left"/>
              <w:rPr>
                <w:rFonts w:cs="Arial"/>
                <w:noProof/>
                <w:sz w:val="18"/>
                <w:szCs w:val="18"/>
                <w:lang w:val="es-ES_tradnl"/>
              </w:rPr>
            </w:pPr>
          </w:p>
        </w:tc>
        <w:tc>
          <w:tcPr>
            <w:tcW w:w="3578" w:type="dxa"/>
            <w:tcBorders>
              <w:top w:val="nil"/>
              <w:bottom w:val="single" w:sz="4" w:space="0" w:color="808080"/>
            </w:tcBorders>
          </w:tcPr>
          <w:p w:rsidR="00A45935" w:rsidRPr="009E6414" w:rsidRDefault="00A45935" w:rsidP="007E63EF">
            <w:pPr>
              <w:spacing w:after="120" w:line="280" w:lineRule="atLeast"/>
              <w:ind w:left="75" w:right="61"/>
              <w:mirrorIndents/>
              <w:jc w:val="left"/>
              <w:rPr>
                <w:rFonts w:cs="Arial"/>
                <w:noProof/>
                <w:sz w:val="18"/>
                <w:szCs w:val="18"/>
                <w:lang w:val="es-ES_tradnl"/>
              </w:rPr>
            </w:pPr>
            <w:r w:rsidRPr="009E6414">
              <w:rPr>
                <w:noProof/>
                <w:sz w:val="18"/>
                <w:lang w:val="es-ES_tradnl"/>
              </w:rPr>
              <w:t>O.3 Número de operaciones subvencionadas</w:t>
            </w:r>
          </w:p>
        </w:tc>
        <w:tc>
          <w:tcPr>
            <w:tcW w:w="3578" w:type="dxa"/>
            <w:tcBorders>
              <w:top w:val="nil"/>
              <w:bottom w:val="single" w:sz="4" w:space="0" w:color="808080"/>
            </w:tcBorders>
          </w:tcPr>
          <w:p w:rsidR="00A45935" w:rsidRPr="009E6414" w:rsidRDefault="00A45935" w:rsidP="007E63EF">
            <w:pPr>
              <w:spacing w:after="120" w:line="280" w:lineRule="atLeast"/>
              <w:ind w:left="11" w:right="12"/>
              <w:mirrorIndents/>
              <w:jc w:val="left"/>
              <w:rPr>
                <w:rFonts w:cs="Arial"/>
                <w:noProof/>
                <w:sz w:val="18"/>
                <w:szCs w:val="18"/>
                <w:lang w:val="es-ES_tradnl"/>
              </w:rPr>
            </w:pPr>
            <w:r w:rsidRPr="009E6414">
              <w:rPr>
                <w:noProof/>
                <w:sz w:val="18"/>
                <w:lang w:val="es-ES_tradnl"/>
              </w:rPr>
              <w:t>Número total de operaciones subvencionadas</w:t>
            </w:r>
          </w:p>
          <w:p w:rsidR="00A45935" w:rsidRPr="009E6414" w:rsidRDefault="00A45935" w:rsidP="007E63EF">
            <w:pPr>
              <w:spacing w:after="120" w:line="280" w:lineRule="atLeast"/>
              <w:ind w:left="11" w:right="12"/>
              <w:mirrorIndents/>
              <w:jc w:val="left"/>
              <w:rPr>
                <w:rFonts w:cs="Arial"/>
                <w:noProof/>
                <w:sz w:val="18"/>
                <w:szCs w:val="18"/>
                <w:lang w:val="es-ES_tradnl"/>
              </w:rPr>
            </w:pPr>
            <w:r w:rsidRPr="009E6414">
              <w:rPr>
                <w:noProof/>
                <w:sz w:val="18"/>
                <w:lang w:val="es-ES_tradnl"/>
              </w:rPr>
              <w:t>Número de operaciones de cooperación subvencionadas (O.16+O.17).</w:t>
            </w:r>
          </w:p>
        </w:tc>
        <w:tc>
          <w:tcPr>
            <w:tcW w:w="3578" w:type="dxa"/>
            <w:tcBorders>
              <w:top w:val="nil"/>
              <w:bottom w:val="single" w:sz="4" w:space="0" w:color="808080"/>
            </w:tcBorders>
          </w:tcPr>
          <w:p w:rsidR="00A45935" w:rsidRPr="009E6414" w:rsidRDefault="00A45935" w:rsidP="007E63EF">
            <w:pPr>
              <w:spacing w:after="120" w:line="280" w:lineRule="atLeast"/>
              <w:ind w:left="355" w:right="31"/>
              <w:mirrorIndents/>
              <w:jc w:val="left"/>
              <w:rPr>
                <w:rFonts w:cs="Arial"/>
                <w:noProof/>
                <w:sz w:val="18"/>
                <w:szCs w:val="18"/>
                <w:lang w:val="es-ES_tradnl"/>
              </w:rPr>
            </w:pPr>
            <w:r w:rsidRPr="009E6414">
              <w:rPr>
                <w:noProof/>
                <w:sz w:val="18"/>
                <w:lang w:val="es-ES_tradnl"/>
              </w:rPr>
              <w:t xml:space="preserve">Sistema de seguimiento del PDR. </w:t>
            </w:r>
          </w:p>
          <w:p w:rsidR="00A45935" w:rsidRPr="009E6414" w:rsidRDefault="00A45935" w:rsidP="007E63EF">
            <w:pPr>
              <w:numPr>
                <w:ilvl w:val="0"/>
                <w:numId w:val="20"/>
              </w:numPr>
              <w:spacing w:before="60" w:after="120" w:line="280" w:lineRule="atLeast"/>
              <w:ind w:left="355" w:right="31" w:hanging="357"/>
              <w:jc w:val="left"/>
              <w:rPr>
                <w:rFonts w:cs="Arial"/>
                <w:noProof/>
                <w:sz w:val="18"/>
                <w:szCs w:val="18"/>
                <w:lang w:val="es-ES_tradnl"/>
              </w:rPr>
            </w:pPr>
            <w:r w:rsidRPr="009E6414">
              <w:rPr>
                <w:noProof/>
                <w:sz w:val="18"/>
                <w:lang w:val="es-ES_tradnl"/>
              </w:rPr>
              <w:t>Formularios de solicitud de los beneficiarios (inicio del proyecto)</w:t>
            </w:r>
          </w:p>
          <w:p w:rsidR="00A45935" w:rsidRPr="009E6414" w:rsidRDefault="00A45935" w:rsidP="007E63EF">
            <w:pPr>
              <w:numPr>
                <w:ilvl w:val="0"/>
                <w:numId w:val="20"/>
              </w:numPr>
              <w:spacing w:before="60" w:after="120" w:line="280" w:lineRule="atLeast"/>
              <w:ind w:left="355" w:right="31" w:hanging="357"/>
              <w:jc w:val="left"/>
              <w:rPr>
                <w:rFonts w:cs="Arial"/>
                <w:noProof/>
                <w:sz w:val="18"/>
                <w:szCs w:val="18"/>
                <w:lang w:val="es-ES_tradnl"/>
              </w:rPr>
            </w:pPr>
            <w:r w:rsidRPr="009E6414">
              <w:rPr>
                <w:noProof/>
                <w:sz w:val="18"/>
                <w:lang w:val="es-ES_tradnl"/>
              </w:rPr>
              <w:t>Solicitudes de pago de los beneficiarios (fin del proyecto)</w:t>
            </w:r>
          </w:p>
        </w:tc>
      </w:tr>
      <w:tr w:rsidR="00A45935" w:rsidRPr="009E6414" w:rsidTr="005520BA">
        <w:trPr>
          <w:trHeight w:val="1003"/>
        </w:trPr>
        <w:tc>
          <w:tcPr>
            <w:tcW w:w="3578" w:type="dxa"/>
            <w:tcBorders>
              <w:bottom w:val="single" w:sz="4" w:space="0" w:color="808080"/>
            </w:tcBorders>
          </w:tcPr>
          <w:p w:rsidR="00A45935" w:rsidRPr="009E6414" w:rsidRDefault="00A45935" w:rsidP="007E63EF">
            <w:pPr>
              <w:spacing w:after="120" w:line="280" w:lineRule="atLeast"/>
              <w:ind w:left="29" w:right="110"/>
              <w:mirrorIndents/>
              <w:jc w:val="left"/>
              <w:rPr>
                <w:rFonts w:cs="Arial"/>
                <w:noProof/>
                <w:sz w:val="18"/>
                <w:szCs w:val="18"/>
                <w:lang w:val="es-ES_tradnl"/>
              </w:rPr>
            </w:pPr>
            <w:r w:rsidRPr="009E6414">
              <w:rPr>
                <w:noProof/>
                <w:sz w:val="18"/>
                <w:lang w:val="es-ES_tradnl"/>
              </w:rPr>
              <w:t>Se han organizado operaciones de cooperación entre agricultura, producción de alimentos, silvicultura, investigación e innovación para conseguir una mejor gestión y mejores resultados medioambientales.</w:t>
            </w:r>
          </w:p>
        </w:tc>
        <w:tc>
          <w:tcPr>
            <w:tcW w:w="3578" w:type="dxa"/>
            <w:tcBorders>
              <w:bottom w:val="single" w:sz="4" w:space="0" w:color="808080"/>
            </w:tcBorders>
          </w:tcPr>
          <w:p w:rsidR="00A45935" w:rsidRPr="009E6414" w:rsidRDefault="00A45935" w:rsidP="007E63EF">
            <w:pPr>
              <w:spacing w:after="120" w:line="280" w:lineRule="atLeast"/>
              <w:ind w:left="75" w:right="61"/>
              <w:mirrorIndents/>
              <w:jc w:val="left"/>
              <w:rPr>
                <w:rFonts w:cs="Arial"/>
                <w:noProof/>
                <w:sz w:val="18"/>
                <w:szCs w:val="18"/>
                <w:lang w:val="es-ES_tradnl"/>
              </w:rPr>
            </w:pPr>
            <w:r w:rsidRPr="009E6414">
              <w:rPr>
                <w:noProof/>
                <w:sz w:val="18"/>
                <w:lang w:val="es-ES_tradnl"/>
              </w:rPr>
              <w:t xml:space="preserve">T2: Número total de operaciones de cooperación subvencionadas en el marco de la medida de cooperación [artículo 35 del Reglamento (UE) n.º 1305/2013] (grupos, redes, proyectos piloto, etc.) </w:t>
            </w:r>
          </w:p>
          <w:p w:rsidR="00A45935" w:rsidRPr="009E6414" w:rsidRDefault="00A45935" w:rsidP="007E63EF">
            <w:pPr>
              <w:spacing w:after="120" w:line="280" w:lineRule="atLeast"/>
              <w:ind w:left="75" w:right="61"/>
              <w:mirrorIndents/>
              <w:jc w:val="left"/>
              <w:rPr>
                <w:rFonts w:cs="Arial"/>
                <w:noProof/>
                <w:color w:val="57825E"/>
                <w:sz w:val="18"/>
                <w:szCs w:val="18"/>
                <w:lang w:val="es-ES_tradnl"/>
              </w:rPr>
            </w:pPr>
            <w:r w:rsidRPr="009E6414">
              <w:rPr>
                <w:noProof/>
                <w:color w:val="57825E"/>
                <w:sz w:val="18"/>
                <w:u w:val="single"/>
                <w:lang w:val="es-ES_tradnl"/>
              </w:rPr>
              <w:t>Indicador complementario:</w:t>
            </w:r>
            <w:r w:rsidRPr="009E6414">
              <w:rPr>
                <w:noProof/>
                <w:color w:val="57825E"/>
                <w:sz w:val="18"/>
                <w:lang w:val="es-ES_tradnl"/>
              </w:rPr>
              <w:t xml:space="preserve"> Porcentaje de operaciones de cooperación con continuidad una vez finalizada la ayuda del PDR incluso con el fin de mejorar la </w:t>
            </w:r>
            <w:r w:rsidRPr="009E6414">
              <w:rPr>
                <w:noProof/>
                <w:color w:val="57825E"/>
                <w:sz w:val="18"/>
                <w:lang w:val="es-ES_tradnl"/>
              </w:rPr>
              <w:lastRenderedPageBreak/>
              <w:t>gestión y la eficacia medioambientales</w:t>
            </w:r>
          </w:p>
          <w:p w:rsidR="00A45935" w:rsidRPr="009E6414" w:rsidRDefault="00A45935" w:rsidP="007E63EF">
            <w:pPr>
              <w:spacing w:after="120" w:line="280" w:lineRule="atLeast"/>
              <w:ind w:left="75" w:right="61"/>
              <w:mirrorIndents/>
              <w:jc w:val="left"/>
              <w:rPr>
                <w:rFonts w:cs="Arial"/>
                <w:noProof/>
                <w:sz w:val="18"/>
                <w:szCs w:val="18"/>
                <w:lang w:val="es-ES_tradnl"/>
              </w:rPr>
            </w:pPr>
            <w:r w:rsidRPr="009E6414">
              <w:rPr>
                <w:noProof/>
                <w:color w:val="57825E"/>
                <w:sz w:val="18"/>
                <w:u w:val="single"/>
                <w:lang w:val="es-ES_tradnl"/>
              </w:rPr>
              <w:t>Indicador complementario:</w:t>
            </w:r>
            <w:r w:rsidRPr="009E6414">
              <w:rPr>
                <w:noProof/>
                <w:color w:val="57825E"/>
                <w:sz w:val="18"/>
                <w:lang w:val="es-ES_tradnl"/>
              </w:rPr>
              <w:t xml:space="preserve"> Número y tipos de socios participantes en proyectos de cooperación, incluidas sus tareas y responsabilidades.</w:t>
            </w:r>
          </w:p>
        </w:tc>
        <w:tc>
          <w:tcPr>
            <w:tcW w:w="3578" w:type="dxa"/>
            <w:tcBorders>
              <w:bottom w:val="single" w:sz="4" w:space="0" w:color="808080"/>
            </w:tcBorders>
          </w:tcPr>
          <w:p w:rsidR="00A45935" w:rsidRPr="009E6414" w:rsidRDefault="00A45935" w:rsidP="007E63EF">
            <w:pPr>
              <w:spacing w:after="120" w:line="280" w:lineRule="atLeast"/>
              <w:ind w:left="11" w:right="12"/>
              <w:mirrorIndents/>
              <w:jc w:val="left"/>
              <w:rPr>
                <w:rFonts w:cs="Arial"/>
                <w:noProof/>
                <w:sz w:val="18"/>
                <w:szCs w:val="18"/>
                <w:lang w:val="es-ES_tradnl"/>
              </w:rPr>
            </w:pPr>
            <w:r w:rsidRPr="009E6414">
              <w:rPr>
                <w:noProof/>
                <w:sz w:val="18"/>
                <w:lang w:val="es-ES_tradnl"/>
              </w:rPr>
              <w:lastRenderedPageBreak/>
              <w:t>Número de operaciones de la AEI (elemento de dato O.16) que tienen que ver con una mejor gestión y mejores resultados medioambientales.</w:t>
            </w:r>
          </w:p>
          <w:p w:rsidR="00A45935" w:rsidRPr="009E6414" w:rsidRDefault="00A45935" w:rsidP="007E63EF">
            <w:pPr>
              <w:spacing w:after="120" w:line="280" w:lineRule="atLeast"/>
              <w:ind w:left="11" w:right="12"/>
              <w:mirrorIndents/>
              <w:jc w:val="left"/>
              <w:rPr>
                <w:rFonts w:cs="Arial"/>
                <w:noProof/>
                <w:sz w:val="18"/>
                <w:szCs w:val="18"/>
                <w:lang w:val="es-ES_tradnl"/>
              </w:rPr>
            </w:pPr>
            <w:r w:rsidRPr="009E6414">
              <w:rPr>
                <w:noProof/>
                <w:sz w:val="18"/>
                <w:lang w:val="es-ES_tradnl"/>
              </w:rPr>
              <w:t xml:space="preserve">Número de otras operaciones de cooperación (grupos, redes, proyectos piloto) que deben financiarse en el marco de la M16 «Cooperación» (elemento de dato O.17), que tienen que ver con una mejor gestión y mejores resultados </w:t>
            </w:r>
            <w:r w:rsidRPr="009E6414">
              <w:rPr>
                <w:noProof/>
                <w:sz w:val="18"/>
                <w:lang w:val="es-ES_tradnl"/>
              </w:rPr>
              <w:lastRenderedPageBreak/>
              <w:t>medioambientales.</w:t>
            </w:r>
          </w:p>
          <w:p w:rsidR="00A45935" w:rsidRPr="009E6414" w:rsidRDefault="00A45935" w:rsidP="007E63EF">
            <w:pPr>
              <w:spacing w:after="120" w:line="280" w:lineRule="atLeast"/>
              <w:ind w:left="11" w:right="12"/>
              <w:mirrorIndents/>
              <w:jc w:val="left"/>
              <w:rPr>
                <w:rFonts w:cs="Arial"/>
                <w:noProof/>
                <w:sz w:val="18"/>
                <w:szCs w:val="18"/>
                <w:lang w:val="es-ES_tradnl"/>
              </w:rPr>
            </w:pPr>
            <w:r w:rsidRPr="009E6414">
              <w:rPr>
                <w:noProof/>
                <w:sz w:val="18"/>
                <w:lang w:val="es-ES_tradnl"/>
              </w:rPr>
              <w:t>Tipos de socios participantes y número.</w:t>
            </w:r>
          </w:p>
        </w:tc>
        <w:tc>
          <w:tcPr>
            <w:tcW w:w="3578" w:type="dxa"/>
            <w:tcBorders>
              <w:bottom w:val="single" w:sz="4" w:space="0" w:color="808080"/>
            </w:tcBorders>
          </w:tcPr>
          <w:p w:rsidR="00A45935" w:rsidRPr="009E6414" w:rsidRDefault="00A45935" w:rsidP="007E63EF">
            <w:pPr>
              <w:spacing w:after="120" w:line="280" w:lineRule="atLeast"/>
              <w:ind w:left="355" w:right="31"/>
              <w:mirrorIndents/>
              <w:jc w:val="left"/>
              <w:rPr>
                <w:rFonts w:cs="Arial"/>
                <w:noProof/>
                <w:sz w:val="18"/>
                <w:szCs w:val="18"/>
                <w:lang w:val="es-ES_tradnl"/>
              </w:rPr>
            </w:pPr>
            <w:r w:rsidRPr="009E6414">
              <w:rPr>
                <w:noProof/>
                <w:sz w:val="18"/>
                <w:lang w:val="es-ES_tradnl"/>
              </w:rPr>
              <w:lastRenderedPageBreak/>
              <w:t xml:space="preserve">Sistema de seguimiento del PDR. </w:t>
            </w:r>
          </w:p>
          <w:p w:rsidR="00A45935" w:rsidRPr="009E6414" w:rsidRDefault="00A45935" w:rsidP="007E63EF">
            <w:pPr>
              <w:numPr>
                <w:ilvl w:val="0"/>
                <w:numId w:val="20"/>
              </w:numPr>
              <w:spacing w:before="60" w:after="120" w:line="280" w:lineRule="atLeast"/>
              <w:ind w:left="355" w:right="31" w:hanging="357"/>
              <w:jc w:val="left"/>
              <w:rPr>
                <w:rFonts w:cs="Arial"/>
                <w:noProof/>
                <w:sz w:val="18"/>
                <w:szCs w:val="18"/>
                <w:lang w:val="es-ES_tradnl"/>
              </w:rPr>
            </w:pPr>
            <w:r w:rsidRPr="009E6414">
              <w:rPr>
                <w:noProof/>
                <w:sz w:val="18"/>
                <w:lang w:val="es-ES_tradnl"/>
              </w:rPr>
              <w:t>Formularios de solicitud de los beneficiarios (inicio del proyecto)</w:t>
            </w:r>
          </w:p>
          <w:p w:rsidR="00A45935" w:rsidRPr="009E6414" w:rsidRDefault="00A45935" w:rsidP="007E63EF">
            <w:pPr>
              <w:numPr>
                <w:ilvl w:val="0"/>
                <w:numId w:val="20"/>
              </w:numPr>
              <w:spacing w:before="60" w:after="120" w:line="280" w:lineRule="atLeast"/>
              <w:ind w:left="355" w:right="31" w:hanging="357"/>
              <w:jc w:val="left"/>
              <w:rPr>
                <w:rFonts w:cs="Arial"/>
                <w:noProof/>
                <w:sz w:val="18"/>
                <w:szCs w:val="18"/>
                <w:lang w:val="es-ES_tradnl"/>
              </w:rPr>
            </w:pPr>
            <w:r w:rsidRPr="009E6414">
              <w:rPr>
                <w:noProof/>
                <w:sz w:val="18"/>
                <w:lang w:val="es-ES_tradnl"/>
              </w:rPr>
              <w:t>Solicitudes de pago de los beneficiarios (fin del proyecto)</w:t>
            </w:r>
          </w:p>
        </w:tc>
      </w:tr>
      <w:tr w:rsidR="00A45935" w:rsidRPr="009E6414" w:rsidTr="005520BA">
        <w:tc>
          <w:tcPr>
            <w:tcW w:w="3578" w:type="dxa"/>
            <w:tcBorders>
              <w:top w:val="single" w:sz="4" w:space="0" w:color="808080"/>
            </w:tcBorders>
          </w:tcPr>
          <w:p w:rsidR="00A45935" w:rsidRPr="009E6414" w:rsidRDefault="00A45935" w:rsidP="00E05D08">
            <w:pPr>
              <w:spacing w:after="120" w:line="280" w:lineRule="atLeast"/>
              <w:ind w:left="29" w:right="110"/>
              <w:mirrorIndents/>
              <w:rPr>
                <w:rFonts w:cs="Arial"/>
                <w:noProof/>
                <w:sz w:val="18"/>
                <w:szCs w:val="18"/>
                <w:lang w:val="es-ES_tradnl"/>
              </w:rPr>
            </w:pPr>
          </w:p>
        </w:tc>
        <w:tc>
          <w:tcPr>
            <w:tcW w:w="3578" w:type="dxa"/>
            <w:tcBorders>
              <w:top w:val="single" w:sz="4" w:space="0" w:color="808080"/>
            </w:tcBorders>
          </w:tcPr>
          <w:p w:rsidR="00A45935" w:rsidRPr="009E6414" w:rsidRDefault="00A45935" w:rsidP="007E63EF">
            <w:pPr>
              <w:spacing w:after="120" w:line="280" w:lineRule="atLeast"/>
              <w:ind w:left="75" w:right="61"/>
              <w:mirrorIndents/>
              <w:jc w:val="left"/>
              <w:rPr>
                <w:rFonts w:cs="Arial"/>
                <w:noProof/>
                <w:sz w:val="18"/>
                <w:szCs w:val="18"/>
                <w:lang w:val="es-ES_tradnl"/>
              </w:rPr>
            </w:pPr>
            <w:r w:rsidRPr="009E6414">
              <w:rPr>
                <w:noProof/>
                <w:sz w:val="18"/>
                <w:lang w:val="es-ES_tradnl"/>
              </w:rPr>
              <w:t>O.3 Número de operaciones subvencionadas</w:t>
            </w:r>
          </w:p>
        </w:tc>
        <w:tc>
          <w:tcPr>
            <w:tcW w:w="3578" w:type="dxa"/>
            <w:tcBorders>
              <w:top w:val="single" w:sz="4" w:space="0" w:color="808080"/>
            </w:tcBorders>
          </w:tcPr>
          <w:p w:rsidR="00A45935" w:rsidRPr="009E6414" w:rsidRDefault="00A45935" w:rsidP="007E63EF">
            <w:pPr>
              <w:spacing w:after="120" w:line="280" w:lineRule="atLeast"/>
              <w:ind w:left="11" w:right="12"/>
              <w:mirrorIndents/>
              <w:jc w:val="left"/>
              <w:rPr>
                <w:rFonts w:cs="Arial"/>
                <w:noProof/>
                <w:sz w:val="18"/>
                <w:szCs w:val="18"/>
                <w:lang w:val="es-ES_tradnl"/>
              </w:rPr>
            </w:pPr>
            <w:r w:rsidRPr="009E6414">
              <w:rPr>
                <w:noProof/>
                <w:sz w:val="18"/>
                <w:lang w:val="es-ES_tradnl"/>
              </w:rPr>
              <w:t>Número total de operaciones subvencionadas</w:t>
            </w:r>
          </w:p>
          <w:p w:rsidR="00A45935" w:rsidRPr="009E6414" w:rsidRDefault="00A45935" w:rsidP="007E63EF">
            <w:pPr>
              <w:spacing w:after="120" w:line="280" w:lineRule="atLeast"/>
              <w:ind w:left="11" w:right="12"/>
              <w:mirrorIndents/>
              <w:jc w:val="left"/>
              <w:rPr>
                <w:rFonts w:cs="Arial"/>
                <w:noProof/>
                <w:sz w:val="18"/>
                <w:szCs w:val="18"/>
                <w:lang w:val="es-ES_tradnl"/>
              </w:rPr>
            </w:pPr>
            <w:r w:rsidRPr="009E6414">
              <w:rPr>
                <w:noProof/>
                <w:sz w:val="18"/>
                <w:lang w:val="es-ES_tradnl"/>
              </w:rPr>
              <w:t>Número de operaciones de cooperación subvencionadas (O.16+O.17).</w:t>
            </w:r>
          </w:p>
        </w:tc>
        <w:tc>
          <w:tcPr>
            <w:tcW w:w="3578" w:type="dxa"/>
            <w:tcBorders>
              <w:top w:val="single" w:sz="4" w:space="0" w:color="808080"/>
            </w:tcBorders>
          </w:tcPr>
          <w:p w:rsidR="00A45935" w:rsidRPr="009E6414" w:rsidRDefault="00A45935" w:rsidP="007E63EF">
            <w:pPr>
              <w:spacing w:after="120" w:line="280" w:lineRule="atLeast"/>
              <w:ind w:left="355" w:right="31"/>
              <w:mirrorIndents/>
              <w:jc w:val="left"/>
              <w:rPr>
                <w:rFonts w:cs="Arial"/>
                <w:noProof/>
                <w:sz w:val="18"/>
                <w:szCs w:val="18"/>
                <w:lang w:val="es-ES_tradnl"/>
              </w:rPr>
            </w:pPr>
            <w:r w:rsidRPr="009E6414">
              <w:rPr>
                <w:noProof/>
                <w:sz w:val="18"/>
                <w:lang w:val="es-ES_tradnl"/>
              </w:rPr>
              <w:t>Sistema de seguimiento del PDR.</w:t>
            </w:r>
          </w:p>
          <w:p w:rsidR="00A45935" w:rsidRPr="009E6414" w:rsidRDefault="00A45935" w:rsidP="007E63EF">
            <w:pPr>
              <w:numPr>
                <w:ilvl w:val="0"/>
                <w:numId w:val="20"/>
              </w:numPr>
              <w:spacing w:before="60" w:after="120" w:line="280" w:lineRule="atLeast"/>
              <w:ind w:left="355" w:right="31" w:hanging="357"/>
              <w:jc w:val="left"/>
              <w:rPr>
                <w:rFonts w:cs="Arial"/>
                <w:noProof/>
                <w:sz w:val="18"/>
                <w:szCs w:val="18"/>
                <w:lang w:val="es-ES_tradnl"/>
              </w:rPr>
            </w:pPr>
            <w:r w:rsidRPr="009E6414">
              <w:rPr>
                <w:noProof/>
                <w:sz w:val="18"/>
                <w:lang w:val="es-ES_tradnl"/>
              </w:rPr>
              <w:t>Formularios de solicitud de los beneficiarios (inicio del proyecto)</w:t>
            </w:r>
          </w:p>
          <w:p w:rsidR="00A45935" w:rsidRPr="009E6414" w:rsidRDefault="00A45935" w:rsidP="007E63EF">
            <w:pPr>
              <w:numPr>
                <w:ilvl w:val="0"/>
                <w:numId w:val="20"/>
              </w:numPr>
              <w:spacing w:before="60" w:after="120" w:line="280" w:lineRule="atLeast"/>
              <w:ind w:left="355" w:right="31" w:hanging="357"/>
              <w:jc w:val="left"/>
              <w:rPr>
                <w:rFonts w:cs="Arial"/>
                <w:noProof/>
                <w:sz w:val="18"/>
                <w:szCs w:val="18"/>
                <w:lang w:val="es-ES_tradnl"/>
              </w:rPr>
            </w:pPr>
            <w:r w:rsidRPr="009E6414">
              <w:rPr>
                <w:noProof/>
                <w:sz w:val="18"/>
                <w:lang w:val="es-ES_tradnl"/>
              </w:rPr>
              <w:t>Solicitudes de pago de los beneficiarios (fin del proyecto)</w:t>
            </w:r>
          </w:p>
        </w:tc>
      </w:tr>
      <w:tr w:rsidR="00A45935" w:rsidRPr="009E6414" w:rsidTr="00E05D08">
        <w:tc>
          <w:tcPr>
            <w:tcW w:w="14312" w:type="dxa"/>
            <w:gridSpan w:val="4"/>
            <w:shd w:val="clear" w:color="auto" w:fill="8BAB80"/>
          </w:tcPr>
          <w:p w:rsidR="00A45935" w:rsidRPr="009E6414" w:rsidRDefault="00A45935" w:rsidP="00E05D08">
            <w:pPr>
              <w:spacing w:after="120" w:line="280" w:lineRule="atLeast"/>
              <w:ind w:left="355" w:right="31"/>
              <w:mirrorIndents/>
              <w:rPr>
                <w:rFonts w:cs="Arial"/>
                <w:b/>
                <w:noProof/>
                <w:color w:val="FFFFFF"/>
                <w:sz w:val="18"/>
                <w:szCs w:val="18"/>
                <w:lang w:val="es-ES_tradnl"/>
              </w:rPr>
            </w:pPr>
            <w:r w:rsidRPr="009E6414">
              <w:rPr>
                <w:b/>
                <w:noProof/>
                <w:color w:val="FFFFFF"/>
                <w:sz w:val="18"/>
                <w:lang w:val="es-ES_tradnl"/>
              </w:rPr>
              <w:t>Elementos de evaluación complementarios (opcional)</w:t>
            </w:r>
          </w:p>
        </w:tc>
      </w:tr>
      <w:tr w:rsidR="00A45935" w:rsidRPr="009E6414" w:rsidTr="00E05D08">
        <w:tc>
          <w:tcPr>
            <w:tcW w:w="3578" w:type="dxa"/>
          </w:tcPr>
          <w:p w:rsidR="00A45935" w:rsidRPr="009E6414" w:rsidRDefault="00A45935" w:rsidP="007E63EF">
            <w:pPr>
              <w:spacing w:after="120" w:line="280" w:lineRule="atLeast"/>
              <w:ind w:left="29" w:right="110"/>
              <w:mirrorIndents/>
              <w:jc w:val="left"/>
              <w:rPr>
                <w:rFonts w:cs="Arial"/>
                <w:noProof/>
                <w:sz w:val="18"/>
                <w:szCs w:val="18"/>
                <w:lang w:val="es-ES_tradnl"/>
              </w:rPr>
            </w:pPr>
            <w:r w:rsidRPr="009E6414">
              <w:rPr>
                <w:noProof/>
                <w:sz w:val="18"/>
                <w:lang w:val="es-ES_tradnl"/>
              </w:rPr>
              <w:t>Los proyectos de cooperación han mejorado la capacidad de innovar, en particular en el ámbito de una mejor gestión y mejores resultados medioambientales.</w:t>
            </w:r>
          </w:p>
        </w:tc>
        <w:tc>
          <w:tcPr>
            <w:tcW w:w="3578" w:type="dxa"/>
          </w:tcPr>
          <w:p w:rsidR="00A45935" w:rsidRPr="009E6414" w:rsidRDefault="00A45935" w:rsidP="007E63EF">
            <w:pPr>
              <w:spacing w:after="120" w:line="280" w:lineRule="atLeast"/>
              <w:ind w:left="75" w:right="61"/>
              <w:mirrorIndents/>
              <w:jc w:val="left"/>
              <w:rPr>
                <w:rFonts w:cs="Arial"/>
                <w:noProof/>
                <w:sz w:val="18"/>
                <w:szCs w:val="18"/>
                <w:lang w:val="es-ES_tradnl"/>
              </w:rPr>
            </w:pPr>
            <w:r w:rsidRPr="009E6414">
              <w:rPr>
                <w:noProof/>
                <w:sz w:val="18"/>
                <w:lang w:val="es-ES_tradnl"/>
              </w:rPr>
              <w:t xml:space="preserve">Número y tipo de innovaciones generadas por proyectos de cooperación, entre ellas aquellas centradas en una mejor gestión y mejores resultados medioambientales. </w:t>
            </w:r>
          </w:p>
        </w:tc>
        <w:tc>
          <w:tcPr>
            <w:tcW w:w="3578" w:type="dxa"/>
          </w:tcPr>
          <w:p w:rsidR="00A45935" w:rsidRPr="009E6414" w:rsidRDefault="00A45935" w:rsidP="007E63EF">
            <w:pPr>
              <w:spacing w:after="120" w:line="280" w:lineRule="atLeast"/>
              <w:ind w:left="11" w:right="12"/>
              <w:mirrorIndents/>
              <w:jc w:val="left"/>
              <w:rPr>
                <w:rFonts w:cs="Arial"/>
                <w:noProof/>
                <w:sz w:val="18"/>
                <w:szCs w:val="18"/>
                <w:lang w:val="es-ES_tradnl"/>
              </w:rPr>
            </w:pPr>
            <w:r w:rsidRPr="009E6414">
              <w:rPr>
                <w:noProof/>
                <w:sz w:val="18"/>
                <w:lang w:val="es-ES_tradnl"/>
              </w:rPr>
              <w:t>Número de innovaciones generadas.</w:t>
            </w:r>
          </w:p>
          <w:p w:rsidR="00A45935" w:rsidRPr="009E6414" w:rsidRDefault="00A45935" w:rsidP="007E63EF">
            <w:pPr>
              <w:spacing w:after="120" w:line="280" w:lineRule="atLeast"/>
              <w:ind w:left="11" w:right="12"/>
              <w:mirrorIndents/>
              <w:jc w:val="left"/>
              <w:rPr>
                <w:rFonts w:cs="Arial"/>
                <w:noProof/>
                <w:sz w:val="18"/>
                <w:szCs w:val="18"/>
                <w:lang w:val="es-ES_tradnl"/>
              </w:rPr>
            </w:pPr>
            <w:r w:rsidRPr="009E6414">
              <w:rPr>
                <w:noProof/>
                <w:sz w:val="18"/>
                <w:lang w:val="es-ES_tradnl"/>
              </w:rPr>
              <w:t>Número de innovaciones para una mejor gestión y mejores resultados medioambientales.</w:t>
            </w:r>
          </w:p>
        </w:tc>
        <w:tc>
          <w:tcPr>
            <w:tcW w:w="3578" w:type="dxa"/>
          </w:tcPr>
          <w:p w:rsidR="00A45935" w:rsidRPr="009E6414" w:rsidRDefault="00A45935" w:rsidP="007E63EF">
            <w:pPr>
              <w:spacing w:after="120" w:line="280" w:lineRule="atLeast"/>
              <w:ind w:right="31"/>
              <w:mirrorIndents/>
              <w:jc w:val="left"/>
              <w:rPr>
                <w:rFonts w:cs="Arial"/>
                <w:noProof/>
                <w:sz w:val="18"/>
                <w:szCs w:val="18"/>
                <w:lang w:val="es-ES_tradnl"/>
              </w:rPr>
            </w:pPr>
            <w:r w:rsidRPr="009E6414">
              <w:rPr>
                <w:noProof/>
                <w:sz w:val="18"/>
                <w:lang w:val="es-ES_tradnl"/>
              </w:rPr>
              <w:t>Encuestas.</w:t>
            </w:r>
          </w:p>
          <w:p w:rsidR="00A45935" w:rsidRPr="009E6414" w:rsidRDefault="00A45935" w:rsidP="007E63EF">
            <w:pPr>
              <w:spacing w:after="120" w:line="280" w:lineRule="atLeast"/>
              <w:ind w:right="31"/>
              <w:mirrorIndents/>
              <w:jc w:val="left"/>
              <w:rPr>
                <w:rFonts w:cs="Arial"/>
                <w:noProof/>
                <w:sz w:val="18"/>
                <w:szCs w:val="18"/>
                <w:lang w:val="es-ES_tradnl"/>
              </w:rPr>
            </w:pPr>
            <w:r w:rsidRPr="009E6414">
              <w:rPr>
                <w:noProof/>
                <w:sz w:val="18"/>
                <w:lang w:val="es-ES_tradnl"/>
              </w:rPr>
              <w:t>Entrevistas y grupos de discusión con los participantes en proyectos de cooperación.</w:t>
            </w:r>
          </w:p>
          <w:p w:rsidR="00A45935" w:rsidRPr="009E6414" w:rsidRDefault="00A45935" w:rsidP="007E63EF">
            <w:pPr>
              <w:spacing w:after="120" w:line="280" w:lineRule="atLeast"/>
              <w:ind w:right="31"/>
              <w:mirrorIndents/>
              <w:jc w:val="left"/>
              <w:rPr>
                <w:rFonts w:cs="Arial"/>
                <w:noProof/>
                <w:sz w:val="18"/>
                <w:szCs w:val="18"/>
                <w:lang w:val="es-ES_tradnl"/>
              </w:rPr>
            </w:pPr>
            <w:r w:rsidRPr="009E6414">
              <w:rPr>
                <w:noProof/>
                <w:sz w:val="18"/>
                <w:lang w:val="es-ES_tradnl"/>
              </w:rPr>
              <w:t>SIG.</w:t>
            </w:r>
          </w:p>
        </w:tc>
      </w:tr>
    </w:tbl>
    <w:p w:rsidR="00A45935" w:rsidRPr="009E6414" w:rsidRDefault="00A45935" w:rsidP="00E05D08">
      <w:pPr>
        <w:spacing w:after="120" w:line="280" w:lineRule="atLeast"/>
        <w:mirrorIndents/>
        <w:rPr>
          <w:rFonts w:eastAsia="Times New Roman" w:cs="Times New Roman"/>
          <w:noProof/>
          <w:szCs w:val="20"/>
          <w:lang w:val="es-ES_tradnl"/>
        </w:rPr>
        <w:sectPr w:rsidR="00A45935" w:rsidRPr="009E6414"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9E6414" w:rsidRDefault="00A45935" w:rsidP="008C0B17">
      <w:pPr>
        <w:numPr>
          <w:ilvl w:val="0"/>
          <w:numId w:val="56"/>
        </w:numPr>
        <w:spacing w:before="120" w:after="120" w:line="280" w:lineRule="atLeast"/>
        <w:ind w:left="567" w:hanging="567"/>
        <w:mirrorIndents/>
        <w:rPr>
          <w:rFonts w:eastAsia="Times New Roman" w:cs="Times New Roman"/>
          <w:b/>
          <w:noProof/>
          <w:szCs w:val="20"/>
          <w:lang w:val="es-ES_tradnl"/>
        </w:rPr>
      </w:pPr>
      <w:r w:rsidRPr="009E6414">
        <w:rPr>
          <w:b/>
          <w:noProof/>
          <w:lang w:val="es-ES_tradnl"/>
        </w:rPr>
        <w:lastRenderedPageBreak/>
        <w:t xml:space="preserve">Metodología de evaluación propuesta </w:t>
      </w:r>
    </w:p>
    <w:p w:rsidR="00A45935" w:rsidRPr="009E6414" w:rsidRDefault="00A45935" w:rsidP="00E05D08">
      <w:pPr>
        <w:spacing w:after="120" w:line="280" w:lineRule="atLeast"/>
        <w:mirrorIndents/>
        <w:rPr>
          <w:rFonts w:eastAsia="Times New Roman" w:cs="Times New Roman"/>
          <w:noProof/>
          <w:color w:val="F07E31"/>
          <w:szCs w:val="20"/>
          <w:u w:val="single"/>
          <w:lang w:val="es-ES_tradnl"/>
        </w:rPr>
      </w:pPr>
      <w:r w:rsidRPr="009E6414">
        <w:rPr>
          <w:noProof/>
          <w:lang w:val="es-ES_tradnl"/>
        </w:rPr>
        <w:t>El cálculo de los indicadores comunes vinculados a la PCE n.º 2 se describe en el anexo 11 de las Directrices «</w:t>
      </w:r>
      <w:hyperlink r:id="rId48">
        <w:r w:rsidRPr="009E6414">
          <w:rPr>
            <w:noProof/>
            <w:color w:val="F07E31"/>
            <w:u w:val="single"/>
            <w:lang w:val="es-ES_tradnl"/>
          </w:rPr>
          <w:t>Evaluación de los resultados del PDR: Cómo elaborar los informes sobre evaluación en 2017</w:t>
        </w:r>
      </w:hyperlink>
      <w:r w:rsidRPr="009E6414">
        <w:rPr>
          <w:noProof/>
          <w:lang w:val="es-ES_tradnl"/>
        </w:rPr>
        <w:t>».</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Para evaluar la parte de la PCE n.º 2 relacionada con la innovación se propone lo siguiente:</w:t>
      </w:r>
    </w:p>
    <w:p w:rsidR="00A45935" w:rsidRPr="009E6414" w:rsidRDefault="00A45935" w:rsidP="00547012">
      <w:pPr>
        <w:pStyle w:val="Hlistbullet"/>
        <w:rPr>
          <w:noProof/>
          <w:lang w:val="es-ES_tradnl"/>
        </w:rPr>
      </w:pPr>
      <w:r w:rsidRPr="009E6414">
        <w:rPr>
          <w:b/>
          <w:noProof/>
          <w:lang w:val="es-ES_tradnl"/>
        </w:rPr>
        <w:t>FASE 1: Identificar a los beneficiarios de la M16</w:t>
      </w:r>
      <w:r w:rsidRPr="009E6414">
        <w:rPr>
          <w:noProof/>
          <w:lang w:val="es-ES_tradnl"/>
        </w:rPr>
        <w:t xml:space="preserve"> y de sus submedidas de conformidad con los resultados de la identificación de su potencial de innovación (beneficiarios que ejecutaron operaciones clasificadas como innovadoras) </w:t>
      </w:r>
    </w:p>
    <w:p w:rsidR="00A45935" w:rsidRPr="009E6414" w:rsidRDefault="00A45935" w:rsidP="00547012">
      <w:pPr>
        <w:pStyle w:val="Hlistbullet"/>
        <w:rPr>
          <w:noProof/>
          <w:lang w:val="es-ES_tradnl"/>
        </w:rPr>
      </w:pPr>
      <w:r w:rsidRPr="009E6414">
        <w:rPr>
          <w:b/>
          <w:noProof/>
          <w:lang w:val="es-ES_tradnl"/>
        </w:rPr>
        <w:t>FASE 2: Cuantificar los indicadores de resultados y de objetivos</w:t>
      </w:r>
      <w:r w:rsidRPr="009E6414">
        <w:rPr>
          <w:noProof/>
          <w:lang w:val="es-ES_tradnl"/>
        </w:rPr>
        <w:t xml:space="preserve"> con la ayuda de los datos de seguimiento de la base de datos de operaciones del PDR sobre los GO. Para utilizar la base de datos de operaciones para la evaluación de la innovación, las autoridades de gestión pueden añadir y recabar elementos de datos relacionados con los GO y la innovación. </w:t>
      </w:r>
    </w:p>
    <w:p w:rsidR="00A45935" w:rsidRPr="009E6414" w:rsidRDefault="00A45935" w:rsidP="00547012">
      <w:pPr>
        <w:pStyle w:val="Hlistbullet"/>
        <w:rPr>
          <w:noProof/>
          <w:lang w:val="es-ES_tradnl"/>
        </w:rPr>
      </w:pPr>
      <w:r w:rsidRPr="009E6414">
        <w:rPr>
          <w:b/>
          <w:noProof/>
          <w:lang w:val="es-ES_tradnl"/>
        </w:rPr>
        <w:t>FASE 3: Recopilar pruebas para responder a la PCE con la ayuda de métodos específicos.</w:t>
      </w:r>
      <w:r w:rsidRPr="009E6414">
        <w:rPr>
          <w:noProof/>
          <w:lang w:val="es-ES_tradnl"/>
        </w:rPr>
        <w:t xml:space="preserve"> Redactar preguntas abiertas para utilizar los métodos incluidos en el cuadro siguiente (encuestas, grupos de discusión y método Delphi) respetando los criterios de valoración e indicadores propuestos así como los resultados de la identificación del potencial de innovación.</w:t>
      </w:r>
    </w:p>
    <w:p w:rsidR="00A45935" w:rsidRPr="009E6414" w:rsidRDefault="00A45935" w:rsidP="00547012">
      <w:pPr>
        <w:pStyle w:val="Hlistbullet"/>
        <w:rPr>
          <w:noProof/>
          <w:lang w:val="es-ES_tradnl"/>
        </w:rPr>
      </w:pPr>
      <w:r w:rsidRPr="009E6414">
        <w:rPr>
          <w:b/>
          <w:noProof/>
          <w:lang w:val="es-ES_tradnl"/>
        </w:rPr>
        <w:t>FASE 4: Analizar e interpretar las pruebas recopiladas</w:t>
      </w:r>
      <w:r w:rsidRPr="009E6414">
        <w:rPr>
          <w:noProof/>
          <w:lang w:val="es-ES_tradnl"/>
        </w:rPr>
        <w:t xml:space="preserve"> y utilizarlas para responder a la PCE n.º 2 en términos de fortalecimiento de los vínculos con respecto a la innovación.</w:t>
      </w:r>
    </w:p>
    <w:p w:rsidR="00A45935" w:rsidRPr="009E6414" w:rsidRDefault="00A45935" w:rsidP="00897804">
      <w:pPr>
        <w:pStyle w:val="HHeadingtables"/>
        <w:rPr>
          <w:noProof/>
          <w:color w:val="6F6F6F"/>
          <w:sz w:val="18"/>
          <w:szCs w:val="18"/>
          <w:lang w:val="es-ES_tradnl"/>
        </w:rPr>
      </w:pPr>
      <w:r w:rsidRPr="009E6414">
        <w:rPr>
          <w:noProof/>
          <w:color w:val="6F6F6F"/>
          <w:sz w:val="18"/>
          <w:lang w:val="es-ES_tradnl"/>
        </w:rPr>
        <w:t xml:space="preserve">Métodos recomendados para la PCE n.º 2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9E6414" w:rsidTr="00E05D08">
        <w:tc>
          <w:tcPr>
            <w:tcW w:w="2405" w:type="dxa"/>
            <w:shd w:val="clear" w:color="auto" w:fill="F07E31"/>
          </w:tcPr>
          <w:p w:rsidR="00A45935" w:rsidRPr="009E6414" w:rsidRDefault="00A45935" w:rsidP="00E05D08">
            <w:pPr>
              <w:spacing w:after="120" w:line="280" w:lineRule="atLeast"/>
              <w:mirrorIndents/>
              <w:jc w:val="center"/>
              <w:rPr>
                <w:b/>
                <w:noProof/>
                <w:color w:val="FFFFFF"/>
                <w:sz w:val="18"/>
                <w:szCs w:val="18"/>
                <w:lang w:val="es-ES_tradnl"/>
              </w:rPr>
            </w:pPr>
            <w:r w:rsidRPr="009E6414">
              <w:rPr>
                <w:b/>
                <w:noProof/>
                <w:color w:val="FFFFFF"/>
                <w:sz w:val="18"/>
                <w:lang w:val="es-ES_tradnl"/>
              </w:rPr>
              <w:t>Métodos</w:t>
            </w:r>
          </w:p>
        </w:tc>
        <w:tc>
          <w:tcPr>
            <w:tcW w:w="6612" w:type="dxa"/>
            <w:shd w:val="clear" w:color="auto" w:fill="F07E31"/>
          </w:tcPr>
          <w:p w:rsidR="00A45935" w:rsidRPr="009E6414" w:rsidRDefault="00A45935" w:rsidP="00E05D08">
            <w:pPr>
              <w:spacing w:after="120" w:line="280" w:lineRule="atLeast"/>
              <w:mirrorIndents/>
              <w:jc w:val="center"/>
              <w:rPr>
                <w:b/>
                <w:noProof/>
                <w:color w:val="FFFFFF"/>
                <w:sz w:val="18"/>
                <w:szCs w:val="18"/>
                <w:lang w:val="es-ES_tradnl"/>
              </w:rPr>
            </w:pPr>
            <w:r w:rsidRPr="009E6414">
              <w:rPr>
                <w:b/>
                <w:noProof/>
                <w:color w:val="FFFFFF"/>
                <w:sz w:val="18"/>
                <w:lang w:val="es-ES_tradnl"/>
              </w:rPr>
              <w:t>Consejos sobre cómo usar los métodos</w:t>
            </w:r>
          </w:p>
        </w:tc>
      </w:tr>
      <w:tr w:rsidR="00A45935" w:rsidRPr="009E6414" w:rsidTr="00E05D08">
        <w:tc>
          <w:tcPr>
            <w:tcW w:w="2405" w:type="dxa"/>
          </w:tcPr>
          <w:p w:rsidR="00A45935" w:rsidRPr="009E6414" w:rsidRDefault="00A45935" w:rsidP="000E0FE4">
            <w:pPr>
              <w:spacing w:after="120" w:line="280" w:lineRule="atLeast"/>
              <w:ind w:left="22" w:right="91"/>
              <w:mirrorIndents/>
              <w:jc w:val="left"/>
              <w:rPr>
                <w:noProof/>
                <w:sz w:val="18"/>
                <w:szCs w:val="18"/>
                <w:lang w:val="es-ES_tradnl"/>
              </w:rPr>
            </w:pPr>
            <w:r w:rsidRPr="009E6414">
              <w:rPr>
                <w:noProof/>
                <w:sz w:val="18"/>
                <w:lang w:val="es-ES_tradnl"/>
              </w:rPr>
              <w:t>Hacer una encuesta sobre los proyectos de cooperación y los beneficiarios finales</w:t>
            </w:r>
          </w:p>
        </w:tc>
        <w:tc>
          <w:tcPr>
            <w:tcW w:w="6612" w:type="dxa"/>
          </w:tcPr>
          <w:p w:rsidR="00A45935" w:rsidRPr="009E6414" w:rsidRDefault="00A45935" w:rsidP="008C0B17">
            <w:pPr>
              <w:numPr>
                <w:ilvl w:val="0"/>
                <w:numId w:val="21"/>
              </w:numPr>
              <w:spacing w:before="60" w:after="120" w:line="280" w:lineRule="atLeast"/>
              <w:ind w:left="459"/>
              <w:rPr>
                <w:noProof/>
                <w:sz w:val="18"/>
                <w:szCs w:val="18"/>
                <w:lang w:val="es-ES_tradnl"/>
              </w:rPr>
            </w:pPr>
            <w:r w:rsidRPr="009E6414">
              <w:rPr>
                <w:noProof/>
                <w:sz w:val="18"/>
                <w:lang w:val="es-ES_tradnl"/>
              </w:rPr>
              <w:t>Seleccionar una muestra de proyectos de cooperación (por ejemplo, por sector, tamaño del GO, localización, etc.) para recoger datos e información de los beneficiarios para los indicadores a través de una encuesta.</w:t>
            </w:r>
          </w:p>
          <w:p w:rsidR="00A45935" w:rsidRPr="009E6414" w:rsidRDefault="00A45935" w:rsidP="008C0B17">
            <w:pPr>
              <w:numPr>
                <w:ilvl w:val="0"/>
                <w:numId w:val="21"/>
              </w:numPr>
              <w:spacing w:before="60" w:after="120" w:line="280" w:lineRule="atLeast"/>
              <w:ind w:left="459"/>
              <w:rPr>
                <w:noProof/>
                <w:sz w:val="18"/>
                <w:szCs w:val="18"/>
                <w:lang w:val="es-ES_tradnl"/>
              </w:rPr>
            </w:pPr>
            <w:r w:rsidRPr="009E6414">
              <w:rPr>
                <w:noProof/>
                <w:sz w:val="18"/>
                <w:lang w:val="es-ES_tradnl"/>
              </w:rPr>
              <w:t>Seleccionar, entre otros, proyectos de cooperación que puedan tener una incidencia en la gestión y el comportamiento medioambientales (por ejemplo, submedidas 5, 6, 8 y 9 o los grupos operativos en este ámbito - M16.1).</w:t>
            </w:r>
          </w:p>
          <w:p w:rsidR="00A45935" w:rsidRPr="009E6414" w:rsidRDefault="00A45935" w:rsidP="008C0B17">
            <w:pPr>
              <w:numPr>
                <w:ilvl w:val="0"/>
                <w:numId w:val="21"/>
              </w:numPr>
              <w:spacing w:before="60" w:after="120" w:line="280" w:lineRule="atLeast"/>
              <w:ind w:left="459"/>
              <w:rPr>
                <w:noProof/>
                <w:sz w:val="18"/>
                <w:szCs w:val="18"/>
                <w:lang w:val="es-ES_tradnl"/>
              </w:rPr>
            </w:pPr>
            <w:r w:rsidRPr="009E6414">
              <w:rPr>
                <w:noProof/>
                <w:sz w:val="18"/>
                <w:lang w:val="es-ES_tradnl"/>
              </w:rPr>
              <w:t>Elaborar encuestas que incluyan preguntas abiertas sobre cómo los proyectos de cooperación contribuyen a: a) compartir ideas innovadoras, b) consolidar la capacidad para innovar, c) crear un entorno propicio para la innovación.</w:t>
            </w:r>
          </w:p>
          <w:p w:rsidR="00A45935" w:rsidRPr="009E6414" w:rsidRDefault="00A45935" w:rsidP="008C0B17">
            <w:pPr>
              <w:numPr>
                <w:ilvl w:val="0"/>
                <w:numId w:val="21"/>
              </w:numPr>
              <w:spacing w:before="60" w:after="120" w:line="280" w:lineRule="atLeast"/>
              <w:ind w:left="459"/>
              <w:rPr>
                <w:noProof/>
                <w:lang w:val="es-ES_tradnl"/>
              </w:rPr>
            </w:pPr>
            <w:r w:rsidRPr="009E6414">
              <w:rPr>
                <w:noProof/>
                <w:sz w:val="18"/>
                <w:lang w:val="es-ES_tradnl"/>
              </w:rPr>
              <w:t>Utilizar las conclusiones de las encuestas para: valorar cómo diferentes formas de proyectos de cooperación (cooperación entre agentes, redes y grupos operativos diferentes) contribuyen a crear vínculos más sólidos entre investigación/innovación y práctica.</w:t>
            </w:r>
          </w:p>
        </w:tc>
      </w:tr>
      <w:tr w:rsidR="00A45935" w:rsidRPr="009E6414" w:rsidTr="00E05D08">
        <w:tc>
          <w:tcPr>
            <w:tcW w:w="2405" w:type="dxa"/>
          </w:tcPr>
          <w:p w:rsidR="00A45935" w:rsidRPr="009E6414" w:rsidRDefault="00A45935" w:rsidP="000E0FE4">
            <w:pPr>
              <w:spacing w:after="120" w:line="280" w:lineRule="atLeast"/>
              <w:ind w:left="22" w:right="143"/>
              <w:mirrorIndents/>
              <w:jc w:val="left"/>
              <w:rPr>
                <w:noProof/>
                <w:sz w:val="18"/>
                <w:szCs w:val="18"/>
                <w:lang w:val="es-ES_tradnl"/>
              </w:rPr>
            </w:pPr>
            <w:r w:rsidRPr="009E6414">
              <w:rPr>
                <w:noProof/>
                <w:sz w:val="18"/>
                <w:lang w:val="es-ES_tradnl"/>
              </w:rPr>
              <w:t>Grupos estructurados de discusión</w:t>
            </w:r>
          </w:p>
        </w:tc>
        <w:tc>
          <w:tcPr>
            <w:tcW w:w="6612" w:type="dxa"/>
          </w:tcPr>
          <w:p w:rsidR="00A45935" w:rsidRPr="009E6414" w:rsidRDefault="00A45935" w:rsidP="008C0B17">
            <w:pPr>
              <w:numPr>
                <w:ilvl w:val="0"/>
                <w:numId w:val="22"/>
              </w:numPr>
              <w:spacing w:before="60" w:after="120" w:line="280" w:lineRule="atLeast"/>
              <w:ind w:left="459"/>
              <w:rPr>
                <w:noProof/>
                <w:sz w:val="18"/>
                <w:szCs w:val="18"/>
                <w:lang w:val="es-ES_tradnl"/>
              </w:rPr>
            </w:pPr>
            <w:r w:rsidRPr="009E6414">
              <w:rPr>
                <w:noProof/>
                <w:sz w:val="18"/>
                <w:lang w:val="es-ES_tradnl"/>
              </w:rPr>
              <w:t>Dirigir grupos de discusión formados por partes interesadas en la innovación (por ejemplo, servicios de apoyo a la innovación, asesores que actúan como mediadores para la innovación, investigadores y centros de innovación, etc.).</w:t>
            </w:r>
          </w:p>
          <w:p w:rsidR="00A45935" w:rsidRPr="009E6414" w:rsidRDefault="00A45935" w:rsidP="008C0B17">
            <w:pPr>
              <w:numPr>
                <w:ilvl w:val="0"/>
                <w:numId w:val="22"/>
              </w:numPr>
              <w:spacing w:before="60" w:after="120" w:line="280" w:lineRule="atLeast"/>
              <w:ind w:left="459"/>
              <w:rPr>
                <w:noProof/>
                <w:sz w:val="18"/>
                <w:szCs w:val="18"/>
                <w:lang w:val="es-ES_tradnl"/>
              </w:rPr>
            </w:pPr>
            <w:r w:rsidRPr="009E6414">
              <w:rPr>
                <w:noProof/>
                <w:sz w:val="18"/>
                <w:lang w:val="es-ES_tradnl"/>
              </w:rPr>
              <w:t>Analizar cómo los vínculos entre las partes interesadas influyen en la capacidad de innovar y de crear un entorno propicio para la innovación.</w:t>
            </w:r>
          </w:p>
          <w:p w:rsidR="00A45935" w:rsidRPr="009E6414" w:rsidRDefault="00A45935" w:rsidP="008C0B17">
            <w:pPr>
              <w:numPr>
                <w:ilvl w:val="0"/>
                <w:numId w:val="22"/>
              </w:numPr>
              <w:spacing w:before="60" w:after="120" w:line="280" w:lineRule="atLeast"/>
              <w:ind w:left="459"/>
              <w:rPr>
                <w:noProof/>
                <w:sz w:val="18"/>
                <w:szCs w:val="18"/>
                <w:lang w:val="es-ES_tradnl"/>
              </w:rPr>
            </w:pPr>
            <w:r w:rsidRPr="009E6414">
              <w:rPr>
                <w:noProof/>
                <w:sz w:val="18"/>
                <w:lang w:val="es-ES_tradnl"/>
              </w:rPr>
              <w:lastRenderedPageBreak/>
              <w:t>Contemplar la opción de un grupo temático de discusión (por ejemplo, un grupo de discusión para proyectos de cooperación que se ocupe de cuestiones medioambientales, otro para los grupos operativos de la AEI, etc.).</w:t>
            </w:r>
          </w:p>
        </w:tc>
      </w:tr>
      <w:tr w:rsidR="00A45935" w:rsidRPr="009E6414" w:rsidTr="00E05D08">
        <w:tc>
          <w:tcPr>
            <w:tcW w:w="2405" w:type="dxa"/>
          </w:tcPr>
          <w:p w:rsidR="00A45935" w:rsidRPr="009E6414" w:rsidRDefault="00A45935" w:rsidP="000E0FE4">
            <w:pPr>
              <w:spacing w:after="120" w:line="280" w:lineRule="atLeast"/>
              <w:ind w:right="143"/>
              <w:mirrorIndents/>
              <w:jc w:val="left"/>
              <w:rPr>
                <w:noProof/>
                <w:sz w:val="18"/>
                <w:szCs w:val="18"/>
                <w:lang w:val="es-ES_tradnl"/>
              </w:rPr>
            </w:pPr>
            <w:r w:rsidRPr="009E6414">
              <w:rPr>
                <w:noProof/>
                <w:sz w:val="18"/>
                <w:lang w:val="es-ES_tradnl"/>
              </w:rPr>
              <w:t>Método Delphi</w:t>
            </w:r>
          </w:p>
        </w:tc>
        <w:tc>
          <w:tcPr>
            <w:tcW w:w="6612" w:type="dxa"/>
          </w:tcPr>
          <w:p w:rsidR="00A45935" w:rsidRPr="009E6414" w:rsidRDefault="0050721E" w:rsidP="008C0B17">
            <w:pPr>
              <w:numPr>
                <w:ilvl w:val="0"/>
                <w:numId w:val="23"/>
              </w:numPr>
              <w:spacing w:before="60" w:after="120" w:line="280" w:lineRule="atLeast"/>
              <w:ind w:left="459"/>
              <w:rPr>
                <w:noProof/>
                <w:sz w:val="18"/>
                <w:szCs w:val="18"/>
                <w:lang w:val="es-ES_tradnl"/>
              </w:rPr>
            </w:pPr>
            <w:r w:rsidRPr="009E6414">
              <w:rPr>
                <w:noProof/>
                <w:sz w:val="18"/>
                <w:lang w:val="es-ES_tradnl"/>
              </w:rPr>
              <w:t>Organizar un proceso Delphi con expertos en innovación (por ejemplo, participantes en proyectos de cooperación, pero también personal académico, etc.) para alcanzar valoraciones sobre los criterios pertinentes.</w:t>
            </w:r>
          </w:p>
        </w:tc>
      </w:tr>
    </w:tbl>
    <w:p w:rsidR="00A45935" w:rsidRPr="009E6414" w:rsidRDefault="00A45935" w:rsidP="00E05D08">
      <w:pPr>
        <w:spacing w:after="0" w:line="240" w:lineRule="auto"/>
        <w:rPr>
          <w:rFonts w:eastAsia="Times New Roman" w:cs="Times New Roman"/>
          <w:noProof/>
          <w:sz w:val="18"/>
          <w:szCs w:val="24"/>
          <w:lang w:val="es-ES_tradnl"/>
        </w:rPr>
      </w:pPr>
    </w:p>
    <w:p w:rsidR="00A45935" w:rsidRDefault="00A45935" w:rsidP="00E05D08">
      <w:pPr>
        <w:spacing w:after="120" w:line="280" w:lineRule="atLeast"/>
        <w:mirrorIndents/>
        <w:rPr>
          <w:rFonts w:eastAsia="Times New Roman" w:cs="Times New Roman"/>
          <w:noProof/>
          <w:szCs w:val="20"/>
          <w:lang w:val="es-ES_tradnl"/>
        </w:rPr>
      </w:pPr>
      <w:r w:rsidRPr="009E6414">
        <w:rPr>
          <w:rFonts w:eastAsia="Times New Roman" w:cs="Times New Roman"/>
          <w:noProof/>
          <w:sz w:val="18"/>
          <w:szCs w:val="24"/>
          <w:lang w:val="en-GB" w:eastAsia="en-GB" w:bidi="ar-SA"/>
        </w:rPr>
        <mc:AlternateContent>
          <mc:Choice Requires="wps">
            <w:drawing>
              <wp:inline distT="0" distB="0" distL="0" distR="0" wp14:anchorId="37CB5DD3" wp14:editId="0FDB2C24">
                <wp:extent cx="5707380" cy="5067300"/>
                <wp:effectExtent l="0" t="0" r="26670" b="19050"/>
                <wp:docPr id="26" name="Rectangle: Diagonal Corners Rounded 26"/>
                <wp:cNvGraphicFramePr/>
                <a:graphic xmlns:a="http://schemas.openxmlformats.org/drawingml/2006/main">
                  <a:graphicData uri="http://schemas.microsoft.com/office/word/2010/wordprocessingShape">
                    <wps:wsp>
                      <wps:cNvSpPr/>
                      <wps:spPr>
                        <a:xfrm>
                          <a:off x="0" y="0"/>
                          <a:ext cx="5707380" cy="5067300"/>
                        </a:xfrm>
                        <a:prstGeom prst="round2DiagRect">
                          <a:avLst>
                            <a:gd name="adj1" fmla="val 7299"/>
                            <a:gd name="adj2" fmla="val 0"/>
                          </a:avLst>
                        </a:prstGeom>
                        <a:noFill/>
                        <a:ln w="25400" cap="flat" cmpd="sng" algn="ctr">
                          <a:solidFill>
                            <a:srgbClr val="F07E31"/>
                          </a:solidFill>
                          <a:prstDash val="solid"/>
                        </a:ln>
                        <a:effectLst/>
                      </wps:spPr>
                      <wps:txbx>
                        <w:txbxContent>
                          <w:p w:rsidR="008D2E0D" w:rsidRPr="001954EB" w:rsidRDefault="008D2E0D" w:rsidP="00E05D08">
                            <w:pPr>
                              <w:pStyle w:val="HStandard"/>
                              <w:rPr>
                                <w:b/>
                                <w:color w:val="F07E31"/>
                                <w:sz w:val="18"/>
                                <w:szCs w:val="18"/>
                              </w:rPr>
                            </w:pPr>
                            <w:r>
                              <w:rPr>
                                <w:noProof/>
                                <w:sz w:val="18"/>
                                <w:szCs w:val="18"/>
                                <w:lang w:val="en-GB" w:eastAsia="en-GB" w:bidi="ar-SA"/>
                              </w:rPr>
                              <w:drawing>
                                <wp:inline distT="0" distB="0" distL="0" distR="0" wp14:anchorId="433EA167" wp14:editId="54C2CB34">
                                  <wp:extent cx="353060" cy="359410"/>
                                  <wp:effectExtent l="0" t="0" r="8890" b="2540"/>
                                  <wp:docPr id="70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rPr>
                              <w:t>Ejemplos de los informes anuales de ejecución presentados en 2017</w:t>
                            </w:r>
                          </w:p>
                          <w:p w:rsidR="008D2E0D" w:rsidRPr="00547012" w:rsidRDefault="008D2E0D" w:rsidP="00E05D08">
                            <w:pPr>
                              <w:rPr>
                                <w:rFonts w:cs="Arial"/>
                                <w:sz w:val="18"/>
                                <w:szCs w:val="18"/>
                              </w:rPr>
                            </w:pPr>
                            <w:r>
                              <w:rPr>
                                <w:b/>
                              </w:rPr>
                              <w:t>Mecklemburgo-Pomerania Occidental (DE)</w:t>
                            </w:r>
                            <w:r>
                              <w:t xml:space="preserve"> - utiliza tres criterios de valoración en relación con la innovación:</w:t>
                            </w:r>
                          </w:p>
                          <w:p w:rsidR="008D2E0D" w:rsidRPr="001954EB" w:rsidRDefault="008D2E0D" w:rsidP="008C0B17">
                            <w:pPr>
                              <w:numPr>
                                <w:ilvl w:val="0"/>
                                <w:numId w:val="57"/>
                              </w:numPr>
                              <w:rPr>
                                <w:rFonts w:cs="Arial"/>
                                <w:sz w:val="18"/>
                                <w:szCs w:val="18"/>
                              </w:rPr>
                            </w:pPr>
                            <w:r>
                              <w:rPr>
                                <w:sz w:val="18"/>
                              </w:rPr>
                              <w:t xml:space="preserve">Los procesos financiados por el </w:t>
                            </w:r>
                            <w:proofErr w:type="spellStart"/>
                            <w:r>
                              <w:rPr>
                                <w:sz w:val="18"/>
                              </w:rPr>
                              <w:t>PDR</w:t>
                            </w:r>
                            <w:proofErr w:type="spellEnd"/>
                            <w:r>
                              <w:rPr>
                                <w:sz w:val="18"/>
                              </w:rPr>
                              <w:t xml:space="preserve"> son innovadores y se basan en el conocimiento adquirido. </w:t>
                            </w:r>
                          </w:p>
                          <w:p w:rsidR="008D2E0D" w:rsidRPr="001954EB" w:rsidRDefault="008D2E0D" w:rsidP="008C0B17">
                            <w:pPr>
                              <w:numPr>
                                <w:ilvl w:val="0"/>
                                <w:numId w:val="57"/>
                              </w:numPr>
                              <w:rPr>
                                <w:rFonts w:cs="Arial"/>
                                <w:sz w:val="18"/>
                                <w:szCs w:val="18"/>
                              </w:rPr>
                            </w:pPr>
                            <w:r>
                              <w:rPr>
                                <w:sz w:val="18"/>
                              </w:rPr>
                              <w:t xml:space="preserve">Las acciones innovadoras se ejecutan y se difunden a través de los </w:t>
                            </w:r>
                            <w:proofErr w:type="spellStart"/>
                            <w:r>
                              <w:rPr>
                                <w:sz w:val="18"/>
                              </w:rPr>
                              <w:t>GO</w:t>
                            </w:r>
                            <w:proofErr w:type="spellEnd"/>
                            <w:r>
                              <w:rPr>
                                <w:sz w:val="18"/>
                              </w:rPr>
                              <w:t>.</w:t>
                            </w:r>
                          </w:p>
                          <w:p w:rsidR="008D2E0D" w:rsidRPr="001954EB" w:rsidRDefault="008D2E0D" w:rsidP="008C0B17">
                            <w:pPr>
                              <w:numPr>
                                <w:ilvl w:val="0"/>
                                <w:numId w:val="57"/>
                              </w:numPr>
                              <w:rPr>
                                <w:rFonts w:cs="Arial"/>
                                <w:sz w:val="18"/>
                                <w:szCs w:val="18"/>
                              </w:rPr>
                            </w:pPr>
                            <w:r>
                              <w:rPr>
                                <w:sz w:val="18"/>
                              </w:rPr>
                              <w:t>Los resultados obtenidos entrañan una mejora de la posición de mercado de los socios participantes a través de la innovación.</w:t>
                            </w:r>
                          </w:p>
                          <w:p w:rsidR="008D2E0D" w:rsidRPr="00547012" w:rsidRDefault="008D2E0D" w:rsidP="00E05D08">
                            <w:pPr>
                              <w:rPr>
                                <w:rFonts w:cs="Arial"/>
                                <w:sz w:val="18"/>
                                <w:szCs w:val="18"/>
                              </w:rPr>
                            </w:pPr>
                            <w:r>
                              <w:rPr>
                                <w:sz w:val="18"/>
                              </w:rPr>
                              <w:t xml:space="preserve">Para recopilar información de los </w:t>
                            </w:r>
                            <w:proofErr w:type="spellStart"/>
                            <w:r>
                              <w:rPr>
                                <w:sz w:val="18"/>
                              </w:rPr>
                              <w:t>GO</w:t>
                            </w:r>
                            <w:proofErr w:type="spellEnd"/>
                            <w:r>
                              <w:rPr>
                                <w:sz w:val="18"/>
                              </w:rPr>
                              <w:t xml:space="preserve"> de la </w:t>
                            </w:r>
                            <w:proofErr w:type="spellStart"/>
                            <w:r>
                              <w:rPr>
                                <w:sz w:val="18"/>
                              </w:rPr>
                              <w:t>AEI</w:t>
                            </w:r>
                            <w:proofErr w:type="spellEnd"/>
                            <w:r>
                              <w:rPr>
                                <w:sz w:val="18"/>
                              </w:rPr>
                              <w:t xml:space="preserve"> se utilizaron varios métodos. Estos abarcan diferentes dimensiones de innovaciones y tienen la finalidad de valorar la calidad y los efectos de los </w:t>
                            </w:r>
                            <w:proofErr w:type="spellStart"/>
                            <w:r>
                              <w:rPr>
                                <w:sz w:val="18"/>
                              </w:rPr>
                              <w:t>GO</w:t>
                            </w:r>
                            <w:proofErr w:type="spellEnd"/>
                            <w:r>
                              <w:rPr>
                                <w:sz w:val="18"/>
                              </w:rPr>
                              <w:t>:</w:t>
                            </w:r>
                          </w:p>
                          <w:p w:rsidR="008D2E0D" w:rsidRPr="001954EB" w:rsidRDefault="008D2E0D" w:rsidP="008C0B17">
                            <w:pPr>
                              <w:numPr>
                                <w:ilvl w:val="0"/>
                                <w:numId w:val="58"/>
                              </w:numPr>
                              <w:rPr>
                                <w:rFonts w:cs="Arial"/>
                                <w:sz w:val="18"/>
                                <w:szCs w:val="18"/>
                              </w:rPr>
                            </w:pPr>
                            <w:r>
                              <w:rPr>
                                <w:sz w:val="18"/>
                              </w:rPr>
                              <w:t>Análisis de base (evaluación de las condiciones marco, entrevistas con las partes interesadas, etc.).</w:t>
                            </w:r>
                          </w:p>
                          <w:p w:rsidR="008D2E0D" w:rsidRPr="001954EB" w:rsidRDefault="008D2E0D" w:rsidP="008C0B17">
                            <w:pPr>
                              <w:numPr>
                                <w:ilvl w:val="0"/>
                                <w:numId w:val="58"/>
                              </w:numPr>
                              <w:rPr>
                                <w:rFonts w:cs="Arial"/>
                                <w:sz w:val="18"/>
                                <w:szCs w:val="18"/>
                              </w:rPr>
                            </w:pPr>
                            <w:r>
                              <w:rPr>
                                <w:sz w:val="18"/>
                              </w:rPr>
                              <w:t xml:space="preserve">Valoración de las características y tipos de innovación mediante el análisis de los criterios de selección y de los estudios de casos. </w:t>
                            </w:r>
                          </w:p>
                          <w:p w:rsidR="008D2E0D" w:rsidRPr="001954EB" w:rsidRDefault="008D2E0D" w:rsidP="008C0B17">
                            <w:pPr>
                              <w:numPr>
                                <w:ilvl w:val="0"/>
                                <w:numId w:val="58"/>
                              </w:numPr>
                              <w:rPr>
                                <w:rFonts w:cs="Arial"/>
                                <w:sz w:val="18"/>
                                <w:szCs w:val="18"/>
                              </w:rPr>
                            </w:pPr>
                            <w:r>
                              <w:rPr>
                                <w:sz w:val="18"/>
                              </w:rPr>
                              <w:t xml:space="preserve">Análisis de los resultados obtenidos y su difusión (encuesta y autoevaluación de los </w:t>
                            </w:r>
                            <w:proofErr w:type="spellStart"/>
                            <w:r>
                              <w:rPr>
                                <w:sz w:val="18"/>
                              </w:rPr>
                              <w:t>GO</w:t>
                            </w:r>
                            <w:proofErr w:type="spellEnd"/>
                            <w:r>
                              <w:rPr>
                                <w:sz w:val="18"/>
                              </w:rPr>
                              <w:t>).</w:t>
                            </w:r>
                          </w:p>
                          <w:p w:rsidR="008D2E0D" w:rsidRPr="00547012" w:rsidRDefault="008D2E0D" w:rsidP="00E05D08">
                            <w:pPr>
                              <w:rPr>
                                <w:rFonts w:cs="Arial"/>
                                <w:sz w:val="18"/>
                                <w:szCs w:val="18"/>
                              </w:rPr>
                            </w:pPr>
                            <w:r>
                              <w:rPr>
                                <w:sz w:val="18"/>
                              </w:rPr>
                              <w:t xml:space="preserve">Las fuentes de datos e información incluyen datos de seguimiento, formularios de solicitud, documentación de proyectos, datos estadísticos primarios recopilados a través de encuestas, datos estadísticos secundarios procedentes de diversas fuentes. </w:t>
                            </w:r>
                          </w:p>
                          <w:p w:rsidR="008D2E0D" w:rsidRPr="00547012" w:rsidRDefault="008D2E0D" w:rsidP="00E05D08">
                            <w:pPr>
                              <w:rPr>
                                <w:rFonts w:cs="Arial"/>
                                <w:sz w:val="18"/>
                                <w:szCs w:val="18"/>
                              </w:rPr>
                            </w:pPr>
                            <w:r>
                              <w:rPr>
                                <w:sz w:val="18"/>
                              </w:rPr>
                              <w:t>Los beneficiarios (</w:t>
                            </w:r>
                            <w:proofErr w:type="spellStart"/>
                            <w:r>
                              <w:rPr>
                                <w:sz w:val="18"/>
                              </w:rPr>
                              <w:t>GO</w:t>
                            </w:r>
                            <w:proofErr w:type="spellEnd"/>
                            <w:r>
                              <w:rPr>
                                <w:sz w:val="18"/>
                              </w:rPr>
                              <w:t xml:space="preserve"> de la </w:t>
                            </w:r>
                            <w:proofErr w:type="spellStart"/>
                            <w:r>
                              <w:rPr>
                                <w:sz w:val="18"/>
                              </w:rPr>
                              <w:t>AEI</w:t>
                            </w:r>
                            <w:proofErr w:type="spellEnd"/>
                            <w:r>
                              <w:rPr>
                                <w:sz w:val="18"/>
                              </w:rPr>
                              <w:t xml:space="preserve">) fueron encuestados antes y después de la intervención. </w:t>
                            </w:r>
                          </w:p>
                          <w:p w:rsidR="008D2E0D" w:rsidRPr="001954EB" w:rsidRDefault="008D2E0D" w:rsidP="00E05D08">
                            <w:pPr>
                              <w:pStyle w:val="HStandard"/>
                              <w:rPr>
                                <w:sz w:val="18"/>
                                <w:szCs w:val="18"/>
                              </w:rPr>
                            </w:pPr>
                            <w:r>
                              <w:rPr>
                                <w:b/>
                              </w:rPr>
                              <w:t>República Checa</w:t>
                            </w:r>
                            <w:r>
                              <w:t xml:space="preserve"> - sugiere utilizar un planteamiento basado en el estudio de casos para recabar información de los </w:t>
                            </w:r>
                            <w:proofErr w:type="spellStart"/>
                            <w:r>
                              <w:t>GO</w:t>
                            </w:r>
                            <w:proofErr w:type="spellEnd"/>
                            <w:r>
                              <w:t xml:space="preserve"> y de los proyectos de cooperación relacionados con la innovación.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CB5DD3" id="Rectangle: Diagonal Corners Rounded 26" o:spid="_x0000_s1048" style="width:449.4pt;height:399pt;visibility:visible;mso-wrap-style:square;mso-left-percent:-10001;mso-top-percent:-10001;mso-position-horizontal:absolute;mso-position-horizontal-relative:char;mso-position-vertical:absolute;mso-position-vertical-relative:line;mso-left-percent:-10001;mso-top-percent:-10001;v-text-anchor:middle" coordsize="5707380,5067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" adj="-11796480,,5400" path="m369862,l5707380,r,l5707380,4697438v,204269,-165593,369862,-369862,369862l,5067300r,l,369862c,165593,165593,,369862,xe" filled="f" strokecolor="#f07e31" strokeweight="2pt">
                <v:stroke joinstyle="miter"/>
                <v:formulas/>
                <v:path arrowok="t" o:connecttype="custom" o:connectlocs="369862,0;5707380,0;5707380,0;5707380,4697438;5337518,5067300;0,5067300;0,5067300;0,369862;369862,0" o:connectangles="0,0,0,0,0,0,0,0,0" textboxrect="0,0,5707380,5067300"/>
                <v:textbox>
                  <w:txbxContent>
                    <w:p w:rsidR="008D2E0D" w:rsidRPr="001954EB" w:rsidRDefault="008D2E0D" w:rsidP="00E05D08">
                      <w:pPr>
                        <w:pStyle w:val="HStandard"/>
                        <w:rPr>
                          <w:b/>
                          <w:color w:val="F07E31"/>
                          <w:sz w:val="18"/>
                          <w:szCs w:val="18"/>
                        </w:rPr>
                      </w:pPr>
                      <w:r>
                        <w:rPr>
                          <w:noProof/>
                          <w:sz w:val="18"/>
                          <w:szCs w:val="18"/>
                          <w:lang w:val="en-GB" w:eastAsia="en-GB" w:bidi="ar-SA"/>
                        </w:rPr>
                        <w:drawing>
                          <wp:inline distT="0" distB="0" distL="0" distR="0" wp14:anchorId="433EA167" wp14:editId="54C2CB34">
                            <wp:extent cx="353060" cy="359410"/>
                            <wp:effectExtent l="0" t="0" r="8890" b="2540"/>
                            <wp:docPr id="70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rPr>
                        <w:t>Ejemplos de los informes anuales de ejecución presentados en 2017</w:t>
                      </w:r>
                    </w:p>
                    <w:p w:rsidR="008D2E0D" w:rsidRPr="00547012" w:rsidRDefault="008D2E0D" w:rsidP="00E05D08">
                      <w:pPr>
                        <w:rPr>
                          <w:rFonts w:cs="Arial"/>
                          <w:sz w:val="18"/>
                          <w:szCs w:val="18"/>
                        </w:rPr>
                      </w:pPr>
                      <w:r>
                        <w:rPr>
                          <w:b/>
                        </w:rPr>
                        <w:t>Mecklemburgo-Pomerania Occidental (DE)</w:t>
                      </w:r>
                      <w:r>
                        <w:t xml:space="preserve"> - utiliza tres criterios de valoración en relación con la innovación:</w:t>
                      </w:r>
                    </w:p>
                    <w:p w:rsidR="008D2E0D" w:rsidRPr="001954EB" w:rsidRDefault="008D2E0D" w:rsidP="008C0B17">
                      <w:pPr>
                        <w:numPr>
                          <w:ilvl w:val="0"/>
                          <w:numId w:val="57"/>
                        </w:numPr>
                        <w:rPr>
                          <w:rFonts w:cs="Arial"/>
                          <w:sz w:val="18"/>
                          <w:szCs w:val="18"/>
                        </w:rPr>
                      </w:pPr>
                      <w:r>
                        <w:rPr>
                          <w:sz w:val="18"/>
                        </w:rPr>
                        <w:t xml:space="preserve">Los procesos financiados por el </w:t>
                      </w:r>
                      <w:proofErr w:type="spellStart"/>
                      <w:r>
                        <w:rPr>
                          <w:sz w:val="18"/>
                        </w:rPr>
                        <w:t>PDR</w:t>
                      </w:r>
                      <w:proofErr w:type="spellEnd"/>
                      <w:r>
                        <w:rPr>
                          <w:sz w:val="18"/>
                        </w:rPr>
                        <w:t xml:space="preserve"> son innovadores y se basan en el conocimiento adquirido. </w:t>
                      </w:r>
                    </w:p>
                    <w:p w:rsidR="008D2E0D" w:rsidRPr="001954EB" w:rsidRDefault="008D2E0D" w:rsidP="008C0B17">
                      <w:pPr>
                        <w:numPr>
                          <w:ilvl w:val="0"/>
                          <w:numId w:val="57"/>
                        </w:numPr>
                        <w:rPr>
                          <w:rFonts w:cs="Arial"/>
                          <w:sz w:val="18"/>
                          <w:szCs w:val="18"/>
                        </w:rPr>
                      </w:pPr>
                      <w:r>
                        <w:rPr>
                          <w:sz w:val="18"/>
                        </w:rPr>
                        <w:t xml:space="preserve">Las acciones innovadoras se ejecutan y se difunden a través de los </w:t>
                      </w:r>
                      <w:proofErr w:type="spellStart"/>
                      <w:r>
                        <w:rPr>
                          <w:sz w:val="18"/>
                        </w:rPr>
                        <w:t>GO</w:t>
                      </w:r>
                      <w:proofErr w:type="spellEnd"/>
                      <w:r>
                        <w:rPr>
                          <w:sz w:val="18"/>
                        </w:rPr>
                        <w:t>.</w:t>
                      </w:r>
                    </w:p>
                    <w:p w:rsidR="008D2E0D" w:rsidRPr="001954EB" w:rsidRDefault="008D2E0D" w:rsidP="008C0B17">
                      <w:pPr>
                        <w:numPr>
                          <w:ilvl w:val="0"/>
                          <w:numId w:val="57"/>
                        </w:numPr>
                        <w:rPr>
                          <w:rFonts w:cs="Arial"/>
                          <w:sz w:val="18"/>
                          <w:szCs w:val="18"/>
                        </w:rPr>
                      </w:pPr>
                      <w:r>
                        <w:rPr>
                          <w:sz w:val="18"/>
                        </w:rPr>
                        <w:t>Los resultados obtenidos entrañan una mejora de la posición de mercado de los socios participantes a través de la innovación.</w:t>
                      </w:r>
                    </w:p>
                    <w:p w:rsidR="008D2E0D" w:rsidRPr="00547012" w:rsidRDefault="008D2E0D" w:rsidP="00E05D08">
                      <w:pPr>
                        <w:rPr>
                          <w:rFonts w:cs="Arial"/>
                          <w:sz w:val="18"/>
                          <w:szCs w:val="18"/>
                        </w:rPr>
                      </w:pPr>
                      <w:r>
                        <w:rPr>
                          <w:sz w:val="18"/>
                        </w:rPr>
                        <w:t xml:space="preserve">Para recopilar información de los </w:t>
                      </w:r>
                      <w:proofErr w:type="spellStart"/>
                      <w:r>
                        <w:rPr>
                          <w:sz w:val="18"/>
                        </w:rPr>
                        <w:t>GO</w:t>
                      </w:r>
                      <w:proofErr w:type="spellEnd"/>
                      <w:r>
                        <w:rPr>
                          <w:sz w:val="18"/>
                        </w:rPr>
                        <w:t xml:space="preserve"> de la </w:t>
                      </w:r>
                      <w:proofErr w:type="spellStart"/>
                      <w:r>
                        <w:rPr>
                          <w:sz w:val="18"/>
                        </w:rPr>
                        <w:t>AEI</w:t>
                      </w:r>
                      <w:proofErr w:type="spellEnd"/>
                      <w:r>
                        <w:rPr>
                          <w:sz w:val="18"/>
                        </w:rPr>
                        <w:t xml:space="preserve"> se utilizaron varios métodos. Estos abarcan diferentes dimensiones de innovaciones y tienen la finalidad de valorar la calidad y los efectos de los </w:t>
                      </w:r>
                      <w:proofErr w:type="spellStart"/>
                      <w:r>
                        <w:rPr>
                          <w:sz w:val="18"/>
                        </w:rPr>
                        <w:t>GO</w:t>
                      </w:r>
                      <w:proofErr w:type="spellEnd"/>
                      <w:r>
                        <w:rPr>
                          <w:sz w:val="18"/>
                        </w:rPr>
                        <w:t>:</w:t>
                      </w:r>
                    </w:p>
                    <w:p w:rsidR="008D2E0D" w:rsidRPr="001954EB" w:rsidRDefault="008D2E0D" w:rsidP="008C0B17">
                      <w:pPr>
                        <w:numPr>
                          <w:ilvl w:val="0"/>
                          <w:numId w:val="58"/>
                        </w:numPr>
                        <w:rPr>
                          <w:rFonts w:cs="Arial"/>
                          <w:sz w:val="18"/>
                          <w:szCs w:val="18"/>
                        </w:rPr>
                      </w:pPr>
                      <w:r>
                        <w:rPr>
                          <w:sz w:val="18"/>
                        </w:rPr>
                        <w:t>Análisis de base (evaluación de las condiciones marco, entrevistas con las partes interesadas, etc.).</w:t>
                      </w:r>
                    </w:p>
                    <w:p w:rsidR="008D2E0D" w:rsidRPr="001954EB" w:rsidRDefault="008D2E0D" w:rsidP="008C0B17">
                      <w:pPr>
                        <w:numPr>
                          <w:ilvl w:val="0"/>
                          <w:numId w:val="58"/>
                        </w:numPr>
                        <w:rPr>
                          <w:rFonts w:cs="Arial"/>
                          <w:sz w:val="18"/>
                          <w:szCs w:val="18"/>
                        </w:rPr>
                      </w:pPr>
                      <w:r>
                        <w:rPr>
                          <w:sz w:val="18"/>
                        </w:rPr>
                        <w:t xml:space="preserve">Valoración de las características y tipos de innovación mediante el análisis de los criterios de selección y de los estudios de casos. </w:t>
                      </w:r>
                    </w:p>
                    <w:p w:rsidR="008D2E0D" w:rsidRPr="001954EB" w:rsidRDefault="008D2E0D" w:rsidP="008C0B17">
                      <w:pPr>
                        <w:numPr>
                          <w:ilvl w:val="0"/>
                          <w:numId w:val="58"/>
                        </w:numPr>
                        <w:rPr>
                          <w:rFonts w:cs="Arial"/>
                          <w:sz w:val="18"/>
                          <w:szCs w:val="18"/>
                        </w:rPr>
                      </w:pPr>
                      <w:r>
                        <w:rPr>
                          <w:sz w:val="18"/>
                        </w:rPr>
                        <w:t xml:space="preserve">Análisis de los resultados obtenidos y su difusión (encuesta y autoevaluación de los </w:t>
                      </w:r>
                      <w:proofErr w:type="spellStart"/>
                      <w:r>
                        <w:rPr>
                          <w:sz w:val="18"/>
                        </w:rPr>
                        <w:t>GO</w:t>
                      </w:r>
                      <w:proofErr w:type="spellEnd"/>
                      <w:r>
                        <w:rPr>
                          <w:sz w:val="18"/>
                        </w:rPr>
                        <w:t>).</w:t>
                      </w:r>
                    </w:p>
                    <w:p w:rsidR="008D2E0D" w:rsidRPr="00547012" w:rsidRDefault="008D2E0D" w:rsidP="00E05D08">
                      <w:pPr>
                        <w:rPr>
                          <w:rFonts w:cs="Arial"/>
                          <w:sz w:val="18"/>
                          <w:szCs w:val="18"/>
                        </w:rPr>
                      </w:pPr>
                      <w:r>
                        <w:rPr>
                          <w:sz w:val="18"/>
                        </w:rPr>
                        <w:t xml:space="preserve">Las fuentes de datos e información incluyen datos de seguimiento, formularios de solicitud, documentación de proyectos, datos estadísticos primarios recopilados a través de encuestas, datos estadísticos secundarios procedentes de diversas fuentes. </w:t>
                      </w:r>
                    </w:p>
                    <w:p w:rsidR="008D2E0D" w:rsidRPr="00547012" w:rsidRDefault="008D2E0D" w:rsidP="00E05D08">
                      <w:pPr>
                        <w:rPr>
                          <w:rFonts w:cs="Arial"/>
                          <w:sz w:val="18"/>
                          <w:szCs w:val="18"/>
                        </w:rPr>
                      </w:pPr>
                      <w:r>
                        <w:rPr>
                          <w:sz w:val="18"/>
                        </w:rPr>
                        <w:t>Los beneficiarios (</w:t>
                      </w:r>
                      <w:proofErr w:type="spellStart"/>
                      <w:r>
                        <w:rPr>
                          <w:sz w:val="18"/>
                        </w:rPr>
                        <w:t>GO</w:t>
                      </w:r>
                      <w:proofErr w:type="spellEnd"/>
                      <w:r>
                        <w:rPr>
                          <w:sz w:val="18"/>
                        </w:rPr>
                        <w:t xml:space="preserve"> de la </w:t>
                      </w:r>
                      <w:proofErr w:type="spellStart"/>
                      <w:r>
                        <w:rPr>
                          <w:sz w:val="18"/>
                        </w:rPr>
                        <w:t>AEI</w:t>
                      </w:r>
                      <w:proofErr w:type="spellEnd"/>
                      <w:r>
                        <w:rPr>
                          <w:sz w:val="18"/>
                        </w:rPr>
                        <w:t xml:space="preserve">) fueron encuestados antes y después de la intervención. </w:t>
                      </w:r>
                    </w:p>
                    <w:p w:rsidR="008D2E0D" w:rsidRPr="001954EB" w:rsidRDefault="008D2E0D" w:rsidP="00E05D08">
                      <w:pPr>
                        <w:pStyle w:val="HStandard"/>
                        <w:rPr>
                          <w:sz w:val="18"/>
                          <w:szCs w:val="18"/>
                        </w:rPr>
                      </w:pPr>
                      <w:r>
                        <w:rPr>
                          <w:b/>
                        </w:rPr>
                        <w:t>República Checa</w:t>
                      </w:r>
                      <w:r>
                        <w:t xml:space="preserve"> - sugiere utilizar un planteamiento basado en el estudio de casos para recabar información de los </w:t>
                      </w:r>
                      <w:proofErr w:type="spellStart"/>
                      <w:r>
                        <w:t>GO</w:t>
                      </w:r>
                      <w:proofErr w:type="spellEnd"/>
                      <w:r>
                        <w:t xml:space="preserve"> y de los proyectos de cooperación relacionados con la innovación.</w:t>
                      </w:r>
                    </w:p>
                  </w:txbxContent>
                </v:textbox>
                <w10:anchorlock/>
              </v:shape>
            </w:pict>
          </mc:Fallback>
        </mc:AlternateContent>
      </w:r>
    </w:p>
    <w:p w:rsidR="00447B72" w:rsidRPr="009E6414" w:rsidRDefault="00447B72" w:rsidP="00E05D08">
      <w:pPr>
        <w:spacing w:after="120" w:line="280" w:lineRule="atLeast"/>
        <w:mirrorIndents/>
        <w:rPr>
          <w:rFonts w:eastAsia="Times New Roman" w:cs="Times New Roman"/>
          <w:noProof/>
          <w:szCs w:val="20"/>
          <w:lang w:val="es-ES_tradnl"/>
        </w:rPr>
      </w:pPr>
    </w:p>
    <w:p w:rsidR="00A45935" w:rsidRPr="009E6414" w:rsidRDefault="00A45935" w:rsidP="00647766">
      <w:pPr>
        <w:numPr>
          <w:ilvl w:val="0"/>
          <w:numId w:val="56"/>
        </w:numPr>
        <w:spacing w:before="120" w:after="120" w:line="280" w:lineRule="atLeast"/>
        <w:ind w:left="567" w:hanging="567"/>
        <w:mirrorIndents/>
        <w:rPr>
          <w:rFonts w:eastAsia="Times New Roman" w:cs="Times New Roman"/>
          <w:b/>
          <w:noProof/>
          <w:szCs w:val="20"/>
          <w:lang w:val="es-ES_tradnl"/>
        </w:rPr>
      </w:pPr>
      <w:r w:rsidRPr="009E6414">
        <w:rPr>
          <w:b/>
          <w:noProof/>
          <w:lang w:val="es-ES_tradnl"/>
        </w:rPr>
        <w:t xml:space="preserve">Riesgos y soluciones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44"/>
        <w:gridCol w:w="5387"/>
      </w:tblGrid>
      <w:tr w:rsidR="00A45935" w:rsidRPr="009E6414" w:rsidTr="00E05D08">
        <w:tc>
          <w:tcPr>
            <w:tcW w:w="3544" w:type="dxa"/>
            <w:shd w:val="clear" w:color="auto" w:fill="F07E31"/>
            <w:hideMark/>
          </w:tcPr>
          <w:p w:rsidR="00A45935" w:rsidRPr="009E6414" w:rsidRDefault="00A45935" w:rsidP="00E05D08">
            <w:pPr>
              <w:spacing w:after="120" w:line="280" w:lineRule="atLeast"/>
              <w:mirrorIndents/>
              <w:jc w:val="center"/>
              <w:rPr>
                <w:b/>
                <w:noProof/>
                <w:color w:val="FFFFFF"/>
                <w:sz w:val="18"/>
                <w:szCs w:val="18"/>
                <w:lang w:val="es-ES_tradnl"/>
              </w:rPr>
            </w:pPr>
            <w:r w:rsidRPr="009E6414">
              <w:rPr>
                <w:b/>
                <w:noProof/>
                <w:color w:val="FFFFFF"/>
                <w:sz w:val="18"/>
                <w:lang w:val="es-ES_tradnl"/>
              </w:rPr>
              <w:t>Riesgos</w:t>
            </w:r>
          </w:p>
        </w:tc>
        <w:tc>
          <w:tcPr>
            <w:tcW w:w="5387" w:type="dxa"/>
            <w:shd w:val="clear" w:color="auto" w:fill="F07E31"/>
            <w:hideMark/>
          </w:tcPr>
          <w:p w:rsidR="00A45935" w:rsidRPr="009E6414" w:rsidRDefault="00A45935" w:rsidP="00E05D08">
            <w:pPr>
              <w:spacing w:after="120" w:line="280" w:lineRule="atLeast"/>
              <w:mirrorIndents/>
              <w:jc w:val="center"/>
              <w:rPr>
                <w:b/>
                <w:noProof/>
                <w:color w:val="FFFFFF"/>
                <w:sz w:val="18"/>
                <w:szCs w:val="18"/>
                <w:lang w:val="es-ES_tradnl"/>
              </w:rPr>
            </w:pPr>
            <w:r w:rsidRPr="009E6414">
              <w:rPr>
                <w:b/>
                <w:noProof/>
                <w:color w:val="FFFFFF"/>
                <w:sz w:val="18"/>
                <w:lang w:val="es-ES_tradnl"/>
              </w:rPr>
              <w:t>Soluciones</w:t>
            </w:r>
          </w:p>
        </w:tc>
      </w:tr>
      <w:tr w:rsidR="00A45935" w:rsidRPr="009E6414" w:rsidTr="00E05D08">
        <w:tc>
          <w:tcPr>
            <w:tcW w:w="3544" w:type="dxa"/>
            <w:hideMark/>
          </w:tcPr>
          <w:p w:rsidR="00A45935" w:rsidRPr="009E6414" w:rsidRDefault="00A45935" w:rsidP="00E05D08">
            <w:pPr>
              <w:spacing w:after="120" w:line="280" w:lineRule="atLeast"/>
              <w:ind w:left="22" w:right="33"/>
              <w:mirrorIndents/>
              <w:rPr>
                <w:noProof/>
                <w:sz w:val="18"/>
                <w:szCs w:val="18"/>
                <w:lang w:val="es-ES_tradnl"/>
              </w:rPr>
            </w:pPr>
            <w:r w:rsidRPr="009E6414">
              <w:rPr>
                <w:noProof/>
                <w:sz w:val="18"/>
                <w:lang w:val="es-ES_tradnl"/>
              </w:rPr>
              <w:t>Los datos de algunos indicadores pueden no estar disponibles hasta después del final del período de programación (por ejemplo, número de operaciones de cooperación que continuan después del apoyo del PDR).</w:t>
            </w:r>
          </w:p>
        </w:tc>
        <w:tc>
          <w:tcPr>
            <w:tcW w:w="5387" w:type="dxa"/>
            <w:hideMark/>
          </w:tcPr>
          <w:p w:rsidR="00A45935" w:rsidRPr="009E6414" w:rsidRDefault="00A45935" w:rsidP="00E05D08">
            <w:pPr>
              <w:spacing w:after="120" w:line="280" w:lineRule="atLeast"/>
              <w:ind w:left="27" w:right="47"/>
              <w:mirrorIndents/>
              <w:rPr>
                <w:noProof/>
                <w:sz w:val="18"/>
                <w:szCs w:val="18"/>
                <w:lang w:val="es-ES_tradnl"/>
              </w:rPr>
            </w:pPr>
            <w:r w:rsidRPr="009E6414">
              <w:rPr>
                <w:noProof/>
                <w:sz w:val="18"/>
                <w:lang w:val="es-ES_tradnl"/>
              </w:rPr>
              <w:t xml:space="preserve">Los tipos de estructuras de cooperación creadas (estructura jurídica, composición, declaración de compromiso de los socios, etc.) pueden analizarse con una evaluación cualitativa (por ejemplo, recurriendo a grupos de discusión o a entrevistas con socios del GO). </w:t>
            </w:r>
          </w:p>
        </w:tc>
      </w:tr>
      <w:tr w:rsidR="00A45935" w:rsidRPr="009E6414" w:rsidTr="00E05D08">
        <w:tc>
          <w:tcPr>
            <w:tcW w:w="3544" w:type="dxa"/>
          </w:tcPr>
          <w:p w:rsidR="00A45935" w:rsidRPr="009E6414" w:rsidRDefault="00A45935" w:rsidP="00E05D08">
            <w:pPr>
              <w:spacing w:after="120" w:line="280" w:lineRule="atLeast"/>
              <w:ind w:left="22" w:right="33"/>
              <w:mirrorIndents/>
              <w:rPr>
                <w:noProof/>
                <w:sz w:val="18"/>
                <w:szCs w:val="18"/>
                <w:lang w:val="es-ES_tradnl"/>
              </w:rPr>
            </w:pPr>
            <w:r w:rsidRPr="009E6414">
              <w:rPr>
                <w:noProof/>
                <w:sz w:val="18"/>
                <w:lang w:val="es-ES_tradnl"/>
              </w:rPr>
              <w:t xml:space="preserve">Recopilar información sobre algunos </w:t>
            </w:r>
            <w:r w:rsidRPr="009E6414">
              <w:rPr>
                <w:noProof/>
                <w:sz w:val="18"/>
                <w:lang w:val="es-ES_tradnl"/>
              </w:rPr>
              <w:lastRenderedPageBreak/>
              <w:t xml:space="preserve">indicadores que podrían no haber sido incluidos en el sistema de seguimiento del PDR (por ejemplo, indicadores complementarios). </w:t>
            </w:r>
          </w:p>
        </w:tc>
        <w:tc>
          <w:tcPr>
            <w:tcW w:w="5387" w:type="dxa"/>
          </w:tcPr>
          <w:p w:rsidR="00A45935" w:rsidRPr="009E6414" w:rsidRDefault="00A45935" w:rsidP="00E05D08">
            <w:pPr>
              <w:spacing w:after="120" w:line="280" w:lineRule="atLeast"/>
              <w:ind w:left="27" w:right="47"/>
              <w:mirrorIndents/>
              <w:rPr>
                <w:noProof/>
                <w:sz w:val="18"/>
                <w:szCs w:val="18"/>
                <w:lang w:val="es-ES_tradnl"/>
              </w:rPr>
            </w:pPr>
            <w:r w:rsidRPr="009E6414">
              <w:rPr>
                <w:noProof/>
                <w:sz w:val="18"/>
                <w:lang w:val="es-ES_tradnl"/>
              </w:rPr>
              <w:lastRenderedPageBreak/>
              <w:t xml:space="preserve">La recopilación de información puede hacerse a través de </w:t>
            </w:r>
            <w:r w:rsidRPr="009E6414">
              <w:rPr>
                <w:noProof/>
                <w:sz w:val="18"/>
                <w:lang w:val="es-ES_tradnl"/>
              </w:rPr>
              <w:lastRenderedPageBreak/>
              <w:t xml:space="preserve">encuestas y entrevistas. </w:t>
            </w:r>
          </w:p>
          <w:p w:rsidR="00A45935" w:rsidRPr="009E6414" w:rsidRDefault="00A45935" w:rsidP="00E05D08">
            <w:pPr>
              <w:spacing w:after="120" w:line="280" w:lineRule="atLeast"/>
              <w:ind w:left="27" w:right="47"/>
              <w:mirrorIndents/>
              <w:rPr>
                <w:noProof/>
                <w:sz w:val="18"/>
                <w:szCs w:val="18"/>
                <w:lang w:val="es-ES_tradnl"/>
              </w:rPr>
            </w:pPr>
            <w:r w:rsidRPr="009E6414">
              <w:rPr>
                <w:noProof/>
                <w:sz w:val="18"/>
                <w:lang w:val="es-ES_tradnl"/>
              </w:rPr>
              <w:t xml:space="preserve">Si no, las autoridades de gestión pueden considerar incluir la recopilación de datos para indicadores complementarios a través de la base de datos de operaciones. </w:t>
            </w:r>
          </w:p>
        </w:tc>
      </w:tr>
    </w:tbl>
    <w:p w:rsidR="00A45935" w:rsidRPr="009E6414" w:rsidRDefault="00A45935" w:rsidP="008C0B17">
      <w:pPr>
        <w:numPr>
          <w:ilvl w:val="0"/>
          <w:numId w:val="56"/>
        </w:numPr>
        <w:spacing w:before="120" w:after="120" w:line="280" w:lineRule="atLeast"/>
        <w:ind w:left="567" w:hanging="567"/>
        <w:mirrorIndents/>
        <w:rPr>
          <w:rFonts w:eastAsia="Times New Roman" w:cs="Times New Roman"/>
          <w:b/>
          <w:noProof/>
          <w:szCs w:val="20"/>
          <w:lang w:val="es-ES_tradnl"/>
        </w:rPr>
      </w:pPr>
      <w:r w:rsidRPr="009E6414">
        <w:rPr>
          <w:b/>
          <w:noProof/>
          <w:lang w:val="es-ES_tradnl"/>
        </w:rPr>
        <w:t>Conclusiones y recomendaciones</w:t>
      </w:r>
    </w:p>
    <w:p w:rsidR="00A45935" w:rsidRPr="009E6414" w:rsidRDefault="00A45935" w:rsidP="00E05D08">
      <w:pPr>
        <w:spacing w:after="120" w:line="280" w:lineRule="atLeast"/>
        <w:mirrorIndents/>
        <w:rPr>
          <w:rFonts w:eastAsia="Calibri" w:cs="Times New Roman"/>
          <w:noProof/>
          <w:szCs w:val="20"/>
          <w:shd w:val="clear" w:color="auto" w:fill="FFFFFF"/>
          <w:lang w:val="es-ES_tradnl"/>
        </w:rPr>
      </w:pPr>
      <w:r w:rsidRPr="009E6414">
        <w:rPr>
          <w:noProof/>
          <w:lang w:val="es-ES_tradnl"/>
        </w:rPr>
        <w:t>Las principales conclusiones y recomendaciones deben abordar, al menos, las siguientes cuestiones políticas:</w:t>
      </w:r>
    </w:p>
    <w:p w:rsidR="00A45935" w:rsidRPr="009E6414" w:rsidRDefault="00A45935" w:rsidP="00547012">
      <w:pPr>
        <w:pStyle w:val="Hlistbullet"/>
        <w:rPr>
          <w:rFonts w:eastAsia="Calibri"/>
          <w:noProof/>
          <w:shd w:val="clear" w:color="auto" w:fill="FFFFFF"/>
          <w:lang w:val="es-ES_tradnl"/>
        </w:rPr>
      </w:pPr>
      <w:r w:rsidRPr="009E6414">
        <w:rPr>
          <w:b/>
          <w:noProof/>
          <w:shd w:val="clear" w:color="auto" w:fill="FFFFFF"/>
          <w:lang w:val="es-ES_tradnl"/>
        </w:rPr>
        <w:t>La tendencia del PDR a utilizar la medida de cooperación para identificar la innovación en las zonas rurales.</w:t>
      </w:r>
      <w:r w:rsidRPr="009E6414">
        <w:rPr>
          <w:noProof/>
          <w:lang w:val="es-ES_tradnl"/>
        </w:rPr>
        <w:t xml:space="preserve"> La creación de un grupo operativo, por ejemplo, muestra que se ha identificado una idea innovadora y que puede ser ejecutada gracias a la vinculación de la investigación y la práctica. El alcance, contenido y duración del proyecto elaborado y ejecutado por el GO ofrece información útil para extraer más conclusiones a este respecto.</w:t>
      </w:r>
    </w:p>
    <w:p w:rsidR="00A45935" w:rsidRPr="009E6414" w:rsidRDefault="00A45935" w:rsidP="00547012">
      <w:pPr>
        <w:pStyle w:val="Hlistbullet"/>
        <w:rPr>
          <w:rFonts w:eastAsia="Calibri"/>
          <w:noProof/>
          <w:shd w:val="clear" w:color="auto" w:fill="FFFFFF"/>
          <w:lang w:val="es-ES_tradnl"/>
        </w:rPr>
      </w:pPr>
      <w:r w:rsidRPr="009E6414">
        <w:rPr>
          <w:b/>
          <w:noProof/>
          <w:shd w:val="clear" w:color="auto" w:fill="FFFFFF"/>
          <w:lang w:val="es-ES_tradnl"/>
        </w:rPr>
        <w:t>Los efectos de los proyectos de cooperación sobre la capacidad de innovar.</w:t>
      </w:r>
      <w:r w:rsidRPr="009E6414">
        <w:rPr>
          <w:noProof/>
          <w:lang w:val="es-ES_tradnl"/>
        </w:rPr>
        <w:t xml:space="preserve"> El análisis del número y tipo de proyectos de cooperación, así como la participación de las partes interesadas en la innovación, puede tener en cuenta las conclusiones sobre los logros de la medida de cooperación en relación con la capacidad de innovación en las zonas rurales.</w:t>
      </w:r>
    </w:p>
    <w:p w:rsidR="00A45935" w:rsidRPr="009E6414" w:rsidRDefault="00A45935" w:rsidP="00547012">
      <w:pPr>
        <w:pStyle w:val="Hlistbullet"/>
        <w:rPr>
          <w:rFonts w:eastAsia="Calibri"/>
          <w:noProof/>
          <w:shd w:val="clear" w:color="auto" w:fill="FFFFFF"/>
          <w:lang w:val="es-ES_tradnl"/>
        </w:rPr>
      </w:pPr>
      <w:r w:rsidRPr="009E6414">
        <w:rPr>
          <w:b/>
          <w:noProof/>
          <w:shd w:val="clear" w:color="auto" w:fill="FFFFFF"/>
          <w:lang w:val="es-ES_tradnl"/>
        </w:rPr>
        <w:t>Los efectos de los proyectos de cooperación en la consolidación de un entorno propicio para la innovación</w:t>
      </w:r>
      <w:r w:rsidRPr="009E6414">
        <w:rPr>
          <w:noProof/>
          <w:lang w:val="es-ES_tradnl"/>
        </w:rPr>
        <w:t xml:space="preserve"> (es decir, en qué medida los proyectos de cooperación han permitido la creación de estructuras y procedimientos que facilitan la producción de ideas innovadoras). Esto incluye, por ejemplo, estructuras y métodos de mediación para la innovación, la creación de vínculos permanentes entre pymes, servicios de innovación y organismos de financiación, etc.</w:t>
      </w:r>
    </w:p>
    <w:p w:rsidR="00A45935" w:rsidRPr="009E6414" w:rsidRDefault="00A45935" w:rsidP="00E05D08">
      <w:pPr>
        <w:keepNext/>
        <w:keepLines/>
        <w:tabs>
          <w:tab w:val="left" w:pos="680"/>
        </w:tabs>
        <w:spacing w:before="240" w:after="240" w:line="280" w:lineRule="atLeast"/>
        <w:mirrorIndents/>
        <w:outlineLvl w:val="3"/>
        <w:rPr>
          <w:rFonts w:eastAsia="Calibri" w:cs="Times New Roman"/>
          <w:b/>
          <w:noProof/>
          <w:color w:val="57825E"/>
          <w:szCs w:val="20"/>
          <w:shd w:val="clear" w:color="auto" w:fill="FFFFFF"/>
          <w:lang w:val="es-ES_tradnl"/>
        </w:rPr>
      </w:pPr>
      <w:r w:rsidRPr="009E6414">
        <w:rPr>
          <w:b/>
          <w:noProof/>
          <w:color w:val="57825E"/>
          <w:shd w:val="clear" w:color="auto" w:fill="FFFFFF"/>
          <w:lang w:val="es-ES_tradnl"/>
        </w:rPr>
        <w:t>Bibliografía adicional</w:t>
      </w:r>
    </w:p>
    <w:p w:rsidR="009D0C0A" w:rsidRPr="009E6414" w:rsidRDefault="00A45935" w:rsidP="00547012">
      <w:pPr>
        <w:spacing w:after="120" w:line="280" w:lineRule="atLeast"/>
        <w:mirrorIndents/>
        <w:rPr>
          <w:noProof/>
          <w:lang w:val="es-ES_tradnl"/>
        </w:rPr>
      </w:pPr>
      <w:r w:rsidRPr="009E6414">
        <w:rPr>
          <w:rFonts w:eastAsia="Times New Roman" w:cs="Times New Roman"/>
          <w:noProof/>
          <w:sz w:val="18"/>
          <w:szCs w:val="24"/>
          <w:lang w:val="en-GB" w:eastAsia="en-GB" w:bidi="ar-SA"/>
        </w:rPr>
        <mc:AlternateContent>
          <mc:Choice Requires="wps">
            <w:drawing>
              <wp:inline distT="0" distB="0" distL="0" distR="0" wp14:anchorId="66392C4E" wp14:editId="3A659443">
                <wp:extent cx="5633451" cy="1885950"/>
                <wp:effectExtent l="0" t="0" r="24765" b="19050"/>
                <wp:docPr id="27" name="Rectangle: Diagonal Corners Rounded 27"/>
                <wp:cNvGraphicFramePr/>
                <a:graphic xmlns:a="http://schemas.openxmlformats.org/drawingml/2006/main">
                  <a:graphicData uri="http://schemas.microsoft.com/office/word/2010/wordprocessingShape">
                    <wps:wsp>
                      <wps:cNvSpPr/>
                      <wps:spPr>
                        <a:xfrm>
                          <a:off x="0" y="0"/>
                          <a:ext cx="5633451" cy="1885950"/>
                        </a:xfrm>
                        <a:prstGeom prst="round2DiagRect">
                          <a:avLst>
                            <a:gd name="adj1" fmla="val 11556"/>
                            <a:gd name="adj2" fmla="val 0"/>
                          </a:avLst>
                        </a:prstGeom>
                        <a:noFill/>
                        <a:ln w="25400" cap="flat" cmpd="sng" algn="ctr">
                          <a:solidFill>
                            <a:srgbClr val="59638E"/>
                          </a:solidFill>
                          <a:prstDash val="solid"/>
                        </a:ln>
                        <a:effectLst/>
                      </wps:spPr>
                      <wps:txbx>
                        <w:txbxContent>
                          <w:p w:rsidR="008D2E0D" w:rsidRPr="000041C9" w:rsidRDefault="008D2E0D" w:rsidP="00E05D08">
                            <w:pPr>
                              <w:pStyle w:val="HStandard"/>
                              <w:rPr>
                                <w:sz w:val="18"/>
                                <w:szCs w:val="18"/>
                              </w:rPr>
                            </w:pPr>
                            <w:r>
                              <w:rPr>
                                <w:noProof/>
                                <w:lang w:val="en-GB" w:eastAsia="en-GB" w:bidi="ar-SA"/>
                              </w:rPr>
                              <w:drawing>
                                <wp:inline distT="0" distB="0" distL="0" distR="0" wp14:anchorId="0791A5D1" wp14:editId="7992FC2B">
                                  <wp:extent cx="360465" cy="360000"/>
                                  <wp:effectExtent l="0" t="0" r="1905" b="2540"/>
                                  <wp:docPr id="710"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r>
                              <w:t>Directrices «</w:t>
                            </w:r>
                            <w:hyperlink r:id="rId49">
                              <w:r>
                                <w:rPr>
                                  <w:rStyle w:val="Hyperlink"/>
                                  <w:sz w:val="18"/>
                                </w:rPr>
                                <w:t xml:space="preserve">Evaluación de los resultados del </w:t>
                              </w:r>
                              <w:proofErr w:type="spellStart"/>
                              <w:r>
                                <w:rPr>
                                  <w:rStyle w:val="Hyperlink"/>
                                  <w:sz w:val="18"/>
                                </w:rPr>
                                <w:t>PDR</w:t>
                              </w:r>
                              <w:proofErr w:type="spellEnd"/>
                              <w:r>
                                <w:rPr>
                                  <w:rStyle w:val="Hyperlink"/>
                                  <w:sz w:val="18"/>
                                </w:rPr>
                                <w:t>: Cómo elaborar los informes sobre evaluación en 2017</w:t>
                              </w:r>
                            </w:hyperlink>
                            <w:r>
                              <w:t>», anexo 11.</w:t>
                            </w:r>
                            <w:r>
                              <w:rPr>
                                <w:sz w:val="18"/>
                              </w:rPr>
                              <w:t xml:space="preserve"> </w:t>
                            </w:r>
                          </w:p>
                          <w:p w:rsidR="008D2E0D" w:rsidRDefault="008D2E0D" w:rsidP="00E05D08">
                            <w:pPr>
                              <w:pStyle w:val="HStandard"/>
                              <w:rPr>
                                <w:sz w:val="18"/>
                                <w:szCs w:val="18"/>
                              </w:rPr>
                            </w:pPr>
                            <w:r>
                              <w:t>Documento de orientación «</w:t>
                            </w:r>
                            <w:hyperlink r:id="rId50">
                              <w:r>
                                <w:rPr>
                                  <w:rStyle w:val="Hyperlink"/>
                                  <w:sz w:val="18"/>
                                </w:rPr>
                                <w:t>Medida “Cooperación”</w:t>
                              </w:r>
                            </w:hyperlink>
                            <w:r>
                              <w:t>», artículo 35 del Reglamento (UE) n.º 1305/2013, noviembre de 2014.</w:t>
                            </w:r>
                          </w:p>
                          <w:p w:rsidR="008D2E0D" w:rsidRPr="000041C9" w:rsidRDefault="008D2E0D" w:rsidP="00E05D08">
                            <w:pPr>
                              <w:pStyle w:val="HStandard"/>
                              <w:rPr>
                                <w:sz w:val="18"/>
                                <w:szCs w:val="18"/>
                              </w:rPr>
                            </w:pPr>
                            <w:r>
                              <w:rPr>
                                <w:sz w:val="18"/>
                              </w:rPr>
                              <w:t xml:space="preserve">Documentos del Taller de la </w:t>
                            </w:r>
                            <w:proofErr w:type="spellStart"/>
                            <w:r>
                              <w:rPr>
                                <w:sz w:val="18"/>
                              </w:rPr>
                              <w:t>REDR</w:t>
                            </w:r>
                            <w:proofErr w:type="spellEnd"/>
                            <w:r>
                              <w:rPr>
                                <w:sz w:val="18"/>
                              </w:rPr>
                              <w:t xml:space="preserve"> sobre </w:t>
                            </w:r>
                            <w:proofErr w:type="spellStart"/>
                            <w:r>
                              <w:rPr>
                                <w:sz w:val="18"/>
                              </w:rPr>
                              <w:t>M16</w:t>
                            </w:r>
                            <w:proofErr w:type="spellEnd"/>
                            <w:r>
                              <w:rPr>
                                <w:sz w:val="18"/>
                              </w:rPr>
                              <w:t xml:space="preserve"> «Cooperación», junio de 2016, Bruselas: </w:t>
                            </w:r>
                            <w:hyperlink r:id="rId51">
                              <w:r>
                                <w:rPr>
                                  <w:rStyle w:val="Hyperlink"/>
                                  <w:sz w:val="18"/>
                                </w:rPr>
                                <w:t>http://enrd.ec.europa.eu/news-events/events/enrd-workshop-measure-16-cooperation_en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392C4E" id="Rectangle: Diagonal Corners Rounded 27" o:spid="_x0000_s1049" style="width:443.6pt;height:148.5pt;visibility:visible;mso-wrap-style:square;mso-left-percent:-10001;mso-top-percent:-10001;mso-position-horizontal:absolute;mso-position-horizontal-relative:char;mso-position-vertical:absolute;mso-position-vertical-relative:line;mso-left-percent:-10001;mso-top-percent:-10001;v-text-anchor:middle" coordsize="5633451,1885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" adj="-11796480,,5400" path="m217940,l5633451,r,l5633451,1668010v,120365,-97575,217940,-217940,217940l,1885950r,l,217940c,97575,97575,,217940,xe" filled="f" strokecolor="#59638e" strokeweight="2pt">
                <v:stroke joinstyle="miter"/>
                <v:formulas/>
                <v:path arrowok="t" o:connecttype="custom" o:connectlocs="217940,0;5633451,0;5633451,0;5633451,1668010;5415511,1885950;0,1885950;0,1885950;0,217940;217940,0" o:connectangles="0,0,0,0,0,0,0,0,0" textboxrect="0,0,5633451,1885950"/>
                <v:textbox>
                  <w:txbxContent>
                    <w:p w:rsidR="008D2E0D" w:rsidRPr="000041C9" w:rsidRDefault="008D2E0D" w:rsidP="00E05D08">
                      <w:pPr>
                        <w:pStyle w:val="HStandard"/>
                        <w:rPr>
                          <w:sz w:val="18"/>
                          <w:szCs w:val="18"/>
                        </w:rPr>
                      </w:pPr>
                      <w:r>
                        <w:rPr>
                          <w:noProof/>
                          <w:lang w:val="en-GB" w:eastAsia="en-GB" w:bidi="ar-SA"/>
                        </w:rPr>
                        <w:drawing>
                          <wp:inline distT="0" distB="0" distL="0" distR="0" wp14:anchorId="0791A5D1" wp14:editId="7992FC2B">
                            <wp:extent cx="360465" cy="360000"/>
                            <wp:effectExtent l="0" t="0" r="1905" b="2540"/>
                            <wp:docPr id="710"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r>
                        <w:t>Directrices «</w:t>
                      </w:r>
                      <w:hyperlink r:id="rId52">
                        <w:r>
                          <w:rPr>
                            <w:rStyle w:val="Hyperlink"/>
                            <w:sz w:val="18"/>
                          </w:rPr>
                          <w:t xml:space="preserve">Evaluación de los resultados del </w:t>
                        </w:r>
                        <w:proofErr w:type="spellStart"/>
                        <w:r>
                          <w:rPr>
                            <w:rStyle w:val="Hyperlink"/>
                            <w:sz w:val="18"/>
                          </w:rPr>
                          <w:t>PDR</w:t>
                        </w:r>
                        <w:proofErr w:type="spellEnd"/>
                        <w:r>
                          <w:rPr>
                            <w:rStyle w:val="Hyperlink"/>
                            <w:sz w:val="18"/>
                          </w:rPr>
                          <w:t>: Cómo elaborar los informes sobre evaluación en 2017</w:t>
                        </w:r>
                      </w:hyperlink>
                      <w:r>
                        <w:t>», anexo 11.</w:t>
                      </w:r>
                      <w:r>
                        <w:rPr>
                          <w:sz w:val="18"/>
                        </w:rPr>
                        <w:t xml:space="preserve"> </w:t>
                      </w:r>
                    </w:p>
                    <w:p w:rsidR="008D2E0D" w:rsidRDefault="008D2E0D" w:rsidP="00E05D08">
                      <w:pPr>
                        <w:pStyle w:val="HStandard"/>
                        <w:rPr>
                          <w:sz w:val="18"/>
                          <w:szCs w:val="18"/>
                        </w:rPr>
                      </w:pPr>
                      <w:r>
                        <w:t>Documento de orientación «</w:t>
                      </w:r>
                      <w:hyperlink r:id="rId53">
                        <w:r>
                          <w:rPr>
                            <w:rStyle w:val="Hyperlink"/>
                            <w:sz w:val="18"/>
                          </w:rPr>
                          <w:t>Medida “Cooperación”</w:t>
                        </w:r>
                      </w:hyperlink>
                      <w:r>
                        <w:t>», artículo 35 del Reglamento (UE) n.º 1305/2013, noviembre de 2014.</w:t>
                      </w:r>
                    </w:p>
                    <w:p w:rsidR="008D2E0D" w:rsidRPr="000041C9" w:rsidRDefault="008D2E0D" w:rsidP="00E05D08">
                      <w:pPr>
                        <w:pStyle w:val="HStandard"/>
                        <w:rPr>
                          <w:sz w:val="18"/>
                          <w:szCs w:val="18"/>
                        </w:rPr>
                      </w:pPr>
                      <w:r>
                        <w:rPr>
                          <w:sz w:val="18"/>
                        </w:rPr>
                        <w:t xml:space="preserve">Documentos del Taller de la </w:t>
                      </w:r>
                      <w:proofErr w:type="spellStart"/>
                      <w:r>
                        <w:rPr>
                          <w:sz w:val="18"/>
                        </w:rPr>
                        <w:t>REDR</w:t>
                      </w:r>
                      <w:proofErr w:type="spellEnd"/>
                      <w:r>
                        <w:rPr>
                          <w:sz w:val="18"/>
                        </w:rPr>
                        <w:t xml:space="preserve"> sobre </w:t>
                      </w:r>
                      <w:proofErr w:type="spellStart"/>
                      <w:r>
                        <w:rPr>
                          <w:sz w:val="18"/>
                        </w:rPr>
                        <w:t>M16</w:t>
                      </w:r>
                      <w:proofErr w:type="spellEnd"/>
                      <w:r>
                        <w:rPr>
                          <w:sz w:val="18"/>
                        </w:rPr>
                        <w:t xml:space="preserve"> «Cooperación», junio de 2016, Bruselas: </w:t>
                      </w:r>
                      <w:hyperlink r:id="rId54">
                        <w:r>
                          <w:rPr>
                            <w:rStyle w:val="Hyperlink"/>
                            <w:sz w:val="18"/>
                          </w:rPr>
                          <w:t>http://enrd.ec.europa.eu/news-events/events/enrd-workshop-measure-16-cooperation_en</w:t>
                        </w:r>
                      </w:hyperlink>
                    </w:p>
                  </w:txbxContent>
                </v:textbox>
                <w10:anchorlock/>
              </v:shape>
            </w:pict>
          </mc:Fallback>
        </mc:AlternateContent>
      </w:r>
    </w:p>
    <w:p w:rsidR="00D50380" w:rsidRPr="009E6414" w:rsidRDefault="00D50380" w:rsidP="0079071D">
      <w:pPr>
        <w:pStyle w:val="HHeading3"/>
        <w:numPr>
          <w:ilvl w:val="2"/>
          <w:numId w:val="119"/>
        </w:numPr>
        <w:tabs>
          <w:tab w:val="clear" w:pos="567"/>
        </w:tabs>
        <w:spacing w:before="480" w:line="280" w:lineRule="exact"/>
        <w:ind w:left="567" w:hanging="567"/>
        <w:rPr>
          <w:noProof/>
          <w:lang w:val="es-ES_tradnl"/>
        </w:rPr>
      </w:pPr>
      <w:bookmarkStart w:id="24" w:name="_Toc508707922"/>
      <w:r w:rsidRPr="009E6414">
        <w:rPr>
          <w:noProof/>
          <w:lang w:val="es-ES_tradnl"/>
        </w:rPr>
        <w:t>PCE n.º 21: «¿En qué medida la red rural nacional ha contribuido a la consecución de los objetivos fijados en el artículo 54, apartado 2, del Reglamento (UE) n.º 1305/2013?»</w:t>
      </w:r>
      <w:bookmarkEnd w:id="24"/>
    </w:p>
    <w:p w:rsidR="00A45935" w:rsidRPr="009E6414" w:rsidRDefault="00A45935" w:rsidP="00E05D08">
      <w:pPr>
        <w:keepNext/>
        <w:keepLines/>
        <w:tabs>
          <w:tab w:val="left" w:pos="680"/>
        </w:tabs>
        <w:spacing w:before="240" w:after="240" w:line="280" w:lineRule="atLeast"/>
        <w:mirrorIndents/>
        <w:outlineLvl w:val="3"/>
        <w:rPr>
          <w:rFonts w:eastAsia="Calibri" w:cs="Times New Roman"/>
          <w:b/>
          <w:noProof/>
          <w:color w:val="57825E"/>
          <w:szCs w:val="20"/>
          <w:shd w:val="clear" w:color="auto" w:fill="FFFFFF"/>
          <w:lang w:val="es-ES_tradnl"/>
        </w:rPr>
      </w:pPr>
      <w:r w:rsidRPr="009E6414">
        <w:rPr>
          <w:b/>
          <w:noProof/>
          <w:color w:val="57825E"/>
          <w:shd w:val="clear" w:color="auto" w:fill="FFFFFF"/>
          <w:lang w:val="es-ES_tradnl"/>
        </w:rPr>
        <w:t>Entender la PCE</w:t>
      </w:r>
    </w:p>
    <w:p w:rsidR="00A45935" w:rsidRPr="009E6414" w:rsidRDefault="00A45935" w:rsidP="00E05D08">
      <w:pPr>
        <w:spacing w:after="120" w:line="280" w:lineRule="atLeast"/>
        <w:mirrorIndents/>
        <w:rPr>
          <w:rFonts w:eastAsia="Calibri" w:cs="Times New Roman"/>
          <w:noProof/>
          <w:szCs w:val="20"/>
          <w:lang w:val="es-ES_tradnl"/>
        </w:rPr>
      </w:pPr>
      <w:r w:rsidRPr="009E6414">
        <w:rPr>
          <w:noProof/>
          <w:lang w:val="es-ES_tradnl"/>
        </w:rPr>
        <w:t>Esta pregunta se refiere a la consecución de los cuatro objetivos de la RRN</w:t>
      </w:r>
      <w:r w:rsidRPr="009E6414">
        <w:rPr>
          <w:noProof/>
          <w:vertAlign w:val="superscript"/>
          <w:lang w:val="es-ES_tradnl"/>
        </w:rPr>
        <w:footnoteReference w:id="57"/>
      </w:r>
      <w:r w:rsidRPr="009E6414">
        <w:rPr>
          <w:noProof/>
          <w:lang w:val="es-ES_tradnl"/>
        </w:rPr>
        <w:t>. Estas directrices</w:t>
      </w:r>
      <w:r w:rsidRPr="009E6414">
        <w:rPr>
          <w:noProof/>
          <w:vertAlign w:val="superscript"/>
          <w:lang w:val="es-ES_tradnl"/>
        </w:rPr>
        <w:footnoteReference w:id="58"/>
      </w:r>
      <w:r w:rsidRPr="009E6414">
        <w:rPr>
          <w:noProof/>
          <w:lang w:val="es-ES_tradnl"/>
        </w:rPr>
        <w:t xml:space="preserve"> analizan la PCE n.º 21 en relación con el objetivo de la RRN «para potenciar la innovación en la </w:t>
      </w:r>
      <w:r w:rsidRPr="009E6414">
        <w:rPr>
          <w:noProof/>
          <w:lang w:val="es-ES_tradnl"/>
        </w:rPr>
        <w:lastRenderedPageBreak/>
        <w:t xml:space="preserve">agricultura, la producción alimentaria, la silvicultura y las zonas rurales» a efectos de evaluar la innovación, fomentada por las RRN a partir de 2019. </w:t>
      </w:r>
    </w:p>
    <w:p w:rsidR="00A45935" w:rsidRPr="009E6414" w:rsidRDefault="00A45935" w:rsidP="00E05D08">
      <w:pPr>
        <w:spacing w:after="120" w:line="280" w:lineRule="atLeast"/>
        <w:mirrorIndents/>
        <w:rPr>
          <w:rFonts w:eastAsia="Calibri" w:cs="Times New Roman"/>
          <w:noProof/>
          <w:szCs w:val="20"/>
          <w:lang w:val="es-ES_tradnl"/>
        </w:rPr>
      </w:pPr>
      <w:r w:rsidRPr="009E6414">
        <w:rPr>
          <w:noProof/>
          <w:lang w:val="es-ES_tradnl"/>
        </w:rPr>
        <w:t>La RRN funciona a través de diferentes grupos de acciones establecidos en el plan de acción de la RRN e incluye varios tipos de partes interesadas, entre los que también se encuentran los agentes de innovación. Por lo tanto, es importante reconocer qué grupos de acciones</w:t>
      </w:r>
      <w:r w:rsidRPr="009E6414">
        <w:rPr>
          <w:noProof/>
          <w:vertAlign w:val="superscript"/>
          <w:lang w:val="es-ES_tradnl"/>
        </w:rPr>
        <w:footnoteReference w:id="59"/>
      </w:r>
      <w:r w:rsidRPr="009E6414">
        <w:rPr>
          <w:noProof/>
          <w:lang w:val="es-ES_tradnl"/>
        </w:rPr>
        <w:t xml:space="preserve"> tienen el potencial para promover la innovación a través de las tres vías (véase el </w:t>
      </w:r>
      <w:hyperlink w:anchor="Innovation_RD" w:history="1">
        <w:r w:rsidRPr="009E6414">
          <w:rPr>
            <w:rStyle w:val="Hyperlink"/>
            <w:noProof/>
            <w:sz w:val="20"/>
            <w:lang w:val="es-ES_tradnl"/>
          </w:rPr>
          <w:t>capítulo 1.1</w:t>
        </w:r>
      </w:hyperlink>
      <w:r w:rsidRPr="009E6414">
        <w:rPr>
          <w:noProof/>
          <w:lang w:val="es-ES_tradnl"/>
        </w:rPr>
        <w:t xml:space="preserve">) y qué tipos de partes interesadas del sistema de innovación están implicados y pueden verse afectados por estas acciones en términos de potenciación de la innovación. </w:t>
      </w:r>
    </w:p>
    <w:p w:rsidR="001327F5" w:rsidRPr="009E6414" w:rsidRDefault="00A45935" w:rsidP="00E05D08">
      <w:pPr>
        <w:spacing w:after="120" w:line="280" w:lineRule="atLeast"/>
        <w:mirrorIndents/>
        <w:rPr>
          <w:rFonts w:eastAsia="Calibri" w:cs="Times New Roman"/>
          <w:noProof/>
          <w:szCs w:val="20"/>
          <w:lang w:val="es-ES_tradnl"/>
        </w:rPr>
      </w:pPr>
      <w:r w:rsidRPr="009E6414">
        <w:rPr>
          <w:noProof/>
          <w:lang w:val="es-ES_tradnl"/>
        </w:rPr>
        <w:t>Las acciones incluidas en el plan de acción de la RRN contemplarían los siete grupos de actividades establecidos en el Reglamento</w:t>
      </w:r>
      <w:r w:rsidRPr="009E6414">
        <w:rPr>
          <w:noProof/>
          <w:vertAlign w:val="superscript"/>
          <w:lang w:val="es-ES_tradnl"/>
        </w:rPr>
        <w:footnoteReference w:id="60"/>
      </w:r>
      <w:r w:rsidRPr="009E6414">
        <w:rPr>
          <w:noProof/>
          <w:lang w:val="es-ES_tradnl"/>
        </w:rPr>
        <w:t>. En los recuadros que figuran a continuación se ofrecen ejemplos de cómo estas actividades podrían estar relacionadas con la potenciación de la innovación.</w:t>
      </w:r>
    </w:p>
    <w:p w:rsidR="001327F5" w:rsidRPr="009E6414" w:rsidRDefault="001327F5" w:rsidP="001327F5">
      <w:pPr>
        <w:spacing w:after="120" w:line="280" w:lineRule="atLeast"/>
        <w:mirrorIndents/>
        <w:rPr>
          <w:rFonts w:eastAsia="Calibri" w:cs="Times New Roman"/>
          <w:noProof/>
          <w:szCs w:val="20"/>
          <w:lang w:val="es-ES_tradnl"/>
        </w:rPr>
      </w:pPr>
      <w:r w:rsidRPr="009E6414">
        <w:rPr>
          <w:noProof/>
          <w:lang w:val="es-ES_tradnl"/>
        </w:rPr>
        <w:t>Las RRN, como parte de la asistencia técnica, están dedicadas a acompañar y respaldar la ejecución del PDR y contribuir directamente a potenciar la innovación como un objetivo transversal. Sin embargo, las RRN también pueden trabajar en sinergia con otros agentes de la innovación del desarrollo rural, como los GAL de Leader o la AEI-AGRI (véase el ejemplo en el recuadro).</w:t>
      </w:r>
    </w:p>
    <w:p w:rsidR="00447B72" w:rsidRDefault="00447B72">
      <w:pPr>
        <w:jc w:val="left"/>
        <w:rPr>
          <w:rFonts w:eastAsia="Times New Roman" w:cs="Times New Roman"/>
          <w:noProof/>
          <w:szCs w:val="20"/>
          <w:lang w:val="es-ES_tradnl"/>
        </w:rPr>
      </w:pPr>
      <w:r>
        <w:rPr>
          <w:rFonts w:eastAsia="Times New Roman" w:cs="Times New Roman"/>
          <w:noProof/>
          <w:szCs w:val="20"/>
          <w:lang w:val="es-ES_tradnl"/>
        </w:rPr>
        <w:br w:type="page"/>
      </w:r>
    </w:p>
    <w:p w:rsidR="00A45935" w:rsidRPr="009E6414" w:rsidRDefault="00547012" w:rsidP="00E05D08">
      <w:pPr>
        <w:spacing w:after="120" w:line="280" w:lineRule="atLeast"/>
        <w:mirrorIndents/>
        <w:rPr>
          <w:rFonts w:eastAsia="Times New Roman" w:cs="Times New Roman"/>
          <w:noProof/>
          <w:szCs w:val="20"/>
          <w:lang w:val="es-ES_tradnl"/>
        </w:rPr>
      </w:pPr>
      <w:r w:rsidRPr="009E6414">
        <w:rPr>
          <w:rFonts w:eastAsia="Times New Roman" w:cs="Times New Roman"/>
          <w:noProof/>
          <w:sz w:val="18"/>
          <w:szCs w:val="24"/>
          <w:lang w:val="en-GB" w:eastAsia="en-GB" w:bidi="ar-SA"/>
        </w:rPr>
        <w:lastRenderedPageBreak/>
        <mc:AlternateContent>
          <mc:Choice Requires="wps">
            <w:drawing>
              <wp:anchor distT="0" distB="0" distL="114300" distR="114300" simplePos="0" relativeHeight="251663872" behindDoc="1" locked="0" layoutInCell="1" allowOverlap="1" wp14:anchorId="65F5A5B4" wp14:editId="1BE2E2A7">
                <wp:simplePos x="0" y="0"/>
                <wp:positionH relativeFrom="column">
                  <wp:posOffset>0</wp:posOffset>
                </wp:positionH>
                <wp:positionV relativeFrom="paragraph">
                  <wp:posOffset>298450</wp:posOffset>
                </wp:positionV>
                <wp:extent cx="5780405" cy="7610475"/>
                <wp:effectExtent l="0" t="0" r="10795" b="28575"/>
                <wp:wrapTight wrapText="bothSides">
                  <wp:wrapPolygon edited="0">
                    <wp:start x="854" y="0"/>
                    <wp:lineTo x="0" y="324"/>
                    <wp:lineTo x="0" y="21627"/>
                    <wp:lineTo x="20786" y="21627"/>
                    <wp:lineTo x="21569" y="21357"/>
                    <wp:lineTo x="21569" y="0"/>
                    <wp:lineTo x="854" y="0"/>
                  </wp:wrapPolygon>
                </wp:wrapTight>
                <wp:docPr id="28" name="Rectangle: Diagonal Corners Rounded 28"/>
                <wp:cNvGraphicFramePr/>
                <a:graphic xmlns:a="http://schemas.openxmlformats.org/drawingml/2006/main">
                  <a:graphicData uri="http://schemas.microsoft.com/office/word/2010/wordprocessingShape">
                    <wps:wsp>
                      <wps:cNvSpPr/>
                      <wps:spPr>
                        <a:xfrm>
                          <a:off x="0" y="0"/>
                          <a:ext cx="5780405" cy="7610475"/>
                        </a:xfrm>
                        <a:prstGeom prst="round2DiagRect">
                          <a:avLst>
                            <a:gd name="adj1" fmla="val 6054"/>
                            <a:gd name="adj2" fmla="val 0"/>
                          </a:avLst>
                        </a:prstGeom>
                        <a:noFill/>
                        <a:ln w="25400" cap="flat" cmpd="sng" algn="ctr">
                          <a:solidFill>
                            <a:srgbClr val="F07E31"/>
                          </a:solidFill>
                          <a:prstDash val="solid"/>
                        </a:ln>
                        <a:effectLst/>
                      </wps:spPr>
                      <wps:txbx>
                        <w:txbxContent>
                          <w:p w:rsidR="008D2E0D" w:rsidRPr="0079762F" w:rsidRDefault="008D2E0D" w:rsidP="00E05D08">
                            <w:pPr>
                              <w:pStyle w:val="HStandard"/>
                              <w:ind w:left="567" w:hanging="567"/>
                              <w:rPr>
                                <w:i/>
                                <w:sz w:val="18"/>
                                <w:szCs w:val="18"/>
                              </w:rPr>
                            </w:pPr>
                            <w:r>
                              <w:rPr>
                                <w:noProof/>
                                <w:sz w:val="18"/>
                                <w:szCs w:val="18"/>
                                <w:lang w:val="en-GB" w:eastAsia="en-GB" w:bidi="ar-SA"/>
                              </w:rPr>
                              <w:drawing>
                                <wp:inline distT="0" distB="0" distL="0" distR="0" wp14:anchorId="5D8C28F9" wp14:editId="650CB48B">
                                  <wp:extent cx="353060" cy="359410"/>
                                  <wp:effectExtent l="0" t="0" r="8890" b="2540"/>
                                  <wp:docPr id="71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rPr>
                              <w:t>Impulsar nuevas ideas y el intercambio de innovaciones:</w:t>
                            </w:r>
                          </w:p>
                          <w:p w:rsidR="008D2E0D" w:rsidRPr="0079762F" w:rsidRDefault="008D2E0D" w:rsidP="008C0B17">
                            <w:pPr>
                              <w:pStyle w:val="HStandard"/>
                              <w:numPr>
                                <w:ilvl w:val="0"/>
                                <w:numId w:val="26"/>
                              </w:numPr>
                              <w:ind w:left="567" w:hanging="567"/>
                              <w:rPr>
                                <w:sz w:val="18"/>
                                <w:szCs w:val="18"/>
                              </w:rPr>
                            </w:pPr>
                            <w:r>
                              <w:rPr>
                                <w:sz w:val="18"/>
                              </w:rPr>
                              <w:t>Recopilación de ejemplos de proyectos que abarquen todas las prioridades de los programas de desarrollo rural: pueden centrarse, por ejemplo, en proyectos innovadores o en la creación de bases de datos de proyectos innovadores y contribuir, por lo tanto, a la identificación y el intercambio de innovaciones.</w:t>
                            </w:r>
                          </w:p>
                          <w:p w:rsidR="008D2E0D" w:rsidRPr="0079762F" w:rsidRDefault="008D2E0D" w:rsidP="008C0B17">
                            <w:pPr>
                              <w:pStyle w:val="HStandard"/>
                              <w:numPr>
                                <w:ilvl w:val="0"/>
                                <w:numId w:val="26"/>
                              </w:numPr>
                              <w:ind w:left="567" w:hanging="567"/>
                              <w:rPr>
                                <w:sz w:val="18"/>
                                <w:szCs w:val="18"/>
                              </w:rPr>
                            </w:pPr>
                            <w:r>
                              <w:rPr>
                                <w:sz w:val="18"/>
                              </w:rPr>
                              <w:t>Facilitación de intercambios temáticos y analíticos entre los interesados en el desarrollo rural e intercambio y divulgación de los resultados. Estos intercambios también pueden potenciar la innovación mediante el impulso y el intercambio de nuevas ideas y la creación de las condiciones para el desarrollo de nuevos conocimientos.</w:t>
                            </w:r>
                          </w:p>
                          <w:p w:rsidR="008D2E0D" w:rsidRDefault="008D2E0D" w:rsidP="008C0B17">
                            <w:pPr>
                              <w:pStyle w:val="HStandard"/>
                              <w:numPr>
                                <w:ilvl w:val="0"/>
                                <w:numId w:val="26"/>
                              </w:numPr>
                              <w:ind w:left="567" w:hanging="567"/>
                              <w:rPr>
                                <w:sz w:val="18"/>
                                <w:szCs w:val="18"/>
                              </w:rPr>
                            </w:pPr>
                            <w:r>
                              <w:rPr>
                                <w:sz w:val="18"/>
                              </w:rPr>
                              <w:t xml:space="preserve">Publicidad e información sobre el </w:t>
                            </w:r>
                            <w:proofErr w:type="spellStart"/>
                            <w:r>
                              <w:rPr>
                                <w:sz w:val="18"/>
                              </w:rPr>
                              <w:t>PDR</w:t>
                            </w:r>
                            <w:proofErr w:type="spellEnd"/>
                            <w:r>
                              <w:rPr>
                                <w:sz w:val="18"/>
                              </w:rPr>
                              <w:t xml:space="preserve"> y actividades de información y comunicación dirigidas a un público amplio. Pueden incluir, entre otras cosas, información sobre las realizaciones del </w:t>
                            </w:r>
                            <w:proofErr w:type="spellStart"/>
                            <w:r>
                              <w:rPr>
                                <w:sz w:val="18"/>
                              </w:rPr>
                              <w:t>PDR</w:t>
                            </w:r>
                            <w:proofErr w:type="spellEnd"/>
                            <w:r>
                              <w:rPr>
                                <w:sz w:val="18"/>
                              </w:rPr>
                              <w:t xml:space="preserve"> relacionadas con la innovación, los logros de los </w:t>
                            </w:r>
                            <w:proofErr w:type="spellStart"/>
                            <w:r>
                              <w:rPr>
                                <w:sz w:val="18"/>
                              </w:rPr>
                              <w:t>GO</w:t>
                            </w:r>
                            <w:proofErr w:type="spellEnd"/>
                            <w:r>
                              <w:rPr>
                                <w:sz w:val="18"/>
                              </w:rPr>
                              <w:t xml:space="preserve"> de la </w:t>
                            </w:r>
                            <w:proofErr w:type="spellStart"/>
                            <w:r>
                              <w:rPr>
                                <w:sz w:val="18"/>
                              </w:rPr>
                              <w:t>AEI</w:t>
                            </w:r>
                            <w:proofErr w:type="spellEnd"/>
                            <w:r>
                              <w:rPr>
                                <w:sz w:val="18"/>
                              </w:rPr>
                              <w:t>, cómo las estrategias y asociaciones del DLP impulsan la innovación y ofrecer ejemplos de tales asociaciones y proyectos innovadores de Leader/DLP, etc.</w:t>
                            </w:r>
                          </w:p>
                          <w:p w:rsidR="008D2E0D" w:rsidRPr="00E05D08" w:rsidRDefault="008D2E0D" w:rsidP="008A0CFF">
                            <w:pPr>
                              <w:pStyle w:val="HStandard"/>
                              <w:rPr>
                                <w:b/>
                                <w:color w:val="F07E31"/>
                                <w:sz w:val="18"/>
                                <w:szCs w:val="18"/>
                              </w:rPr>
                            </w:pPr>
                            <w:r>
                              <w:rPr>
                                <w:b/>
                                <w:color w:val="F07E31"/>
                                <w:sz w:val="18"/>
                              </w:rPr>
                              <w:t>Consolidar la capacidad para innovar:</w:t>
                            </w:r>
                          </w:p>
                          <w:p w:rsidR="008D2E0D" w:rsidRPr="0079762F" w:rsidRDefault="008D2E0D" w:rsidP="008A0CFF">
                            <w:pPr>
                              <w:pStyle w:val="HStandard"/>
                              <w:numPr>
                                <w:ilvl w:val="0"/>
                                <w:numId w:val="26"/>
                              </w:numPr>
                              <w:rPr>
                                <w:sz w:val="18"/>
                                <w:szCs w:val="18"/>
                              </w:rPr>
                            </w:pPr>
                            <w:r>
                              <w:rPr>
                                <w:sz w:val="18"/>
                              </w:rPr>
                              <w:t xml:space="preserve">Prestación de actividades de formación y creación de redes para asesores y servicios de apoyo a la innovación, centradas en la innovación en la agricultura, silvicultura y otros sectores relacionados con el </w:t>
                            </w:r>
                            <w:proofErr w:type="spellStart"/>
                            <w:r>
                              <w:rPr>
                                <w:sz w:val="18"/>
                              </w:rPr>
                              <w:t>PDR</w:t>
                            </w:r>
                            <w:proofErr w:type="spellEnd"/>
                            <w:r>
                              <w:rPr>
                                <w:sz w:val="18"/>
                              </w:rPr>
                              <w:t xml:space="preserve">. La formación de asesores y de servicios de apoyo a la innovación puede, por ejemplo, facilitar la creación de </w:t>
                            </w:r>
                            <w:proofErr w:type="spellStart"/>
                            <w:r>
                              <w:rPr>
                                <w:sz w:val="18"/>
                              </w:rPr>
                              <w:t>GO</w:t>
                            </w:r>
                            <w:proofErr w:type="spellEnd"/>
                            <w:r>
                              <w:rPr>
                                <w:sz w:val="18"/>
                              </w:rPr>
                              <w:t xml:space="preserve"> de la </w:t>
                            </w:r>
                            <w:proofErr w:type="spellStart"/>
                            <w:r>
                              <w:rPr>
                                <w:sz w:val="18"/>
                              </w:rPr>
                              <w:t>AEI</w:t>
                            </w:r>
                            <w:proofErr w:type="spellEnd"/>
                            <w:r>
                              <w:rPr>
                                <w:sz w:val="18"/>
                              </w:rPr>
                              <w:t xml:space="preserve"> y, por lo tanto, contribuir a consolidar la capacidad para innovar en las zonas rurales, ya que se supone que los </w:t>
                            </w:r>
                            <w:proofErr w:type="spellStart"/>
                            <w:r>
                              <w:rPr>
                                <w:sz w:val="18"/>
                              </w:rPr>
                              <w:t>GO</w:t>
                            </w:r>
                            <w:proofErr w:type="spellEnd"/>
                            <w:r>
                              <w:rPr>
                                <w:sz w:val="18"/>
                              </w:rPr>
                              <w:t xml:space="preserve"> van a desarrollar proyectos innovadores.</w:t>
                            </w:r>
                          </w:p>
                          <w:p w:rsidR="008D2E0D" w:rsidRPr="00ED3BAD" w:rsidRDefault="008D2E0D" w:rsidP="008A0CFF">
                            <w:pPr>
                              <w:pStyle w:val="HStandard"/>
                              <w:numPr>
                                <w:ilvl w:val="0"/>
                                <w:numId w:val="26"/>
                              </w:numPr>
                              <w:rPr>
                                <w:sz w:val="18"/>
                                <w:szCs w:val="18"/>
                              </w:rPr>
                            </w:pPr>
                            <w:r>
                              <w:rPr>
                                <w:sz w:val="18"/>
                              </w:rPr>
                              <w:t xml:space="preserve">Prestación de actividades de formación y creación de redes para los GAL y, en particular, asistencia técnica para la cooperación interregional y transnacional, facilitación de la cooperación entre los GAL y búsqueda de socios en el marco de la </w:t>
                            </w:r>
                            <w:proofErr w:type="spellStart"/>
                            <w:r>
                              <w:rPr>
                                <w:sz w:val="18"/>
                              </w:rPr>
                              <w:t>M16</w:t>
                            </w:r>
                            <w:proofErr w:type="spellEnd"/>
                            <w:r>
                              <w:rPr>
                                <w:sz w:val="18"/>
                              </w:rPr>
                              <w:t xml:space="preserve"> (cooperación). La </w:t>
                            </w:r>
                            <w:proofErr w:type="spellStart"/>
                            <w:r>
                              <w:rPr>
                                <w:sz w:val="18"/>
                              </w:rPr>
                              <w:t>RRN</w:t>
                            </w:r>
                            <w:proofErr w:type="spellEnd"/>
                            <w:r>
                              <w:rPr>
                                <w:sz w:val="18"/>
                              </w:rPr>
                              <w:t xml:space="preserve"> puede, por ejemplo, facilitar los esfuerzos de </w:t>
                            </w:r>
                            <w:proofErr w:type="spellStart"/>
                            <w:r>
                              <w:rPr>
                                <w:sz w:val="18"/>
                              </w:rPr>
                              <w:t>coperación</w:t>
                            </w:r>
                            <w:proofErr w:type="spellEnd"/>
                            <w:r>
                              <w:rPr>
                                <w:sz w:val="18"/>
                              </w:rPr>
                              <w:t xml:space="preserve"> que apoyan la experimentación y la innovación.</w:t>
                            </w:r>
                          </w:p>
                          <w:p w:rsidR="008D2E0D" w:rsidRPr="0079762F" w:rsidRDefault="008D2E0D" w:rsidP="008A0CFF">
                            <w:pPr>
                              <w:pStyle w:val="HStandard"/>
                              <w:ind w:left="567" w:hanging="567"/>
                              <w:rPr>
                                <w:i/>
                                <w:sz w:val="18"/>
                                <w:szCs w:val="18"/>
                              </w:rPr>
                            </w:pPr>
                            <w:r>
                              <w:rPr>
                                <w:b/>
                                <w:color w:val="F07E31"/>
                                <w:sz w:val="18"/>
                              </w:rPr>
                              <w:t>Consolidar un entorno propicio para la innovación:</w:t>
                            </w:r>
                          </w:p>
                          <w:p w:rsidR="008D2E0D" w:rsidRPr="00ED3BAD" w:rsidRDefault="008D2E0D" w:rsidP="008A0CFF">
                            <w:pPr>
                              <w:pStyle w:val="HStandard"/>
                              <w:numPr>
                                <w:ilvl w:val="0"/>
                                <w:numId w:val="29"/>
                              </w:numPr>
                              <w:ind w:left="567" w:hanging="567"/>
                              <w:rPr>
                                <w:sz w:val="18"/>
                                <w:szCs w:val="18"/>
                              </w:rPr>
                            </w:pPr>
                            <w:r>
                              <w:rPr>
                                <w:sz w:val="18"/>
                              </w:rPr>
                              <w:t xml:space="preserve">Participar en las actividades de las redes europeas, y contribuir a las mismas, en particular la </w:t>
                            </w:r>
                            <w:proofErr w:type="spellStart"/>
                            <w:r>
                              <w:rPr>
                                <w:sz w:val="18"/>
                              </w:rPr>
                              <w:t>REDR</w:t>
                            </w:r>
                            <w:proofErr w:type="spellEnd"/>
                            <w:r>
                              <w:rPr>
                                <w:sz w:val="18"/>
                              </w:rPr>
                              <w:t xml:space="preserve"> y la </w:t>
                            </w:r>
                            <w:proofErr w:type="spellStart"/>
                            <w:r>
                              <w:rPr>
                                <w:sz w:val="18"/>
                              </w:rPr>
                              <w:t>AEI</w:t>
                            </w:r>
                            <w:proofErr w:type="spellEnd"/>
                            <w:r>
                              <w:rPr>
                                <w:sz w:val="18"/>
                              </w:rPr>
                              <w:t>-AGRI, puede ofrecer la posibilidad de fomentar un entorno propicio para la innovación a través de estas redes.</w:t>
                            </w:r>
                          </w:p>
                          <w:p w:rsidR="008D2E0D" w:rsidRPr="00547012" w:rsidRDefault="008D2E0D" w:rsidP="00547012">
                            <w:pPr>
                              <w:pStyle w:val="HStandard"/>
                              <w:numPr>
                                <w:ilvl w:val="0"/>
                                <w:numId w:val="29"/>
                              </w:numPr>
                              <w:ind w:left="567" w:hanging="567"/>
                              <w:rPr>
                                <w:sz w:val="18"/>
                                <w:szCs w:val="18"/>
                              </w:rPr>
                            </w:pPr>
                            <w:r>
                              <w:rPr>
                                <w:sz w:val="18"/>
                              </w:rPr>
                              <w:t xml:space="preserve">Las </w:t>
                            </w:r>
                            <w:proofErr w:type="spellStart"/>
                            <w:r>
                              <w:rPr>
                                <w:sz w:val="18"/>
                              </w:rPr>
                              <w:t>RRN</w:t>
                            </w:r>
                            <w:proofErr w:type="spellEnd"/>
                            <w:r>
                              <w:rPr>
                                <w:sz w:val="18"/>
                              </w:rPr>
                              <w:t xml:space="preserve"> pueden potenciar la innovación poniendo en contacto a los agentes de la innovación (agricultores, investigadores, ONG, GAL, etc.), recopilando información, dinamizando las iniciativas ascendentes, ayudando a perfeccionar las ideas innovadoras y prestando apoyo a la búsqueda de socios y financiación, todo lo cual contribuye a la creación de un entorno propicio para la innovación.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5A5B4" id="Rectangle: Diagonal Corners Rounded 28" o:spid="_x0000_s1050" style="position:absolute;left:0;text-align:left;margin-left:0;margin-top:23.5pt;width:455.15pt;height:59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0405,7610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" adj="-11796480,,5400" path="m349946,l5780405,r,l5780405,7260529v,193270,-156676,349946,-349946,349946l,7610475r,l,349946c,156676,156676,,349946,xe" filled="f" strokecolor="#f07e31" strokeweight="2pt">
                <v:stroke joinstyle="miter"/>
                <v:formulas/>
                <v:path arrowok="t" o:connecttype="custom" o:connectlocs="349946,0;5780405,0;5780405,0;5780405,7260529;5430459,7610475;0,7610475;0,7610475;0,349946;349946,0" o:connectangles="0,0,0,0,0,0,0,0,0" textboxrect="0,0,5780405,7610475"/>
                <v:textbox>
                  <w:txbxContent>
                    <w:p w:rsidR="008D2E0D" w:rsidRPr="0079762F" w:rsidRDefault="008D2E0D" w:rsidP="00E05D08">
                      <w:pPr>
                        <w:pStyle w:val="HStandard"/>
                        <w:ind w:left="567" w:hanging="567"/>
                        <w:rPr>
                          <w:i/>
                          <w:sz w:val="18"/>
                          <w:szCs w:val="18"/>
                        </w:rPr>
                      </w:pPr>
                      <w:r>
                        <w:rPr>
                          <w:noProof/>
                          <w:sz w:val="18"/>
                          <w:szCs w:val="18"/>
                          <w:lang w:val="en-GB" w:eastAsia="en-GB" w:bidi="ar-SA"/>
                        </w:rPr>
                        <w:drawing>
                          <wp:inline distT="0" distB="0" distL="0" distR="0" wp14:anchorId="5D8C28F9" wp14:editId="650CB48B">
                            <wp:extent cx="353060" cy="359410"/>
                            <wp:effectExtent l="0" t="0" r="8890" b="2540"/>
                            <wp:docPr id="71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rPr>
                        <w:t>Impulsar nuevas ideas y el intercambio de innovaciones:</w:t>
                      </w:r>
                    </w:p>
                    <w:p w:rsidR="008D2E0D" w:rsidRPr="0079762F" w:rsidRDefault="008D2E0D" w:rsidP="008C0B17">
                      <w:pPr>
                        <w:pStyle w:val="HStandard"/>
                        <w:numPr>
                          <w:ilvl w:val="0"/>
                          <w:numId w:val="26"/>
                        </w:numPr>
                        <w:ind w:left="567" w:hanging="567"/>
                        <w:rPr>
                          <w:sz w:val="18"/>
                          <w:szCs w:val="18"/>
                        </w:rPr>
                      </w:pPr>
                      <w:r>
                        <w:rPr>
                          <w:sz w:val="18"/>
                        </w:rPr>
                        <w:t>Recopilación de ejemplos de proyectos que abarquen todas las prioridades de los programas de desarrollo rural: pueden centrarse, por ejemplo, en proyectos innovadores o en la creación de bases de datos de proyectos innovadores y contribuir, por lo tanto, a la identificación y el intercambio de innovaciones.</w:t>
                      </w:r>
                    </w:p>
                    <w:p w:rsidR="008D2E0D" w:rsidRPr="0079762F" w:rsidRDefault="008D2E0D" w:rsidP="008C0B17">
                      <w:pPr>
                        <w:pStyle w:val="HStandard"/>
                        <w:numPr>
                          <w:ilvl w:val="0"/>
                          <w:numId w:val="26"/>
                        </w:numPr>
                        <w:ind w:left="567" w:hanging="567"/>
                        <w:rPr>
                          <w:sz w:val="18"/>
                          <w:szCs w:val="18"/>
                        </w:rPr>
                      </w:pPr>
                      <w:r>
                        <w:rPr>
                          <w:sz w:val="18"/>
                        </w:rPr>
                        <w:t>Facilitación de intercambios temáticos y analíticos entre los interesados en el desarrollo rural e intercambio y divulgación de los resultados. Estos intercambios también pueden potenciar la innovación mediante el impulso y el intercambio de nuevas ideas y la creación de las condiciones para el desarrollo de nuevos conocimientos.</w:t>
                      </w:r>
                    </w:p>
                    <w:p w:rsidR="008D2E0D" w:rsidRDefault="008D2E0D" w:rsidP="008C0B17">
                      <w:pPr>
                        <w:pStyle w:val="HStandard"/>
                        <w:numPr>
                          <w:ilvl w:val="0"/>
                          <w:numId w:val="26"/>
                        </w:numPr>
                        <w:ind w:left="567" w:hanging="567"/>
                        <w:rPr>
                          <w:sz w:val="18"/>
                          <w:szCs w:val="18"/>
                        </w:rPr>
                      </w:pPr>
                      <w:r>
                        <w:rPr>
                          <w:sz w:val="18"/>
                        </w:rPr>
                        <w:t xml:space="preserve">Publicidad e información sobre el </w:t>
                      </w:r>
                      <w:proofErr w:type="spellStart"/>
                      <w:r>
                        <w:rPr>
                          <w:sz w:val="18"/>
                        </w:rPr>
                        <w:t>PDR</w:t>
                      </w:r>
                      <w:proofErr w:type="spellEnd"/>
                      <w:r>
                        <w:rPr>
                          <w:sz w:val="18"/>
                        </w:rPr>
                        <w:t xml:space="preserve"> y actividades de información y comunicación dirigidas a un público amplio. Pueden incluir, entre otras cosas, información sobre las realizaciones del </w:t>
                      </w:r>
                      <w:proofErr w:type="spellStart"/>
                      <w:r>
                        <w:rPr>
                          <w:sz w:val="18"/>
                        </w:rPr>
                        <w:t>PDR</w:t>
                      </w:r>
                      <w:proofErr w:type="spellEnd"/>
                      <w:r>
                        <w:rPr>
                          <w:sz w:val="18"/>
                        </w:rPr>
                        <w:t xml:space="preserve"> relacionadas con la innovación, los logros de los </w:t>
                      </w:r>
                      <w:proofErr w:type="spellStart"/>
                      <w:r>
                        <w:rPr>
                          <w:sz w:val="18"/>
                        </w:rPr>
                        <w:t>GO</w:t>
                      </w:r>
                      <w:proofErr w:type="spellEnd"/>
                      <w:r>
                        <w:rPr>
                          <w:sz w:val="18"/>
                        </w:rPr>
                        <w:t xml:space="preserve"> de la </w:t>
                      </w:r>
                      <w:proofErr w:type="spellStart"/>
                      <w:r>
                        <w:rPr>
                          <w:sz w:val="18"/>
                        </w:rPr>
                        <w:t>AEI</w:t>
                      </w:r>
                      <w:proofErr w:type="spellEnd"/>
                      <w:r>
                        <w:rPr>
                          <w:sz w:val="18"/>
                        </w:rPr>
                        <w:t>, cómo las estrategias y asociaciones del DLP impulsan la innovación y ofrecer ejemplos de tales asociaciones y proyectos innovadores de Leader/DLP, etc.</w:t>
                      </w:r>
                    </w:p>
                    <w:p w:rsidR="008D2E0D" w:rsidRPr="00E05D08" w:rsidRDefault="008D2E0D" w:rsidP="008A0CFF">
                      <w:pPr>
                        <w:pStyle w:val="HStandard"/>
                        <w:rPr>
                          <w:b/>
                          <w:color w:val="F07E31"/>
                          <w:sz w:val="18"/>
                          <w:szCs w:val="18"/>
                        </w:rPr>
                      </w:pPr>
                      <w:r>
                        <w:rPr>
                          <w:b/>
                          <w:color w:val="F07E31"/>
                          <w:sz w:val="18"/>
                        </w:rPr>
                        <w:t>Consolidar la capacidad para innovar:</w:t>
                      </w:r>
                    </w:p>
                    <w:p w:rsidR="008D2E0D" w:rsidRPr="0079762F" w:rsidRDefault="008D2E0D" w:rsidP="008A0CFF">
                      <w:pPr>
                        <w:pStyle w:val="HStandard"/>
                        <w:numPr>
                          <w:ilvl w:val="0"/>
                          <w:numId w:val="26"/>
                        </w:numPr>
                        <w:rPr>
                          <w:sz w:val="18"/>
                          <w:szCs w:val="18"/>
                        </w:rPr>
                      </w:pPr>
                      <w:r>
                        <w:rPr>
                          <w:sz w:val="18"/>
                        </w:rPr>
                        <w:t xml:space="preserve">Prestación de actividades de formación y creación de redes para asesores y servicios de apoyo a la innovación, centradas en la innovación en la agricultura, silvicultura y otros sectores relacionados con el </w:t>
                      </w:r>
                      <w:proofErr w:type="spellStart"/>
                      <w:r>
                        <w:rPr>
                          <w:sz w:val="18"/>
                        </w:rPr>
                        <w:t>PDR</w:t>
                      </w:r>
                      <w:proofErr w:type="spellEnd"/>
                      <w:r>
                        <w:rPr>
                          <w:sz w:val="18"/>
                        </w:rPr>
                        <w:t xml:space="preserve">. La formación de asesores y de servicios de apoyo a la innovación puede, por ejemplo, facilitar la creación de </w:t>
                      </w:r>
                      <w:proofErr w:type="spellStart"/>
                      <w:r>
                        <w:rPr>
                          <w:sz w:val="18"/>
                        </w:rPr>
                        <w:t>GO</w:t>
                      </w:r>
                      <w:proofErr w:type="spellEnd"/>
                      <w:r>
                        <w:rPr>
                          <w:sz w:val="18"/>
                        </w:rPr>
                        <w:t xml:space="preserve"> de la </w:t>
                      </w:r>
                      <w:proofErr w:type="spellStart"/>
                      <w:r>
                        <w:rPr>
                          <w:sz w:val="18"/>
                        </w:rPr>
                        <w:t>AEI</w:t>
                      </w:r>
                      <w:proofErr w:type="spellEnd"/>
                      <w:r>
                        <w:rPr>
                          <w:sz w:val="18"/>
                        </w:rPr>
                        <w:t xml:space="preserve"> y, por lo tanto, contribuir a consolidar la capacidad para innovar en las zonas rurales, ya que se supone que los </w:t>
                      </w:r>
                      <w:proofErr w:type="spellStart"/>
                      <w:r>
                        <w:rPr>
                          <w:sz w:val="18"/>
                        </w:rPr>
                        <w:t>GO</w:t>
                      </w:r>
                      <w:proofErr w:type="spellEnd"/>
                      <w:r>
                        <w:rPr>
                          <w:sz w:val="18"/>
                        </w:rPr>
                        <w:t xml:space="preserve"> van a desarrollar proyectos innovadores.</w:t>
                      </w:r>
                    </w:p>
                    <w:p w:rsidR="008D2E0D" w:rsidRPr="00ED3BAD" w:rsidRDefault="008D2E0D" w:rsidP="008A0CFF">
                      <w:pPr>
                        <w:pStyle w:val="HStandard"/>
                        <w:numPr>
                          <w:ilvl w:val="0"/>
                          <w:numId w:val="26"/>
                        </w:numPr>
                        <w:rPr>
                          <w:sz w:val="18"/>
                          <w:szCs w:val="18"/>
                        </w:rPr>
                      </w:pPr>
                      <w:r>
                        <w:rPr>
                          <w:sz w:val="18"/>
                        </w:rPr>
                        <w:t xml:space="preserve">Prestación de actividades de formación y creación de redes para los GAL y, en particular, asistencia técnica para la cooperación interregional y transnacional, facilitación de la cooperación entre los GAL y búsqueda de socios en el marco de la </w:t>
                      </w:r>
                      <w:proofErr w:type="spellStart"/>
                      <w:r>
                        <w:rPr>
                          <w:sz w:val="18"/>
                        </w:rPr>
                        <w:t>M16</w:t>
                      </w:r>
                      <w:proofErr w:type="spellEnd"/>
                      <w:r>
                        <w:rPr>
                          <w:sz w:val="18"/>
                        </w:rPr>
                        <w:t xml:space="preserve"> (cooperación). La </w:t>
                      </w:r>
                      <w:proofErr w:type="spellStart"/>
                      <w:r>
                        <w:rPr>
                          <w:sz w:val="18"/>
                        </w:rPr>
                        <w:t>RRN</w:t>
                      </w:r>
                      <w:proofErr w:type="spellEnd"/>
                      <w:r>
                        <w:rPr>
                          <w:sz w:val="18"/>
                        </w:rPr>
                        <w:t xml:space="preserve"> puede, por ejemplo, facilitar los esfuerzos de </w:t>
                      </w:r>
                      <w:proofErr w:type="spellStart"/>
                      <w:r>
                        <w:rPr>
                          <w:sz w:val="18"/>
                        </w:rPr>
                        <w:t>coperación</w:t>
                      </w:r>
                      <w:proofErr w:type="spellEnd"/>
                      <w:r>
                        <w:rPr>
                          <w:sz w:val="18"/>
                        </w:rPr>
                        <w:t xml:space="preserve"> que apoyan la experimentación y la innovación.</w:t>
                      </w:r>
                    </w:p>
                    <w:p w:rsidR="008D2E0D" w:rsidRPr="0079762F" w:rsidRDefault="008D2E0D" w:rsidP="008A0CFF">
                      <w:pPr>
                        <w:pStyle w:val="HStandard"/>
                        <w:ind w:left="567" w:hanging="567"/>
                        <w:rPr>
                          <w:i/>
                          <w:sz w:val="18"/>
                          <w:szCs w:val="18"/>
                        </w:rPr>
                      </w:pPr>
                      <w:r>
                        <w:rPr>
                          <w:b/>
                          <w:color w:val="F07E31"/>
                          <w:sz w:val="18"/>
                        </w:rPr>
                        <w:t>Consolidar un entorno propicio para la innovación:</w:t>
                      </w:r>
                    </w:p>
                    <w:p w:rsidR="008D2E0D" w:rsidRPr="00ED3BAD" w:rsidRDefault="008D2E0D" w:rsidP="008A0CFF">
                      <w:pPr>
                        <w:pStyle w:val="HStandard"/>
                        <w:numPr>
                          <w:ilvl w:val="0"/>
                          <w:numId w:val="29"/>
                        </w:numPr>
                        <w:ind w:left="567" w:hanging="567"/>
                        <w:rPr>
                          <w:sz w:val="18"/>
                          <w:szCs w:val="18"/>
                        </w:rPr>
                      </w:pPr>
                      <w:r>
                        <w:rPr>
                          <w:sz w:val="18"/>
                        </w:rPr>
                        <w:t xml:space="preserve">Participar en las actividades de las redes europeas, y contribuir a las mismas, en particular la </w:t>
                      </w:r>
                      <w:proofErr w:type="spellStart"/>
                      <w:r>
                        <w:rPr>
                          <w:sz w:val="18"/>
                        </w:rPr>
                        <w:t>REDR</w:t>
                      </w:r>
                      <w:proofErr w:type="spellEnd"/>
                      <w:r>
                        <w:rPr>
                          <w:sz w:val="18"/>
                        </w:rPr>
                        <w:t xml:space="preserve"> y la </w:t>
                      </w:r>
                      <w:proofErr w:type="spellStart"/>
                      <w:r>
                        <w:rPr>
                          <w:sz w:val="18"/>
                        </w:rPr>
                        <w:t>AEI</w:t>
                      </w:r>
                      <w:proofErr w:type="spellEnd"/>
                      <w:r>
                        <w:rPr>
                          <w:sz w:val="18"/>
                        </w:rPr>
                        <w:t>-AGRI, puede ofrecer la posibilidad de fomentar un entorno propicio para la innovación a través de estas redes.</w:t>
                      </w:r>
                    </w:p>
                    <w:p w:rsidR="008D2E0D" w:rsidRPr="00547012" w:rsidRDefault="008D2E0D" w:rsidP="00547012">
                      <w:pPr>
                        <w:pStyle w:val="HStandard"/>
                        <w:numPr>
                          <w:ilvl w:val="0"/>
                          <w:numId w:val="29"/>
                        </w:numPr>
                        <w:ind w:left="567" w:hanging="567"/>
                        <w:rPr>
                          <w:sz w:val="18"/>
                          <w:szCs w:val="18"/>
                        </w:rPr>
                      </w:pPr>
                      <w:r>
                        <w:rPr>
                          <w:sz w:val="18"/>
                        </w:rPr>
                        <w:t xml:space="preserve">Las </w:t>
                      </w:r>
                      <w:proofErr w:type="spellStart"/>
                      <w:r>
                        <w:rPr>
                          <w:sz w:val="18"/>
                        </w:rPr>
                        <w:t>RRN</w:t>
                      </w:r>
                      <w:proofErr w:type="spellEnd"/>
                      <w:r>
                        <w:rPr>
                          <w:sz w:val="18"/>
                        </w:rPr>
                        <w:t xml:space="preserve"> pueden potenciar la innovación poniendo en contacto a los agentes de la innovación (agricultores, investigadores, ONG, GAL, etc.), recopilando información, dinamizando las iniciativas ascendentes, ayudando a perfeccionar las ideas innovadoras y prestando apoyo a la búsqueda de socios y financiación, todo lo cual contribuye a la creación de un entorno propicio para la innovación.</w:t>
                      </w:r>
                    </w:p>
                  </w:txbxContent>
                </v:textbox>
                <w10:wrap type="tight"/>
              </v:shape>
            </w:pict>
          </mc:Fallback>
        </mc:AlternateContent>
      </w:r>
    </w:p>
    <w:p w:rsidR="00A45935" w:rsidRPr="009E6414" w:rsidRDefault="00A45935" w:rsidP="00E05D08">
      <w:pPr>
        <w:spacing w:before="120" w:after="120" w:line="280" w:lineRule="atLeast"/>
        <w:mirrorIndents/>
        <w:rPr>
          <w:rFonts w:eastAsia="Times New Roman" w:cs="Times New Roman"/>
          <w:noProof/>
          <w:szCs w:val="20"/>
          <w:lang w:val="es-ES_tradnl"/>
        </w:rPr>
        <w:sectPr w:rsidR="00A45935" w:rsidRPr="009E6414"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9E6414" w:rsidRDefault="00A45935" w:rsidP="00E05D08">
      <w:pPr>
        <w:spacing w:before="120" w:after="120" w:line="280" w:lineRule="atLeast"/>
        <w:mirrorIndents/>
        <w:rPr>
          <w:rFonts w:eastAsia="Times New Roman" w:cs="Times New Roman"/>
          <w:noProof/>
          <w:szCs w:val="20"/>
          <w:lang w:val="es-ES_tradnl"/>
        </w:rPr>
      </w:pPr>
      <w:r w:rsidRPr="009E6414">
        <w:rPr>
          <w:noProof/>
          <w:lang w:val="es-ES_tradnl"/>
        </w:rPr>
        <w:t>Cabe señalar que esta pregunta de evaluación no solo se refiere a la potenciación de la innovación de las RRN en la agricultura sino que abarca las zonas rurales en su totalidad. A la hora de potenciar la innovación y aportar «algo nuevo» a las comunidades rurales las RRN pueden ser activas de muchas formas, como por ejemplo:</w:t>
      </w:r>
    </w:p>
    <w:p w:rsidR="00A45935" w:rsidRPr="009E6414" w:rsidRDefault="00A45935" w:rsidP="008C0B17">
      <w:pPr>
        <w:numPr>
          <w:ilvl w:val="0"/>
          <w:numId w:val="27"/>
        </w:numPr>
        <w:spacing w:before="60" w:after="120" w:line="280" w:lineRule="atLeast"/>
        <w:ind w:left="567" w:hanging="567"/>
        <w:rPr>
          <w:rFonts w:eastAsia="Times New Roman" w:cs="Times New Roman"/>
          <w:noProof/>
          <w:szCs w:val="20"/>
          <w:lang w:val="es-ES_tradnl"/>
        </w:rPr>
      </w:pPr>
      <w:r w:rsidRPr="009E6414">
        <w:rPr>
          <w:noProof/>
          <w:lang w:val="es-ES_tradnl"/>
        </w:rPr>
        <w:lastRenderedPageBreak/>
        <w:t>trabajando con organizaciones rurales y empresas para generar nuevas ideas y enfoques para hacer frente a necesidades comunes;</w:t>
      </w:r>
    </w:p>
    <w:p w:rsidR="00A45935" w:rsidRPr="009E6414" w:rsidRDefault="00A45935" w:rsidP="008C0B17">
      <w:pPr>
        <w:numPr>
          <w:ilvl w:val="0"/>
          <w:numId w:val="27"/>
        </w:numPr>
        <w:spacing w:before="60" w:after="120" w:line="280" w:lineRule="atLeast"/>
        <w:ind w:left="567" w:hanging="567"/>
        <w:rPr>
          <w:rFonts w:eastAsia="Times New Roman" w:cs="Times New Roman"/>
          <w:noProof/>
          <w:szCs w:val="20"/>
          <w:lang w:val="es-ES_tradnl"/>
        </w:rPr>
      </w:pPr>
      <w:r w:rsidRPr="009E6414">
        <w:rPr>
          <w:noProof/>
          <w:lang w:val="es-ES_tradnl"/>
        </w:rPr>
        <w:t>sacando partido de las buenas prácticas poniendo en contacto a los profesionales del desarrollo rural con expertos, institutos académicos y centros de investigación pertinentes;</w:t>
      </w:r>
    </w:p>
    <w:p w:rsidR="00A45935" w:rsidRPr="009E6414" w:rsidRDefault="00A45935" w:rsidP="008C0B17">
      <w:pPr>
        <w:numPr>
          <w:ilvl w:val="0"/>
          <w:numId w:val="27"/>
        </w:numPr>
        <w:spacing w:before="60" w:after="120" w:line="280" w:lineRule="atLeast"/>
        <w:ind w:left="567" w:hanging="567"/>
        <w:rPr>
          <w:rFonts w:eastAsia="Times New Roman" w:cs="Times New Roman"/>
          <w:noProof/>
          <w:szCs w:val="20"/>
          <w:lang w:val="es-ES_tradnl"/>
        </w:rPr>
      </w:pPr>
      <w:r w:rsidRPr="009E6414">
        <w:rPr>
          <w:noProof/>
          <w:lang w:val="es-ES_tradnl"/>
        </w:rPr>
        <w:t>proporcionando formación sobre temas específicos relacionados con la innovación;</w:t>
      </w:r>
    </w:p>
    <w:p w:rsidR="00A45935" w:rsidRPr="009E6414" w:rsidRDefault="00A45935" w:rsidP="008C0B17">
      <w:pPr>
        <w:numPr>
          <w:ilvl w:val="0"/>
          <w:numId w:val="27"/>
        </w:numPr>
        <w:spacing w:before="60" w:after="120" w:line="280" w:lineRule="atLeast"/>
        <w:ind w:left="567" w:hanging="567"/>
        <w:rPr>
          <w:rFonts w:eastAsia="Times New Roman" w:cs="Times New Roman"/>
          <w:noProof/>
          <w:szCs w:val="20"/>
          <w:lang w:val="es-ES_tradnl"/>
        </w:rPr>
      </w:pPr>
      <w:r w:rsidRPr="009E6414">
        <w:rPr>
          <w:noProof/>
          <w:lang w:val="es-ES_tradnl"/>
        </w:rPr>
        <w:t xml:space="preserve">ayudando a los GAL y a las partes interesadas de Leader a apoyar la innovación como un principio fundamental de sus estrategias de desarrollo local e «incubar» nuevas ideas y planteamientos.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Por lo tanto, antes de abordar la PCE n.º 21, es importante aclarar estos aspectos y llegar a entender correctamente cómo una RNN determinada puede potenciar la innovación a través de sus actividades.</w:t>
      </w:r>
    </w:p>
    <w:p w:rsidR="00A45935" w:rsidRPr="009E6414" w:rsidRDefault="00A45935" w:rsidP="00E05D08">
      <w:pPr>
        <w:keepNext/>
        <w:keepLines/>
        <w:tabs>
          <w:tab w:val="left" w:pos="680"/>
        </w:tabs>
        <w:spacing w:before="240" w:after="240" w:line="280" w:lineRule="atLeast"/>
        <w:mirrorIndents/>
        <w:outlineLvl w:val="3"/>
        <w:rPr>
          <w:rFonts w:eastAsia="Calibri" w:cs="Times New Roman"/>
          <w:b/>
          <w:noProof/>
          <w:color w:val="57825E"/>
          <w:szCs w:val="20"/>
          <w:shd w:val="clear" w:color="auto" w:fill="FFFFFF"/>
          <w:lang w:val="es-ES_tradnl"/>
        </w:rPr>
      </w:pPr>
      <w:r w:rsidRPr="009E6414">
        <w:rPr>
          <w:b/>
          <w:noProof/>
          <w:color w:val="57825E"/>
          <w:shd w:val="clear" w:color="auto" w:fill="FFFFFF"/>
          <w:lang w:val="es-ES_tradnl"/>
        </w:rPr>
        <w:t xml:space="preserve">Retos específicos </w:t>
      </w:r>
    </w:p>
    <w:p w:rsidR="00A45935" w:rsidRPr="009E6414" w:rsidRDefault="00A45935" w:rsidP="00547012">
      <w:pPr>
        <w:pStyle w:val="Hlistbullet"/>
        <w:rPr>
          <w:noProof/>
          <w:lang w:val="es-ES_tradnl"/>
        </w:rPr>
      </w:pPr>
      <w:r w:rsidRPr="009E6414">
        <w:rPr>
          <w:b/>
          <w:noProof/>
          <w:shd w:val="clear" w:color="auto" w:fill="FFFFFF"/>
          <w:lang w:val="es-ES_tradnl"/>
        </w:rPr>
        <w:t>Elaborar elementos de evaluación complementarios y específicos del programa para evaluar la innovación en relación con las RRN</w:t>
      </w:r>
      <w:r w:rsidRPr="009E6414">
        <w:rPr>
          <w:noProof/>
          <w:lang w:val="es-ES_tradnl"/>
        </w:rPr>
        <w:t xml:space="preserve">. ¿Cómo se pueden diseñar y utilizar indicadores complementarios (de resultados y de impacto) además de los indicadores de productividad ya previstos por el SCSE para responder a la PCE n.º 21, desde el punto de vista de la potenciación de la innovación? </w:t>
      </w:r>
    </w:p>
    <w:p w:rsidR="00A45935" w:rsidRPr="009E6414" w:rsidRDefault="00A45935" w:rsidP="00547012">
      <w:pPr>
        <w:pStyle w:val="Hlistbullet"/>
        <w:rPr>
          <w:noProof/>
          <w:lang w:val="es-ES_tradnl"/>
        </w:rPr>
      </w:pPr>
      <w:r w:rsidRPr="009E6414">
        <w:rPr>
          <w:b/>
          <w:noProof/>
          <w:shd w:val="clear" w:color="auto" w:fill="FFFFFF"/>
          <w:lang w:val="es-ES_tradnl"/>
        </w:rPr>
        <w:t xml:space="preserve">Atribuir los procesos de innovación a las intervenciones de la RRN. </w:t>
      </w:r>
      <w:r w:rsidRPr="009E6414">
        <w:rPr>
          <w:noProof/>
          <w:lang w:val="es-ES_tradnl"/>
        </w:rPr>
        <w:t>¿Cómo se puede medir en qué medida los procesos de innovación generados en las zonas rurales pueden atribuirse directa o indirectamente a las actividades de la RRN?</w:t>
      </w:r>
    </w:p>
    <w:p w:rsidR="00A45935" w:rsidRPr="009E6414" w:rsidRDefault="00A45935" w:rsidP="00547012">
      <w:pPr>
        <w:pStyle w:val="Hlistbullet"/>
        <w:rPr>
          <w:noProof/>
          <w:lang w:val="es-ES_tradnl"/>
        </w:rPr>
      </w:pPr>
      <w:r w:rsidRPr="009E6414">
        <w:rPr>
          <w:b/>
          <w:noProof/>
          <w:lang w:val="es-ES_tradnl"/>
        </w:rPr>
        <w:t>Atribuir la innovación fomentada a través del PDR a la RRN</w:t>
      </w:r>
      <w:r w:rsidRPr="009E6414">
        <w:rPr>
          <w:noProof/>
          <w:lang w:val="es-ES_tradnl"/>
        </w:rPr>
        <w:t xml:space="preserve">, particularmente valorando en qué medida la innovación fomentada a través del PDR puede vincularse con las actividades de la RRN. Esto significa que los efectos de las actividades de la RRN para potenciar la innovación deben aislarse de los efectos de otras intervenciones del PDR (otras medidas, etc.). </w:t>
      </w:r>
    </w:p>
    <w:p w:rsidR="00A45935" w:rsidRPr="009E6414" w:rsidRDefault="00A45935" w:rsidP="00E05D08">
      <w:pPr>
        <w:keepNext/>
        <w:keepLines/>
        <w:tabs>
          <w:tab w:val="left" w:pos="680"/>
        </w:tabs>
        <w:spacing w:before="240" w:after="240" w:line="280" w:lineRule="atLeast"/>
        <w:mirrorIndents/>
        <w:outlineLvl w:val="3"/>
        <w:rPr>
          <w:rFonts w:eastAsia="Calibri" w:cs="Times New Roman"/>
          <w:b/>
          <w:noProof/>
          <w:color w:val="57825E"/>
          <w:szCs w:val="20"/>
          <w:shd w:val="clear" w:color="auto" w:fill="FFFFFF"/>
          <w:lang w:val="es-ES_tradnl"/>
        </w:rPr>
      </w:pPr>
      <w:r w:rsidRPr="009E6414">
        <w:rPr>
          <w:b/>
          <w:noProof/>
          <w:color w:val="57825E"/>
          <w:shd w:val="clear" w:color="auto" w:fill="FFFFFF"/>
          <w:lang w:val="es-ES_tradnl"/>
        </w:rPr>
        <w:t>Planteamiento propuesto para responder a la PCE n.º 21</w:t>
      </w:r>
    </w:p>
    <w:p w:rsidR="00A45935" w:rsidRPr="009E6414" w:rsidRDefault="00A45935" w:rsidP="008C0B17">
      <w:pPr>
        <w:numPr>
          <w:ilvl w:val="0"/>
          <w:numId w:val="60"/>
        </w:numPr>
        <w:spacing w:before="120" w:after="120" w:line="280" w:lineRule="atLeast"/>
        <w:ind w:left="567" w:hanging="567"/>
        <w:mirrorIndents/>
        <w:rPr>
          <w:rFonts w:eastAsia="Times New Roman" w:cs="Times New Roman"/>
          <w:b/>
          <w:noProof/>
          <w:szCs w:val="20"/>
          <w:lang w:val="es-ES_tradnl"/>
        </w:rPr>
      </w:pPr>
      <w:r w:rsidRPr="009E6414">
        <w:rPr>
          <w:b/>
          <w:noProof/>
          <w:lang w:val="es-ES_tradnl"/>
        </w:rPr>
        <w:t xml:space="preserve">Lógica de intervención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El planteamiento del PDR hacia la innovación, establecido durante la concepción del programa</w:t>
      </w:r>
      <w:r w:rsidRPr="009E6414">
        <w:rPr>
          <w:noProof/>
          <w:vertAlign w:val="superscript"/>
          <w:lang w:val="es-ES_tradnl"/>
        </w:rPr>
        <w:footnoteReference w:id="61"/>
      </w:r>
      <w:r w:rsidRPr="009E6414">
        <w:rPr>
          <w:noProof/>
          <w:lang w:val="es-ES_tradnl"/>
        </w:rPr>
        <w:t>, también incluye la RRN. Al preparar la evaluación que debe incluirse en el IAE que se presentará en 2019, debe examinarse el grupo de medidas de la RRN incluidas en el plan de acción de la RRN para determinar su potencial para fomentar la innovación del mismo modo que las medidas del PDR. Esto hace referencia al potencial de la RRN para: a) identificar y compartir nuevas ideas, b) consolidar la capacidad para innovar y c) crear un entorno propicio para la innovación. Por consiguiente, todas las actividades ejecutadas en el marco del grupo de medidas de la RRN que han mostrado potencial de innovación se adoptan como parte de la lógica de intervención subyacente de la RRN relacionada con la innovación.</w:t>
      </w:r>
    </w:p>
    <w:p w:rsidR="00A45935" w:rsidRPr="009E6414" w:rsidRDefault="00A45935" w:rsidP="006E2A31">
      <w:pPr>
        <w:pStyle w:val="HStandard"/>
        <w:rPr>
          <w:b/>
          <w:noProof/>
          <w:sz w:val="16"/>
          <w:lang w:val="es-ES_tradnl"/>
        </w:rPr>
      </w:pPr>
      <w:r w:rsidRPr="009E6414">
        <w:rPr>
          <w:noProof/>
          <w:lang w:val="es-ES_tradnl"/>
        </w:rPr>
        <w:t xml:space="preserve">La figura que aparece a continuación ilustra la lógica de intervención de la RRN relacionada con la innovación y cómo se puede reconstruir a partir de la lógica de intervención existente de la RRN o del plan de acción de la RRN. </w:t>
      </w:r>
      <w:r w:rsidRPr="009E6414">
        <w:rPr>
          <w:noProof/>
          <w:lang w:val="es-ES_tradnl"/>
        </w:rPr>
        <w:br w:type="page"/>
      </w:r>
    </w:p>
    <w:p w:rsidR="00A45935" w:rsidRPr="009E6414" w:rsidRDefault="00A45935" w:rsidP="00676B41">
      <w:pPr>
        <w:pStyle w:val="HHeadingfigures"/>
      </w:pPr>
      <w:bookmarkStart w:id="25" w:name="_Toc508707937"/>
      <w:r w:rsidRPr="009E6414">
        <w:lastRenderedPageBreak/>
        <w:t>Lógica de intervención de la RRN con respecto a la innovación</w:t>
      </w:r>
      <w:bookmarkEnd w:id="25"/>
    </w:p>
    <w:p w:rsidR="00A45935" w:rsidRPr="009E6414" w:rsidRDefault="006172D0" w:rsidP="00E05D08">
      <w:pPr>
        <w:spacing w:before="240" w:after="120" w:line="280" w:lineRule="atLeast"/>
        <w:ind w:left="-142"/>
        <w:mirrorIndents/>
        <w:jc w:val="center"/>
        <w:rPr>
          <w:rFonts w:eastAsia="Times New Roman" w:cs="Times New Roman"/>
          <w:b/>
          <w:noProof/>
          <w:szCs w:val="20"/>
          <w:lang w:val="es-ES_tradnl"/>
        </w:rPr>
      </w:pPr>
      <w:r w:rsidRPr="006172D0">
        <w:rPr>
          <w:noProof/>
          <w:lang w:val="en-GB" w:eastAsia="en-GB" w:bidi="ar-SA"/>
        </w:rPr>
        <w:drawing>
          <wp:inline distT="0" distB="0" distL="0" distR="0">
            <wp:extent cx="5729605" cy="3634740"/>
            <wp:effectExtent l="0" t="0" r="4445" b="381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9605" cy="3634740"/>
                    </a:xfrm>
                    <a:prstGeom prst="rect">
                      <a:avLst/>
                    </a:prstGeom>
                    <a:noFill/>
                    <a:ln>
                      <a:noFill/>
                    </a:ln>
                  </pic:spPr>
                </pic:pic>
              </a:graphicData>
            </a:graphic>
          </wp:inline>
        </w:drawing>
      </w:r>
    </w:p>
    <w:p w:rsidR="00A45935" w:rsidRPr="009E6414" w:rsidRDefault="00A45935" w:rsidP="00177C4F">
      <w:pPr>
        <w:suppressAutoHyphens/>
        <w:spacing w:before="60" w:after="140" w:line="240" w:lineRule="auto"/>
        <w:mirrorIndents/>
        <w:jc w:val="center"/>
        <w:rPr>
          <w:rFonts w:eastAsia="Times New Roman" w:cs="Times New Roman"/>
          <w:i/>
          <w:noProof/>
          <w:sz w:val="16"/>
          <w:szCs w:val="20"/>
          <w:lang w:val="es-ES_tradnl"/>
        </w:rPr>
      </w:pPr>
      <w:r w:rsidRPr="009E6414">
        <w:rPr>
          <w:i/>
          <w:noProof/>
          <w:sz w:val="16"/>
          <w:lang w:val="es-ES_tradnl"/>
        </w:rPr>
        <w:t>Fuente: Servicio de asistencia de evaluación europeo para el desarrollo rural, 2017</w:t>
      </w:r>
    </w:p>
    <w:p w:rsidR="00A45935" w:rsidRPr="009E6414" w:rsidRDefault="00A45935" w:rsidP="00E05D08">
      <w:pPr>
        <w:spacing w:before="120" w:after="120" w:line="280" w:lineRule="atLeast"/>
        <w:mirrorIndents/>
        <w:rPr>
          <w:rFonts w:eastAsia="Times New Roman" w:cs="Times New Roman"/>
          <w:noProof/>
          <w:szCs w:val="20"/>
          <w:lang w:val="es-ES_tradnl"/>
        </w:rPr>
      </w:pPr>
      <w:r w:rsidRPr="009E6414">
        <w:rPr>
          <w:noProof/>
          <w:lang w:val="es-ES_tradnl"/>
        </w:rPr>
        <w:t>Si nos basamos en la figura, se puede reconstruir una lógica de intervención de la RRN relacionada con la intervención del siguiente modo:</w:t>
      </w:r>
    </w:p>
    <w:p w:rsidR="00A45935" w:rsidRPr="009E6414" w:rsidRDefault="00A45935" w:rsidP="00676B41">
      <w:pPr>
        <w:pStyle w:val="Hlistbullet"/>
        <w:rPr>
          <w:noProof/>
          <w:lang w:val="es-ES_tradnl"/>
        </w:rPr>
      </w:pPr>
      <w:r w:rsidRPr="009E6414">
        <w:rPr>
          <w:b/>
          <w:noProof/>
          <w:lang w:val="es-ES_tradnl"/>
        </w:rPr>
        <w:t>FASE 1:</w:t>
      </w:r>
      <w:r w:rsidRPr="009E6414">
        <w:rPr>
          <w:noProof/>
          <w:lang w:val="es-ES_tradnl"/>
        </w:rPr>
        <w:t xml:space="preserve"> Determinar las necesidades de innovación del territorio del PDR que pueden abordarse a través de las redes rurales. </w:t>
      </w:r>
    </w:p>
    <w:p w:rsidR="00A45935" w:rsidRPr="009E6414" w:rsidRDefault="00A45935" w:rsidP="00676B41">
      <w:pPr>
        <w:pStyle w:val="Hlistbullet"/>
        <w:rPr>
          <w:noProof/>
          <w:lang w:val="es-ES_tradnl"/>
        </w:rPr>
      </w:pPr>
      <w:r w:rsidRPr="009E6414">
        <w:rPr>
          <w:b/>
          <w:noProof/>
          <w:lang w:val="es-ES_tradnl"/>
        </w:rPr>
        <w:t>FASE 2:</w:t>
      </w:r>
      <w:r w:rsidRPr="009E6414">
        <w:rPr>
          <w:noProof/>
          <w:lang w:val="es-ES_tradnl"/>
        </w:rPr>
        <w:t xml:space="preserve"> Vincular las actividades enumeradas en el plan de acción de la RRN (y predefinidas el marco reglamentario del período de programación 2014-2020</w:t>
      </w:r>
      <w:r w:rsidRPr="009E6414">
        <w:rPr>
          <w:noProof/>
          <w:vertAlign w:val="superscript"/>
          <w:lang w:val="es-ES_tradnl"/>
        </w:rPr>
        <w:footnoteReference w:id="62"/>
      </w:r>
      <w:r w:rsidRPr="009E6414">
        <w:rPr>
          <w:noProof/>
          <w:lang w:val="es-ES_tradnl"/>
        </w:rPr>
        <w:t xml:space="preserve">) a las tres vías y, por consiguiente, al objetivo general de potenciar la innovación a través de la RRN (a partir del análisis del potencial de innovación de las medidas - véase el </w:t>
      </w:r>
      <w:hyperlink w:anchor="Screening_Potential" w:history="1">
        <w:r w:rsidRPr="009E6414">
          <w:rPr>
            <w:rStyle w:val="Hyperlink"/>
            <w:noProof/>
            <w:sz w:val="20"/>
            <w:lang w:val="es-ES_tradnl"/>
          </w:rPr>
          <w:t>capítulo 2.2</w:t>
        </w:r>
      </w:hyperlink>
      <w:r w:rsidRPr="009E6414">
        <w:rPr>
          <w:noProof/>
          <w:lang w:val="es-ES_tradnl"/>
        </w:rPr>
        <w:t>)</w:t>
      </w:r>
    </w:p>
    <w:p w:rsidR="00A45935" w:rsidRPr="009E6414" w:rsidRDefault="00A45935" w:rsidP="00676B41">
      <w:pPr>
        <w:pStyle w:val="Hlistbullet"/>
        <w:rPr>
          <w:noProof/>
          <w:lang w:val="es-ES_tradnl"/>
        </w:rPr>
      </w:pPr>
      <w:r w:rsidRPr="009E6414">
        <w:rPr>
          <w:b/>
          <w:noProof/>
          <w:lang w:val="es-ES_tradnl"/>
        </w:rPr>
        <w:t>FASE 3:</w:t>
      </w:r>
      <w:r w:rsidRPr="009E6414">
        <w:rPr>
          <w:noProof/>
          <w:lang w:val="es-ES_tradnl"/>
        </w:rPr>
        <w:t xml:space="preserve"> Utilizar la teoría del cambio para definir los rendimientos esperados, generados a través de las actividades, que entrañan los resultados esperados vinculados a las tres vías. Impactos vinculados a los objetivos comunes de la RRN y a los objetivos del PDR. </w:t>
      </w:r>
    </w:p>
    <w:p w:rsidR="00A45935" w:rsidRPr="009E6414" w:rsidRDefault="00A45935" w:rsidP="008C0B17">
      <w:pPr>
        <w:numPr>
          <w:ilvl w:val="0"/>
          <w:numId w:val="60"/>
        </w:numPr>
        <w:spacing w:before="120" w:after="120" w:line="280" w:lineRule="atLeast"/>
        <w:ind w:left="567" w:hanging="567"/>
        <w:mirrorIndents/>
        <w:rPr>
          <w:rFonts w:eastAsia="Times New Roman" w:cs="Times New Roman"/>
          <w:b/>
          <w:noProof/>
          <w:szCs w:val="20"/>
          <w:lang w:val="es-ES_tradnl"/>
        </w:rPr>
      </w:pPr>
      <w:r w:rsidRPr="009E6414">
        <w:rPr>
          <w:b/>
          <w:noProof/>
          <w:lang w:val="es-ES_tradnl"/>
        </w:rPr>
        <w:t xml:space="preserve">Elementos de evaluación </w:t>
      </w:r>
    </w:p>
    <w:p w:rsidR="00A45935" w:rsidRPr="009E6414" w:rsidRDefault="00A45935" w:rsidP="00676B41">
      <w:pPr>
        <w:spacing w:after="120" w:line="280" w:lineRule="atLeast"/>
        <w:ind w:left="142"/>
        <w:mirrorIndents/>
        <w:rPr>
          <w:rFonts w:eastAsia="Times New Roman" w:cs="Times New Roman"/>
          <w:noProof/>
          <w:szCs w:val="20"/>
          <w:lang w:val="es-ES_tradnl"/>
        </w:rPr>
      </w:pPr>
      <w:r w:rsidRPr="009E6414">
        <w:rPr>
          <w:noProof/>
          <w:lang w:val="es-ES_tradnl"/>
        </w:rPr>
        <w:t>Existe un criterio de valoración para responder a la PCE n.º 21, concretamente, «La RRN ha potenciado la innovación en la agricultura, la producción de alimentos, la silvicultura y las zonas rurales»</w:t>
      </w:r>
      <w:r w:rsidRPr="009E6414">
        <w:rPr>
          <w:noProof/>
          <w:vertAlign w:val="superscript"/>
          <w:lang w:val="es-ES_tradnl"/>
        </w:rPr>
        <w:footnoteReference w:id="63"/>
      </w:r>
      <w:r w:rsidRPr="009E6414">
        <w:rPr>
          <w:noProof/>
          <w:lang w:val="es-ES_tradnl"/>
        </w:rPr>
        <w:t>. Este criterio está respaldado por dos indicadores comunes de productividad</w:t>
      </w:r>
      <w:r w:rsidRPr="009E6414">
        <w:rPr>
          <w:noProof/>
          <w:vertAlign w:val="superscript"/>
          <w:lang w:val="es-ES_tradnl"/>
        </w:rPr>
        <w:footnoteReference w:id="64"/>
      </w:r>
      <w:r w:rsidRPr="009E6414">
        <w:rPr>
          <w:noProof/>
          <w:lang w:val="es-ES_tradnl"/>
        </w:rPr>
        <w:t>:</w:t>
      </w:r>
    </w:p>
    <w:p w:rsidR="00A45935" w:rsidRPr="009E6414" w:rsidRDefault="00A45935" w:rsidP="008C0B17">
      <w:pPr>
        <w:numPr>
          <w:ilvl w:val="0"/>
          <w:numId w:val="95"/>
        </w:numPr>
        <w:tabs>
          <w:tab w:val="left" w:pos="426"/>
        </w:tabs>
        <w:ind w:left="426" w:hanging="284"/>
        <w:mirrorIndents/>
        <w:rPr>
          <w:noProof/>
          <w:szCs w:val="20"/>
          <w:lang w:val="es-ES_tradnl"/>
        </w:rPr>
      </w:pPr>
      <w:r w:rsidRPr="009E6414">
        <w:rPr>
          <w:noProof/>
          <w:lang w:val="es-ES_tradnl"/>
        </w:rPr>
        <w:t>Número de intercambios temáticos y analíticos establecidos con ayuda de la RRN (O24)</w:t>
      </w:r>
    </w:p>
    <w:p w:rsidR="00A45935" w:rsidRPr="009E6414" w:rsidRDefault="00A45935" w:rsidP="008C0B17">
      <w:pPr>
        <w:numPr>
          <w:ilvl w:val="0"/>
          <w:numId w:val="95"/>
        </w:numPr>
        <w:tabs>
          <w:tab w:val="left" w:pos="426"/>
        </w:tabs>
        <w:ind w:left="426" w:hanging="284"/>
        <w:mirrorIndents/>
        <w:rPr>
          <w:noProof/>
          <w:szCs w:val="20"/>
          <w:lang w:val="es-ES_tradnl"/>
        </w:rPr>
      </w:pPr>
      <w:r w:rsidRPr="009E6414">
        <w:rPr>
          <w:noProof/>
          <w:lang w:val="es-ES_tradnl"/>
        </w:rPr>
        <w:t>Número de actividades de la REDR en las que haya participado la RRN (O26)</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lastRenderedPageBreak/>
        <w:t>En el cuadro 5 se proponen criterios de valoración e indicadores complementarios. A tal fin, el criterio de valoración existente ha sido desglosado en varios criterios a lo largo de las tres vías de innovación.</w:t>
      </w:r>
    </w:p>
    <w:p w:rsidR="00A45935" w:rsidRPr="009E6414" w:rsidRDefault="00A45935" w:rsidP="00E05D08">
      <w:pPr>
        <w:spacing w:after="120" w:line="280" w:lineRule="atLeast"/>
        <w:mirrorIndents/>
        <w:rPr>
          <w:rFonts w:eastAsia="Times New Roman" w:cs="Times New Roman"/>
          <w:noProof/>
          <w:szCs w:val="20"/>
          <w:lang w:val="es-ES_tradnl"/>
        </w:rPr>
        <w:sectPr w:rsidR="00A45935" w:rsidRPr="009E6414"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9E6414" w:rsidRDefault="00A45935" w:rsidP="00E05D08">
      <w:pPr>
        <w:spacing w:after="120" w:line="280" w:lineRule="atLeast"/>
        <w:mirrorIndents/>
        <w:rPr>
          <w:rFonts w:eastAsia="Times New Roman" w:cs="Times New Roman"/>
          <w:noProof/>
          <w:szCs w:val="20"/>
          <w:lang w:val="es-ES_tradnl"/>
        </w:rPr>
        <w:sectPr w:rsidR="00A45935" w:rsidRPr="009E6414"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9E6414" w:rsidRDefault="00A45935" w:rsidP="00412D26">
      <w:pPr>
        <w:pStyle w:val="HHeadingtables"/>
        <w:rPr>
          <w:noProof/>
          <w:color w:val="6F6F6F"/>
          <w:sz w:val="18"/>
          <w:szCs w:val="18"/>
          <w:lang w:val="es-ES_tradnl"/>
        </w:rPr>
      </w:pPr>
      <w:r w:rsidRPr="009E6414">
        <w:rPr>
          <w:noProof/>
          <w:color w:val="6F6F6F"/>
          <w:sz w:val="18"/>
          <w:lang w:val="es-ES_tradnl"/>
        </w:rPr>
        <w:lastRenderedPageBreak/>
        <w:t>Criterios de valoración, indicadores y datos complementarios propuestos para responder a la PCE n.º 21</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A45935" w:rsidRPr="009E6414" w:rsidTr="00E05D08">
        <w:trPr>
          <w:tblHeader/>
        </w:trPr>
        <w:tc>
          <w:tcPr>
            <w:tcW w:w="3508" w:type="dxa"/>
            <w:shd w:val="clear" w:color="auto" w:fill="F07E31"/>
          </w:tcPr>
          <w:p w:rsidR="00A45935" w:rsidRPr="009E6414" w:rsidRDefault="00A45935" w:rsidP="00E05D08">
            <w:pPr>
              <w:spacing w:after="120" w:line="280" w:lineRule="atLeast"/>
              <w:mirrorIndents/>
              <w:jc w:val="center"/>
              <w:rPr>
                <w:rFonts w:cs="Arial"/>
                <w:b/>
                <w:noProof/>
                <w:color w:val="FFFFFF"/>
                <w:sz w:val="18"/>
                <w:szCs w:val="18"/>
                <w:lang w:val="es-ES_tradnl"/>
              </w:rPr>
            </w:pPr>
            <w:r w:rsidRPr="009E6414">
              <w:rPr>
                <w:b/>
                <w:noProof/>
                <w:color w:val="FFFFFF"/>
                <w:sz w:val="18"/>
                <w:lang w:val="es-ES_tradnl"/>
              </w:rPr>
              <w:t>Criterios de valoración</w:t>
            </w:r>
          </w:p>
        </w:tc>
        <w:tc>
          <w:tcPr>
            <w:tcW w:w="3508" w:type="dxa"/>
            <w:shd w:val="clear" w:color="auto" w:fill="F07E31"/>
          </w:tcPr>
          <w:p w:rsidR="00A45935" w:rsidRPr="009E6414" w:rsidRDefault="00A45935" w:rsidP="00E05D08">
            <w:pPr>
              <w:spacing w:after="120" w:line="280" w:lineRule="atLeast"/>
              <w:mirrorIndents/>
              <w:jc w:val="center"/>
              <w:rPr>
                <w:rFonts w:cs="Arial"/>
                <w:b/>
                <w:noProof/>
                <w:color w:val="FFFFFF"/>
                <w:sz w:val="18"/>
                <w:szCs w:val="18"/>
                <w:lang w:val="es-ES_tradnl"/>
              </w:rPr>
            </w:pPr>
            <w:r w:rsidRPr="009E6414">
              <w:rPr>
                <w:b/>
                <w:noProof/>
                <w:color w:val="FFFFFF"/>
                <w:sz w:val="18"/>
                <w:lang w:val="es-ES_tradnl"/>
              </w:rPr>
              <w:t>Indicadores</w:t>
            </w:r>
          </w:p>
        </w:tc>
        <w:tc>
          <w:tcPr>
            <w:tcW w:w="3508" w:type="dxa"/>
            <w:shd w:val="clear" w:color="auto" w:fill="F07E31"/>
          </w:tcPr>
          <w:p w:rsidR="00A45935" w:rsidRPr="009E6414" w:rsidRDefault="00A45935" w:rsidP="00E05D08">
            <w:pPr>
              <w:spacing w:after="120" w:line="280" w:lineRule="atLeast"/>
              <w:mirrorIndents/>
              <w:jc w:val="center"/>
              <w:rPr>
                <w:rFonts w:cs="Arial"/>
                <w:b/>
                <w:noProof/>
                <w:color w:val="FFFFFF"/>
                <w:sz w:val="18"/>
                <w:szCs w:val="18"/>
                <w:lang w:val="es-ES_tradnl"/>
              </w:rPr>
            </w:pPr>
            <w:r w:rsidRPr="009E6414">
              <w:rPr>
                <w:b/>
                <w:noProof/>
                <w:color w:val="FFFFFF"/>
                <w:sz w:val="18"/>
                <w:lang w:val="es-ES_tradnl"/>
              </w:rPr>
              <w:t>Datos necesarios</w:t>
            </w:r>
          </w:p>
        </w:tc>
        <w:tc>
          <w:tcPr>
            <w:tcW w:w="3508" w:type="dxa"/>
            <w:shd w:val="clear" w:color="auto" w:fill="F07E31"/>
          </w:tcPr>
          <w:p w:rsidR="00A45935" w:rsidRPr="009E6414" w:rsidRDefault="00A45935" w:rsidP="00E05D08">
            <w:pPr>
              <w:spacing w:after="120" w:line="280" w:lineRule="atLeast"/>
              <w:mirrorIndents/>
              <w:jc w:val="center"/>
              <w:rPr>
                <w:rFonts w:cs="Arial"/>
                <w:b/>
                <w:noProof/>
                <w:color w:val="FFFFFF"/>
                <w:sz w:val="18"/>
                <w:szCs w:val="18"/>
                <w:lang w:val="es-ES_tradnl"/>
              </w:rPr>
            </w:pPr>
            <w:r w:rsidRPr="009E6414">
              <w:rPr>
                <w:b/>
                <w:noProof/>
                <w:color w:val="FFFFFF"/>
                <w:sz w:val="18"/>
                <w:lang w:val="es-ES_tradnl"/>
              </w:rPr>
              <w:t>Fuentes de datos</w:t>
            </w:r>
          </w:p>
        </w:tc>
      </w:tr>
      <w:tr w:rsidR="00A45935" w:rsidRPr="009E6414" w:rsidTr="00E05D08">
        <w:trPr>
          <w:trHeight w:val="290"/>
        </w:trPr>
        <w:tc>
          <w:tcPr>
            <w:tcW w:w="14032" w:type="dxa"/>
            <w:gridSpan w:val="4"/>
            <w:shd w:val="clear" w:color="auto" w:fill="8BAB80"/>
          </w:tcPr>
          <w:p w:rsidR="00A45935" w:rsidRPr="009E6414" w:rsidRDefault="00A45935" w:rsidP="00E05D08">
            <w:pPr>
              <w:spacing w:after="120" w:line="280" w:lineRule="atLeast"/>
              <w:mirrorIndents/>
              <w:rPr>
                <w:rFonts w:cs="Arial"/>
                <w:b/>
                <w:noProof/>
                <w:color w:val="FFFFFF"/>
                <w:sz w:val="18"/>
                <w:szCs w:val="18"/>
                <w:lang w:val="es-ES_tradnl"/>
              </w:rPr>
            </w:pPr>
            <w:r w:rsidRPr="009E6414">
              <w:rPr>
                <w:b/>
                <w:noProof/>
                <w:color w:val="FFFFFF"/>
                <w:sz w:val="18"/>
                <w:lang w:val="es-ES_tradnl"/>
              </w:rPr>
              <w:t>Elementos comunes de evaluación (SCSE y elementos propuestos en el documento de trabajo «</w:t>
            </w:r>
            <w:r w:rsidRPr="009E6414">
              <w:rPr>
                <w:b/>
                <w:i/>
                <w:noProof/>
                <w:color w:val="FFFFFF"/>
                <w:sz w:val="18"/>
                <w:lang w:val="es-ES_tradnl"/>
              </w:rPr>
              <w:t>Preguntas comunes de evaluación 2014-2020</w:t>
            </w:r>
            <w:r w:rsidRPr="009E6414">
              <w:rPr>
                <w:b/>
                <w:noProof/>
                <w:color w:val="FFFFFF"/>
                <w:sz w:val="18"/>
                <w:lang w:val="es-ES_tradnl"/>
              </w:rPr>
              <w:t>»)</w:t>
            </w:r>
          </w:p>
        </w:tc>
      </w:tr>
      <w:tr w:rsidR="00A45935" w:rsidRPr="009E6414" w:rsidTr="00E05D08">
        <w:trPr>
          <w:trHeight w:val="500"/>
        </w:trPr>
        <w:tc>
          <w:tcPr>
            <w:tcW w:w="3508" w:type="dxa"/>
            <w:shd w:val="clear" w:color="auto" w:fill="auto"/>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La RRN ha potenciado la innovación en la agricultura, la producción de alimentos, la silvicultura y las zonas rurales</w:t>
            </w:r>
          </w:p>
        </w:tc>
        <w:tc>
          <w:tcPr>
            <w:tcW w:w="3508" w:type="dxa"/>
            <w:shd w:val="clear" w:color="auto" w:fill="auto"/>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O.24 - Número de intercambios temáticos y analíticos establecidos con ayuda de la RRN</w:t>
            </w:r>
          </w:p>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O.25 - Número de herramientas de comunicación de la RRN (relacionadas con la innovación).</w:t>
            </w:r>
          </w:p>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 xml:space="preserve">O.26 - Número de actividades de la REDR en las que haya participado la RRN (relacionadas con la innovación). </w:t>
            </w:r>
          </w:p>
          <w:p w:rsidR="00A45935" w:rsidRPr="009E6414" w:rsidRDefault="00A45935" w:rsidP="007E63EF">
            <w:pPr>
              <w:spacing w:after="120" w:line="280" w:lineRule="atLeast"/>
              <w:jc w:val="left"/>
              <w:rPr>
                <w:rFonts w:eastAsia="Calibri" w:cs="Arial"/>
                <w:noProof/>
                <w:color w:val="57825E"/>
                <w:sz w:val="18"/>
                <w:szCs w:val="18"/>
                <w:u w:val="single"/>
                <w:lang w:val="es-ES_tradnl"/>
                <w14:textFill>
                  <w14:solidFill>
                    <w14:srgbClr w14:val="57825E">
                      <w14:lumMod w14:val="75000"/>
                      <w14:lumMod w14:val="75000"/>
                    </w14:srgbClr>
                  </w14:solidFill>
                </w14:textFill>
              </w:rPr>
            </w:pPr>
            <w:r w:rsidRPr="009E6414">
              <w:rPr>
                <w:noProof/>
                <w:color w:val="57825E"/>
                <w:sz w:val="18"/>
                <w:u w:val="single"/>
                <w:lang w:val="es-ES_tradnl"/>
                <w14:textFill>
                  <w14:solidFill>
                    <w14:srgbClr w14:val="57825E">
                      <w14:lumMod w14:val="75000"/>
                      <w14:lumMod w14:val="75000"/>
                    </w14:srgbClr>
                  </w14:solidFill>
                </w14:textFill>
              </w:rPr>
              <w:t>Indicador complementario:</w:t>
            </w:r>
          </w:p>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color w:val="57825E"/>
                <w:sz w:val="18"/>
                <w:lang w:val="es-ES_tradnl"/>
                <w14:textFill>
                  <w14:solidFill>
                    <w14:srgbClr w14:val="57825E">
                      <w14:lumMod w14:val="75000"/>
                      <w14:lumMod w14:val="75000"/>
                    </w14:srgbClr>
                  </w14:solidFill>
                </w14:textFill>
              </w:rPr>
              <w:t>Porcentaje de proyectos innovadores fomentados por la RRN del número total de proyectos innovadores financiados por el PDR</w:t>
            </w:r>
            <w:r w:rsidRPr="009E6414">
              <w:rPr>
                <w:noProof/>
                <w:sz w:val="18"/>
                <w:lang w:val="es-ES_tradnl"/>
                <w14:textFill>
                  <w14:solidFill>
                    <w14:srgbClr w14:val="373737">
                      <w14:lumMod w14:val="75000"/>
                    </w14:srgbClr>
                  </w14:solidFill>
                </w14:textFill>
              </w:rPr>
              <w:t xml:space="preserve"> </w:t>
            </w:r>
          </w:p>
        </w:tc>
        <w:tc>
          <w:tcPr>
            <w:tcW w:w="3508" w:type="dxa"/>
            <w:shd w:val="clear" w:color="auto" w:fill="auto"/>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Datos sobre intercambios temáticos y analíticos innovadores establecidos por la RRN.</w:t>
            </w:r>
          </w:p>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Datos sobre herramientas de comunicación relacionadas con la innovación creadas por la RRN.</w:t>
            </w:r>
          </w:p>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 xml:space="preserve">Información sobre las actividades de la REDR en relación con la innovación en las que haya participado la RRN. </w:t>
            </w:r>
          </w:p>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 xml:space="preserve">Datos sobre proyectos de innovación del PDR iniciados o apoyados por la RRN. </w:t>
            </w:r>
          </w:p>
        </w:tc>
        <w:tc>
          <w:tcPr>
            <w:tcW w:w="3508" w:type="dxa"/>
            <w:shd w:val="clear" w:color="auto" w:fill="auto"/>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Sistema de seguimiento del PDR.</w:t>
            </w:r>
          </w:p>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Seguimiento y autoevaluación de la RRN.</w:t>
            </w:r>
          </w:p>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Seguimiento de la REDR (estadísticas de la red).</w:t>
            </w:r>
          </w:p>
        </w:tc>
      </w:tr>
      <w:tr w:rsidR="00A45935" w:rsidRPr="009E6414" w:rsidTr="00E05D08">
        <w:trPr>
          <w:trHeight w:val="461"/>
        </w:trPr>
        <w:tc>
          <w:tcPr>
            <w:tcW w:w="14032" w:type="dxa"/>
            <w:gridSpan w:val="4"/>
            <w:shd w:val="clear" w:color="auto" w:fill="8BAB80"/>
          </w:tcPr>
          <w:p w:rsidR="00A45935" w:rsidRPr="009E6414" w:rsidRDefault="00A45935" w:rsidP="00E05D08">
            <w:pPr>
              <w:spacing w:after="120" w:line="280" w:lineRule="atLeast"/>
              <w:mirrorIndents/>
              <w:rPr>
                <w:rFonts w:cs="Arial"/>
                <w:b/>
                <w:noProof/>
                <w:color w:val="FFFFFF"/>
                <w:sz w:val="18"/>
                <w:szCs w:val="18"/>
                <w:lang w:val="es-ES_tradnl"/>
              </w:rPr>
            </w:pPr>
            <w:r w:rsidRPr="009E6414">
              <w:rPr>
                <w:b/>
                <w:noProof/>
                <w:color w:val="FFFFFF"/>
                <w:sz w:val="18"/>
                <w:lang w:val="es-ES_tradnl"/>
              </w:rPr>
              <w:t>Elementos de evaluación complementarios vinculados a la contribución de la RRN a la identificación y el intercambio de innovación (optativo)</w:t>
            </w:r>
          </w:p>
        </w:tc>
      </w:tr>
      <w:tr w:rsidR="00A45935" w:rsidRPr="009E6414" w:rsidTr="00E05D08">
        <w:tc>
          <w:tcPr>
            <w:tcW w:w="350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Las actividades de publicidad, información y comunicación llevadas a cabo por la RRN relacionadas con la innovación en el PDR han aumentado.</w:t>
            </w:r>
          </w:p>
        </w:tc>
        <w:tc>
          <w:tcPr>
            <w:tcW w:w="350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Número de actividades de publicidad, información y comunicación relacionadas con la innovación llevadas a cabo por la RRN.</w:t>
            </w:r>
          </w:p>
        </w:tc>
        <w:tc>
          <w:tcPr>
            <w:tcW w:w="350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Número de actividades de publicidad, información y comunicación, por temas.</w:t>
            </w:r>
          </w:p>
        </w:tc>
        <w:tc>
          <w:tcPr>
            <w:tcW w:w="350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Seguimiento y autoevaluación de la RRN.</w:t>
            </w:r>
          </w:p>
          <w:p w:rsidR="00A45935" w:rsidRPr="009E6414" w:rsidRDefault="00E54013"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Entrevistas.</w:t>
            </w:r>
          </w:p>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Publicaciones de la RRN.</w:t>
            </w:r>
          </w:p>
        </w:tc>
      </w:tr>
    </w:tbl>
    <w:p w:rsidR="00E54013" w:rsidRPr="009E6414" w:rsidRDefault="00E54013">
      <w:pPr>
        <w:rPr>
          <w:noProof/>
          <w:lang w:val="es-ES_tradnl"/>
        </w:rPr>
      </w:pPr>
      <w:r w:rsidRPr="009E6414">
        <w:rPr>
          <w:noProof/>
          <w:lang w:val="es-ES_tradnl"/>
        </w:rPr>
        <w:br w:type="page"/>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E54013" w:rsidRPr="009E6414" w:rsidTr="009F1589">
        <w:trPr>
          <w:tblHeader/>
        </w:trPr>
        <w:tc>
          <w:tcPr>
            <w:tcW w:w="3508" w:type="dxa"/>
            <w:shd w:val="clear" w:color="auto" w:fill="F07E31"/>
          </w:tcPr>
          <w:p w:rsidR="00E54013" w:rsidRPr="009E6414" w:rsidRDefault="00E54013" w:rsidP="00E54013">
            <w:pPr>
              <w:spacing w:after="120" w:line="280" w:lineRule="atLeast"/>
              <w:mirrorIndents/>
              <w:jc w:val="center"/>
              <w:rPr>
                <w:rFonts w:cs="Arial"/>
                <w:b/>
                <w:noProof/>
                <w:color w:val="FFFFFF"/>
                <w:sz w:val="18"/>
                <w:szCs w:val="18"/>
                <w:lang w:val="es-ES_tradnl"/>
              </w:rPr>
            </w:pPr>
            <w:r w:rsidRPr="009E6414">
              <w:rPr>
                <w:b/>
                <w:noProof/>
                <w:color w:val="FFFFFF"/>
                <w:sz w:val="18"/>
                <w:lang w:val="es-ES_tradnl"/>
              </w:rPr>
              <w:lastRenderedPageBreak/>
              <w:t>Criterios de valoración</w:t>
            </w:r>
          </w:p>
        </w:tc>
        <w:tc>
          <w:tcPr>
            <w:tcW w:w="3508" w:type="dxa"/>
            <w:shd w:val="clear" w:color="auto" w:fill="F07E31"/>
          </w:tcPr>
          <w:p w:rsidR="00E54013" w:rsidRPr="009E6414" w:rsidRDefault="00E54013" w:rsidP="00E54013">
            <w:pPr>
              <w:spacing w:after="120" w:line="280" w:lineRule="atLeast"/>
              <w:mirrorIndents/>
              <w:jc w:val="center"/>
              <w:rPr>
                <w:rFonts w:cs="Arial"/>
                <w:b/>
                <w:noProof/>
                <w:color w:val="FFFFFF"/>
                <w:sz w:val="18"/>
                <w:szCs w:val="18"/>
                <w:lang w:val="es-ES_tradnl"/>
              </w:rPr>
            </w:pPr>
            <w:r w:rsidRPr="009E6414">
              <w:rPr>
                <w:b/>
                <w:noProof/>
                <w:color w:val="FFFFFF"/>
                <w:sz w:val="18"/>
                <w:lang w:val="es-ES_tradnl"/>
              </w:rPr>
              <w:t>Indicadores</w:t>
            </w:r>
          </w:p>
        </w:tc>
        <w:tc>
          <w:tcPr>
            <w:tcW w:w="3508" w:type="dxa"/>
            <w:shd w:val="clear" w:color="auto" w:fill="F07E31"/>
          </w:tcPr>
          <w:p w:rsidR="00E54013" w:rsidRPr="009E6414" w:rsidRDefault="00E54013" w:rsidP="00E54013">
            <w:pPr>
              <w:spacing w:after="120" w:line="280" w:lineRule="atLeast"/>
              <w:mirrorIndents/>
              <w:jc w:val="center"/>
              <w:rPr>
                <w:rFonts w:cs="Arial"/>
                <w:b/>
                <w:noProof/>
                <w:color w:val="FFFFFF"/>
                <w:sz w:val="18"/>
                <w:szCs w:val="18"/>
                <w:lang w:val="es-ES_tradnl"/>
              </w:rPr>
            </w:pPr>
            <w:r w:rsidRPr="009E6414">
              <w:rPr>
                <w:b/>
                <w:noProof/>
                <w:color w:val="FFFFFF"/>
                <w:sz w:val="18"/>
                <w:lang w:val="es-ES_tradnl"/>
              </w:rPr>
              <w:t>Datos necesarios</w:t>
            </w:r>
          </w:p>
        </w:tc>
        <w:tc>
          <w:tcPr>
            <w:tcW w:w="3508" w:type="dxa"/>
            <w:shd w:val="clear" w:color="auto" w:fill="F07E31"/>
          </w:tcPr>
          <w:p w:rsidR="00E54013" w:rsidRPr="009E6414" w:rsidRDefault="00E54013" w:rsidP="00E54013">
            <w:pPr>
              <w:spacing w:after="120" w:line="280" w:lineRule="atLeast"/>
              <w:mirrorIndents/>
              <w:jc w:val="center"/>
              <w:rPr>
                <w:rFonts w:cs="Arial"/>
                <w:b/>
                <w:noProof/>
                <w:color w:val="FFFFFF"/>
                <w:sz w:val="18"/>
                <w:szCs w:val="18"/>
                <w:lang w:val="es-ES_tradnl"/>
              </w:rPr>
            </w:pPr>
            <w:r w:rsidRPr="009E6414">
              <w:rPr>
                <w:b/>
                <w:noProof/>
                <w:color w:val="FFFFFF"/>
                <w:sz w:val="18"/>
                <w:lang w:val="es-ES_tradnl"/>
              </w:rPr>
              <w:t>Fuentes de datos</w:t>
            </w:r>
          </w:p>
        </w:tc>
      </w:tr>
      <w:tr w:rsidR="00A45935" w:rsidRPr="009E6414" w:rsidTr="00E05D08">
        <w:tc>
          <w:tcPr>
            <w:tcW w:w="14032" w:type="dxa"/>
            <w:gridSpan w:val="4"/>
            <w:shd w:val="clear" w:color="auto" w:fill="8BAB80"/>
          </w:tcPr>
          <w:p w:rsidR="00A45935" w:rsidRPr="009E6414" w:rsidRDefault="00A45935" w:rsidP="00E05D08">
            <w:pPr>
              <w:spacing w:after="120" w:line="280" w:lineRule="atLeast"/>
              <w:mirrorIndents/>
              <w:rPr>
                <w:rFonts w:cs="Arial"/>
                <w:b/>
                <w:noProof/>
                <w:color w:val="FFFFFF"/>
                <w:sz w:val="18"/>
                <w:szCs w:val="18"/>
                <w:lang w:val="es-ES_tradnl"/>
              </w:rPr>
            </w:pPr>
            <w:r w:rsidRPr="009E6414">
              <w:rPr>
                <w:b/>
                <w:noProof/>
                <w:color w:val="FFFFFF"/>
                <w:sz w:val="18"/>
                <w:lang w:val="es-ES_tradnl"/>
              </w:rPr>
              <w:t>Elementos de evaluación complementarios vinculados a la contribución de la RRN a la capacidad para innovar (optativo)</w:t>
            </w:r>
          </w:p>
        </w:tc>
      </w:tr>
      <w:tr w:rsidR="00A45935" w:rsidRPr="009E6414" w:rsidTr="00E05D08">
        <w:tc>
          <w:tcPr>
            <w:tcW w:w="350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Las actividades de la RRN relativas a la formación y al establecimiento de redes han aumentado para: a) asesores y servicios de apoyo a la innovación, y/o b) grupos de acción local.</w:t>
            </w:r>
          </w:p>
        </w:tc>
        <w:tc>
          <w:tcPr>
            <w:tcW w:w="350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Número de actividades de formación y de establecimiento de redes de la RRN para: a) asesores y servicios de apoyo a la innovación, y/o b) grupos de acción local.</w:t>
            </w:r>
          </w:p>
        </w:tc>
        <w:tc>
          <w:tcPr>
            <w:tcW w:w="350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Número de actividades de formación y de establecimiento de redes, por grupo destinatario.</w:t>
            </w:r>
          </w:p>
        </w:tc>
        <w:tc>
          <w:tcPr>
            <w:tcW w:w="350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RRN (seguimiento, autoevaluación, entrevistas, publicaciones).</w:t>
            </w:r>
          </w:p>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GAL (entrevistas, encuestas, grupos de discusión).</w:t>
            </w:r>
          </w:p>
        </w:tc>
      </w:tr>
      <w:tr w:rsidR="00A45935" w:rsidRPr="009E6414" w:rsidTr="00E05D08">
        <w:tc>
          <w:tcPr>
            <w:tcW w:w="350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 xml:space="preserve">La capacidad de los asesores y de los servicios de apoyo a la innovación para facilitar la creación de GO ha mejorado gracias a las actividades de la RRN. </w:t>
            </w:r>
          </w:p>
        </w:tc>
        <w:tc>
          <w:tcPr>
            <w:tcW w:w="350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Número de GO que hayan sido creados con el apoyo de asesores/servicios de apoyo a la innovación que hayan participado en actividades de formación/establecimiento de redes de la RRN.</w:t>
            </w:r>
          </w:p>
        </w:tc>
        <w:tc>
          <w:tcPr>
            <w:tcW w:w="3508" w:type="dxa"/>
          </w:tcPr>
          <w:p w:rsidR="00A45935" w:rsidRPr="009E6414" w:rsidRDefault="009F1589"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Número de GO creados con la ayuda de asesores/servicios de apoyo a la innovación.</w:t>
            </w:r>
          </w:p>
          <w:p w:rsidR="00A45935" w:rsidRPr="009E6414" w:rsidRDefault="009F1589"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Número de GO creados con el apoyo de asesores/servicios de apoyo a la innovación que hayan participado en actividades de formación/establecimiento de redes de la RRN.</w:t>
            </w:r>
          </w:p>
        </w:tc>
        <w:tc>
          <w:tcPr>
            <w:tcW w:w="350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RRN (seguimiento, autoevaluación, entrevistas, publicaciones).</w:t>
            </w:r>
          </w:p>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Encuestas/grupos de discusión con GO.</w:t>
            </w:r>
          </w:p>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Encuestas/grupos de discusión para asesores (servicios de apoyo a la innovación).</w:t>
            </w:r>
          </w:p>
        </w:tc>
      </w:tr>
      <w:tr w:rsidR="00A45935" w:rsidRPr="009E6414" w:rsidTr="00E05D08">
        <w:tc>
          <w:tcPr>
            <w:tcW w:w="14032" w:type="dxa"/>
            <w:gridSpan w:val="4"/>
            <w:shd w:val="clear" w:color="auto" w:fill="8BAB80"/>
          </w:tcPr>
          <w:p w:rsidR="00A45935" w:rsidRPr="009E6414" w:rsidRDefault="00A45935" w:rsidP="00E05D08">
            <w:pPr>
              <w:spacing w:after="120" w:line="280" w:lineRule="atLeast"/>
              <w:mirrorIndents/>
              <w:rPr>
                <w:rFonts w:cs="Arial"/>
                <w:b/>
                <w:noProof/>
                <w:color w:val="FFFFFF"/>
                <w:sz w:val="18"/>
                <w:szCs w:val="18"/>
                <w:lang w:val="es-ES_tradnl"/>
              </w:rPr>
            </w:pPr>
            <w:r w:rsidRPr="009E6414">
              <w:rPr>
                <w:b/>
                <w:noProof/>
                <w:color w:val="FFFFFF"/>
                <w:sz w:val="18"/>
                <w:lang w:val="es-ES_tradnl"/>
              </w:rPr>
              <w:t xml:space="preserve">Elementos de evaluación complementarios vinculados a la contribución de la RRN a la consolidación de un entorno propicio a la innovación </w:t>
            </w:r>
          </w:p>
        </w:tc>
      </w:tr>
      <w:tr w:rsidR="00A45935" w:rsidRPr="009E6414" w:rsidTr="00E05D08">
        <w:tc>
          <w:tcPr>
            <w:tcW w:w="350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La participación de la RRN en actividades de la REDR relacionadas con la innovación ha aumentado.</w:t>
            </w:r>
          </w:p>
        </w:tc>
        <w:tc>
          <w:tcPr>
            <w:tcW w:w="350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 xml:space="preserve">Número de actividades de la REDR en las que haya participado la RRN (O.26), entre las cuales sobre temas de innovación. </w:t>
            </w:r>
          </w:p>
        </w:tc>
        <w:tc>
          <w:tcPr>
            <w:tcW w:w="350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Número de actividades de la REDR en las que haya participado la RRN (O.26), por tema.</w:t>
            </w:r>
          </w:p>
        </w:tc>
        <w:tc>
          <w:tcPr>
            <w:tcW w:w="350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Cuadros de seguimiento.</w:t>
            </w:r>
          </w:p>
          <w:p w:rsidR="00A45935" w:rsidRPr="009E6414" w:rsidRDefault="00A45935" w:rsidP="009F1589">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RRN (seguimiento, autoevaluación, entrevistas, publicaciones).</w:t>
            </w:r>
          </w:p>
        </w:tc>
      </w:tr>
      <w:tr w:rsidR="00A45935" w:rsidRPr="009E6414" w:rsidTr="00E05D08">
        <w:tc>
          <w:tcPr>
            <w:tcW w:w="350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La participación de la RRN en las actividades de la AEI ha aumentado.</w:t>
            </w:r>
          </w:p>
        </w:tc>
        <w:tc>
          <w:tcPr>
            <w:tcW w:w="350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Número y tipo de contribuciones de la RRN a la AEI-AGRI, de las cuales:</w:t>
            </w:r>
          </w:p>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 xml:space="preserve">Ejemplos de proyectos/buenas prácticas encaminadas a la innovación. </w:t>
            </w:r>
          </w:p>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Organización de reuniones sobre innovación.</w:t>
            </w:r>
          </w:p>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 xml:space="preserve">Actividades de creación de redes entre </w:t>
            </w:r>
            <w:r w:rsidRPr="009E6414">
              <w:rPr>
                <w:noProof/>
                <w:sz w:val="18"/>
                <w:lang w:val="es-ES_tradnl"/>
                <w14:textFill>
                  <w14:solidFill>
                    <w14:srgbClr w14:val="373737">
                      <w14:lumMod w14:val="75000"/>
                    </w14:srgbClr>
                  </w14:solidFill>
                </w14:textFill>
              </w:rPr>
              <w:lastRenderedPageBreak/>
              <w:t>partes interesadas en la innovación, principlamente GAL y GO.</w:t>
            </w:r>
          </w:p>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Intercambios transfronterizos de información sobre proyectos, iniciativas de investigación, redes temáticas y posibilidades de financiación en el marco de Horizonte 2020.</w:t>
            </w:r>
          </w:p>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Actividades de apoyo a los servicios de apoyo a la innovación para el fomento de proyectos innovadores y la creación de GO.</w:t>
            </w:r>
          </w:p>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Apoyo para la búsqueda de socios.</w:t>
            </w:r>
          </w:p>
        </w:tc>
        <w:tc>
          <w:tcPr>
            <w:tcW w:w="350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lastRenderedPageBreak/>
              <w:t>Número de contribuciones de la RRN a la AEI por tipo, según lo estipulado en el artículo 35, apartado 2, letras a) a f), del Reglamento (UE) n.º 1305/2013.</w:t>
            </w:r>
          </w:p>
        </w:tc>
        <w:tc>
          <w:tcPr>
            <w:tcW w:w="350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RRN (seguimiento, autoevaluación, entrevistas, publicaciones).</w:t>
            </w:r>
          </w:p>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Estructura en red a nivel del Estado miembro para los servicios de apoyo a la innovación (si es distinta de la RRN).</w:t>
            </w:r>
          </w:p>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Punto de servicio de la AEI.</w:t>
            </w:r>
          </w:p>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 xml:space="preserve">Encuestas/grupos de discusión con </w:t>
            </w:r>
            <w:r w:rsidRPr="009E6414">
              <w:rPr>
                <w:noProof/>
                <w:sz w:val="18"/>
                <w:lang w:val="es-ES_tradnl"/>
                <w14:textFill>
                  <w14:solidFill>
                    <w14:srgbClr w14:val="373737">
                      <w14:lumMod w14:val="75000"/>
                    </w14:srgbClr>
                  </w14:solidFill>
                </w14:textFill>
              </w:rPr>
              <w:lastRenderedPageBreak/>
              <w:t>proyectos del GO.</w:t>
            </w:r>
          </w:p>
        </w:tc>
      </w:tr>
      <w:tr w:rsidR="00A45935" w:rsidRPr="009E6414" w:rsidTr="00E05D08">
        <w:tc>
          <w:tcPr>
            <w:tcW w:w="350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Incremento de la colaboración, los intercambios y la conexión en red entre los socios de los proyectos de innovación.</w:t>
            </w:r>
          </w:p>
        </w:tc>
        <w:tc>
          <w:tcPr>
            <w:tcW w:w="350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 xml:space="preserve">Número de redes/asociaciones/grupos de cooperación complementarios entre los socios de los proyectos de innovación alentados por la RRN. </w:t>
            </w:r>
          </w:p>
        </w:tc>
        <w:tc>
          <w:tcPr>
            <w:tcW w:w="350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Número de redes, asociaciones y/o grupos de cooperación entre los socios de los proyectos de innovación que fueron apoyados por la RRN.</w:t>
            </w:r>
          </w:p>
        </w:tc>
        <w:tc>
          <w:tcPr>
            <w:tcW w:w="3508" w:type="dxa"/>
          </w:tcPr>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Base de datos de la RRN.</w:t>
            </w:r>
          </w:p>
          <w:p w:rsidR="00A45935" w:rsidRPr="009E6414" w:rsidRDefault="00A45935" w:rsidP="007E63EF">
            <w:pPr>
              <w:spacing w:after="120" w:line="280" w:lineRule="atLeast"/>
              <w:jc w:val="left"/>
              <w:rPr>
                <w:rFonts w:eastAsia="Calibri" w:cs="Arial"/>
                <w:noProof/>
                <w:sz w:val="18"/>
                <w:szCs w:val="18"/>
                <w:lang w:val="es-ES_tradnl"/>
                <w14:textFill>
                  <w14:solidFill>
                    <w14:srgbClr w14:val="373737">
                      <w14:lumMod w14:val="75000"/>
                    </w14:srgbClr>
                  </w14:solidFill>
                </w14:textFill>
              </w:rPr>
            </w:pPr>
            <w:r w:rsidRPr="009E6414">
              <w:rPr>
                <w:noProof/>
                <w:sz w:val="18"/>
                <w:lang w:val="es-ES_tradnl"/>
                <w14:textFill>
                  <w14:solidFill>
                    <w14:srgbClr w14:val="373737">
                      <w14:lumMod w14:val="75000"/>
                    </w14:srgbClr>
                  </w14:solidFill>
                </w14:textFill>
              </w:rPr>
              <w:t>Encuestas/grupos de discusión.</w:t>
            </w:r>
          </w:p>
        </w:tc>
      </w:tr>
    </w:tbl>
    <w:p w:rsidR="00A45935" w:rsidRPr="009E6414" w:rsidRDefault="00A45935" w:rsidP="00E05D08">
      <w:pPr>
        <w:spacing w:after="120" w:line="280" w:lineRule="atLeast"/>
        <w:mirrorIndents/>
        <w:rPr>
          <w:rFonts w:eastAsia="Times New Roman" w:cs="Times New Roman"/>
          <w:noProof/>
          <w:sz w:val="18"/>
          <w:szCs w:val="18"/>
          <w:lang w:val="es-ES_tradnl"/>
        </w:rPr>
        <w:sectPr w:rsidR="00A45935" w:rsidRPr="009E6414" w:rsidSect="001F6F07">
          <w:endnotePr>
            <w:numFmt w:val="decimal"/>
          </w:endnotePr>
          <w:pgSz w:w="16840" w:h="11907" w:orient="landscape" w:code="9"/>
          <w:pgMar w:top="1440" w:right="1440" w:bottom="1440" w:left="1134" w:header="567" w:footer="1020" w:gutter="0"/>
          <w:cols w:space="708"/>
          <w:noEndnote/>
          <w:docGrid w:linePitch="435"/>
        </w:sectPr>
      </w:pPr>
    </w:p>
    <w:p w:rsidR="00A45935" w:rsidRPr="009E6414" w:rsidRDefault="00A45935" w:rsidP="001120E4">
      <w:pPr>
        <w:numPr>
          <w:ilvl w:val="0"/>
          <w:numId w:val="60"/>
        </w:numPr>
        <w:spacing w:before="120" w:after="120" w:line="280" w:lineRule="atLeast"/>
        <w:ind w:left="567" w:hanging="567"/>
        <w:mirrorIndents/>
        <w:rPr>
          <w:rFonts w:eastAsia="Times New Roman" w:cs="Times New Roman"/>
          <w:b/>
          <w:noProof/>
          <w:szCs w:val="20"/>
          <w:lang w:val="es-ES_tradnl"/>
        </w:rPr>
      </w:pPr>
      <w:r w:rsidRPr="009E6414">
        <w:rPr>
          <w:b/>
          <w:noProof/>
          <w:lang w:val="es-ES_tradnl"/>
        </w:rPr>
        <w:lastRenderedPageBreak/>
        <w:t xml:space="preserve">Metodología de evaluación propuesta </w:t>
      </w:r>
    </w:p>
    <w:p w:rsidR="00A45935" w:rsidRPr="009E6414" w:rsidRDefault="00A45935" w:rsidP="00E05D08">
      <w:pPr>
        <w:spacing w:after="120" w:line="280" w:lineRule="atLeast"/>
        <w:mirrorIndents/>
        <w:rPr>
          <w:rFonts w:eastAsia="Times New Roman" w:cs="Arial"/>
          <w:noProof/>
          <w:szCs w:val="20"/>
          <w:lang w:val="es-ES_tradnl"/>
        </w:rPr>
      </w:pPr>
      <w:r w:rsidRPr="009E6414">
        <w:rPr>
          <w:noProof/>
          <w:lang w:val="es-ES_tradnl"/>
        </w:rPr>
        <w:t>Para responder a la PCR n.º 21, recomendamos seguir las siguientes fases:</w:t>
      </w:r>
    </w:p>
    <w:p w:rsidR="00A45935" w:rsidRPr="009E6414" w:rsidRDefault="00A45935" w:rsidP="00676B41">
      <w:pPr>
        <w:pStyle w:val="Hlistbullet"/>
        <w:rPr>
          <w:noProof/>
          <w:lang w:val="es-ES_tradnl"/>
        </w:rPr>
      </w:pPr>
      <w:r w:rsidRPr="009E6414">
        <w:rPr>
          <w:b/>
          <w:noProof/>
          <w:lang w:val="es-ES_tradnl"/>
        </w:rPr>
        <w:t>FASE 1: Recabar información para determinar la contribución de la RRN a la potenciación de la innovación</w:t>
      </w:r>
      <w:r w:rsidRPr="009E6414">
        <w:rPr>
          <w:noProof/>
          <w:lang w:val="es-ES_tradnl"/>
        </w:rPr>
        <w:t xml:space="preserve"> de las partes interesadas implicadas en las acciones de la RRN que tienen potencial de innovación. Esto puede hacerse utilizando los criterios de valoración y los indicadores y aplicando los métodos incluidos en el cuadro 6 que figura a continuación.</w:t>
      </w:r>
    </w:p>
    <w:p w:rsidR="00A45935" w:rsidRPr="009E6414" w:rsidRDefault="00A45935" w:rsidP="00676B41">
      <w:pPr>
        <w:pStyle w:val="Hlistbullet"/>
        <w:rPr>
          <w:noProof/>
          <w:lang w:val="es-ES_tradnl"/>
        </w:rPr>
      </w:pPr>
      <w:r w:rsidRPr="009E6414">
        <w:rPr>
          <w:b/>
          <w:noProof/>
          <w:lang w:val="es-ES_tradnl"/>
        </w:rPr>
        <w:t>FASE 2: Cuantificar los indicadores de productividad y los indicadores específicos de la RRN vinculados a la innovación</w:t>
      </w:r>
      <w:r w:rsidRPr="009E6414">
        <w:rPr>
          <w:noProof/>
          <w:lang w:val="es-ES_tradnl"/>
        </w:rPr>
        <w:t xml:space="preserve"> utilizando los datos de seguimiento sobre las actividades de la RRN a partir de la base de datos de operaciones del PDR y el sistema de control de la RRN. </w:t>
      </w:r>
    </w:p>
    <w:p w:rsidR="00A45935" w:rsidRPr="009E6414" w:rsidRDefault="00A45935" w:rsidP="00676B41">
      <w:pPr>
        <w:pStyle w:val="Hlistbullet"/>
        <w:rPr>
          <w:noProof/>
          <w:lang w:val="es-ES_tradnl"/>
        </w:rPr>
      </w:pPr>
      <w:r w:rsidRPr="009E6414">
        <w:rPr>
          <w:b/>
          <w:noProof/>
          <w:lang w:val="es-ES_tradnl"/>
        </w:rPr>
        <w:t>FASE 3: Aplicar la teoría del cambio para comparar las conclusiones con el potencial de innovación</w:t>
      </w:r>
      <w:r w:rsidRPr="009E6414">
        <w:rPr>
          <w:noProof/>
          <w:lang w:val="es-ES_tradnl"/>
        </w:rPr>
        <w:t xml:space="preserve"> de las actividades de la RRN identificadas al inicio del proceso de evaluación con las actividades ejecutadas de la RRN. Esto incluye la elaboración de una cronología causal y una descripción de los resultados de las actividades de la RRN en relación con las vías de innovación y cómo se alcanzaron (utilizando también la información del sistema de control).</w:t>
      </w:r>
      <w:r w:rsidRPr="009E6414">
        <w:rPr>
          <w:b/>
          <w:noProof/>
          <w:lang w:val="es-ES_tradnl"/>
        </w:rPr>
        <w:t xml:space="preserve"> Validar</w:t>
      </w:r>
      <w:r w:rsidRPr="009E6414">
        <w:rPr>
          <w:noProof/>
          <w:lang w:val="es-ES_tradnl"/>
        </w:rPr>
        <w:t xml:space="preserve"> lo anterior con el uso de técnicas de triangulación.</w:t>
      </w:r>
    </w:p>
    <w:p w:rsidR="00A45935" w:rsidRPr="009E6414" w:rsidRDefault="00A45935" w:rsidP="00676B41">
      <w:pPr>
        <w:pStyle w:val="Hlistbullet"/>
        <w:rPr>
          <w:noProof/>
          <w:lang w:val="es-ES_tradnl"/>
        </w:rPr>
      </w:pPr>
      <w:r w:rsidRPr="009E6414">
        <w:rPr>
          <w:b/>
          <w:noProof/>
          <w:lang w:val="es-ES_tradnl"/>
        </w:rPr>
        <w:t>FASE 4: Responder a la PCE juzgando en qué medida la RRN ha contribuido a potenciar la innovación</w:t>
      </w:r>
      <w:r w:rsidRPr="009E6414">
        <w:rPr>
          <w:noProof/>
          <w:lang w:val="es-ES_tradnl"/>
        </w:rPr>
        <w:t xml:space="preserve"> a través de diferentes grupos de actividades utilizando la escala de Likert</w:t>
      </w:r>
      <w:r w:rsidRPr="009E6414">
        <w:rPr>
          <w:noProof/>
          <w:vertAlign w:val="superscript"/>
          <w:lang w:val="es-ES_tradnl"/>
        </w:rPr>
        <w:footnoteReference w:id="65"/>
      </w:r>
      <w:r w:rsidRPr="009E6414">
        <w:rPr>
          <w:noProof/>
          <w:lang w:val="es-ES_tradnl"/>
        </w:rPr>
        <w:t>. El evaluador también debe puntuar el nivel de confianza que las partes interesadas encuestadas/entrevistadas tienen en las conclusiones sobre una escala similar de cinco puntos. Las puntuaciones otorgadas deberán justificarse.</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rFonts w:eastAsia="Times New Roman" w:cs="Times New Roman"/>
          <w:noProof/>
          <w:sz w:val="18"/>
          <w:szCs w:val="24"/>
          <w:lang w:val="en-GB" w:eastAsia="en-GB" w:bidi="ar-SA"/>
        </w:rPr>
        <mc:AlternateContent>
          <mc:Choice Requires="wps">
            <w:drawing>
              <wp:inline distT="0" distB="0" distL="0" distR="0" wp14:anchorId="46915B13" wp14:editId="515FCFAD">
                <wp:extent cx="5828030" cy="4019550"/>
                <wp:effectExtent l="0" t="0" r="20320" b="19050"/>
                <wp:docPr id="550" name="Rectangle: Diagonal Corners Rounded 550"/>
                <wp:cNvGraphicFramePr/>
                <a:graphic xmlns:a="http://schemas.openxmlformats.org/drawingml/2006/main">
                  <a:graphicData uri="http://schemas.microsoft.com/office/word/2010/wordprocessingShape">
                    <wps:wsp>
                      <wps:cNvSpPr/>
                      <wps:spPr>
                        <a:xfrm>
                          <a:off x="0" y="0"/>
                          <a:ext cx="5828030" cy="4019550"/>
                        </a:xfrm>
                        <a:prstGeom prst="round2DiagRect">
                          <a:avLst>
                            <a:gd name="adj1" fmla="val 6942"/>
                            <a:gd name="adj2" fmla="val 0"/>
                          </a:avLst>
                        </a:prstGeom>
                        <a:noFill/>
                        <a:ln w="25400" cap="flat" cmpd="sng" algn="ctr">
                          <a:solidFill>
                            <a:srgbClr val="F07E31"/>
                          </a:solidFill>
                          <a:prstDash val="solid"/>
                        </a:ln>
                        <a:effectLst/>
                      </wps:spPr>
                      <wps:txbx>
                        <w:txbxContent>
                          <w:p w:rsidR="008D2E0D" w:rsidRPr="00E05D08" w:rsidRDefault="008D2E0D" w:rsidP="00E05D08">
                            <w:pPr>
                              <w:pStyle w:val="HStandard"/>
                              <w:ind w:left="567" w:hanging="567"/>
                              <w:rPr>
                                <w:b/>
                                <w:color w:val="F07E31"/>
                                <w:sz w:val="18"/>
                                <w:szCs w:val="18"/>
                              </w:rPr>
                            </w:pPr>
                            <w:r>
                              <w:rPr>
                                <w:noProof/>
                                <w:sz w:val="18"/>
                                <w:szCs w:val="18"/>
                                <w:lang w:val="en-GB" w:eastAsia="en-GB" w:bidi="ar-SA"/>
                              </w:rPr>
                              <w:drawing>
                                <wp:inline distT="0" distB="0" distL="0" distR="0" wp14:anchorId="3CC5F428" wp14:editId="11347A0D">
                                  <wp:extent cx="353060" cy="359410"/>
                                  <wp:effectExtent l="0" t="0" r="8890" b="2540"/>
                                  <wp:docPr id="71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rPr>
                              <w:t xml:space="preserve">Ejemplos de los </w:t>
                            </w:r>
                            <w:proofErr w:type="spellStart"/>
                            <w:r>
                              <w:rPr>
                                <w:b/>
                                <w:color w:val="F07E31"/>
                                <w:sz w:val="18"/>
                              </w:rPr>
                              <w:t>IAE</w:t>
                            </w:r>
                            <w:proofErr w:type="spellEnd"/>
                            <w:r>
                              <w:rPr>
                                <w:b/>
                                <w:color w:val="F07E31"/>
                                <w:sz w:val="18"/>
                              </w:rPr>
                              <w:t xml:space="preserve"> presentados en 2017</w:t>
                            </w:r>
                          </w:p>
                          <w:p w:rsidR="008D2E0D" w:rsidRPr="00EF653F" w:rsidRDefault="008D2E0D" w:rsidP="00E05D08">
                            <w:pPr>
                              <w:pStyle w:val="HStandard"/>
                              <w:rPr>
                                <w:sz w:val="18"/>
                                <w:szCs w:val="18"/>
                              </w:rPr>
                            </w:pPr>
                            <w:r>
                              <w:rPr>
                                <w:b/>
                              </w:rPr>
                              <w:t>República Checa</w:t>
                            </w:r>
                            <w:r>
                              <w:t xml:space="preserve"> - menciona estudios de casos basados en información procedente de beneficiarios de proyectos innovadores.</w:t>
                            </w:r>
                            <w:r>
                              <w:rPr>
                                <w:sz w:val="18"/>
                              </w:rPr>
                              <w:t xml:space="preserve"> Propone rastrear los datos de proyectos innovadores relativos a los indicadores de productividad </w:t>
                            </w:r>
                            <w:proofErr w:type="spellStart"/>
                            <w:r>
                              <w:rPr>
                                <w:sz w:val="18"/>
                              </w:rPr>
                              <w:t>O.24</w:t>
                            </w:r>
                            <w:proofErr w:type="spellEnd"/>
                            <w:r>
                              <w:rPr>
                                <w:sz w:val="18"/>
                              </w:rPr>
                              <w:t xml:space="preserve"> y </w:t>
                            </w:r>
                            <w:proofErr w:type="spellStart"/>
                            <w:r>
                              <w:rPr>
                                <w:sz w:val="18"/>
                              </w:rPr>
                              <w:t>O.25</w:t>
                            </w:r>
                            <w:proofErr w:type="spellEnd"/>
                            <w:r>
                              <w:rPr>
                                <w:sz w:val="18"/>
                              </w:rPr>
                              <w:t xml:space="preserve"> a través de la base de datos de operaciones y utilizarlos en la evaluación en 2019:</w:t>
                            </w:r>
                          </w:p>
                          <w:p w:rsidR="008D2E0D" w:rsidRPr="00EF653F" w:rsidRDefault="008D2E0D" w:rsidP="008C0B17">
                            <w:pPr>
                              <w:pStyle w:val="HStandard"/>
                              <w:numPr>
                                <w:ilvl w:val="0"/>
                                <w:numId w:val="49"/>
                              </w:numPr>
                              <w:tabs>
                                <w:tab w:val="left" w:pos="5702"/>
                              </w:tabs>
                              <w:ind w:left="567" w:hanging="567"/>
                              <w:rPr>
                                <w:sz w:val="18"/>
                                <w:szCs w:val="18"/>
                              </w:rPr>
                            </w:pPr>
                            <w:proofErr w:type="spellStart"/>
                            <w:r>
                              <w:rPr>
                                <w:sz w:val="18"/>
                              </w:rPr>
                              <w:t>O.24</w:t>
                            </w:r>
                            <w:proofErr w:type="spellEnd"/>
                            <w:r>
                              <w:rPr>
                                <w:sz w:val="18"/>
                              </w:rPr>
                              <w:t xml:space="preserve"> - Número de intercambios temáticos y analíticos entre las partes interesadas en el desarrollo rural establecidos con ayuda de la </w:t>
                            </w:r>
                            <w:proofErr w:type="spellStart"/>
                            <w:r>
                              <w:rPr>
                                <w:sz w:val="18"/>
                              </w:rPr>
                              <w:t>RRN</w:t>
                            </w:r>
                            <w:proofErr w:type="spellEnd"/>
                            <w:r>
                              <w:rPr>
                                <w:sz w:val="18"/>
                              </w:rPr>
                              <w:t xml:space="preserve"> - intercambios centrados en asesores y servicios de apoyo a la innovación. </w:t>
                            </w:r>
                          </w:p>
                          <w:p w:rsidR="008D2E0D" w:rsidRPr="00EF653F" w:rsidRDefault="008D2E0D" w:rsidP="008C0B17">
                            <w:pPr>
                              <w:pStyle w:val="HStandard"/>
                              <w:numPr>
                                <w:ilvl w:val="0"/>
                                <w:numId w:val="49"/>
                              </w:numPr>
                              <w:tabs>
                                <w:tab w:val="left" w:pos="5702"/>
                              </w:tabs>
                              <w:ind w:left="567" w:hanging="567"/>
                              <w:rPr>
                                <w:sz w:val="18"/>
                                <w:szCs w:val="18"/>
                              </w:rPr>
                            </w:pPr>
                            <w:proofErr w:type="spellStart"/>
                            <w:r>
                              <w:rPr>
                                <w:sz w:val="18"/>
                              </w:rPr>
                              <w:t>O.25</w:t>
                            </w:r>
                            <w:proofErr w:type="spellEnd"/>
                            <w:r>
                              <w:rPr>
                                <w:sz w:val="18"/>
                              </w:rPr>
                              <w:t xml:space="preserve"> - Número de herramientas de comunicación de la </w:t>
                            </w:r>
                            <w:proofErr w:type="spellStart"/>
                            <w:r>
                              <w:rPr>
                                <w:sz w:val="18"/>
                              </w:rPr>
                              <w:t>RRN</w:t>
                            </w:r>
                            <w:proofErr w:type="spellEnd"/>
                            <w:r>
                              <w:rPr>
                                <w:sz w:val="18"/>
                              </w:rPr>
                              <w:t xml:space="preserve"> centradas en asesores y servicios de apoyo a la innovación.</w:t>
                            </w:r>
                          </w:p>
                          <w:p w:rsidR="008D2E0D" w:rsidRDefault="008D2E0D" w:rsidP="00E05D08">
                            <w:pPr>
                              <w:pStyle w:val="HStandard"/>
                              <w:rPr>
                                <w:sz w:val="18"/>
                                <w:szCs w:val="18"/>
                              </w:rPr>
                            </w:pPr>
                            <w:r>
                              <w:rPr>
                                <w:b/>
                              </w:rPr>
                              <w:t>Eslovaquia</w:t>
                            </w:r>
                            <w:r>
                              <w:t xml:space="preserve"> - describe entrevistas con agentes implicados (</w:t>
                            </w:r>
                            <w:proofErr w:type="spellStart"/>
                            <w:r>
                              <w:t>RRN</w:t>
                            </w:r>
                            <w:proofErr w:type="spellEnd"/>
                            <w:r>
                              <w:t xml:space="preserve"> y participantes en las actividades de la </w:t>
                            </w:r>
                            <w:proofErr w:type="spellStart"/>
                            <w:r>
                              <w:t>RRN</w:t>
                            </w:r>
                            <w:proofErr w:type="spellEnd"/>
                            <w:r>
                              <w:t>) con el fin de recabar datos para indicadores complementarios:</w:t>
                            </w:r>
                            <w:r>
                              <w:rPr>
                                <w:sz w:val="18"/>
                              </w:rPr>
                              <w:t xml:space="preserve"> Porcentaje de proyectos innovadores financiados por la </w:t>
                            </w:r>
                            <w:proofErr w:type="spellStart"/>
                            <w:r>
                              <w:rPr>
                                <w:sz w:val="18"/>
                              </w:rPr>
                              <w:t>RRN</w:t>
                            </w:r>
                            <w:proofErr w:type="spellEnd"/>
                            <w:r>
                              <w:rPr>
                                <w:sz w:val="18"/>
                              </w:rPr>
                              <w:t xml:space="preserve"> sobre el número total de proyectos innovadores financiados por el </w:t>
                            </w:r>
                            <w:proofErr w:type="spellStart"/>
                            <w:r>
                              <w:rPr>
                                <w:sz w:val="18"/>
                              </w:rPr>
                              <w:t>PDR</w:t>
                            </w:r>
                            <w:proofErr w:type="spellEnd"/>
                            <w:r>
                              <w:rPr>
                                <w:sz w:val="18"/>
                              </w:rPr>
                              <w:t xml:space="preserve">. </w:t>
                            </w:r>
                          </w:p>
                          <w:p w:rsidR="008D2E0D" w:rsidRPr="00ED3BAD" w:rsidRDefault="008D2E0D" w:rsidP="00E05D08">
                            <w:pPr>
                              <w:pStyle w:val="HStandard"/>
                              <w:rPr>
                                <w:sz w:val="18"/>
                                <w:szCs w:val="18"/>
                              </w:rPr>
                            </w:pPr>
                            <w:r>
                              <w:rPr>
                                <w:b/>
                              </w:rPr>
                              <w:t>Castilla y León (ES)</w:t>
                            </w:r>
                            <w:r>
                              <w:t xml:space="preserve"> - recomienda introducir en el sistema de seguimiento un indicador que mida el número de participantes en proyectos de la </w:t>
                            </w:r>
                            <w:proofErr w:type="spellStart"/>
                            <w:r>
                              <w:t>M16</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915B13" id="Rectangle: Diagonal Corners Rounded 550" o:spid="_x0000_s1051" style="width:458.9pt;height:316.5pt;visibility:visible;mso-wrap-style:square;mso-left-percent:-10001;mso-top-percent:-10001;mso-position-horizontal:absolute;mso-position-horizontal-relative:char;mso-position-vertical:absolute;mso-position-vertical-relative:line;mso-left-percent:-10001;mso-top-percent:-10001;v-text-anchor:middle" coordsize="5828030,4019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" adj="-11796480,,5400" path="m279037,l5828030,r,l5828030,3740513v,154108,-124929,279037,-279037,279037l,4019550r,l,279037c,124929,124929,,279037,xe" filled="f" strokecolor="#f07e31" strokeweight="2pt">
                <v:stroke joinstyle="miter"/>
                <v:formulas/>
                <v:path arrowok="t" o:connecttype="custom" o:connectlocs="279037,0;5828030,0;5828030,0;5828030,3740513;5548993,4019550;0,4019550;0,4019550;0,279037;279037,0" o:connectangles="0,0,0,0,0,0,0,0,0" textboxrect="0,0,5828030,4019550"/>
                <v:textbox>
                  <w:txbxContent>
                    <w:p w:rsidR="008D2E0D" w:rsidRPr="00E05D08" w:rsidRDefault="008D2E0D" w:rsidP="00E05D08">
                      <w:pPr>
                        <w:pStyle w:val="HStandard"/>
                        <w:ind w:left="567" w:hanging="567"/>
                        <w:rPr>
                          <w:b/>
                          <w:color w:val="F07E31"/>
                          <w:sz w:val="18"/>
                          <w:szCs w:val="18"/>
                        </w:rPr>
                      </w:pPr>
                      <w:r>
                        <w:rPr>
                          <w:noProof/>
                          <w:sz w:val="18"/>
                          <w:szCs w:val="18"/>
                          <w:lang w:val="en-GB" w:eastAsia="en-GB" w:bidi="ar-SA"/>
                        </w:rPr>
                        <w:drawing>
                          <wp:inline distT="0" distB="0" distL="0" distR="0" wp14:anchorId="3CC5F428" wp14:editId="11347A0D">
                            <wp:extent cx="353060" cy="359410"/>
                            <wp:effectExtent l="0" t="0" r="8890" b="2540"/>
                            <wp:docPr id="71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rPr>
                        <w:t xml:space="preserve">Ejemplos de los </w:t>
                      </w:r>
                      <w:proofErr w:type="spellStart"/>
                      <w:r>
                        <w:rPr>
                          <w:b/>
                          <w:color w:val="F07E31"/>
                          <w:sz w:val="18"/>
                        </w:rPr>
                        <w:t>IAE</w:t>
                      </w:r>
                      <w:proofErr w:type="spellEnd"/>
                      <w:r>
                        <w:rPr>
                          <w:b/>
                          <w:color w:val="F07E31"/>
                          <w:sz w:val="18"/>
                        </w:rPr>
                        <w:t xml:space="preserve"> presentados en 2017</w:t>
                      </w:r>
                    </w:p>
                    <w:p w:rsidR="008D2E0D" w:rsidRPr="00EF653F" w:rsidRDefault="008D2E0D" w:rsidP="00E05D08">
                      <w:pPr>
                        <w:pStyle w:val="HStandard"/>
                        <w:rPr>
                          <w:sz w:val="18"/>
                          <w:szCs w:val="18"/>
                        </w:rPr>
                      </w:pPr>
                      <w:r>
                        <w:rPr>
                          <w:b/>
                        </w:rPr>
                        <w:t>República Checa</w:t>
                      </w:r>
                      <w:r>
                        <w:t xml:space="preserve"> - menciona estudios de casos basados en información procedente de beneficiarios de proyectos innovadores.</w:t>
                      </w:r>
                      <w:r>
                        <w:rPr>
                          <w:sz w:val="18"/>
                        </w:rPr>
                        <w:t xml:space="preserve"> Propone rastrear los datos de proyectos innovadores relativos a los indicadores de productividad </w:t>
                      </w:r>
                      <w:proofErr w:type="spellStart"/>
                      <w:r>
                        <w:rPr>
                          <w:sz w:val="18"/>
                        </w:rPr>
                        <w:t>O.24</w:t>
                      </w:r>
                      <w:proofErr w:type="spellEnd"/>
                      <w:r>
                        <w:rPr>
                          <w:sz w:val="18"/>
                        </w:rPr>
                        <w:t xml:space="preserve"> y </w:t>
                      </w:r>
                      <w:proofErr w:type="spellStart"/>
                      <w:r>
                        <w:rPr>
                          <w:sz w:val="18"/>
                        </w:rPr>
                        <w:t>O.25</w:t>
                      </w:r>
                      <w:proofErr w:type="spellEnd"/>
                      <w:r>
                        <w:rPr>
                          <w:sz w:val="18"/>
                        </w:rPr>
                        <w:t xml:space="preserve"> a través de la base de datos de operaciones y utilizarlos en la evaluación en 2019:</w:t>
                      </w:r>
                    </w:p>
                    <w:p w:rsidR="008D2E0D" w:rsidRPr="00EF653F" w:rsidRDefault="008D2E0D" w:rsidP="008C0B17">
                      <w:pPr>
                        <w:pStyle w:val="HStandard"/>
                        <w:numPr>
                          <w:ilvl w:val="0"/>
                          <w:numId w:val="49"/>
                        </w:numPr>
                        <w:tabs>
                          <w:tab w:val="left" w:pos="5702"/>
                        </w:tabs>
                        <w:ind w:left="567" w:hanging="567"/>
                        <w:rPr>
                          <w:sz w:val="18"/>
                          <w:szCs w:val="18"/>
                        </w:rPr>
                      </w:pPr>
                      <w:proofErr w:type="spellStart"/>
                      <w:r>
                        <w:rPr>
                          <w:sz w:val="18"/>
                        </w:rPr>
                        <w:t>O.24</w:t>
                      </w:r>
                      <w:proofErr w:type="spellEnd"/>
                      <w:r>
                        <w:rPr>
                          <w:sz w:val="18"/>
                        </w:rPr>
                        <w:t xml:space="preserve"> - Número de intercambios temáticos y analíticos entre las partes interesadas en el desarrollo rural establecidos con ayuda de la </w:t>
                      </w:r>
                      <w:proofErr w:type="spellStart"/>
                      <w:r>
                        <w:rPr>
                          <w:sz w:val="18"/>
                        </w:rPr>
                        <w:t>RRN</w:t>
                      </w:r>
                      <w:proofErr w:type="spellEnd"/>
                      <w:r>
                        <w:rPr>
                          <w:sz w:val="18"/>
                        </w:rPr>
                        <w:t xml:space="preserve"> - intercambios centrados en asesores y servicios de apoyo a la innovación. </w:t>
                      </w:r>
                    </w:p>
                    <w:p w:rsidR="008D2E0D" w:rsidRPr="00EF653F" w:rsidRDefault="008D2E0D" w:rsidP="008C0B17">
                      <w:pPr>
                        <w:pStyle w:val="HStandard"/>
                        <w:numPr>
                          <w:ilvl w:val="0"/>
                          <w:numId w:val="49"/>
                        </w:numPr>
                        <w:tabs>
                          <w:tab w:val="left" w:pos="5702"/>
                        </w:tabs>
                        <w:ind w:left="567" w:hanging="567"/>
                        <w:rPr>
                          <w:sz w:val="18"/>
                          <w:szCs w:val="18"/>
                        </w:rPr>
                      </w:pPr>
                      <w:proofErr w:type="spellStart"/>
                      <w:r>
                        <w:rPr>
                          <w:sz w:val="18"/>
                        </w:rPr>
                        <w:t>O.25</w:t>
                      </w:r>
                      <w:proofErr w:type="spellEnd"/>
                      <w:r>
                        <w:rPr>
                          <w:sz w:val="18"/>
                        </w:rPr>
                        <w:t xml:space="preserve"> - Número de herramientas de comunicación de la </w:t>
                      </w:r>
                      <w:proofErr w:type="spellStart"/>
                      <w:r>
                        <w:rPr>
                          <w:sz w:val="18"/>
                        </w:rPr>
                        <w:t>RRN</w:t>
                      </w:r>
                      <w:proofErr w:type="spellEnd"/>
                      <w:r>
                        <w:rPr>
                          <w:sz w:val="18"/>
                        </w:rPr>
                        <w:t xml:space="preserve"> centradas en asesores y servicios de apoyo a la innovación.</w:t>
                      </w:r>
                    </w:p>
                    <w:p w:rsidR="008D2E0D" w:rsidRDefault="008D2E0D" w:rsidP="00E05D08">
                      <w:pPr>
                        <w:pStyle w:val="HStandard"/>
                        <w:rPr>
                          <w:sz w:val="18"/>
                          <w:szCs w:val="18"/>
                        </w:rPr>
                      </w:pPr>
                      <w:r>
                        <w:rPr>
                          <w:b/>
                        </w:rPr>
                        <w:t>Eslovaquia</w:t>
                      </w:r>
                      <w:r>
                        <w:t xml:space="preserve"> - describe entrevistas con agentes implicados (</w:t>
                      </w:r>
                      <w:proofErr w:type="spellStart"/>
                      <w:r>
                        <w:t>RRN</w:t>
                      </w:r>
                      <w:proofErr w:type="spellEnd"/>
                      <w:r>
                        <w:t xml:space="preserve"> y participantes en las actividades de la </w:t>
                      </w:r>
                      <w:proofErr w:type="spellStart"/>
                      <w:r>
                        <w:t>RRN</w:t>
                      </w:r>
                      <w:proofErr w:type="spellEnd"/>
                      <w:r>
                        <w:t>) con el fin de recabar datos para indicadores complementarios:</w:t>
                      </w:r>
                      <w:r>
                        <w:rPr>
                          <w:sz w:val="18"/>
                        </w:rPr>
                        <w:t xml:space="preserve"> Porcentaje de proyectos innovadores financiados por la </w:t>
                      </w:r>
                      <w:proofErr w:type="spellStart"/>
                      <w:r>
                        <w:rPr>
                          <w:sz w:val="18"/>
                        </w:rPr>
                        <w:t>RRN</w:t>
                      </w:r>
                      <w:proofErr w:type="spellEnd"/>
                      <w:r>
                        <w:rPr>
                          <w:sz w:val="18"/>
                        </w:rPr>
                        <w:t xml:space="preserve"> sobre el número total de proyectos innovadores financiados por el </w:t>
                      </w:r>
                      <w:proofErr w:type="spellStart"/>
                      <w:r>
                        <w:rPr>
                          <w:sz w:val="18"/>
                        </w:rPr>
                        <w:t>PDR</w:t>
                      </w:r>
                      <w:proofErr w:type="spellEnd"/>
                      <w:r>
                        <w:rPr>
                          <w:sz w:val="18"/>
                        </w:rPr>
                        <w:t xml:space="preserve">. </w:t>
                      </w:r>
                    </w:p>
                    <w:p w:rsidR="008D2E0D" w:rsidRPr="00ED3BAD" w:rsidRDefault="008D2E0D" w:rsidP="00E05D08">
                      <w:pPr>
                        <w:pStyle w:val="HStandard"/>
                        <w:rPr>
                          <w:sz w:val="18"/>
                          <w:szCs w:val="18"/>
                        </w:rPr>
                      </w:pPr>
                      <w:r>
                        <w:rPr>
                          <w:b/>
                        </w:rPr>
                        <w:t>Castilla y León (ES)</w:t>
                      </w:r>
                      <w:r>
                        <w:t xml:space="preserve"> - recomienda introducir en el sistema de seguimiento un indicador que mida el número de participantes en proyectos de la </w:t>
                      </w:r>
                      <w:proofErr w:type="spellStart"/>
                      <w:r>
                        <w:t>M16</w:t>
                      </w:r>
                      <w:proofErr w:type="spellEnd"/>
                      <w:r>
                        <w:t>.</w:t>
                      </w:r>
                    </w:p>
                  </w:txbxContent>
                </v:textbox>
                <w10:anchorlock/>
              </v:shape>
            </w:pict>
          </mc:Fallback>
        </mc:AlternateConten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lastRenderedPageBreak/>
        <w:t xml:space="preserve">Las </w:t>
      </w:r>
      <w:hyperlink r:id="rId56">
        <w:r w:rsidRPr="009E6414">
          <w:rPr>
            <w:rStyle w:val="Hyperlink"/>
            <w:noProof/>
            <w:sz w:val="20"/>
            <w:lang w:val="es-ES_tradnl"/>
          </w:rPr>
          <w:t>Directrices para la evaluación de las RRN 2014-2020</w:t>
        </w:r>
      </w:hyperlink>
      <w:r w:rsidRPr="009E6414">
        <w:rPr>
          <w:noProof/>
          <w:vertAlign w:val="superscript"/>
          <w:lang w:val="es-ES_tradnl"/>
        </w:rPr>
        <w:footnoteReference w:id="66"/>
      </w:r>
      <w:r w:rsidRPr="009E6414">
        <w:rPr>
          <w:noProof/>
          <w:lang w:val="es-ES_tradnl"/>
        </w:rPr>
        <w:t xml:space="preserve"> ofrecen una descripción detallada de métodos y herramientas para evaluar las RRN. Proponen un enfoque mixto que combina métodos cualitativos y cuantitativos. Estos incluyen, a su vez, encuestas, métodos basados en el diálogo, métodos analíticos y métodos de diagnóstico.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 xml:space="preserve">El cuadro siguiente ofrece una breve visión general de los métodos para responder a la PCE n.º 21, con respecto al objetivo de innovación d) de las RRN. En las </w:t>
      </w:r>
      <w:hyperlink r:id="rId57">
        <w:r w:rsidRPr="009E6414">
          <w:rPr>
            <w:rStyle w:val="Hyperlink"/>
            <w:noProof/>
            <w:sz w:val="20"/>
            <w:lang w:val="es-ES_tradnl"/>
          </w:rPr>
          <w:t>Directrices para la evaluación de las RRN 2014-2020</w:t>
        </w:r>
      </w:hyperlink>
      <w:r w:rsidRPr="009E6414">
        <w:rPr>
          <w:noProof/>
          <w:lang w:val="es-ES_tradnl"/>
        </w:rPr>
        <w:t xml:space="preserve"> puede encontrarse una descripción completa de estos métodos.</w:t>
      </w:r>
    </w:p>
    <w:p w:rsidR="00A45935" w:rsidRPr="009E6414" w:rsidRDefault="00A45935" w:rsidP="00B421B9">
      <w:pPr>
        <w:pStyle w:val="HHeading1"/>
        <w:rPr>
          <w:b w:val="0"/>
          <w:noProof/>
          <w:color w:val="373737"/>
          <w:sz w:val="16"/>
          <w:lang w:val="es-ES_tradnl"/>
        </w:rPr>
        <w:sectPr w:rsidR="00A45935" w:rsidRPr="009E6414" w:rsidSect="001F6F07">
          <w:headerReference w:type="first" r:id="rId58"/>
          <w:endnotePr>
            <w:numFmt w:val="decimal"/>
          </w:endnotePr>
          <w:pgSz w:w="11907" w:h="16840" w:code="9"/>
          <w:pgMar w:top="1440" w:right="1440" w:bottom="1134" w:left="1440" w:header="567" w:footer="1020" w:gutter="0"/>
          <w:cols w:space="708"/>
          <w:noEndnote/>
          <w:docGrid w:linePitch="435"/>
        </w:sectPr>
      </w:pPr>
    </w:p>
    <w:p w:rsidR="00A45935" w:rsidRPr="009E6414" w:rsidRDefault="00A45935" w:rsidP="00E05D08">
      <w:pPr>
        <w:spacing w:after="0" w:line="240" w:lineRule="auto"/>
        <w:rPr>
          <w:rFonts w:eastAsia="Times New Roman" w:cs="Times New Roman"/>
          <w:b/>
          <w:noProof/>
          <w:sz w:val="16"/>
          <w:szCs w:val="20"/>
          <w:lang w:val="es-ES_tradnl"/>
        </w:rPr>
      </w:pPr>
    </w:p>
    <w:p w:rsidR="00A45935" w:rsidRPr="009E6414" w:rsidRDefault="00A45935" w:rsidP="00D57D0A">
      <w:pPr>
        <w:pStyle w:val="HHeadingtables"/>
        <w:rPr>
          <w:noProof/>
          <w:color w:val="6F6F6F"/>
          <w:sz w:val="18"/>
          <w:szCs w:val="18"/>
          <w:lang w:val="es-ES_tradnl"/>
        </w:rPr>
      </w:pPr>
      <w:r w:rsidRPr="009E6414">
        <w:rPr>
          <w:noProof/>
          <w:color w:val="6F6F6F"/>
          <w:sz w:val="18"/>
          <w:lang w:val="es-ES_tradnl"/>
        </w:rPr>
        <w:t>Métodos recomendados para la PCE n.º 21</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9E6414" w:rsidTr="00E05D08">
        <w:trPr>
          <w:tblHeader/>
        </w:trPr>
        <w:tc>
          <w:tcPr>
            <w:tcW w:w="2405" w:type="dxa"/>
            <w:shd w:val="clear" w:color="auto" w:fill="F07E31"/>
          </w:tcPr>
          <w:p w:rsidR="00A45935" w:rsidRPr="009E6414" w:rsidRDefault="00A45935" w:rsidP="00E05D08">
            <w:pPr>
              <w:spacing w:after="120" w:line="280" w:lineRule="atLeast"/>
              <w:mirrorIndents/>
              <w:jc w:val="center"/>
              <w:rPr>
                <w:rFonts w:cs="Arial"/>
                <w:b/>
                <w:noProof/>
                <w:color w:val="FFFFFF"/>
                <w:sz w:val="18"/>
                <w:lang w:val="es-ES_tradnl"/>
              </w:rPr>
            </w:pPr>
            <w:r w:rsidRPr="009E6414">
              <w:rPr>
                <w:b/>
                <w:noProof/>
                <w:color w:val="FFFFFF"/>
                <w:sz w:val="18"/>
                <w:lang w:val="es-ES_tradnl"/>
              </w:rPr>
              <w:t>Método</w:t>
            </w:r>
          </w:p>
        </w:tc>
        <w:tc>
          <w:tcPr>
            <w:tcW w:w="6612" w:type="dxa"/>
            <w:shd w:val="clear" w:color="auto" w:fill="F07E31"/>
          </w:tcPr>
          <w:p w:rsidR="00A45935" w:rsidRPr="009E6414" w:rsidRDefault="00A45935" w:rsidP="00E05D08">
            <w:pPr>
              <w:spacing w:after="120" w:line="280" w:lineRule="atLeast"/>
              <w:mirrorIndents/>
              <w:jc w:val="center"/>
              <w:rPr>
                <w:rFonts w:cs="Arial"/>
                <w:b/>
                <w:noProof/>
                <w:color w:val="FFFFFF"/>
                <w:sz w:val="18"/>
                <w:lang w:val="es-ES_tradnl"/>
              </w:rPr>
            </w:pPr>
            <w:r w:rsidRPr="009E6414">
              <w:rPr>
                <w:b/>
                <w:noProof/>
                <w:color w:val="FFFFFF"/>
                <w:sz w:val="18"/>
                <w:lang w:val="es-ES_tradnl"/>
              </w:rPr>
              <w:t>Consejos de utilización de cada método para responder a la PCE n.º 21</w:t>
            </w:r>
          </w:p>
        </w:tc>
      </w:tr>
      <w:tr w:rsidR="00A45935" w:rsidRPr="009E6414" w:rsidTr="00E05D08">
        <w:tc>
          <w:tcPr>
            <w:tcW w:w="2405" w:type="dxa"/>
            <w:vAlign w:val="center"/>
          </w:tcPr>
          <w:p w:rsidR="00A45935" w:rsidRPr="009E6414" w:rsidRDefault="00A45935" w:rsidP="00BC211C">
            <w:pPr>
              <w:spacing w:after="120" w:line="280" w:lineRule="atLeast"/>
              <w:jc w:val="left"/>
              <w:rPr>
                <w:rFonts w:eastAsia="Calibri" w:cs="Arial"/>
                <w:b/>
                <w:noProof/>
                <w:sz w:val="18"/>
                <w:szCs w:val="18"/>
                <w:lang w:val="es-ES_tradnl"/>
              </w:rPr>
            </w:pPr>
            <w:r w:rsidRPr="009E6414">
              <w:rPr>
                <w:b/>
                <w:noProof/>
                <w:sz w:val="18"/>
                <w:lang w:val="es-ES_tradnl"/>
              </w:rPr>
              <w:t>Encuestas</w:t>
            </w:r>
          </w:p>
        </w:tc>
        <w:tc>
          <w:tcPr>
            <w:tcW w:w="6612" w:type="dxa"/>
          </w:tcPr>
          <w:p w:rsidR="00A45935" w:rsidRPr="009E6414" w:rsidRDefault="00A45935" w:rsidP="00E05D08">
            <w:pPr>
              <w:spacing w:after="120" w:line="280" w:lineRule="atLeast"/>
              <w:rPr>
                <w:rFonts w:eastAsia="Calibri" w:cs="Arial"/>
                <w:noProof/>
                <w:sz w:val="18"/>
                <w:szCs w:val="18"/>
                <w:lang w:val="es-ES_tradnl"/>
              </w:rPr>
            </w:pPr>
            <w:r w:rsidRPr="009E6414">
              <w:rPr>
                <w:noProof/>
                <w:sz w:val="18"/>
                <w:lang w:val="es-ES_tradnl"/>
              </w:rPr>
              <w:t>Pueden utilizarse para recabar datos e información sobre la innovación que no figuran en las bases de datos de seguimiento, en particular en relación con los indicadores complementarios.</w:t>
            </w:r>
          </w:p>
          <w:p w:rsidR="00A45935" w:rsidRPr="009E6414" w:rsidRDefault="00A45935" w:rsidP="00E05D08">
            <w:pPr>
              <w:spacing w:after="120" w:line="280" w:lineRule="atLeast"/>
              <w:rPr>
                <w:rFonts w:eastAsia="Calibri" w:cs="Arial"/>
                <w:noProof/>
                <w:sz w:val="18"/>
                <w:szCs w:val="18"/>
                <w:lang w:val="es-ES_tradnl"/>
              </w:rPr>
            </w:pPr>
            <w:r w:rsidRPr="009E6414">
              <w:rPr>
                <w:noProof/>
                <w:sz w:val="18"/>
                <w:lang w:val="es-ES_tradnl"/>
              </w:rPr>
              <w:t>Las encuestas pueden dirigirse a las RRN, GO de la AEI, beneficiarios de proyectos y otras partes interesadas en la innovación.</w:t>
            </w:r>
          </w:p>
        </w:tc>
      </w:tr>
      <w:tr w:rsidR="00A45935" w:rsidRPr="009E6414" w:rsidTr="00E05D08">
        <w:tc>
          <w:tcPr>
            <w:tcW w:w="2405" w:type="dxa"/>
            <w:vAlign w:val="center"/>
          </w:tcPr>
          <w:p w:rsidR="00A45935" w:rsidRPr="009E6414" w:rsidRDefault="00A45935" w:rsidP="00BC211C">
            <w:pPr>
              <w:spacing w:after="120" w:line="280" w:lineRule="atLeast"/>
              <w:jc w:val="left"/>
              <w:rPr>
                <w:rFonts w:eastAsia="Calibri" w:cs="Arial"/>
                <w:b/>
                <w:noProof/>
                <w:sz w:val="18"/>
                <w:szCs w:val="18"/>
                <w:lang w:val="es-ES_tradnl"/>
              </w:rPr>
            </w:pPr>
            <w:r w:rsidRPr="009E6414">
              <w:rPr>
                <w:b/>
                <w:noProof/>
                <w:sz w:val="18"/>
                <w:lang w:val="es-ES_tradnl"/>
              </w:rPr>
              <w:t>Grupos de discusión (método basado en el diálogo)</w:t>
            </w:r>
          </w:p>
        </w:tc>
        <w:tc>
          <w:tcPr>
            <w:tcW w:w="6612" w:type="dxa"/>
          </w:tcPr>
          <w:p w:rsidR="00A45935" w:rsidRPr="009E6414" w:rsidRDefault="00A45935" w:rsidP="00E05D08">
            <w:pPr>
              <w:spacing w:after="120" w:line="280" w:lineRule="atLeast"/>
              <w:rPr>
                <w:rFonts w:eastAsia="Calibri" w:cs="Arial"/>
                <w:noProof/>
                <w:sz w:val="18"/>
                <w:szCs w:val="18"/>
                <w:lang w:val="es-ES_tradnl"/>
              </w:rPr>
            </w:pPr>
            <w:r w:rsidRPr="009E6414">
              <w:rPr>
                <w:noProof/>
                <w:sz w:val="18"/>
                <w:lang w:val="es-ES_tradnl"/>
              </w:rPr>
              <w:t>Utilizados como un recurso para los métodos de evaluación basados en el diálogo, pueden organizarse como sigue para la PCE n.º 21:</w:t>
            </w:r>
          </w:p>
          <w:p w:rsidR="00A45935" w:rsidRPr="009E6414" w:rsidRDefault="00A45935" w:rsidP="008C0B17">
            <w:pPr>
              <w:numPr>
                <w:ilvl w:val="0"/>
                <w:numId w:val="40"/>
              </w:numPr>
              <w:spacing w:before="60" w:after="120" w:line="280" w:lineRule="atLeast"/>
              <w:ind w:left="317"/>
              <w:rPr>
                <w:rFonts w:cs="Arial"/>
                <w:noProof/>
                <w:sz w:val="18"/>
                <w:lang w:val="es-ES_tradnl"/>
              </w:rPr>
            </w:pPr>
            <w:r w:rsidRPr="009E6414">
              <w:rPr>
                <w:noProof/>
                <w:sz w:val="18"/>
                <w:lang w:val="es-ES_tradnl"/>
              </w:rPr>
              <w:t xml:space="preserve">En una estructura de dos niveles, creando grupos de discusión a distintos niveles (es decir, asesores/servicios de apoyo a la innovación y GAL). Ambos niveles pueden recibir actividades de formación y de establecimiento de redes de la RRN. </w:t>
            </w:r>
          </w:p>
          <w:p w:rsidR="00A45935" w:rsidRPr="009E6414" w:rsidRDefault="00A45935" w:rsidP="008C0B17">
            <w:pPr>
              <w:numPr>
                <w:ilvl w:val="0"/>
                <w:numId w:val="40"/>
              </w:numPr>
              <w:spacing w:before="60" w:after="120" w:line="280" w:lineRule="atLeast"/>
              <w:ind w:left="317"/>
              <w:rPr>
                <w:rFonts w:cs="Arial"/>
                <w:noProof/>
                <w:sz w:val="18"/>
                <w:lang w:val="es-ES_tradnl"/>
              </w:rPr>
            </w:pPr>
            <w:r w:rsidRPr="009E6414">
              <w:rPr>
                <w:noProof/>
                <w:sz w:val="18"/>
                <w:lang w:val="es-ES_tradnl"/>
              </w:rPr>
              <w:t>Centrados en el área temática de innovación (por ejemplo, constitución de grupos de personas con una diversidad de perspectivas para validar las actividades de la RRN destinadas a potenciar la innovación).</w:t>
            </w:r>
          </w:p>
        </w:tc>
      </w:tr>
      <w:tr w:rsidR="00A45935" w:rsidRPr="009E6414" w:rsidTr="00E05D08">
        <w:tc>
          <w:tcPr>
            <w:tcW w:w="2405" w:type="dxa"/>
            <w:vAlign w:val="center"/>
          </w:tcPr>
          <w:p w:rsidR="00A45935" w:rsidRPr="009E6414" w:rsidRDefault="00A45935" w:rsidP="00BC211C">
            <w:pPr>
              <w:spacing w:after="120" w:line="280" w:lineRule="atLeast"/>
              <w:jc w:val="left"/>
              <w:rPr>
                <w:rFonts w:eastAsia="Calibri" w:cs="Arial"/>
                <w:b/>
                <w:noProof/>
                <w:sz w:val="18"/>
                <w:szCs w:val="18"/>
                <w:lang w:val="es-ES_tradnl"/>
              </w:rPr>
            </w:pPr>
            <w:r w:rsidRPr="009E6414">
              <w:rPr>
                <w:b/>
                <w:noProof/>
                <w:sz w:val="18"/>
                <w:lang w:val="es-ES_tradnl"/>
              </w:rPr>
              <w:t>Análisis funcional de redes (método de diagnóstico)</w:t>
            </w:r>
          </w:p>
        </w:tc>
        <w:tc>
          <w:tcPr>
            <w:tcW w:w="6612" w:type="dxa"/>
          </w:tcPr>
          <w:p w:rsidR="00A45935" w:rsidRPr="009E6414" w:rsidRDefault="00A45935" w:rsidP="00E05D08">
            <w:pPr>
              <w:spacing w:after="120" w:line="280" w:lineRule="atLeast"/>
              <w:rPr>
                <w:rFonts w:eastAsia="Calibri" w:cs="Arial"/>
                <w:noProof/>
                <w:sz w:val="18"/>
                <w:szCs w:val="18"/>
                <w:lang w:val="es-ES_tradnl"/>
              </w:rPr>
            </w:pPr>
            <w:r w:rsidRPr="009E6414">
              <w:rPr>
                <w:noProof/>
                <w:sz w:val="18"/>
                <w:lang w:val="es-ES_tradnl"/>
              </w:rPr>
              <w:t>Combinar una encuesta en línea a los GO (distinguiendo entre los que han recibido algún tipo de ayuda -función de mediación, formación, etc.- de la RRN y los que no) con una serie de entrevistas en profundidad con GO seleccionados. Si no, puede organizarse un grupo de discusión para reflexionar sobre los resultados preliminares de la encuesta en línea.</w:t>
            </w:r>
          </w:p>
        </w:tc>
      </w:tr>
      <w:tr w:rsidR="00A45935" w:rsidRPr="009E6414" w:rsidTr="00E05D08">
        <w:tc>
          <w:tcPr>
            <w:tcW w:w="2405" w:type="dxa"/>
            <w:vAlign w:val="center"/>
          </w:tcPr>
          <w:p w:rsidR="00A45935" w:rsidRPr="009E6414" w:rsidRDefault="00A45935" w:rsidP="00BC211C">
            <w:pPr>
              <w:spacing w:after="120" w:line="280" w:lineRule="atLeast"/>
              <w:jc w:val="left"/>
              <w:rPr>
                <w:rFonts w:eastAsia="Calibri" w:cs="Arial"/>
                <w:b/>
                <w:noProof/>
                <w:sz w:val="18"/>
                <w:szCs w:val="18"/>
                <w:lang w:val="es-ES_tradnl"/>
              </w:rPr>
            </w:pPr>
            <w:r w:rsidRPr="009E6414">
              <w:rPr>
                <w:b/>
                <w:noProof/>
                <w:sz w:val="18"/>
                <w:lang w:val="es-ES_tradnl"/>
              </w:rPr>
              <w:t>Análisis de las partes interesadas (método de diagnóstico)</w:t>
            </w:r>
          </w:p>
        </w:tc>
        <w:tc>
          <w:tcPr>
            <w:tcW w:w="6612" w:type="dxa"/>
          </w:tcPr>
          <w:p w:rsidR="00A45935" w:rsidRPr="009E6414" w:rsidRDefault="00A45935" w:rsidP="00E05D08">
            <w:pPr>
              <w:spacing w:after="120" w:line="280" w:lineRule="atLeast"/>
              <w:rPr>
                <w:rFonts w:eastAsia="Calibri" w:cs="Arial"/>
                <w:noProof/>
                <w:sz w:val="18"/>
                <w:szCs w:val="18"/>
                <w:lang w:val="es-ES_tradnl"/>
              </w:rPr>
            </w:pPr>
            <w:r w:rsidRPr="009E6414">
              <w:rPr>
                <w:noProof/>
                <w:sz w:val="18"/>
                <w:lang w:val="es-ES_tradnl"/>
              </w:rPr>
              <w:t xml:space="preserve">Puede orientarse a la partes interesadas en la innovación a diferentes niveles: la estructura de la RRN o de la red a nivel del Estado miembro en el caso de los servicios de apoyo a la innovación (si es distinta de la RRN); los coordinadores de redes temáticas, los coordinadores de GO e incluso el Punto de servicio de la AEI. </w:t>
            </w:r>
          </w:p>
          <w:p w:rsidR="00A45935" w:rsidRPr="009E6414" w:rsidRDefault="00A45935" w:rsidP="00E05D08">
            <w:pPr>
              <w:spacing w:after="120" w:line="280" w:lineRule="atLeast"/>
              <w:rPr>
                <w:rFonts w:eastAsia="Calibri" w:cs="Arial"/>
                <w:noProof/>
                <w:sz w:val="18"/>
                <w:szCs w:val="18"/>
                <w:lang w:val="es-ES_tradnl"/>
              </w:rPr>
            </w:pPr>
            <w:r w:rsidRPr="009E6414">
              <w:rPr>
                <w:noProof/>
                <w:sz w:val="18"/>
                <w:lang w:val="es-ES_tradnl"/>
              </w:rPr>
              <w:t>El análisis de las partes interesadas ayudará a recabar información sobre estos indicadores cuando no se recaben datos a través de la base de datos de seguimiento. En el caso de la PCE n.º 21, con la ayuda de los datos de seguimiento solo pueden cuantificarse tres indicadores de productividad e incluso estos datos pueden ser demasiado genéricos y no abordar los elementos de innovación. Por ejemplo, en la base de datos de seguimiento puede registrarse el número de intercambios temáticos y analíticos establecidos con ayuda de la RRN (O.24), pero sin diferenciar qué intercambios se centraron en temas de innovación.</w:t>
            </w:r>
          </w:p>
        </w:tc>
      </w:tr>
      <w:tr w:rsidR="00A45935" w:rsidRPr="009E6414" w:rsidTr="00E05D08">
        <w:tc>
          <w:tcPr>
            <w:tcW w:w="2405" w:type="dxa"/>
            <w:vAlign w:val="center"/>
          </w:tcPr>
          <w:p w:rsidR="00A45935" w:rsidRPr="009E6414" w:rsidRDefault="00A45935" w:rsidP="00BC211C">
            <w:pPr>
              <w:spacing w:after="120" w:line="280" w:lineRule="atLeast"/>
              <w:jc w:val="left"/>
              <w:rPr>
                <w:rFonts w:eastAsia="Calibri" w:cs="Arial"/>
                <w:noProof/>
                <w:sz w:val="18"/>
                <w:szCs w:val="18"/>
                <w:lang w:val="es-ES_tradnl"/>
              </w:rPr>
            </w:pPr>
            <w:r w:rsidRPr="009E6414">
              <w:rPr>
                <w:b/>
                <w:noProof/>
                <w:lang w:val="es-ES_tradnl"/>
              </w:rPr>
              <w:t>Análisis de la red social</w:t>
            </w:r>
            <w:r w:rsidRPr="009E6414">
              <w:rPr>
                <w:noProof/>
                <w:lang w:val="es-ES_tradnl"/>
              </w:rPr>
              <w:t xml:space="preserve"> </w:t>
            </w:r>
            <w:r w:rsidRPr="009E6414">
              <w:rPr>
                <w:b/>
                <w:noProof/>
                <w:lang w:val="es-ES_tradnl"/>
              </w:rPr>
              <w:t>(ARS)</w:t>
            </w:r>
            <w:r w:rsidRPr="009E6414">
              <w:rPr>
                <w:noProof/>
                <w:lang w:val="es-ES_tradnl"/>
              </w:rPr>
              <w:t xml:space="preserve"> (método de diagnóstico)</w:t>
            </w:r>
          </w:p>
        </w:tc>
        <w:tc>
          <w:tcPr>
            <w:tcW w:w="6612" w:type="dxa"/>
          </w:tcPr>
          <w:p w:rsidR="00A45935" w:rsidRPr="009E6414" w:rsidRDefault="00A45935" w:rsidP="00E05D08">
            <w:pPr>
              <w:spacing w:after="120" w:line="280" w:lineRule="atLeast"/>
              <w:rPr>
                <w:rFonts w:eastAsia="Calibri" w:cs="Arial"/>
                <w:noProof/>
                <w:sz w:val="18"/>
                <w:szCs w:val="18"/>
                <w:lang w:val="es-ES_tradnl"/>
              </w:rPr>
            </w:pPr>
            <w:r w:rsidRPr="009E6414">
              <w:rPr>
                <w:noProof/>
                <w:sz w:val="18"/>
                <w:lang w:val="es-ES_tradnl"/>
              </w:rPr>
              <w:t>El ARS puede realizarse sobre un aspecto temático, particularmente la potenciación de los objetivos de innovación de la RRN, examinando parcelas de la red de innovación (por ejemplo, identificando actores clave de innovación dentro de la red), evaluando sus características estructurales (por ejemplo, carácter central o periférico de las partes interesadas en la innovación) y los solapamientos entre ellos (por ejemplo, identificando los principales conectores), y discutiéndolos en un grupo de discusión.</w:t>
            </w:r>
          </w:p>
          <w:p w:rsidR="00A45935" w:rsidRPr="009E6414" w:rsidRDefault="00A45935" w:rsidP="00E05D08">
            <w:pPr>
              <w:spacing w:after="120" w:line="280" w:lineRule="atLeast"/>
              <w:rPr>
                <w:rFonts w:eastAsia="Calibri" w:cs="Arial"/>
                <w:noProof/>
                <w:sz w:val="18"/>
                <w:szCs w:val="18"/>
                <w:lang w:val="es-ES_tradnl"/>
              </w:rPr>
            </w:pPr>
            <w:r w:rsidRPr="009E6414">
              <w:rPr>
                <w:noProof/>
                <w:sz w:val="18"/>
                <w:lang w:val="es-ES_tradnl"/>
              </w:rPr>
              <w:t xml:space="preserve">El ARS puede ayudar a medir la participación de las partes interesadas en la innovación en la RRN y valorar la eficacia de los rendimientos relacionados con </w:t>
            </w:r>
            <w:r w:rsidRPr="009E6414">
              <w:rPr>
                <w:noProof/>
                <w:sz w:val="18"/>
                <w:lang w:val="es-ES_tradnl"/>
              </w:rPr>
              <w:lastRenderedPageBreak/>
              <w:t>la innovación (por ejemplo, intercambios temáticos y analíticos sobre innovación, actividades de formación y establecimiento de redes sobre innovación y recopilación de ejemplos de proyectos relacionados con la innovación).</w:t>
            </w:r>
          </w:p>
        </w:tc>
      </w:tr>
      <w:tr w:rsidR="00A45935" w:rsidRPr="009E6414" w:rsidTr="00E05D08">
        <w:tc>
          <w:tcPr>
            <w:tcW w:w="2405" w:type="dxa"/>
            <w:vAlign w:val="center"/>
          </w:tcPr>
          <w:p w:rsidR="00A45935" w:rsidRPr="009E6414" w:rsidRDefault="00A45935" w:rsidP="00BC211C">
            <w:pPr>
              <w:spacing w:after="120" w:line="280" w:lineRule="atLeast"/>
              <w:jc w:val="left"/>
              <w:rPr>
                <w:rFonts w:eastAsia="Calibri" w:cs="Arial"/>
                <w:b/>
                <w:noProof/>
                <w:sz w:val="18"/>
                <w:szCs w:val="18"/>
                <w:lang w:val="es-ES_tradnl"/>
              </w:rPr>
            </w:pPr>
            <w:r w:rsidRPr="009E6414">
              <w:rPr>
                <w:b/>
                <w:noProof/>
                <w:sz w:val="18"/>
                <w:lang w:val="es-ES_tradnl"/>
              </w:rPr>
              <w:t>Estudios de casos</w:t>
            </w:r>
          </w:p>
        </w:tc>
        <w:tc>
          <w:tcPr>
            <w:tcW w:w="6612" w:type="dxa"/>
          </w:tcPr>
          <w:p w:rsidR="00A45935" w:rsidRPr="009E6414" w:rsidRDefault="00A45935" w:rsidP="00E05D08">
            <w:pPr>
              <w:spacing w:after="120" w:line="280" w:lineRule="atLeast"/>
              <w:rPr>
                <w:rFonts w:eastAsia="Calibri" w:cs="Arial"/>
                <w:noProof/>
                <w:sz w:val="18"/>
                <w:szCs w:val="18"/>
                <w:lang w:val="es-ES_tradnl"/>
              </w:rPr>
            </w:pPr>
            <w:r w:rsidRPr="009E6414">
              <w:rPr>
                <w:noProof/>
                <w:sz w:val="18"/>
                <w:lang w:val="es-ES_tradnl"/>
              </w:rPr>
              <w:t>Los estudios de casos pueden adaptarse y utilizarse en cualquier evaluación. Ofrecen la posibilidad de mezclar distintos métodos y son muy flexibles en su concepción. En el caso de la PCE n.º 21, se propone la posibilidad de construir estudios de casos sobre los siguientes aspectos/criterios vinculados a la innovación:</w:t>
            </w:r>
          </w:p>
          <w:p w:rsidR="00A45935" w:rsidRPr="009E6414" w:rsidRDefault="00A45935" w:rsidP="008C0B17">
            <w:pPr>
              <w:numPr>
                <w:ilvl w:val="0"/>
                <w:numId w:val="41"/>
              </w:numPr>
              <w:spacing w:before="60" w:after="120" w:line="280" w:lineRule="atLeast"/>
              <w:ind w:left="360"/>
              <w:rPr>
                <w:noProof/>
                <w:sz w:val="18"/>
                <w:lang w:val="es-ES_tradnl"/>
              </w:rPr>
            </w:pPr>
            <w:r w:rsidRPr="009E6414">
              <w:rPr>
                <w:noProof/>
                <w:sz w:val="18"/>
                <w:lang w:val="es-ES_tradnl"/>
              </w:rPr>
              <w:t>Analizar la función de la RRN en la creación de grupos operativos y, por lo tanto, en la potenciación de la innovación en la agricultura, la silvicultura y las zonas rurales.</w:t>
            </w:r>
          </w:p>
          <w:p w:rsidR="00A45935" w:rsidRPr="009E6414" w:rsidRDefault="00A45935" w:rsidP="008C0B17">
            <w:pPr>
              <w:numPr>
                <w:ilvl w:val="0"/>
                <w:numId w:val="41"/>
              </w:numPr>
              <w:spacing w:before="60" w:after="120" w:line="280" w:lineRule="atLeast"/>
              <w:ind w:left="360"/>
              <w:rPr>
                <w:noProof/>
                <w:sz w:val="18"/>
                <w:lang w:val="es-ES_tradnl"/>
              </w:rPr>
            </w:pPr>
            <w:r w:rsidRPr="009E6414">
              <w:rPr>
                <w:noProof/>
                <w:sz w:val="18"/>
                <w:lang w:val="es-ES_tradnl"/>
              </w:rPr>
              <w:t>Analizar las contribuciones de la RRN para promocionar a asesores y servicios de apoyo a la innovación como formadores en los procesos de innovación interactiva (por ejemplo, captando ideas prácticas, actuando como intermediarios, facilitadores y divulgadores de nuevos conocimientos).</w:t>
            </w:r>
          </w:p>
          <w:p w:rsidR="00A45935" w:rsidRPr="009E6414" w:rsidRDefault="00A45935" w:rsidP="008C0B17">
            <w:pPr>
              <w:numPr>
                <w:ilvl w:val="0"/>
                <w:numId w:val="41"/>
              </w:numPr>
              <w:spacing w:before="60" w:after="120" w:line="280" w:lineRule="atLeast"/>
              <w:ind w:left="360"/>
              <w:rPr>
                <w:noProof/>
                <w:sz w:val="18"/>
                <w:lang w:val="es-ES_tradnl"/>
              </w:rPr>
            </w:pPr>
            <w:r w:rsidRPr="009E6414">
              <w:rPr>
                <w:noProof/>
                <w:sz w:val="18"/>
                <w:lang w:val="es-ES_tradnl"/>
              </w:rPr>
              <w:t>Analizar la función de las RRN en las redes temáticas que conectan grupos operativos y, por lo tanto, valorar los vínculos con Horizonte 2020.</w:t>
            </w:r>
          </w:p>
        </w:tc>
      </w:tr>
    </w:tbl>
    <w:p w:rsidR="00A45935" w:rsidRPr="009E6414" w:rsidRDefault="00A45935" w:rsidP="00676B41">
      <w:pPr>
        <w:numPr>
          <w:ilvl w:val="0"/>
          <w:numId w:val="60"/>
        </w:numPr>
        <w:spacing w:before="120" w:after="120" w:line="280" w:lineRule="atLeast"/>
        <w:ind w:left="567" w:hanging="567"/>
        <w:mirrorIndents/>
        <w:rPr>
          <w:rFonts w:eastAsia="Times New Roman" w:cs="Times New Roman"/>
          <w:b/>
          <w:noProof/>
          <w:szCs w:val="20"/>
          <w:lang w:val="es-ES_tradnl"/>
        </w:rPr>
      </w:pPr>
      <w:r w:rsidRPr="009E6414">
        <w:rPr>
          <w:b/>
          <w:noProof/>
          <w:lang w:val="es-ES_tradnl"/>
        </w:rPr>
        <w:t>Riesgos y soluciones</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9"/>
      </w:tblGrid>
      <w:tr w:rsidR="00A45935" w:rsidRPr="009E6414" w:rsidTr="00E05D08">
        <w:tc>
          <w:tcPr>
            <w:tcW w:w="4508" w:type="dxa"/>
            <w:shd w:val="clear" w:color="auto" w:fill="F07E31"/>
          </w:tcPr>
          <w:p w:rsidR="00A45935" w:rsidRPr="009E6414" w:rsidRDefault="00A45935" w:rsidP="00E05D08">
            <w:pPr>
              <w:spacing w:after="120" w:line="280" w:lineRule="atLeast"/>
              <w:mirrorIndents/>
              <w:jc w:val="center"/>
              <w:rPr>
                <w:b/>
                <w:noProof/>
                <w:color w:val="FFFFFF"/>
                <w:sz w:val="18"/>
                <w:szCs w:val="18"/>
                <w:lang w:val="es-ES_tradnl"/>
              </w:rPr>
            </w:pPr>
            <w:r w:rsidRPr="009E6414">
              <w:rPr>
                <w:b/>
                <w:noProof/>
                <w:color w:val="FFFFFF"/>
                <w:sz w:val="18"/>
                <w:lang w:val="es-ES_tradnl"/>
              </w:rPr>
              <w:t>Riesgos</w:t>
            </w:r>
          </w:p>
        </w:tc>
        <w:tc>
          <w:tcPr>
            <w:tcW w:w="4509" w:type="dxa"/>
            <w:shd w:val="clear" w:color="auto" w:fill="F07E31"/>
          </w:tcPr>
          <w:p w:rsidR="00A45935" w:rsidRPr="009E6414" w:rsidRDefault="00A45935" w:rsidP="00E05D08">
            <w:pPr>
              <w:spacing w:after="120" w:line="280" w:lineRule="atLeast"/>
              <w:mirrorIndents/>
              <w:jc w:val="center"/>
              <w:rPr>
                <w:b/>
                <w:noProof/>
                <w:color w:val="FFFFFF"/>
                <w:sz w:val="18"/>
                <w:szCs w:val="18"/>
                <w:lang w:val="es-ES_tradnl"/>
              </w:rPr>
            </w:pPr>
            <w:r w:rsidRPr="009E6414">
              <w:rPr>
                <w:b/>
                <w:noProof/>
                <w:color w:val="FFFFFF"/>
                <w:sz w:val="18"/>
                <w:lang w:val="es-ES_tradnl"/>
              </w:rPr>
              <w:t>Soluciones</w:t>
            </w:r>
          </w:p>
        </w:tc>
      </w:tr>
      <w:tr w:rsidR="00A45935" w:rsidRPr="009E6414" w:rsidTr="00E05D08">
        <w:trPr>
          <w:trHeight w:val="699"/>
        </w:trPr>
        <w:tc>
          <w:tcPr>
            <w:tcW w:w="4508" w:type="dxa"/>
          </w:tcPr>
          <w:p w:rsidR="00A45935" w:rsidRPr="009E6414" w:rsidRDefault="00A45935" w:rsidP="00E05D08">
            <w:pPr>
              <w:spacing w:after="120" w:line="280" w:lineRule="atLeast"/>
              <w:rPr>
                <w:rFonts w:eastAsia="Calibri" w:cs="Arial"/>
                <w:noProof/>
                <w:sz w:val="18"/>
                <w:szCs w:val="18"/>
                <w:lang w:val="es-ES_tradnl"/>
              </w:rPr>
            </w:pPr>
            <w:r w:rsidRPr="009E6414">
              <w:rPr>
                <w:noProof/>
                <w:sz w:val="18"/>
                <w:lang w:val="es-ES_tradnl"/>
              </w:rPr>
              <w:t>Los datos de los tres indicadores comunes de productividad deben estar disponibles, pero probablemente no están centrados en la innovación. Por ejemplo, los datos sobre intercambios temáticos y analíticos no pueden recopilarse por tema, más concretamente el de innovación. Asimismo, los datos sobre herramientas de comunicación no pueden desglosarse por tema (por ejemplo, comunicación de resultados en materia de innovación).</w:t>
            </w:r>
          </w:p>
        </w:tc>
        <w:tc>
          <w:tcPr>
            <w:tcW w:w="4509" w:type="dxa"/>
          </w:tcPr>
          <w:p w:rsidR="00A45935" w:rsidRPr="009E6414" w:rsidRDefault="00A45935" w:rsidP="007E63EF">
            <w:pPr>
              <w:spacing w:after="120" w:line="280" w:lineRule="atLeast"/>
              <w:rPr>
                <w:noProof/>
                <w:sz w:val="18"/>
                <w:szCs w:val="18"/>
                <w:lang w:val="es-ES_tradnl"/>
              </w:rPr>
            </w:pPr>
            <w:r w:rsidRPr="009E6414">
              <w:rPr>
                <w:noProof/>
                <w:sz w:val="18"/>
                <w:lang w:val="es-ES_tradnl"/>
              </w:rPr>
              <w:t>Las AG podrían incluir el componente de innovación en los tres indicadores comunes de productividad en las bases de datos de control</w:t>
            </w:r>
            <w:r w:rsidRPr="009E6414">
              <w:rPr>
                <w:noProof/>
                <w:sz w:val="18"/>
                <w:vertAlign w:val="superscript"/>
                <w:lang w:val="es-ES_tradnl"/>
              </w:rPr>
              <w:footnoteReference w:id="67"/>
            </w:r>
            <w:r w:rsidRPr="009E6414">
              <w:rPr>
                <w:noProof/>
                <w:sz w:val="18"/>
                <w:lang w:val="es-ES_tradnl"/>
              </w:rPr>
              <w:t>.</w:t>
            </w:r>
          </w:p>
        </w:tc>
      </w:tr>
      <w:tr w:rsidR="00A45935" w:rsidRPr="009E6414" w:rsidTr="00E05D08">
        <w:tc>
          <w:tcPr>
            <w:tcW w:w="4508" w:type="dxa"/>
          </w:tcPr>
          <w:p w:rsidR="00A45935" w:rsidRPr="009E6414" w:rsidRDefault="00A45935" w:rsidP="00E05D08">
            <w:pPr>
              <w:spacing w:after="120" w:line="280" w:lineRule="atLeast"/>
              <w:rPr>
                <w:rFonts w:eastAsia="Calibri" w:cs="Arial"/>
                <w:noProof/>
                <w:sz w:val="18"/>
                <w:szCs w:val="18"/>
                <w:lang w:val="es-ES_tradnl"/>
              </w:rPr>
            </w:pPr>
            <w:r w:rsidRPr="009E6414">
              <w:rPr>
                <w:noProof/>
                <w:sz w:val="18"/>
                <w:lang w:val="es-ES_tradnl"/>
              </w:rPr>
              <w:t>Para todos los demás indicadores propuestos, los datos podrían no recopilarse con fines de seguimiento, a menos que una AG/RRN haya decidido hacerlo como complemento a los elementos de datos comunes.</w:t>
            </w:r>
          </w:p>
        </w:tc>
        <w:tc>
          <w:tcPr>
            <w:tcW w:w="4509" w:type="dxa"/>
          </w:tcPr>
          <w:p w:rsidR="00A45935" w:rsidRPr="009E6414" w:rsidRDefault="00A45935" w:rsidP="00E05D08">
            <w:pPr>
              <w:spacing w:after="120" w:line="280" w:lineRule="atLeast"/>
              <w:rPr>
                <w:rFonts w:eastAsia="Calibri" w:cs="Arial"/>
                <w:noProof/>
                <w:sz w:val="18"/>
                <w:szCs w:val="18"/>
                <w:lang w:val="es-ES_tradnl"/>
              </w:rPr>
            </w:pPr>
            <w:r w:rsidRPr="009E6414">
              <w:rPr>
                <w:noProof/>
                <w:sz w:val="18"/>
                <w:lang w:val="es-ES_tradnl"/>
              </w:rPr>
              <w:t>En una primera fase de ejecución, las RRN deben marcar sus actividades orientadas hacia la potenciación de la innovación (por ejemplo, formación de partes interesadas en la innovación, intercambios temáticos sobre innovación, recopilación de buenas prácticas en el ámbito de la innovación, ayuda a la creación de GO, etc.).</w:t>
            </w:r>
          </w:p>
        </w:tc>
      </w:tr>
      <w:tr w:rsidR="00A45935" w:rsidRPr="009E6414" w:rsidTr="00E05D08">
        <w:tc>
          <w:tcPr>
            <w:tcW w:w="4508" w:type="dxa"/>
          </w:tcPr>
          <w:p w:rsidR="00A45935" w:rsidRPr="009E6414" w:rsidRDefault="00A45935" w:rsidP="00E05D08">
            <w:pPr>
              <w:spacing w:after="120" w:line="280" w:lineRule="atLeast"/>
              <w:rPr>
                <w:rFonts w:eastAsia="Calibri" w:cs="Arial"/>
                <w:noProof/>
                <w:sz w:val="18"/>
                <w:szCs w:val="18"/>
                <w:lang w:val="es-ES_tradnl"/>
              </w:rPr>
            </w:pPr>
            <w:r w:rsidRPr="009E6414">
              <w:rPr>
                <w:noProof/>
                <w:sz w:val="18"/>
                <w:lang w:val="es-ES_tradnl"/>
              </w:rPr>
              <w:t>Basarse únicamente en un método (cualitativo o cuantitativo) para analizar los datos tal vez no ofrezca conclusiones fiables.</w:t>
            </w:r>
          </w:p>
        </w:tc>
        <w:tc>
          <w:tcPr>
            <w:tcW w:w="4509" w:type="dxa"/>
          </w:tcPr>
          <w:p w:rsidR="00A45935" w:rsidRPr="009E6414" w:rsidRDefault="00A45935" w:rsidP="00E05D08">
            <w:pPr>
              <w:spacing w:after="120" w:line="280" w:lineRule="atLeast"/>
              <w:rPr>
                <w:rFonts w:eastAsia="Calibri" w:cs="Arial"/>
                <w:noProof/>
                <w:sz w:val="18"/>
                <w:szCs w:val="18"/>
                <w:lang w:val="es-ES_tradnl"/>
              </w:rPr>
            </w:pPr>
            <w:r w:rsidRPr="009E6414">
              <w:rPr>
                <w:noProof/>
                <w:sz w:val="18"/>
                <w:lang w:val="es-ES_tradnl"/>
              </w:rPr>
              <w:t xml:space="preserve">Utilizar una combinación de métodos de evaluación, que recopilen información de forma continua o </w:t>
            </w:r>
            <w:r w:rsidRPr="009E6414">
              <w:rPr>
                <w:i/>
                <w:noProof/>
                <w:sz w:val="18"/>
                <w:lang w:val="es-ES_tradnl"/>
              </w:rPr>
              <w:t>ex post</w:t>
            </w:r>
            <w:r w:rsidRPr="009E6414">
              <w:rPr>
                <w:noProof/>
                <w:sz w:val="18"/>
                <w:lang w:val="es-ES_tradnl"/>
              </w:rPr>
              <w:t xml:space="preserve">, como los sugeridos anteriormente (encuestas, grupos de discusión, métodos de diagnóstico, estudios de casos) y permitan la triangulación y la </w:t>
            </w:r>
            <w:r w:rsidRPr="009E6414">
              <w:rPr>
                <w:noProof/>
                <w:sz w:val="18"/>
                <w:lang w:val="es-ES_tradnl"/>
              </w:rPr>
              <w:lastRenderedPageBreak/>
              <w:t>obtención de conclusiones más sólidas.</w:t>
            </w:r>
          </w:p>
        </w:tc>
      </w:tr>
    </w:tbl>
    <w:p w:rsidR="00A45935" w:rsidRPr="009E6414" w:rsidRDefault="00A45935" w:rsidP="00676B41">
      <w:pPr>
        <w:numPr>
          <w:ilvl w:val="0"/>
          <w:numId w:val="60"/>
        </w:numPr>
        <w:spacing w:before="120" w:after="120" w:line="280" w:lineRule="atLeast"/>
        <w:ind w:left="567" w:hanging="567"/>
        <w:mirrorIndents/>
        <w:rPr>
          <w:rFonts w:eastAsia="Times New Roman" w:cs="Times New Roman"/>
          <w:b/>
          <w:noProof/>
          <w:szCs w:val="20"/>
          <w:lang w:val="es-ES_tradnl"/>
        </w:rPr>
      </w:pPr>
      <w:r w:rsidRPr="009E6414">
        <w:rPr>
          <w:b/>
          <w:noProof/>
          <w:lang w:val="es-ES_tradnl"/>
        </w:rPr>
        <w:t>Conclusiones y recomendaciones</w:t>
      </w:r>
    </w:p>
    <w:p w:rsidR="00A45935" w:rsidRPr="009E6414" w:rsidRDefault="00A45935" w:rsidP="00E05D08">
      <w:pPr>
        <w:spacing w:after="120" w:line="280" w:lineRule="atLeast"/>
        <w:mirrorIndents/>
        <w:rPr>
          <w:rFonts w:eastAsia="Calibri" w:cs="Times New Roman"/>
          <w:noProof/>
          <w:szCs w:val="20"/>
          <w:shd w:val="clear" w:color="auto" w:fill="FFFFFF"/>
          <w:lang w:val="es-ES_tradnl"/>
        </w:rPr>
      </w:pPr>
      <w:r w:rsidRPr="009E6414">
        <w:rPr>
          <w:noProof/>
          <w:lang w:val="es-ES_tradnl"/>
        </w:rPr>
        <w:t>Las conclusiones y recomendaciones deben hacer referencia a:</w:t>
      </w:r>
    </w:p>
    <w:p w:rsidR="00A45935" w:rsidRPr="009E6414" w:rsidRDefault="00A45935" w:rsidP="00676B41">
      <w:pPr>
        <w:pStyle w:val="Hlistbullet"/>
        <w:rPr>
          <w:rFonts w:eastAsia="Calibri"/>
          <w:noProof/>
          <w:shd w:val="clear" w:color="auto" w:fill="FFFFFF"/>
          <w:lang w:val="es-ES_tradnl"/>
        </w:rPr>
      </w:pPr>
      <w:r w:rsidRPr="009E6414">
        <w:rPr>
          <w:b/>
          <w:noProof/>
          <w:shd w:val="clear" w:color="auto" w:fill="FFFFFF"/>
          <w:lang w:val="es-ES_tradnl"/>
        </w:rPr>
        <w:t>La contribución de las RRN para potenciar la innovación</w:t>
      </w:r>
      <w:r w:rsidRPr="009E6414">
        <w:rPr>
          <w:noProof/>
          <w:lang w:val="es-ES_tradnl"/>
        </w:rPr>
        <w:t xml:space="preserve"> en la agricultura, la producción alimentaria, la silvicultura y las zonas rurales.</w:t>
      </w:r>
    </w:p>
    <w:p w:rsidR="00A45935" w:rsidRPr="009E6414" w:rsidRDefault="00A45935" w:rsidP="00676B41">
      <w:pPr>
        <w:pStyle w:val="Hlistbullet"/>
        <w:rPr>
          <w:rFonts w:eastAsia="Calibri"/>
          <w:noProof/>
          <w:shd w:val="clear" w:color="auto" w:fill="FFFFFF"/>
          <w:lang w:val="es-ES_tradnl"/>
        </w:rPr>
      </w:pPr>
      <w:r w:rsidRPr="009E6414">
        <w:rPr>
          <w:b/>
          <w:noProof/>
          <w:shd w:val="clear" w:color="auto" w:fill="FFFFFF"/>
          <w:lang w:val="es-ES_tradnl"/>
        </w:rPr>
        <w:t>Los principales factores y condiciones</w:t>
      </w:r>
      <w:r w:rsidRPr="009E6414">
        <w:rPr>
          <w:noProof/>
          <w:lang w:val="es-ES_tradnl"/>
        </w:rPr>
        <w:t xml:space="preserve"> que hacen que las RRN desempeñen un papel clave en los procesos de innovación interactiva.</w:t>
      </w:r>
    </w:p>
    <w:p w:rsidR="00A45935" w:rsidRPr="009E6414" w:rsidRDefault="00A45935" w:rsidP="00676B41">
      <w:pPr>
        <w:pStyle w:val="Hlistbullet"/>
        <w:rPr>
          <w:rFonts w:eastAsia="Calibri"/>
          <w:noProof/>
          <w:shd w:val="clear" w:color="auto" w:fill="FFFFFF"/>
          <w:lang w:val="es-ES_tradnl"/>
        </w:rPr>
      </w:pPr>
      <w:r w:rsidRPr="009E6414">
        <w:rPr>
          <w:b/>
          <w:noProof/>
          <w:shd w:val="clear" w:color="auto" w:fill="FFFFFF"/>
          <w:lang w:val="es-ES_tradnl"/>
        </w:rPr>
        <w:t>La función de las RRN en el sistema de innovación</w:t>
      </w:r>
      <w:r w:rsidRPr="009E6414">
        <w:rPr>
          <w:noProof/>
          <w:lang w:val="es-ES_tradnl"/>
        </w:rPr>
        <w:t>: 1) identificando la innovación a través de la recopilación y divulgación de buenas prácticas, 2) consolidando la capacidad para innovar a través de la formación, el establecimiento de redes y los intercambios temáticos y analíticos, 3) fomentando un entorno propicio para la innovación mediante el apoyo y la dinamización de los GO de la AEI.</w:t>
      </w:r>
    </w:p>
    <w:p w:rsidR="00A45935" w:rsidRPr="009E6414" w:rsidRDefault="00A45935" w:rsidP="00E05D08">
      <w:pPr>
        <w:keepNext/>
        <w:keepLines/>
        <w:tabs>
          <w:tab w:val="left" w:pos="680"/>
        </w:tabs>
        <w:spacing w:before="240" w:after="240" w:line="280" w:lineRule="atLeast"/>
        <w:mirrorIndents/>
        <w:outlineLvl w:val="3"/>
        <w:rPr>
          <w:rFonts w:eastAsia="Calibri" w:cs="Times New Roman"/>
          <w:b/>
          <w:noProof/>
          <w:color w:val="57825E"/>
          <w:szCs w:val="20"/>
          <w:shd w:val="clear" w:color="auto" w:fill="FFFFFF"/>
          <w:lang w:val="es-ES_tradnl"/>
        </w:rPr>
      </w:pPr>
      <w:r w:rsidRPr="009E6414">
        <w:rPr>
          <w:b/>
          <w:noProof/>
          <w:color w:val="57825E"/>
          <w:shd w:val="clear" w:color="auto" w:fill="FFFFFF"/>
          <w:lang w:val="es-ES_tradnl"/>
        </w:rPr>
        <w:t>Bibliografía adicional</w:t>
      </w:r>
    </w:p>
    <w:p w:rsidR="00A45935" w:rsidRPr="009E6414" w:rsidRDefault="00A45935" w:rsidP="00E05D08">
      <w:pPr>
        <w:spacing w:after="120" w:line="280" w:lineRule="atLeast"/>
        <w:mirrorIndents/>
        <w:rPr>
          <w:rFonts w:eastAsia="Calibri" w:cs="Times New Roman"/>
          <w:noProof/>
          <w:szCs w:val="20"/>
          <w:lang w:val="es-ES_tradnl"/>
        </w:rPr>
      </w:pPr>
      <w:r w:rsidRPr="009E6414">
        <w:rPr>
          <w:rFonts w:eastAsia="Times New Roman" w:cs="Times New Roman"/>
          <w:noProof/>
          <w:sz w:val="18"/>
          <w:szCs w:val="24"/>
          <w:lang w:val="en-GB" w:eastAsia="en-GB" w:bidi="ar-SA"/>
        </w:rPr>
        <mc:AlternateContent>
          <mc:Choice Requires="wps">
            <w:drawing>
              <wp:inline distT="0" distB="0" distL="0" distR="0" wp14:anchorId="63AF0FA4" wp14:editId="4DF7E0B7">
                <wp:extent cx="5625465" cy="3009900"/>
                <wp:effectExtent l="0" t="0" r="13335" b="19050"/>
                <wp:docPr id="552" name="Rectangle: Diagonal Corners Rounded 552"/>
                <wp:cNvGraphicFramePr/>
                <a:graphic xmlns:a="http://schemas.openxmlformats.org/drawingml/2006/main">
                  <a:graphicData uri="http://schemas.microsoft.com/office/word/2010/wordprocessingShape">
                    <wps:wsp>
                      <wps:cNvSpPr/>
                      <wps:spPr>
                        <a:xfrm>
                          <a:off x="0" y="0"/>
                          <a:ext cx="5625465" cy="3009900"/>
                        </a:xfrm>
                        <a:prstGeom prst="round2DiagRect">
                          <a:avLst>
                            <a:gd name="adj1" fmla="val 9900"/>
                            <a:gd name="adj2" fmla="val 0"/>
                          </a:avLst>
                        </a:prstGeom>
                        <a:noFill/>
                        <a:ln w="25400" cap="flat" cmpd="sng" algn="ctr">
                          <a:solidFill>
                            <a:srgbClr val="59638E"/>
                          </a:solidFill>
                          <a:prstDash val="solid"/>
                        </a:ln>
                        <a:effectLst/>
                      </wps:spPr>
                      <wps:txbx>
                        <w:txbxContent>
                          <w:p w:rsidR="008D2E0D" w:rsidRPr="006F1763" w:rsidRDefault="008D2E0D" w:rsidP="00E05D08">
                            <w:pPr>
                              <w:pStyle w:val="HStandard"/>
                              <w:rPr>
                                <w:sz w:val="18"/>
                                <w:szCs w:val="18"/>
                              </w:rPr>
                            </w:pPr>
                            <w:r>
                              <w:rPr>
                                <w:noProof/>
                                <w:lang w:val="en-GB" w:eastAsia="en-GB" w:bidi="ar-SA"/>
                              </w:rPr>
                              <w:drawing>
                                <wp:inline distT="0" distB="0" distL="0" distR="0" wp14:anchorId="53C45070" wp14:editId="2D4EB454">
                                  <wp:extent cx="360465" cy="360000"/>
                                  <wp:effectExtent l="0" t="0" r="1905" b="2540"/>
                                  <wp:docPr id="713"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r>
                              <w:rPr>
                                <w:sz w:val="18"/>
                              </w:rPr>
                              <w:t xml:space="preserve">Servicio de asistencia de evaluación europeo (2016). </w:t>
                            </w:r>
                            <w:r>
                              <w:t>Directrices «</w:t>
                            </w:r>
                            <w:hyperlink r:id="rId59">
                              <w:r>
                                <w:rPr>
                                  <w:color w:val="F07E31"/>
                                  <w:sz w:val="18"/>
                                  <w:u w:val="single"/>
                                </w:rPr>
                                <w:t xml:space="preserve">Evaluación de los resultados del </w:t>
                              </w:r>
                              <w:proofErr w:type="spellStart"/>
                              <w:r>
                                <w:rPr>
                                  <w:color w:val="F07E31"/>
                                  <w:sz w:val="18"/>
                                  <w:u w:val="single"/>
                                </w:rPr>
                                <w:t>PDR</w:t>
                              </w:r>
                              <w:proofErr w:type="spellEnd"/>
                              <w:r>
                                <w:rPr>
                                  <w:color w:val="F07E31"/>
                                  <w:sz w:val="18"/>
                                  <w:u w:val="single"/>
                                </w:rPr>
                                <w:t>: Cómo elaborar los informes sobre evaluación en 2017</w:t>
                              </w:r>
                            </w:hyperlink>
                            <w:r>
                              <w:t>», anexo 11</w:t>
                            </w:r>
                            <w:r>
                              <w:rPr>
                                <w:sz w:val="18"/>
                              </w:rPr>
                              <w:t xml:space="preserve"> </w:t>
                            </w:r>
                          </w:p>
                          <w:p w:rsidR="008D2E0D" w:rsidRPr="006F1763" w:rsidRDefault="008D2E0D" w:rsidP="00E05D08">
                            <w:pPr>
                              <w:pStyle w:val="HStandard"/>
                              <w:rPr>
                                <w:sz w:val="18"/>
                                <w:szCs w:val="18"/>
                              </w:rPr>
                            </w:pPr>
                            <w:proofErr w:type="spellStart"/>
                            <w:r>
                              <w:rPr>
                                <w:sz w:val="18"/>
                              </w:rPr>
                              <w:t>REDR</w:t>
                            </w:r>
                            <w:proofErr w:type="spellEnd"/>
                            <w:r>
                              <w:rPr>
                                <w:sz w:val="18"/>
                              </w:rPr>
                              <w:t xml:space="preserve"> (2014). </w:t>
                            </w:r>
                            <w:hyperlink r:id="rId60">
                              <w:r>
                                <w:rPr>
                                  <w:rStyle w:val="Hyperlink"/>
                                  <w:sz w:val="18"/>
                                </w:rPr>
                                <w:t xml:space="preserve">Guía de la </w:t>
                              </w:r>
                              <w:proofErr w:type="spellStart"/>
                              <w:r>
                                <w:rPr>
                                  <w:rStyle w:val="Hyperlink"/>
                                  <w:sz w:val="18"/>
                                </w:rPr>
                                <w:t>RRN</w:t>
                              </w:r>
                              <w:proofErr w:type="spellEnd"/>
                            </w:hyperlink>
                            <w:r>
                              <w:t>.</w:t>
                            </w:r>
                            <w:r>
                              <w:rPr>
                                <w:sz w:val="18"/>
                              </w:rPr>
                              <w:t xml:space="preserve"> Oficina de publicaciones de Luxemburgo </w:t>
                            </w:r>
                          </w:p>
                          <w:p w:rsidR="008D2E0D" w:rsidRPr="006F1763" w:rsidRDefault="008D2E0D" w:rsidP="00E05D08">
                            <w:pPr>
                              <w:pStyle w:val="HStandard"/>
                              <w:rPr>
                                <w:sz w:val="18"/>
                                <w:szCs w:val="18"/>
                              </w:rPr>
                            </w:pPr>
                            <w:r>
                              <w:t xml:space="preserve">Servicio de asistencia de evaluación europeo (2016). </w:t>
                            </w:r>
                            <w:r>
                              <w:br/>
                              <w:t xml:space="preserve">Directrices </w:t>
                            </w:r>
                            <w:hyperlink r:id="rId61">
                              <w:r>
                                <w:rPr>
                                  <w:rStyle w:val="Hyperlink"/>
                                  <w:sz w:val="18"/>
                                </w:rPr>
                                <w:t>Evaluación de las Redes Rurales Nacionales 2014-2020</w:t>
                              </w:r>
                            </w:hyperlink>
                          </w:p>
                          <w:p w:rsidR="008D2E0D" w:rsidRPr="006F1763" w:rsidRDefault="008D2E0D" w:rsidP="00E05D08">
                            <w:pPr>
                              <w:pStyle w:val="HStandard"/>
                              <w:rPr>
                                <w:sz w:val="18"/>
                                <w:szCs w:val="18"/>
                              </w:rPr>
                            </w:pPr>
                            <w:r>
                              <w:rPr>
                                <w:sz w:val="18"/>
                              </w:rPr>
                              <w:t xml:space="preserve">Comisión Europea, DG AGRI (2014). </w:t>
                            </w:r>
                            <w:hyperlink r:id="rId62">
                              <w:r>
                                <w:rPr>
                                  <w:rStyle w:val="Hyperlink"/>
                                  <w:sz w:val="18"/>
                                </w:rPr>
                                <w:t xml:space="preserve">Orientaciones sobre la programación para la innovación y la aplicación de la </w:t>
                              </w:r>
                              <w:proofErr w:type="spellStart"/>
                              <w:r>
                                <w:rPr>
                                  <w:rStyle w:val="Hyperlink"/>
                                  <w:sz w:val="18"/>
                                </w:rPr>
                                <w:t>AEI</w:t>
                              </w:r>
                              <w:proofErr w:type="spellEnd"/>
                              <w:r>
                                <w:rPr>
                                  <w:rStyle w:val="Hyperlink"/>
                                  <w:sz w:val="18"/>
                                </w:rPr>
                                <w:t xml:space="preserve"> en la productividad y sostenibilidad agrícolas</w:t>
                              </w:r>
                            </w:hyperlink>
                          </w:p>
                          <w:p w:rsidR="008D2E0D" w:rsidRPr="006F1763" w:rsidRDefault="008D2E0D" w:rsidP="00E05D08">
                            <w:pPr>
                              <w:pStyle w:val="HStandard"/>
                              <w:rPr>
                                <w:sz w:val="18"/>
                                <w:szCs w:val="18"/>
                              </w:rPr>
                            </w:pPr>
                            <w:r>
                              <w:rPr>
                                <w:sz w:val="18"/>
                              </w:rPr>
                              <w:t xml:space="preserve">Servicio de asistencia de evaluación europeo (2014). Lógica de intervención y marco de evaluación para las Redes Rurales Nacionales en el período 2014-2020. Documento de referencia presentado en el </w:t>
                            </w:r>
                            <w:hyperlink r:id="rId63">
                              <w:r>
                                <w:rPr>
                                  <w:rStyle w:val="Hyperlink"/>
                                  <w:sz w:val="18"/>
                                </w:rPr>
                                <w:t>Taller sobre buenas prácticas «Redes Rurales Nacionales: Cómo mostrar sus beneficios»</w:t>
                              </w:r>
                            </w:hyperlink>
                            <w:r>
                              <w:rPr>
                                <w:sz w:val="18"/>
                              </w:rPr>
                              <w:t>, Roma (Italia), 10 y 11 de abril de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3AF0FA4" id="Rectangle: Diagonal Corners Rounded 552" o:spid="_x0000_s1052" style="width:442.95pt;height:237pt;visibility:visible;mso-wrap-style:square;mso-left-percent:-10001;mso-top-percent:-10001;mso-position-horizontal:absolute;mso-position-horizontal-relative:char;mso-position-vertical:absolute;mso-position-vertical-relative:line;mso-left-percent:-10001;mso-top-percent:-10001;v-text-anchor:middle" coordsize="5625465,3009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" adj="-11796480,,5400" path="m297980,l5625465,r,l5625465,2711920v,164570,-133410,297980,-297980,297980l,3009900r,l,297980c,133410,133410,,297980,xe" filled="f" strokecolor="#59638e" strokeweight="2pt">
                <v:stroke joinstyle="miter"/>
                <v:formulas/>
                <v:path arrowok="t" o:connecttype="custom" o:connectlocs="297980,0;5625465,0;5625465,0;5625465,2711920;5327485,3009900;0,3009900;0,3009900;0,297980;297980,0" o:connectangles="0,0,0,0,0,0,0,0,0" textboxrect="0,0,5625465,3009900"/>
                <v:textbox>
                  <w:txbxContent>
                    <w:p w:rsidR="008D2E0D" w:rsidRPr="006F1763" w:rsidRDefault="008D2E0D" w:rsidP="00E05D08">
                      <w:pPr>
                        <w:pStyle w:val="HStandard"/>
                        <w:rPr>
                          <w:sz w:val="18"/>
                          <w:szCs w:val="18"/>
                        </w:rPr>
                      </w:pPr>
                      <w:r>
                        <w:rPr>
                          <w:noProof/>
                          <w:lang w:val="en-GB" w:eastAsia="en-GB" w:bidi="ar-SA"/>
                        </w:rPr>
                        <w:drawing>
                          <wp:inline distT="0" distB="0" distL="0" distR="0" wp14:anchorId="53C45070" wp14:editId="2D4EB454">
                            <wp:extent cx="360465" cy="360000"/>
                            <wp:effectExtent l="0" t="0" r="1905" b="2540"/>
                            <wp:docPr id="713"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r>
                        <w:rPr>
                          <w:sz w:val="18"/>
                        </w:rPr>
                        <w:t xml:space="preserve">Servicio de asistencia de evaluación europeo (2016). </w:t>
                      </w:r>
                      <w:r>
                        <w:t>Directrices «</w:t>
                      </w:r>
                      <w:hyperlink r:id="rId64">
                        <w:r>
                          <w:rPr>
                            <w:color w:val="F07E31"/>
                            <w:sz w:val="18"/>
                            <w:u w:val="single"/>
                          </w:rPr>
                          <w:t xml:space="preserve">Evaluación de los resultados del </w:t>
                        </w:r>
                        <w:proofErr w:type="spellStart"/>
                        <w:r>
                          <w:rPr>
                            <w:color w:val="F07E31"/>
                            <w:sz w:val="18"/>
                            <w:u w:val="single"/>
                          </w:rPr>
                          <w:t>PDR</w:t>
                        </w:r>
                        <w:proofErr w:type="spellEnd"/>
                        <w:r>
                          <w:rPr>
                            <w:color w:val="F07E31"/>
                            <w:sz w:val="18"/>
                            <w:u w:val="single"/>
                          </w:rPr>
                          <w:t>: Cómo elaborar los informes sobre evaluación en 2017</w:t>
                        </w:r>
                      </w:hyperlink>
                      <w:r>
                        <w:t>», anexo 11</w:t>
                      </w:r>
                      <w:r>
                        <w:rPr>
                          <w:sz w:val="18"/>
                        </w:rPr>
                        <w:t xml:space="preserve"> </w:t>
                      </w:r>
                    </w:p>
                    <w:p w:rsidR="008D2E0D" w:rsidRPr="006F1763" w:rsidRDefault="008D2E0D" w:rsidP="00E05D08">
                      <w:pPr>
                        <w:pStyle w:val="HStandard"/>
                        <w:rPr>
                          <w:sz w:val="18"/>
                          <w:szCs w:val="18"/>
                        </w:rPr>
                      </w:pPr>
                      <w:proofErr w:type="spellStart"/>
                      <w:r>
                        <w:rPr>
                          <w:sz w:val="18"/>
                        </w:rPr>
                        <w:t>REDR</w:t>
                      </w:r>
                      <w:proofErr w:type="spellEnd"/>
                      <w:r>
                        <w:rPr>
                          <w:sz w:val="18"/>
                        </w:rPr>
                        <w:t xml:space="preserve"> (2014). </w:t>
                      </w:r>
                      <w:hyperlink r:id="rId65">
                        <w:r>
                          <w:rPr>
                            <w:rStyle w:val="Hyperlink"/>
                            <w:sz w:val="18"/>
                          </w:rPr>
                          <w:t xml:space="preserve">Guía de la </w:t>
                        </w:r>
                        <w:proofErr w:type="spellStart"/>
                        <w:r>
                          <w:rPr>
                            <w:rStyle w:val="Hyperlink"/>
                            <w:sz w:val="18"/>
                          </w:rPr>
                          <w:t>RRN</w:t>
                        </w:r>
                        <w:proofErr w:type="spellEnd"/>
                      </w:hyperlink>
                      <w:r>
                        <w:t>.</w:t>
                      </w:r>
                      <w:r>
                        <w:rPr>
                          <w:sz w:val="18"/>
                        </w:rPr>
                        <w:t xml:space="preserve"> Oficina de publicaciones de Luxemburgo </w:t>
                      </w:r>
                    </w:p>
                    <w:p w:rsidR="008D2E0D" w:rsidRPr="006F1763" w:rsidRDefault="008D2E0D" w:rsidP="00E05D08">
                      <w:pPr>
                        <w:pStyle w:val="HStandard"/>
                        <w:rPr>
                          <w:sz w:val="18"/>
                          <w:szCs w:val="18"/>
                        </w:rPr>
                      </w:pPr>
                      <w:r>
                        <w:t xml:space="preserve">Servicio de asistencia de evaluación europeo (2016). </w:t>
                      </w:r>
                      <w:r>
                        <w:br/>
                        <w:t xml:space="preserve">Directrices </w:t>
                      </w:r>
                      <w:hyperlink r:id="rId66">
                        <w:r>
                          <w:rPr>
                            <w:rStyle w:val="Hyperlink"/>
                            <w:sz w:val="18"/>
                          </w:rPr>
                          <w:t>Evaluación de las Redes Rurales Nacionales 2014-2020</w:t>
                        </w:r>
                      </w:hyperlink>
                    </w:p>
                    <w:p w:rsidR="008D2E0D" w:rsidRPr="006F1763" w:rsidRDefault="008D2E0D" w:rsidP="00E05D08">
                      <w:pPr>
                        <w:pStyle w:val="HStandard"/>
                        <w:rPr>
                          <w:sz w:val="18"/>
                          <w:szCs w:val="18"/>
                        </w:rPr>
                      </w:pPr>
                      <w:r>
                        <w:rPr>
                          <w:sz w:val="18"/>
                        </w:rPr>
                        <w:t xml:space="preserve">Comisión Europea, DG AGRI (2014). </w:t>
                      </w:r>
                      <w:hyperlink r:id="rId67">
                        <w:r>
                          <w:rPr>
                            <w:rStyle w:val="Hyperlink"/>
                            <w:sz w:val="18"/>
                          </w:rPr>
                          <w:t xml:space="preserve">Orientaciones sobre la programación para la innovación y la aplicación de la </w:t>
                        </w:r>
                        <w:proofErr w:type="spellStart"/>
                        <w:r>
                          <w:rPr>
                            <w:rStyle w:val="Hyperlink"/>
                            <w:sz w:val="18"/>
                          </w:rPr>
                          <w:t>AEI</w:t>
                        </w:r>
                        <w:proofErr w:type="spellEnd"/>
                        <w:r>
                          <w:rPr>
                            <w:rStyle w:val="Hyperlink"/>
                            <w:sz w:val="18"/>
                          </w:rPr>
                          <w:t xml:space="preserve"> en la productividad y sostenibilidad agrícolas</w:t>
                        </w:r>
                      </w:hyperlink>
                    </w:p>
                    <w:p w:rsidR="008D2E0D" w:rsidRPr="006F1763" w:rsidRDefault="008D2E0D" w:rsidP="00E05D08">
                      <w:pPr>
                        <w:pStyle w:val="HStandard"/>
                        <w:rPr>
                          <w:sz w:val="18"/>
                          <w:szCs w:val="18"/>
                        </w:rPr>
                      </w:pPr>
                      <w:r>
                        <w:rPr>
                          <w:sz w:val="18"/>
                        </w:rPr>
                        <w:t xml:space="preserve">Servicio de asistencia de evaluación europeo (2014). Lógica de intervención y marco de evaluación para las Redes Rurales Nacionales en el período 2014-2020. Documento de referencia presentado en el </w:t>
                      </w:r>
                      <w:hyperlink r:id="rId68">
                        <w:r>
                          <w:rPr>
                            <w:rStyle w:val="Hyperlink"/>
                            <w:sz w:val="18"/>
                          </w:rPr>
                          <w:t>Taller sobre buenas prácticas «Redes Rurales Nacionales: Cómo mostrar sus beneficios»</w:t>
                        </w:r>
                      </w:hyperlink>
                      <w:r>
                        <w:rPr>
                          <w:sz w:val="18"/>
                        </w:rPr>
                        <w:t>, Roma (Italia), 10 y 11 de abril de 2014.</w:t>
                      </w:r>
                    </w:p>
                  </w:txbxContent>
                </v:textbox>
                <w10:anchorlock/>
              </v:shape>
            </w:pict>
          </mc:Fallback>
        </mc:AlternateContent>
      </w:r>
    </w:p>
    <w:p w:rsidR="00A45935" w:rsidRPr="009E6414" w:rsidRDefault="00A45935" w:rsidP="00F66623">
      <w:pPr>
        <w:pStyle w:val="HHeading3"/>
        <w:numPr>
          <w:ilvl w:val="2"/>
          <w:numId w:val="124"/>
        </w:numPr>
        <w:tabs>
          <w:tab w:val="clear" w:pos="567"/>
        </w:tabs>
        <w:spacing w:before="480" w:line="280" w:lineRule="exact"/>
        <w:ind w:left="567" w:hanging="567"/>
        <w:rPr>
          <w:noProof/>
          <w:lang w:val="es-ES_tradnl"/>
        </w:rPr>
      </w:pPr>
      <w:bookmarkStart w:id="26" w:name="_Toc508707923"/>
      <w:r w:rsidRPr="009E6414">
        <w:rPr>
          <w:noProof/>
          <w:lang w:val="es-ES_tradnl"/>
        </w:rPr>
        <w:t>PCE n.º 23: «¿En qué medida ha contribuido el PDR a la consecución del objetivo principal de la Estrategia Europa 2020 de invertir el 3 % del PIB de la UE en investigación y desarrollo e innovación?»</w:t>
      </w:r>
      <w:bookmarkEnd w:id="26"/>
      <w:r w:rsidRPr="009E6414">
        <w:rPr>
          <w:noProof/>
          <w:lang w:val="es-ES_tradnl"/>
        </w:rPr>
        <w:t xml:space="preserve"> </w:t>
      </w:r>
    </w:p>
    <w:p w:rsidR="00A45935" w:rsidRPr="009E6414" w:rsidRDefault="00A45935" w:rsidP="00E05D08">
      <w:pPr>
        <w:keepNext/>
        <w:keepLines/>
        <w:tabs>
          <w:tab w:val="left" w:pos="680"/>
        </w:tabs>
        <w:spacing w:before="240" w:after="240" w:line="280" w:lineRule="atLeast"/>
        <w:mirrorIndents/>
        <w:outlineLvl w:val="3"/>
        <w:rPr>
          <w:rFonts w:eastAsia="Times New Roman" w:cs="Times New Roman"/>
          <w:b/>
          <w:noProof/>
          <w:color w:val="57825E"/>
          <w:szCs w:val="20"/>
          <w:lang w:val="es-ES_tradnl"/>
        </w:rPr>
      </w:pPr>
      <w:r w:rsidRPr="009E6414">
        <w:rPr>
          <w:b/>
          <w:noProof/>
          <w:color w:val="57825E"/>
          <w:lang w:val="es-ES_tradnl"/>
        </w:rPr>
        <w:t>Entender la PCE</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 xml:space="preserve">Esta PCE se refiere a uno de los cinco objetivos principales de la Estrategia Europa 2020: «el 3 % del PIB de la UE debe invertirse en I+D+i». Para entender la pregunta, es preciso reconocer el contexto y la dimensión del objetivo principal, y sobre todo su pretensión de mejorar las condiciones para la innovación, la investigación y el desarrollo, utilizando la combinación de fondos públicos y privados.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 xml:space="preserve">El objetivo principal está vinculado a las prioridades de la estrategia Europa 2020 para un crecimiento inteligente, sostenible e integrador basado en el conocimiento y la innovación. La atención se centró </w:t>
      </w:r>
      <w:r w:rsidRPr="009E6414">
        <w:rPr>
          <w:noProof/>
          <w:lang w:val="es-ES_tradnl"/>
        </w:rPr>
        <w:lastRenderedPageBreak/>
        <w:t xml:space="preserve">en la necesidad de que tanto el sector público como el privado inviertan en I+D, pero se centra más </w:t>
      </w:r>
      <w:r w:rsidRPr="009E6414">
        <w:rPr>
          <w:b/>
          <w:noProof/>
          <w:lang w:val="es-ES_tradnl"/>
        </w:rPr>
        <w:t>en las inversiones más que en el impacto</w:t>
      </w:r>
      <w:r w:rsidRPr="009E6414">
        <w:rPr>
          <w:noProof/>
          <w:vertAlign w:val="superscript"/>
          <w:lang w:val="es-ES_tradnl"/>
        </w:rPr>
        <w:footnoteReference w:id="68"/>
      </w:r>
      <w:r w:rsidRPr="009E6414">
        <w:rPr>
          <w:noProof/>
          <w:lang w:val="es-ES_tradnl"/>
        </w:rPr>
        <w:t xml:space="preserve">. Hay una necesidad clara de mejorar las condiciones de la I+D privada en la UE y muchas de las medidas propuestas en esta estrategia así lo hacen. También está claro que abordando juntos la I+D+i podremos cubrir una gama más amplia de gasto, que será más relevante para las actividades de las empresas y para incentivar la productividad. La Comisión propone mantener el objetivo del 3 %, pero desarrollar simultáneamente un indicador que refleje la intensidad de la I+D+i.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Este objetivo principal se ha traducido en los Estados miembros de la UE en objetivos nacionales que reflejan diferentes situaciones y circunstancias de forma que cada Estado miembro puede controlar su propio avance hacia los objetivos de Europa 2020</w:t>
      </w:r>
      <w:r w:rsidRPr="009E6414">
        <w:rPr>
          <w:noProof/>
          <w:vertAlign w:val="superscript"/>
          <w:lang w:val="es-ES_tradnl"/>
        </w:rPr>
        <w:footnoteReference w:id="69"/>
      </w:r>
      <w:r w:rsidRPr="009E6414">
        <w:rPr>
          <w:noProof/>
          <w:lang w:val="es-ES_tradnl"/>
        </w:rPr>
        <w:t xml:space="preserve">. </w:t>
      </w:r>
    </w:p>
    <w:p w:rsidR="00A45935" w:rsidRPr="009E6414" w:rsidRDefault="00A45935" w:rsidP="00E05D08">
      <w:pPr>
        <w:keepNext/>
        <w:keepLines/>
        <w:tabs>
          <w:tab w:val="left" w:pos="680"/>
        </w:tabs>
        <w:spacing w:before="240" w:after="240" w:line="280" w:lineRule="atLeast"/>
        <w:mirrorIndents/>
        <w:outlineLvl w:val="3"/>
        <w:rPr>
          <w:rFonts w:eastAsia="Times New Roman" w:cs="Times New Roman"/>
          <w:b/>
          <w:noProof/>
          <w:color w:val="57825E"/>
          <w:szCs w:val="20"/>
          <w:lang w:val="es-ES_tradnl"/>
        </w:rPr>
      </w:pPr>
      <w:r w:rsidRPr="009E6414">
        <w:rPr>
          <w:b/>
          <w:noProof/>
          <w:color w:val="57825E"/>
          <w:lang w:val="es-ES_tradnl"/>
        </w:rPr>
        <w:t xml:space="preserve">Retos específicos </w:t>
      </w:r>
    </w:p>
    <w:p w:rsidR="00A45935" w:rsidRPr="009E6414" w:rsidRDefault="00A45935" w:rsidP="00676B41">
      <w:pPr>
        <w:pStyle w:val="Hlistbullet"/>
        <w:rPr>
          <w:noProof/>
          <w:lang w:val="es-ES_tradnl"/>
        </w:rPr>
      </w:pPr>
      <w:r w:rsidRPr="009E6414">
        <w:rPr>
          <w:b/>
          <w:noProof/>
          <w:lang w:val="es-ES_tradnl"/>
        </w:rPr>
        <w:t xml:space="preserve">Gestión de datos para obtener datos de elevada calidad en materia de I+D+i: </w:t>
      </w:r>
      <w:r w:rsidRPr="009E6414">
        <w:rPr>
          <w:noProof/>
          <w:lang w:val="es-ES_tradnl"/>
        </w:rPr>
        <w:t>Eurostat publica periódicamente un informe de situación global respecto al indicador del objetivo principal</w:t>
      </w:r>
      <w:r w:rsidRPr="009E6414">
        <w:rPr>
          <w:noProof/>
          <w:vertAlign w:val="superscript"/>
          <w:lang w:val="es-ES_tradnl"/>
        </w:rPr>
        <w:footnoteReference w:id="70"/>
      </w:r>
      <w:r w:rsidRPr="009E6414">
        <w:rPr>
          <w:noProof/>
          <w:lang w:val="es-ES_tradnl"/>
        </w:rPr>
        <w:t>. La recopilación de datos se rige por el Manual de Frascati (OCDE)</w:t>
      </w:r>
      <w:r w:rsidRPr="009E6414">
        <w:rPr>
          <w:noProof/>
          <w:vertAlign w:val="superscript"/>
          <w:lang w:val="es-ES_tradnl"/>
        </w:rPr>
        <w:footnoteReference w:id="71"/>
      </w:r>
      <w:r w:rsidRPr="009E6414">
        <w:rPr>
          <w:noProof/>
          <w:lang w:val="es-ES_tradnl"/>
        </w:rPr>
        <w:t xml:space="preserve"> y por normas específicas de la UE</w:t>
      </w:r>
      <w:r w:rsidRPr="009E6414">
        <w:rPr>
          <w:noProof/>
          <w:vertAlign w:val="superscript"/>
          <w:lang w:val="es-ES_tradnl"/>
        </w:rPr>
        <w:footnoteReference w:id="72"/>
      </w:r>
      <w:r w:rsidRPr="009E6414">
        <w:rPr>
          <w:noProof/>
          <w:lang w:val="es-ES_tradnl"/>
        </w:rPr>
        <w:t>. El Manual de Frascati también constituye la base para la recogida de datos para el indicador sustitutivo del indicador del objetivo principal «gasto interior bruto en I+D (GBID)» que es recabado por Eurostat</w:t>
      </w:r>
      <w:r w:rsidRPr="009E6414">
        <w:rPr>
          <w:noProof/>
          <w:vertAlign w:val="superscript"/>
          <w:lang w:val="es-ES_tradnl"/>
        </w:rPr>
        <w:footnoteReference w:id="73"/>
      </w:r>
      <w:r w:rsidRPr="009E6414">
        <w:rPr>
          <w:noProof/>
          <w:lang w:val="es-ES_tradnl"/>
        </w:rPr>
        <w:t xml:space="preserve">. Este incluye los gastos </w:t>
      </w:r>
      <w:r w:rsidRPr="009E6414">
        <w:rPr>
          <w:noProof/>
          <w:color w:val="333333"/>
          <w:shd w:val="clear" w:color="auto" w:fill="FFFFFF"/>
          <w:lang w:val="es-ES_tradnl"/>
        </w:rPr>
        <w:t>en investigación y desarrollo de las empresas, las instituciones de educación superior, así como de las administraciones públicas y privadas sin ánimo de lucro</w:t>
      </w:r>
      <w:r w:rsidRPr="009E6414">
        <w:rPr>
          <w:noProof/>
          <w:lang w:val="es-ES_tradnl"/>
        </w:rPr>
        <w:t xml:space="preserve">. Eurostat proporciona el GBID para los niveles NUTS 1 y NUTS 2. El indicador «% del GBID total» muestra los </w:t>
      </w:r>
      <w:r w:rsidRPr="009E6414">
        <w:rPr>
          <w:noProof/>
          <w:color w:val="333333"/>
          <w:shd w:val="clear" w:color="auto" w:fill="FFFFFF"/>
          <w:lang w:val="es-ES_tradnl"/>
        </w:rPr>
        <w:t xml:space="preserve">porcentajes relativos de las diferentes fuentes de fondos en I+D: industria, gobierno, enseñanza superior y sector privado sin ánimo de lucro. La quinta fuente de fondos mostrada es el GBID financiado desde el exterior. </w:t>
      </w:r>
      <w:r w:rsidRPr="009E6414">
        <w:rPr>
          <w:noProof/>
          <w:lang w:val="es-ES_tradnl"/>
        </w:rPr>
        <w:t>Para el nivel NUTS 1 se aporta el</w:t>
      </w:r>
      <w:r w:rsidRPr="009E6414">
        <w:rPr>
          <w:noProof/>
          <w:color w:val="333333"/>
          <w:shd w:val="clear" w:color="auto" w:fill="FFFFFF"/>
          <w:lang w:val="es-ES_tradnl"/>
        </w:rPr>
        <w:t xml:space="preserve"> </w:t>
      </w:r>
      <w:r w:rsidRPr="009E6414">
        <w:rPr>
          <w:noProof/>
          <w:lang w:val="es-ES_tradnl"/>
        </w:rPr>
        <w:t>«% del GBID total»</w:t>
      </w:r>
      <w:r w:rsidRPr="009E6414">
        <w:rPr>
          <w:noProof/>
          <w:color w:val="333333"/>
          <w:shd w:val="clear" w:color="auto" w:fill="FFFFFF"/>
          <w:lang w:val="es-ES_tradnl"/>
        </w:rPr>
        <w:t xml:space="preserve">. Aunque Eurostat publica los datos más recientes, hay un desfase de entre dos y tres años. </w:t>
      </w:r>
      <w:r w:rsidRPr="009E6414">
        <w:rPr>
          <w:noProof/>
          <w:lang w:val="es-ES_tradnl"/>
        </w:rPr>
        <w:t xml:space="preserve">Eurostat no proporciona datos del GBID y del porcentaje del GBID total por sector económico (por ejemplo, industria alimentaria, agricultura). Aunque las estadísticas se refieren explícitamente a gastos en investigación y desarrollo, lo cierto es que también incluyen </w:t>
      </w:r>
      <w:r w:rsidRPr="009E6414">
        <w:rPr>
          <w:b/>
          <w:noProof/>
          <w:lang w:val="es-ES_tradnl"/>
        </w:rPr>
        <w:t>gastos en innovación</w:t>
      </w:r>
      <w:r w:rsidRPr="009E6414">
        <w:rPr>
          <w:noProof/>
          <w:lang w:val="es-ES_tradnl"/>
        </w:rPr>
        <w:t xml:space="preserve"> hasta un cierto punto, tal como establece la Estrategia Europa 2020. Para la financiación de programas </w:t>
      </w:r>
      <w:r w:rsidRPr="009E6414">
        <w:rPr>
          <w:noProof/>
          <w:color w:val="333333"/>
          <w:shd w:val="clear" w:color="auto" w:fill="FFFFFF"/>
          <w:lang w:val="es-ES_tradnl"/>
        </w:rPr>
        <w:t>que</w:t>
      </w:r>
      <w:r w:rsidRPr="009E6414">
        <w:rPr>
          <w:noProof/>
          <w:lang w:val="es-ES_tradnl"/>
        </w:rPr>
        <w:t xml:space="preserve"> promueven la innovación, el Manual de Frascati es un punto de referencia. Dicho manuel mide actividades científicas, tecnológicas y de innovación, aunque la línea entre actividades de I+D e innovación no siempre es totalmente clara. </w:t>
      </w:r>
    </w:p>
    <w:p w:rsidR="00A45935" w:rsidRPr="009E6414" w:rsidRDefault="00A45935" w:rsidP="00676B41">
      <w:pPr>
        <w:pStyle w:val="Hlistbullet"/>
        <w:rPr>
          <w:noProof/>
          <w:lang w:val="es-ES_tradnl"/>
        </w:rPr>
      </w:pPr>
      <w:r w:rsidRPr="009E6414">
        <w:rPr>
          <w:b/>
          <w:noProof/>
          <w:lang w:val="es-ES_tradnl"/>
        </w:rPr>
        <w:t xml:space="preserve">Evaluar la contribución del PDR al objetivo principal: </w:t>
      </w:r>
      <w:r w:rsidRPr="009E6414">
        <w:rPr>
          <w:noProof/>
          <w:lang w:val="es-ES_tradnl"/>
        </w:rPr>
        <w:t xml:space="preserve">El reto es reflejar de manera adecuada y realista las contribuciones del PDR al objetivo principal teniendo en cuenta la orientación de los programas hacia la Estrategia Europa 2020. En esta tarea de evaluación, también es necesario considerar las características de las intervenciones del Feader y las especificidades de las zonas rurales y de los sectores en los que se desarrollan. Puesto que las zonas rurales suelen ser estructuralmente más débiles que las zonas urbanas y la Estrategia Europa 2020 se basa en inversiones en ámbitos y sectores de crecimiento, cabe esperar una contribución relativamente más baja de los PDR en comparación con otros </w:t>
      </w:r>
      <w:r w:rsidRPr="009E6414">
        <w:rPr>
          <w:noProof/>
          <w:lang w:val="es-ES_tradnl"/>
        </w:rPr>
        <w:lastRenderedPageBreak/>
        <w:t>programas operativos</w:t>
      </w:r>
      <w:r w:rsidRPr="009E6414">
        <w:rPr>
          <w:noProof/>
          <w:vertAlign w:val="superscript"/>
          <w:lang w:val="es-ES_tradnl"/>
        </w:rPr>
        <w:footnoteReference w:id="74"/>
      </w:r>
      <w:r w:rsidRPr="009E6414">
        <w:rPr>
          <w:noProof/>
          <w:lang w:val="es-ES_tradnl"/>
        </w:rPr>
        <w:t xml:space="preserve">. Sin embargo, lo que puede parecer menos importante para las economías nacionales puede ser de gran valor para el PIB en las zonas rurales y su desarrollo futuro. Por lo tanto, debe calcularse el objetivo principal para las contribuciones del PDR y ofrecerse una respuesta a la PCE. </w:t>
      </w:r>
    </w:p>
    <w:p w:rsidR="00A45935" w:rsidRPr="009E6414" w:rsidRDefault="00A45935" w:rsidP="00E05D08">
      <w:pPr>
        <w:keepNext/>
        <w:keepLines/>
        <w:tabs>
          <w:tab w:val="left" w:pos="680"/>
        </w:tabs>
        <w:spacing w:before="240" w:after="240" w:line="280" w:lineRule="atLeast"/>
        <w:mirrorIndents/>
        <w:outlineLvl w:val="3"/>
        <w:rPr>
          <w:rFonts w:eastAsia="Calibri" w:cs="Times New Roman"/>
          <w:b/>
          <w:noProof/>
          <w:color w:val="57825E"/>
          <w:szCs w:val="20"/>
          <w:shd w:val="clear" w:color="auto" w:fill="FFFFFF"/>
          <w:lang w:val="es-ES_tradnl"/>
        </w:rPr>
      </w:pPr>
      <w:r w:rsidRPr="009E6414">
        <w:rPr>
          <w:b/>
          <w:noProof/>
          <w:color w:val="57825E"/>
          <w:shd w:val="clear" w:color="auto" w:fill="FFFFFF"/>
          <w:lang w:val="es-ES_tradnl"/>
        </w:rPr>
        <w:t>Planteamiento propuesto para responder a la PCE n.º 23</w:t>
      </w:r>
    </w:p>
    <w:p w:rsidR="00A45935" w:rsidRPr="009E6414" w:rsidRDefault="00A45935" w:rsidP="008C0B17">
      <w:pPr>
        <w:numPr>
          <w:ilvl w:val="0"/>
          <w:numId w:val="61"/>
        </w:numPr>
        <w:spacing w:before="120" w:after="120" w:line="280" w:lineRule="atLeast"/>
        <w:ind w:left="567" w:hanging="567"/>
        <w:mirrorIndents/>
        <w:rPr>
          <w:rFonts w:eastAsia="Times New Roman" w:cs="Times New Roman"/>
          <w:b/>
          <w:noProof/>
          <w:szCs w:val="20"/>
          <w:lang w:val="es-ES_tradnl"/>
        </w:rPr>
      </w:pPr>
      <w:r w:rsidRPr="009E6414">
        <w:rPr>
          <w:b/>
          <w:noProof/>
          <w:lang w:val="es-ES_tradnl"/>
        </w:rPr>
        <w:t xml:space="preserve">Lógica de intervención </w:t>
      </w:r>
    </w:p>
    <w:p w:rsidR="0069745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 xml:space="preserve">Todas las medidas/submedidas del PDR que contribuyen a la promoción de la innovación a través de las tres vías en zonas rurales, tal como se identificó en el examen de su potencial de innovación (véase el </w:t>
      </w:r>
      <w:hyperlink w:anchor="Screening_Potential" w:history="1">
        <w:r w:rsidRPr="009E6414">
          <w:rPr>
            <w:rStyle w:val="Hyperlink"/>
            <w:noProof/>
            <w:sz w:val="20"/>
            <w:lang w:val="es-ES_tradnl"/>
          </w:rPr>
          <w:t>capítulo 2.2</w:t>
        </w:r>
      </w:hyperlink>
      <w:r w:rsidRPr="009E6414">
        <w:rPr>
          <w:noProof/>
          <w:lang w:val="es-ES_tradnl"/>
        </w:rPr>
        <w:t xml:space="preserve">) deben tomarse en consideración como parte de la lógica de la intervención vinculada a la PCE n.º 23. Esto va más allá de las medidas catalogadas fundamentalmente como medidas para potenciar la innovación (M1, M2 y M16) y podría incluir también otras medidas de inversión, comercialización y basadas en la superficie cuya ejecución podría apoyar la innovación (por ejemplo, a través de criterios de selección de proyectos relacionados con la innovación). Las operaciones ejecutadas en el marco de estas medidas y submedidas son tenidas en consideración para contabilizar los gastos en I+D+i y la evaluación del objetivo principal o sus indicadores de sustitución (GBID) y complementarios se utilizan para responder a la PCE n.º 23 (según se identificó en el examen del potencial de innovación - </w:t>
      </w:r>
      <w:hyperlink w:anchor="Screening_Potential" w:history="1">
        <w:r w:rsidRPr="009E6414">
          <w:rPr>
            <w:rStyle w:val="Hyperlink"/>
            <w:noProof/>
            <w:sz w:val="20"/>
            <w:lang w:val="es-ES_tradnl"/>
          </w:rPr>
          <w:t>véase el capítulo 2.2</w:t>
        </w:r>
      </w:hyperlink>
      <w:r w:rsidRPr="009E6414">
        <w:rPr>
          <w:noProof/>
          <w:lang w:val="es-ES_tradnl"/>
        </w:rPr>
        <w:t xml:space="preserve">). </w:t>
      </w:r>
    </w:p>
    <w:p w:rsidR="00697455" w:rsidRPr="009E6414" w:rsidRDefault="00697455">
      <w:pPr>
        <w:jc w:val="left"/>
        <w:rPr>
          <w:rFonts w:eastAsia="Times New Roman" w:cs="Times New Roman"/>
          <w:noProof/>
          <w:szCs w:val="20"/>
          <w:lang w:val="es-ES_tradnl"/>
        </w:rPr>
      </w:pPr>
    </w:p>
    <w:p w:rsidR="00A45935" w:rsidRPr="009E6414" w:rsidRDefault="00A45935" w:rsidP="008C0B17">
      <w:pPr>
        <w:numPr>
          <w:ilvl w:val="0"/>
          <w:numId w:val="61"/>
        </w:numPr>
        <w:spacing w:before="120" w:after="120" w:line="280" w:lineRule="atLeast"/>
        <w:ind w:left="567" w:hanging="567"/>
        <w:mirrorIndents/>
        <w:rPr>
          <w:rFonts w:eastAsia="Times New Roman" w:cs="Times New Roman"/>
          <w:b/>
          <w:noProof/>
          <w:szCs w:val="20"/>
          <w:lang w:val="es-ES_tradnl"/>
        </w:rPr>
      </w:pPr>
      <w:r w:rsidRPr="009E6414">
        <w:rPr>
          <w:b/>
          <w:noProof/>
          <w:lang w:val="es-ES_tradnl"/>
        </w:rPr>
        <w:t>Elementos de evaluación vinculados a la PCE n.º 23</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 xml:space="preserve">Para responder a la PCE n.º 23, el documento de trabajo </w:t>
      </w:r>
      <w:hyperlink r:id="rId69">
        <w:r w:rsidRPr="009E6414">
          <w:rPr>
            <w:rStyle w:val="Hyperlink"/>
            <w:noProof/>
            <w:sz w:val="20"/>
            <w:lang w:val="es-ES_tradnl"/>
          </w:rPr>
          <w:t>Preguntas comunes de evaluación para los PDR 2014-2020</w:t>
        </w:r>
      </w:hyperlink>
      <w:r w:rsidRPr="009E6414">
        <w:rPr>
          <w:noProof/>
          <w:lang w:val="es-ES_tradnl"/>
        </w:rPr>
        <w:t xml:space="preserve"> sugiere dos criterios de valoración (las inversiones en I+D han aumentado y la innovación se ha potenciado), dos indicadores comunes del SCSE (T1 - Gastos relacionados con los artículos 14 y 35 y T2 - Número total de operaciones de cooperación subvencionadas en el marco de la medida de cooperación) y un indicador complementario (gasto del PDR en I+D en porcentaje del PIB). Sin embargo, estos elementos no pueden captar plenamente las contribuciones del PDR al objetivo principal.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 xml:space="preserve">Por lo tanto, las presentes directrices proponen elementos de evaluación complementarios para responder a la PCE n.º 23 (véase el </w:t>
      </w:r>
      <w:hyperlink w:anchor="JC_Indic_data" w:history="1">
        <w:r w:rsidRPr="009E6414">
          <w:rPr>
            <w:rStyle w:val="Hyperlink"/>
            <w:noProof/>
            <w:sz w:val="20"/>
            <w:lang w:val="es-ES_tradnl"/>
          </w:rPr>
          <w:t>cuadro 7</w:t>
        </w:r>
      </w:hyperlink>
      <w:r w:rsidRPr="009E6414">
        <w:rPr>
          <w:noProof/>
          <w:lang w:val="es-ES_tradnl"/>
        </w:rPr>
        <w:t>).</w:t>
      </w:r>
    </w:p>
    <w:p w:rsidR="00A45935" w:rsidRPr="009E6414" w:rsidRDefault="00A45935" w:rsidP="00E05D08">
      <w:pPr>
        <w:spacing w:after="120" w:line="280" w:lineRule="atLeast"/>
        <w:mirrorIndents/>
        <w:rPr>
          <w:rFonts w:eastAsia="Times New Roman" w:cs="Times New Roman"/>
          <w:noProof/>
          <w:szCs w:val="20"/>
          <w:lang w:val="es-ES_tradnl"/>
        </w:rPr>
        <w:sectPr w:rsidR="00A45935" w:rsidRPr="009E6414" w:rsidSect="001F6F07">
          <w:endnotePr>
            <w:numFmt w:val="decimal"/>
          </w:endnotePr>
          <w:type w:val="continuous"/>
          <w:pgSz w:w="11907" w:h="16840" w:code="9"/>
          <w:pgMar w:top="1440" w:right="1440" w:bottom="1134" w:left="1440" w:header="567" w:footer="1020" w:gutter="0"/>
          <w:cols w:space="708"/>
          <w:noEndnote/>
          <w:titlePg/>
          <w:docGrid w:linePitch="435"/>
        </w:sectPr>
      </w:pPr>
    </w:p>
    <w:p w:rsidR="00A45935" w:rsidRPr="009E6414" w:rsidRDefault="00A45935" w:rsidP="00447B72">
      <w:pPr>
        <w:pStyle w:val="HHeadingtables"/>
        <w:rPr>
          <w:noProof/>
          <w:szCs w:val="18"/>
          <w:lang w:val="es-ES_tradnl"/>
        </w:rPr>
      </w:pPr>
      <w:r w:rsidRPr="009E6414">
        <w:rPr>
          <w:noProof/>
          <w:lang w:val="es-ES_tradnl"/>
        </w:rPr>
        <w:lastRenderedPageBreak/>
        <w:t>Criterios de valoración, indicadores y datos requeridos para responder a la PCE n.º 23</w:t>
      </w:r>
    </w:p>
    <w:tbl>
      <w:tblPr>
        <w:tblW w:w="144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3190"/>
        <w:gridCol w:w="4560"/>
        <w:gridCol w:w="3684"/>
        <w:gridCol w:w="3036"/>
      </w:tblGrid>
      <w:tr w:rsidR="00A45935" w:rsidRPr="009E6414" w:rsidTr="002A6F90">
        <w:trPr>
          <w:trHeight w:val="294"/>
        </w:trPr>
        <w:tc>
          <w:tcPr>
            <w:tcW w:w="3190" w:type="dxa"/>
            <w:shd w:val="clear" w:color="auto" w:fill="F07E31"/>
            <w:vAlign w:val="center"/>
            <w:hideMark/>
          </w:tcPr>
          <w:p w:rsidR="00A45935" w:rsidRPr="009E6414" w:rsidRDefault="00734B11" w:rsidP="00E05D08">
            <w:pPr>
              <w:spacing w:before="60" w:after="0" w:line="240" w:lineRule="auto"/>
              <w:jc w:val="center"/>
              <w:rPr>
                <w:rFonts w:eastAsia="Times New Roman" w:cs="Arial"/>
                <w:b/>
                <w:bCs/>
                <w:noProof/>
                <w:color w:val="FFFFFF"/>
                <w:sz w:val="18"/>
                <w:szCs w:val="18"/>
                <w:lang w:val="es-ES_tradnl"/>
              </w:rPr>
            </w:pPr>
            <w:r w:rsidRPr="009E6414">
              <w:rPr>
                <w:b/>
                <w:noProof/>
                <w:color w:val="FFFFFF"/>
                <w:sz w:val="18"/>
                <w:lang w:val="es-ES_tradnl"/>
              </w:rPr>
              <w:t xml:space="preserve">Criterios de valoración </w:t>
            </w:r>
          </w:p>
        </w:tc>
        <w:tc>
          <w:tcPr>
            <w:tcW w:w="4560" w:type="dxa"/>
            <w:shd w:val="clear" w:color="auto" w:fill="F07E31"/>
            <w:vAlign w:val="center"/>
            <w:hideMark/>
          </w:tcPr>
          <w:p w:rsidR="00A45935" w:rsidRPr="009E6414" w:rsidRDefault="00A45935" w:rsidP="00E05D08">
            <w:pPr>
              <w:spacing w:before="60" w:after="0" w:line="240" w:lineRule="auto"/>
              <w:jc w:val="center"/>
              <w:rPr>
                <w:rFonts w:eastAsia="Times New Roman" w:cs="Arial"/>
                <w:noProof/>
                <w:color w:val="FFFFFF"/>
                <w:sz w:val="18"/>
                <w:szCs w:val="18"/>
                <w:lang w:val="es-ES_tradnl"/>
              </w:rPr>
            </w:pPr>
            <w:r w:rsidRPr="009E6414">
              <w:rPr>
                <w:b/>
                <w:noProof/>
                <w:color w:val="FFFFFF"/>
                <w:sz w:val="18"/>
                <w:lang w:val="es-ES_tradnl"/>
              </w:rPr>
              <w:t>Indicadores</w:t>
            </w:r>
          </w:p>
        </w:tc>
        <w:tc>
          <w:tcPr>
            <w:tcW w:w="3684" w:type="dxa"/>
            <w:shd w:val="clear" w:color="auto" w:fill="F07E31"/>
            <w:vAlign w:val="center"/>
          </w:tcPr>
          <w:p w:rsidR="00A45935" w:rsidRPr="009E6414" w:rsidRDefault="00A45935" w:rsidP="00E05D08">
            <w:pPr>
              <w:spacing w:before="60" w:after="0" w:line="240" w:lineRule="auto"/>
              <w:jc w:val="center"/>
              <w:rPr>
                <w:rFonts w:eastAsia="Times New Roman" w:cs="Arial"/>
                <w:b/>
                <w:bCs/>
                <w:noProof/>
                <w:color w:val="FFFFFF"/>
                <w:sz w:val="18"/>
                <w:szCs w:val="18"/>
                <w:lang w:val="es-ES_tradnl"/>
              </w:rPr>
            </w:pPr>
            <w:r w:rsidRPr="009E6414">
              <w:rPr>
                <w:b/>
                <w:noProof/>
                <w:color w:val="FFFFFF"/>
                <w:sz w:val="18"/>
                <w:lang w:val="es-ES_tradnl"/>
              </w:rPr>
              <w:t>Datos necesarios</w:t>
            </w:r>
          </w:p>
        </w:tc>
        <w:tc>
          <w:tcPr>
            <w:tcW w:w="3036" w:type="dxa"/>
            <w:shd w:val="clear" w:color="auto" w:fill="F07E31"/>
            <w:vAlign w:val="center"/>
          </w:tcPr>
          <w:p w:rsidR="00A45935" w:rsidRPr="009E6414" w:rsidRDefault="00A45935" w:rsidP="00E05D08">
            <w:pPr>
              <w:spacing w:before="60" w:after="0" w:line="240" w:lineRule="auto"/>
              <w:jc w:val="center"/>
              <w:rPr>
                <w:rFonts w:eastAsia="Times New Roman" w:cs="Arial"/>
                <w:b/>
                <w:bCs/>
                <w:noProof/>
                <w:color w:val="FFFFFF"/>
                <w:sz w:val="18"/>
                <w:szCs w:val="18"/>
                <w:lang w:val="es-ES_tradnl"/>
              </w:rPr>
            </w:pPr>
            <w:r w:rsidRPr="009E6414">
              <w:rPr>
                <w:b/>
                <w:noProof/>
                <w:color w:val="FFFFFF"/>
                <w:sz w:val="18"/>
                <w:lang w:val="es-ES_tradnl"/>
              </w:rPr>
              <w:t>Fuentes de datos</w:t>
            </w:r>
          </w:p>
        </w:tc>
      </w:tr>
      <w:tr w:rsidR="00A45935" w:rsidRPr="009E6414" w:rsidTr="002A6F90">
        <w:trPr>
          <w:trHeight w:val="418"/>
        </w:trPr>
        <w:tc>
          <w:tcPr>
            <w:tcW w:w="14470" w:type="dxa"/>
            <w:gridSpan w:val="4"/>
            <w:shd w:val="clear" w:color="auto" w:fill="8BAB80"/>
            <w:vAlign w:val="center"/>
          </w:tcPr>
          <w:p w:rsidR="00A45935" w:rsidRPr="009E6414" w:rsidRDefault="00A45935" w:rsidP="00E05D08">
            <w:pPr>
              <w:spacing w:after="120" w:line="280" w:lineRule="atLeast"/>
              <w:mirrorIndents/>
              <w:rPr>
                <w:rFonts w:eastAsia="Times New Roman" w:cs="Arial"/>
                <w:b/>
                <w:noProof/>
                <w:color w:val="FFFFFF"/>
                <w:sz w:val="18"/>
                <w:szCs w:val="18"/>
                <w:lang w:val="es-ES_tradnl"/>
              </w:rPr>
            </w:pPr>
            <w:r w:rsidRPr="009E6414">
              <w:rPr>
                <w:b/>
                <w:noProof/>
                <w:color w:val="FFFFFF"/>
                <w:sz w:val="18"/>
                <w:lang w:val="es-ES_tradnl"/>
              </w:rPr>
              <w:t>Elementos comunes de evaluación (SCSE y elementos propuestos en el documento de trabajo «Preguntas comunes de evaluación 2014-2020»)</w:t>
            </w:r>
          </w:p>
        </w:tc>
      </w:tr>
      <w:tr w:rsidR="00A45935" w:rsidRPr="009E6414" w:rsidTr="002A6F90">
        <w:trPr>
          <w:trHeight w:val="1928"/>
        </w:trPr>
        <w:tc>
          <w:tcPr>
            <w:tcW w:w="3190" w:type="dxa"/>
            <w:shd w:val="clear" w:color="auto" w:fill="auto"/>
            <w:vAlign w:val="center"/>
          </w:tcPr>
          <w:p w:rsidR="00A45935" w:rsidRPr="009E6414" w:rsidRDefault="00A45935" w:rsidP="00BA4FCD">
            <w:pPr>
              <w:spacing w:after="120" w:line="280" w:lineRule="atLeast"/>
              <w:jc w:val="left"/>
              <w:rPr>
                <w:rFonts w:eastAsia="Times New Roman" w:cs="Arial"/>
                <w:noProof/>
                <w:sz w:val="18"/>
                <w:szCs w:val="18"/>
                <w:lang w:val="es-ES_tradnl"/>
              </w:rPr>
            </w:pPr>
            <w:r w:rsidRPr="009E6414">
              <w:rPr>
                <w:noProof/>
                <w:sz w:val="18"/>
                <w:lang w:val="es-ES_tradnl"/>
              </w:rPr>
              <w:t>La inversión en I+D+i ha aumentado</w:t>
            </w:r>
            <w:r w:rsidRPr="009E6414">
              <w:rPr>
                <w:noProof/>
                <w:sz w:val="18"/>
                <w:vertAlign w:val="superscript"/>
                <w:lang w:val="es-ES_tradnl"/>
              </w:rPr>
              <w:footnoteReference w:id="75"/>
            </w:r>
            <w:r w:rsidRPr="009E6414">
              <w:rPr>
                <w:noProof/>
                <w:sz w:val="18"/>
                <w:lang w:val="es-ES_tradnl"/>
              </w:rPr>
              <w:t>.</w:t>
            </w:r>
          </w:p>
          <w:p w:rsidR="00A45935" w:rsidRPr="009E6414" w:rsidRDefault="00A45935" w:rsidP="00697455">
            <w:pPr>
              <w:spacing w:after="120" w:line="280" w:lineRule="atLeast"/>
              <w:jc w:val="left"/>
              <w:rPr>
                <w:rFonts w:eastAsia="Times New Roman" w:cs="Arial"/>
                <w:noProof/>
                <w:sz w:val="18"/>
                <w:szCs w:val="18"/>
                <w:lang w:val="es-ES_tradnl"/>
              </w:rPr>
            </w:pPr>
            <w:r w:rsidRPr="009E6414">
              <w:rPr>
                <w:noProof/>
                <w:sz w:val="18"/>
                <w:lang w:val="es-ES_tradnl"/>
              </w:rPr>
              <w:t xml:space="preserve">Se ha potenciado la innovación. </w:t>
            </w:r>
          </w:p>
        </w:tc>
        <w:tc>
          <w:tcPr>
            <w:tcW w:w="4560" w:type="dxa"/>
            <w:shd w:val="clear" w:color="auto" w:fill="auto"/>
            <w:vAlign w:val="center"/>
            <w:hideMark/>
          </w:tcPr>
          <w:p w:rsidR="00A45935" w:rsidRPr="009E6414" w:rsidRDefault="00A45935" w:rsidP="00BA4FCD">
            <w:pPr>
              <w:spacing w:after="120" w:line="280" w:lineRule="atLeast"/>
              <w:jc w:val="left"/>
              <w:rPr>
                <w:rFonts w:eastAsia="Times New Roman" w:cs="Arial"/>
                <w:noProof/>
                <w:sz w:val="18"/>
                <w:szCs w:val="18"/>
                <w:lang w:val="es-ES_tradnl"/>
              </w:rPr>
            </w:pPr>
            <w:r w:rsidRPr="009E6414">
              <w:rPr>
                <w:noProof/>
                <w:sz w:val="18"/>
                <w:lang w:val="es-ES_tradnl"/>
              </w:rPr>
              <w:t xml:space="preserve">T1: porcentaje del gasto en virtud de los artículos 14,15 y 35 del Reglamento (UE) n.º 1305/2013 en relación con el gasto total del PDR. </w:t>
            </w:r>
          </w:p>
          <w:p w:rsidR="00A45935" w:rsidRPr="009E6414" w:rsidRDefault="00A45935" w:rsidP="00BA4FCD">
            <w:pPr>
              <w:spacing w:after="120" w:line="280" w:lineRule="atLeast"/>
              <w:jc w:val="left"/>
              <w:rPr>
                <w:rFonts w:eastAsia="Times New Roman" w:cs="Arial"/>
                <w:noProof/>
                <w:sz w:val="18"/>
                <w:szCs w:val="18"/>
                <w:lang w:val="es-ES_tradnl"/>
              </w:rPr>
            </w:pPr>
            <w:r w:rsidRPr="009E6414">
              <w:rPr>
                <w:noProof/>
                <w:sz w:val="18"/>
                <w:lang w:val="es-ES_tradnl"/>
              </w:rPr>
              <w:t xml:space="preserve">T2: Número total de operaciones de proyectos de cooperación subvencionadas en el marco de la medida de cooperación [artículo 35 del Reglamento (UE) n.º 1305/2013] (grupos, redes, proyectos piloto, etc.). </w:t>
            </w:r>
          </w:p>
          <w:p w:rsidR="001120E4" w:rsidRPr="009E6414" w:rsidRDefault="001120E4" w:rsidP="00BA4FCD">
            <w:pPr>
              <w:spacing w:after="120" w:line="280" w:lineRule="atLeast"/>
              <w:jc w:val="left"/>
              <w:rPr>
                <w:rFonts w:eastAsia="Times New Roman" w:cs="Arial"/>
                <w:noProof/>
                <w:color w:val="57825E"/>
                <w:sz w:val="18"/>
                <w:szCs w:val="18"/>
                <w:lang w:val="es-ES_tradnl"/>
              </w:rPr>
            </w:pPr>
            <w:r w:rsidRPr="009E6414">
              <w:rPr>
                <w:noProof/>
                <w:color w:val="57825E"/>
                <w:sz w:val="18"/>
                <w:u w:val="single"/>
                <w:lang w:val="es-ES_tradnl"/>
              </w:rPr>
              <w:t>Indicador complementario:</w:t>
            </w:r>
            <w:r w:rsidRPr="009E6414">
              <w:rPr>
                <w:noProof/>
                <w:color w:val="57825E"/>
                <w:sz w:val="18"/>
                <w:lang w:val="es-ES_tradnl"/>
              </w:rPr>
              <w:t xml:space="preserve"> </w:t>
            </w:r>
          </w:p>
          <w:p w:rsidR="00A45935" w:rsidRPr="009E6414" w:rsidRDefault="001120E4" w:rsidP="00BA4FCD">
            <w:pPr>
              <w:spacing w:after="120" w:line="280" w:lineRule="atLeast"/>
              <w:jc w:val="left"/>
              <w:rPr>
                <w:rFonts w:eastAsia="Times New Roman" w:cs="Arial"/>
                <w:noProof/>
                <w:sz w:val="18"/>
                <w:szCs w:val="18"/>
                <w:lang w:val="es-ES_tradnl"/>
              </w:rPr>
            </w:pPr>
            <w:r w:rsidRPr="009E6414">
              <w:rPr>
                <w:noProof/>
                <w:color w:val="57825E"/>
                <w:sz w:val="18"/>
                <w:lang w:val="es-ES_tradnl"/>
              </w:rPr>
              <w:t>Gasto del PDR en I+D en porcentaje del PIB (GBID del «desarrollo rural»).</w:t>
            </w:r>
            <w:r w:rsidRPr="009E6414">
              <w:rPr>
                <w:noProof/>
                <w:sz w:val="18"/>
                <w:lang w:val="es-ES_tradnl"/>
              </w:rPr>
              <w:t xml:space="preserve"> </w:t>
            </w:r>
          </w:p>
        </w:tc>
        <w:tc>
          <w:tcPr>
            <w:tcW w:w="3684" w:type="dxa"/>
          </w:tcPr>
          <w:p w:rsidR="00A45935" w:rsidRPr="009E6414" w:rsidRDefault="00A45935" w:rsidP="00BA4FCD">
            <w:pPr>
              <w:spacing w:after="120" w:line="280" w:lineRule="atLeast"/>
              <w:jc w:val="left"/>
              <w:rPr>
                <w:rFonts w:eastAsia="Times New Roman" w:cs="Arial"/>
                <w:noProof/>
                <w:sz w:val="18"/>
                <w:szCs w:val="18"/>
                <w:lang w:val="es-ES_tradnl"/>
              </w:rPr>
            </w:pPr>
            <w:r w:rsidRPr="009E6414">
              <w:rPr>
                <w:noProof/>
                <w:sz w:val="18"/>
                <w:lang w:val="es-ES_tradnl"/>
              </w:rPr>
              <w:t>Datos sobre los gastos en I+D+i del PDR.</w:t>
            </w:r>
          </w:p>
          <w:p w:rsidR="00A45935" w:rsidRPr="009E6414" w:rsidRDefault="00A45935" w:rsidP="00BA4FCD">
            <w:pPr>
              <w:spacing w:after="120" w:line="280" w:lineRule="atLeast"/>
              <w:jc w:val="left"/>
              <w:rPr>
                <w:rFonts w:eastAsia="Times New Roman" w:cs="Arial"/>
                <w:noProof/>
                <w:sz w:val="18"/>
                <w:szCs w:val="18"/>
                <w:lang w:val="es-ES_tradnl"/>
              </w:rPr>
            </w:pPr>
            <w:r w:rsidRPr="009E6414">
              <w:rPr>
                <w:noProof/>
                <w:sz w:val="18"/>
                <w:lang w:val="es-ES_tradnl"/>
              </w:rPr>
              <w:t xml:space="preserve">Datos sobre los gastos totales del PDR. </w:t>
            </w:r>
          </w:p>
          <w:p w:rsidR="00A45935" w:rsidRPr="009E6414" w:rsidRDefault="00A45935" w:rsidP="00BA4FCD">
            <w:pPr>
              <w:spacing w:after="120" w:line="280" w:lineRule="atLeast"/>
              <w:jc w:val="left"/>
              <w:rPr>
                <w:rFonts w:eastAsia="Times New Roman" w:cs="Arial"/>
                <w:noProof/>
                <w:sz w:val="18"/>
                <w:szCs w:val="18"/>
                <w:lang w:val="es-ES_tradnl"/>
              </w:rPr>
            </w:pPr>
            <w:r w:rsidRPr="009E6414">
              <w:rPr>
                <w:noProof/>
                <w:sz w:val="18"/>
                <w:lang w:val="es-ES_tradnl"/>
              </w:rPr>
              <w:t>Datos sobre los gastos en I+D+i por Estado miembro/región.</w:t>
            </w:r>
          </w:p>
          <w:p w:rsidR="00A45935" w:rsidRPr="009E6414" w:rsidRDefault="00A45935" w:rsidP="00BA4FCD">
            <w:pPr>
              <w:spacing w:after="120" w:line="280" w:lineRule="atLeast"/>
              <w:jc w:val="left"/>
              <w:rPr>
                <w:rFonts w:eastAsia="Times New Roman" w:cs="Arial"/>
                <w:noProof/>
                <w:sz w:val="18"/>
                <w:szCs w:val="18"/>
                <w:lang w:val="es-ES_tradnl"/>
              </w:rPr>
            </w:pPr>
            <w:r w:rsidRPr="009E6414">
              <w:rPr>
                <w:noProof/>
                <w:sz w:val="18"/>
                <w:lang w:val="es-ES_tradnl"/>
              </w:rPr>
              <w:t>Datos sobre el PIB por Estado miembro/región.</w:t>
            </w:r>
          </w:p>
        </w:tc>
        <w:tc>
          <w:tcPr>
            <w:tcW w:w="3036" w:type="dxa"/>
          </w:tcPr>
          <w:p w:rsidR="00A45935" w:rsidRPr="009E6414" w:rsidRDefault="00A45935" w:rsidP="00BA4FCD">
            <w:pPr>
              <w:spacing w:after="120" w:line="280" w:lineRule="atLeast"/>
              <w:jc w:val="left"/>
              <w:rPr>
                <w:rFonts w:eastAsia="Times New Roman" w:cs="Arial"/>
                <w:noProof/>
                <w:sz w:val="18"/>
                <w:szCs w:val="18"/>
                <w:lang w:val="es-ES_tradnl"/>
              </w:rPr>
            </w:pPr>
            <w:r w:rsidRPr="009E6414">
              <w:rPr>
                <w:noProof/>
                <w:sz w:val="18"/>
                <w:lang w:val="es-ES_tradnl"/>
              </w:rPr>
              <w:t>Sistema de seguimiento del PDR.</w:t>
            </w:r>
          </w:p>
          <w:p w:rsidR="00A45935" w:rsidRPr="009E6414" w:rsidRDefault="00A45935" w:rsidP="00BA4FCD">
            <w:pPr>
              <w:spacing w:after="120" w:line="280" w:lineRule="atLeast"/>
              <w:jc w:val="left"/>
              <w:rPr>
                <w:rFonts w:eastAsia="Times New Roman" w:cs="Arial"/>
                <w:noProof/>
                <w:sz w:val="18"/>
                <w:szCs w:val="18"/>
                <w:lang w:val="es-ES_tradnl"/>
              </w:rPr>
            </w:pPr>
            <w:r w:rsidRPr="009E6414">
              <w:rPr>
                <w:noProof/>
                <w:sz w:val="18"/>
                <w:lang w:val="es-ES_tradnl"/>
              </w:rPr>
              <w:t xml:space="preserve">Eurostat. </w:t>
            </w:r>
          </w:p>
          <w:p w:rsidR="00A45935" w:rsidRPr="009E6414" w:rsidRDefault="00A45935" w:rsidP="00BA4FCD">
            <w:pPr>
              <w:spacing w:after="120" w:line="280" w:lineRule="atLeast"/>
              <w:jc w:val="left"/>
              <w:rPr>
                <w:rFonts w:eastAsia="Times New Roman" w:cs="Arial"/>
                <w:noProof/>
                <w:sz w:val="18"/>
                <w:szCs w:val="18"/>
                <w:lang w:val="es-ES_tradnl"/>
              </w:rPr>
            </w:pPr>
            <w:r w:rsidRPr="009E6414">
              <w:rPr>
                <w:noProof/>
                <w:sz w:val="18"/>
                <w:lang w:val="es-ES_tradnl"/>
              </w:rPr>
              <w:t xml:space="preserve">Estadísticas nacionales/regionales. </w:t>
            </w:r>
          </w:p>
        </w:tc>
      </w:tr>
      <w:tr w:rsidR="00A45935" w:rsidRPr="009E6414" w:rsidTr="002A6F90">
        <w:trPr>
          <w:trHeight w:val="404"/>
        </w:trPr>
        <w:tc>
          <w:tcPr>
            <w:tcW w:w="14470" w:type="dxa"/>
            <w:gridSpan w:val="4"/>
            <w:shd w:val="clear" w:color="auto" w:fill="8BAB80"/>
            <w:vAlign w:val="center"/>
          </w:tcPr>
          <w:p w:rsidR="00A45935" w:rsidRPr="009E6414" w:rsidRDefault="00A45935" w:rsidP="00E05D08">
            <w:pPr>
              <w:spacing w:after="120" w:line="280" w:lineRule="atLeast"/>
              <w:rPr>
                <w:rFonts w:eastAsia="Times New Roman" w:cs="Arial"/>
                <w:b/>
                <w:noProof/>
                <w:color w:val="FFFFFF"/>
                <w:sz w:val="18"/>
                <w:szCs w:val="18"/>
                <w:lang w:val="es-ES_tradnl"/>
              </w:rPr>
            </w:pPr>
            <w:r w:rsidRPr="009E6414">
              <w:rPr>
                <w:b/>
                <w:noProof/>
                <w:color w:val="FFFFFF"/>
                <w:sz w:val="18"/>
                <w:lang w:val="es-ES_tradnl"/>
              </w:rPr>
              <w:t>Elementos de evaluación complementarios (opcional)</w:t>
            </w:r>
          </w:p>
        </w:tc>
      </w:tr>
      <w:tr w:rsidR="00A45935" w:rsidRPr="009E6414" w:rsidTr="002A6F90">
        <w:trPr>
          <w:trHeight w:val="1928"/>
        </w:trPr>
        <w:tc>
          <w:tcPr>
            <w:tcW w:w="3190" w:type="dxa"/>
            <w:shd w:val="clear" w:color="auto" w:fill="auto"/>
            <w:vAlign w:val="center"/>
          </w:tcPr>
          <w:p w:rsidR="00A45935" w:rsidRPr="009E6414" w:rsidRDefault="00A45935" w:rsidP="00697455">
            <w:pPr>
              <w:spacing w:after="120" w:line="280" w:lineRule="atLeast"/>
              <w:jc w:val="left"/>
              <w:rPr>
                <w:rFonts w:eastAsia="Times New Roman" w:cs="Arial"/>
                <w:noProof/>
                <w:sz w:val="18"/>
                <w:szCs w:val="18"/>
                <w:lang w:val="es-ES_tradnl"/>
              </w:rPr>
            </w:pPr>
            <w:r w:rsidRPr="009E6414">
              <w:rPr>
                <w:noProof/>
                <w:sz w:val="18"/>
                <w:lang w:val="es-ES_tradnl"/>
              </w:rPr>
              <w:t>La inversión en I+D+i ha aumentado.</w:t>
            </w:r>
          </w:p>
        </w:tc>
        <w:tc>
          <w:tcPr>
            <w:tcW w:w="4560" w:type="dxa"/>
            <w:shd w:val="clear" w:color="auto" w:fill="auto"/>
            <w:vAlign w:val="center"/>
          </w:tcPr>
          <w:p w:rsidR="001120E4" w:rsidRPr="009E6414" w:rsidRDefault="001120E4" w:rsidP="00BA4FCD">
            <w:pPr>
              <w:spacing w:after="120" w:line="280" w:lineRule="atLeast"/>
              <w:jc w:val="left"/>
              <w:rPr>
                <w:rFonts w:eastAsia="Times New Roman" w:cs="Arial"/>
                <w:noProof/>
                <w:color w:val="57825E"/>
                <w:sz w:val="18"/>
                <w:szCs w:val="18"/>
                <w:u w:val="single"/>
                <w:lang w:val="es-ES_tradnl"/>
              </w:rPr>
            </w:pPr>
            <w:r w:rsidRPr="009E6414">
              <w:rPr>
                <w:noProof/>
                <w:color w:val="57825E"/>
                <w:sz w:val="18"/>
                <w:u w:val="single"/>
                <w:lang w:val="es-ES_tradnl"/>
              </w:rPr>
              <w:t xml:space="preserve">Indicadores complementarios: </w:t>
            </w:r>
          </w:p>
          <w:p w:rsidR="001120E4" w:rsidRPr="009E6414" w:rsidRDefault="001120E4" w:rsidP="00BA4FCD">
            <w:pPr>
              <w:spacing w:after="120" w:line="280" w:lineRule="atLeast"/>
              <w:jc w:val="left"/>
              <w:rPr>
                <w:rFonts w:eastAsia="Times New Roman" w:cs="Arial"/>
                <w:noProof/>
                <w:color w:val="57825E"/>
                <w:sz w:val="18"/>
                <w:szCs w:val="18"/>
                <w:lang w:val="es-ES_tradnl"/>
              </w:rPr>
            </w:pPr>
            <w:r w:rsidRPr="009E6414">
              <w:rPr>
                <w:noProof/>
                <w:color w:val="57825E"/>
                <w:sz w:val="18"/>
                <w:lang w:val="es-ES_tradnl"/>
              </w:rPr>
              <w:t>Gasto interior bruto en I+D (GBID) en comparación al producto interior bruto (PIB).</w:t>
            </w:r>
          </w:p>
          <w:p w:rsidR="001120E4" w:rsidRPr="009E6414" w:rsidRDefault="001120E4" w:rsidP="00BA4FCD">
            <w:pPr>
              <w:spacing w:after="120" w:line="280" w:lineRule="atLeast"/>
              <w:jc w:val="left"/>
              <w:rPr>
                <w:rFonts w:eastAsia="Times New Roman" w:cs="Arial"/>
                <w:noProof/>
                <w:color w:val="57825E"/>
                <w:sz w:val="18"/>
                <w:szCs w:val="18"/>
                <w:lang w:val="es-ES_tradnl"/>
              </w:rPr>
            </w:pPr>
            <w:r w:rsidRPr="009E6414">
              <w:rPr>
                <w:noProof/>
                <w:color w:val="57825E"/>
                <w:sz w:val="18"/>
                <w:lang w:val="es-ES_tradnl"/>
              </w:rPr>
              <w:t xml:space="preserve">Gastos del PDR en I+D+i como porcentaje de los gastos totales del PDR. </w:t>
            </w:r>
          </w:p>
          <w:p w:rsidR="00A45935" w:rsidRPr="009E6414" w:rsidRDefault="00942585" w:rsidP="00BA4FCD">
            <w:pPr>
              <w:spacing w:after="120" w:line="280" w:lineRule="atLeast"/>
              <w:jc w:val="left"/>
              <w:rPr>
                <w:rFonts w:eastAsia="Times New Roman" w:cs="Arial"/>
                <w:noProof/>
                <w:sz w:val="18"/>
                <w:szCs w:val="18"/>
                <w:lang w:val="es-ES_tradnl"/>
              </w:rPr>
            </w:pPr>
            <w:r w:rsidRPr="009E6414">
              <w:rPr>
                <w:noProof/>
                <w:color w:val="57825E"/>
                <w:sz w:val="18"/>
                <w:lang w:val="es-ES_tradnl"/>
              </w:rPr>
              <w:t>Gastos del PDR en I+D+i como porcentaje de los gastos internos brutos en I+D+i.</w:t>
            </w:r>
          </w:p>
        </w:tc>
        <w:tc>
          <w:tcPr>
            <w:tcW w:w="3684" w:type="dxa"/>
          </w:tcPr>
          <w:p w:rsidR="001120E4" w:rsidRPr="009E6414" w:rsidRDefault="001120E4" w:rsidP="00BA4FCD">
            <w:pPr>
              <w:spacing w:after="120" w:line="280" w:lineRule="atLeast"/>
              <w:jc w:val="left"/>
              <w:rPr>
                <w:rFonts w:eastAsia="Times New Roman" w:cs="Arial"/>
                <w:noProof/>
                <w:sz w:val="18"/>
                <w:szCs w:val="18"/>
                <w:lang w:val="es-ES_tradnl"/>
              </w:rPr>
            </w:pPr>
            <w:r w:rsidRPr="009E6414">
              <w:rPr>
                <w:noProof/>
                <w:sz w:val="18"/>
                <w:lang w:val="es-ES_tradnl"/>
              </w:rPr>
              <w:t>Datos sobre I+D+i de acuerdo con el Manual de Frascati.</w:t>
            </w:r>
          </w:p>
          <w:p w:rsidR="00A45935" w:rsidRPr="009E6414" w:rsidRDefault="00A45935" w:rsidP="00BA4FCD">
            <w:pPr>
              <w:spacing w:after="120" w:line="280" w:lineRule="atLeast"/>
              <w:jc w:val="left"/>
              <w:rPr>
                <w:rFonts w:eastAsia="Times New Roman" w:cs="Arial"/>
                <w:noProof/>
                <w:sz w:val="18"/>
                <w:szCs w:val="18"/>
                <w:lang w:val="es-ES_tradnl"/>
              </w:rPr>
            </w:pPr>
            <w:r w:rsidRPr="009E6414">
              <w:rPr>
                <w:noProof/>
                <w:sz w:val="18"/>
                <w:lang w:val="es-ES_tradnl"/>
              </w:rPr>
              <w:t xml:space="preserve">Datos sobre los gastos en I+D+i del PDR desglosados por tipo de beneficiario. </w:t>
            </w:r>
          </w:p>
          <w:p w:rsidR="00A45935" w:rsidRPr="009E6414" w:rsidRDefault="00A45935" w:rsidP="00BA4FCD">
            <w:pPr>
              <w:spacing w:after="120" w:line="280" w:lineRule="atLeast"/>
              <w:jc w:val="left"/>
              <w:rPr>
                <w:rFonts w:eastAsia="Times New Roman" w:cs="Arial"/>
                <w:noProof/>
                <w:sz w:val="18"/>
                <w:szCs w:val="18"/>
                <w:lang w:val="es-ES_tradnl"/>
              </w:rPr>
            </w:pPr>
            <w:r w:rsidRPr="009E6414">
              <w:rPr>
                <w:noProof/>
                <w:sz w:val="18"/>
                <w:lang w:val="es-ES_tradnl"/>
              </w:rPr>
              <w:t xml:space="preserve">Datos sobre los gastos totales del PDR. </w:t>
            </w:r>
          </w:p>
          <w:p w:rsidR="00A45935" w:rsidRPr="009E6414" w:rsidRDefault="00A45935" w:rsidP="00BA4FCD">
            <w:pPr>
              <w:spacing w:after="120" w:line="280" w:lineRule="atLeast"/>
              <w:jc w:val="left"/>
              <w:rPr>
                <w:rFonts w:eastAsia="Times New Roman" w:cs="Arial"/>
                <w:noProof/>
                <w:sz w:val="18"/>
                <w:szCs w:val="18"/>
                <w:lang w:val="es-ES_tradnl"/>
              </w:rPr>
            </w:pPr>
            <w:r w:rsidRPr="009E6414">
              <w:rPr>
                <w:noProof/>
                <w:sz w:val="18"/>
                <w:lang w:val="es-ES_tradnl"/>
              </w:rPr>
              <w:t>Datos sobre los gastos en I+D+i por Estado miembro/región.</w:t>
            </w:r>
          </w:p>
          <w:p w:rsidR="00A45935" w:rsidRPr="009E6414" w:rsidRDefault="00A45935" w:rsidP="00BA4FCD">
            <w:pPr>
              <w:spacing w:after="120" w:line="280" w:lineRule="atLeast"/>
              <w:jc w:val="left"/>
              <w:rPr>
                <w:rFonts w:eastAsia="Times New Roman" w:cs="Arial"/>
                <w:noProof/>
                <w:sz w:val="18"/>
                <w:szCs w:val="18"/>
                <w:lang w:val="es-ES_tradnl"/>
              </w:rPr>
            </w:pPr>
            <w:r w:rsidRPr="009E6414">
              <w:rPr>
                <w:noProof/>
                <w:sz w:val="18"/>
                <w:lang w:val="es-ES_tradnl"/>
              </w:rPr>
              <w:t>Datos sobre el PIB por Estado miembro/región.</w:t>
            </w:r>
          </w:p>
        </w:tc>
        <w:tc>
          <w:tcPr>
            <w:tcW w:w="3036" w:type="dxa"/>
          </w:tcPr>
          <w:p w:rsidR="00A45935" w:rsidRPr="009E6414" w:rsidRDefault="00A45935" w:rsidP="00BA4FCD">
            <w:pPr>
              <w:spacing w:after="120" w:line="280" w:lineRule="atLeast"/>
              <w:jc w:val="left"/>
              <w:rPr>
                <w:rFonts w:eastAsia="Times New Roman" w:cs="Arial"/>
                <w:noProof/>
                <w:sz w:val="18"/>
                <w:szCs w:val="18"/>
                <w:lang w:val="es-ES_tradnl"/>
              </w:rPr>
            </w:pPr>
            <w:r w:rsidRPr="009E6414">
              <w:rPr>
                <w:noProof/>
                <w:sz w:val="18"/>
                <w:lang w:val="es-ES_tradnl"/>
              </w:rPr>
              <w:t>Sistema de seguimiento del PDR.</w:t>
            </w:r>
          </w:p>
          <w:p w:rsidR="00A45935" w:rsidRPr="009E6414" w:rsidRDefault="00A45935" w:rsidP="00BA4FCD">
            <w:pPr>
              <w:spacing w:after="120" w:line="280" w:lineRule="atLeast"/>
              <w:jc w:val="left"/>
              <w:rPr>
                <w:rFonts w:eastAsia="Times New Roman" w:cs="Arial"/>
                <w:noProof/>
                <w:sz w:val="18"/>
                <w:szCs w:val="18"/>
                <w:lang w:val="es-ES_tradnl"/>
              </w:rPr>
            </w:pPr>
            <w:r w:rsidRPr="009E6414">
              <w:rPr>
                <w:noProof/>
                <w:sz w:val="18"/>
                <w:lang w:val="es-ES_tradnl"/>
              </w:rPr>
              <w:t xml:space="preserve">Eurostat. </w:t>
            </w:r>
          </w:p>
          <w:p w:rsidR="00A45935" w:rsidRPr="009E6414" w:rsidRDefault="00A45935" w:rsidP="00BA4FCD">
            <w:pPr>
              <w:spacing w:after="120" w:line="280" w:lineRule="atLeast"/>
              <w:jc w:val="left"/>
              <w:rPr>
                <w:rFonts w:eastAsia="Times New Roman" w:cs="Arial"/>
                <w:noProof/>
                <w:sz w:val="18"/>
                <w:szCs w:val="18"/>
                <w:lang w:val="es-ES_tradnl"/>
              </w:rPr>
            </w:pPr>
            <w:r w:rsidRPr="009E6414">
              <w:rPr>
                <w:noProof/>
                <w:sz w:val="18"/>
                <w:lang w:val="es-ES_tradnl"/>
              </w:rPr>
              <w:t xml:space="preserve">Estadísticas nacionales/regionales. </w:t>
            </w:r>
          </w:p>
        </w:tc>
      </w:tr>
    </w:tbl>
    <w:p w:rsidR="00A45935" w:rsidRPr="009E6414" w:rsidRDefault="00A45935" w:rsidP="008C0B17">
      <w:pPr>
        <w:numPr>
          <w:ilvl w:val="0"/>
          <w:numId w:val="45"/>
        </w:numPr>
        <w:spacing w:before="60" w:after="120" w:line="280" w:lineRule="atLeast"/>
        <w:rPr>
          <w:rFonts w:eastAsia="Times New Roman" w:cs="Times New Roman"/>
          <w:b/>
          <w:noProof/>
          <w:szCs w:val="20"/>
          <w:lang w:val="es-ES_tradnl"/>
        </w:rPr>
        <w:sectPr w:rsidR="00A45935" w:rsidRPr="009E6414" w:rsidSect="001F6F07">
          <w:endnotePr>
            <w:numFmt w:val="decimal"/>
          </w:endnotePr>
          <w:pgSz w:w="16840" w:h="11907" w:orient="landscape" w:code="9"/>
          <w:pgMar w:top="1440" w:right="1134" w:bottom="1440" w:left="1440" w:header="567" w:footer="1020" w:gutter="0"/>
          <w:cols w:space="708"/>
          <w:noEndnote/>
          <w:docGrid w:linePitch="360"/>
        </w:sectPr>
      </w:pPr>
    </w:p>
    <w:p w:rsidR="00A45935" w:rsidRPr="009E6414" w:rsidRDefault="00A45935" w:rsidP="00647766">
      <w:pPr>
        <w:numPr>
          <w:ilvl w:val="0"/>
          <w:numId w:val="61"/>
        </w:numPr>
        <w:spacing w:before="120" w:after="120" w:line="280" w:lineRule="atLeast"/>
        <w:ind w:left="567" w:hanging="567"/>
        <w:mirrorIndents/>
        <w:rPr>
          <w:rFonts w:eastAsia="Times New Roman" w:cs="Times New Roman"/>
          <w:b/>
          <w:noProof/>
          <w:szCs w:val="20"/>
          <w:lang w:val="es-ES_tradnl"/>
        </w:rPr>
      </w:pPr>
      <w:r w:rsidRPr="009E6414">
        <w:rPr>
          <w:b/>
          <w:noProof/>
          <w:lang w:val="es-ES_tradnl"/>
        </w:rPr>
        <w:lastRenderedPageBreak/>
        <w:t>Metodología de evaluación propuesta</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El indicador del objetivo principal es recabado por Eurostat y las estadísticas nacionales y hace referencia al gasto interior bruto en I+D (GBID), como un indicador del PIB, conocido como intensidad de la I+D. Las estadísticas recopilan los gastos en I+D de cuatro sectores: 1.) el empresarial, 2.) el de las administraciones públicas, 3) el de la educación superior y 4) el privado sin ánimo de lucro. En el cuadro 8 se ofrece información más detallada sobre el cálculo de cada indicador.</w:t>
      </w:r>
    </w:p>
    <w:p w:rsidR="00F73706" w:rsidRPr="009E6414" w:rsidRDefault="00F73706" w:rsidP="00F73706">
      <w:pPr>
        <w:pStyle w:val="Hlistbullet"/>
        <w:rPr>
          <w:noProof/>
          <w:lang w:val="es-ES_tradnl"/>
        </w:rPr>
      </w:pPr>
      <w:r w:rsidRPr="009E6414">
        <w:rPr>
          <w:noProof/>
          <w:lang w:val="es-ES_tradnl"/>
        </w:rPr>
        <w:t xml:space="preserve">Los datos para los indicadores comunes T1 y T2 se recaban directamente del sistema de seguimiento del PDR (base de datos de operaciones). </w:t>
      </w:r>
    </w:p>
    <w:p w:rsidR="00F73706" w:rsidRPr="009E6414" w:rsidRDefault="00F73706" w:rsidP="00F73706">
      <w:pPr>
        <w:pStyle w:val="Hlistbullet"/>
        <w:rPr>
          <w:noProof/>
          <w:lang w:val="es-ES_tradnl"/>
        </w:rPr>
      </w:pPr>
      <w:r w:rsidRPr="009E6414">
        <w:rPr>
          <w:noProof/>
          <w:lang w:val="es-ES_tradnl"/>
        </w:rPr>
        <w:t>El objetivo principal «</w:t>
      </w:r>
      <w:r w:rsidRPr="009E6414">
        <w:rPr>
          <w:i/>
          <w:noProof/>
          <w:lang w:val="es-ES_tradnl"/>
        </w:rPr>
        <w:t>Gastos internos brutos en I+D (GBID) en comparación al producto interior bruto (PIB)</w:t>
      </w:r>
      <w:r w:rsidRPr="009E6414">
        <w:rPr>
          <w:noProof/>
          <w:lang w:val="es-ES_tradnl"/>
        </w:rPr>
        <w:t>», puede recopilarse en los niveles NUTS 1 y NUTS 2 de Eurostat.</w:t>
      </w:r>
    </w:p>
    <w:p w:rsidR="00F73706" w:rsidRPr="009E6414" w:rsidRDefault="00F73706" w:rsidP="00F73706">
      <w:pPr>
        <w:pStyle w:val="Hlistbullet"/>
        <w:rPr>
          <w:noProof/>
          <w:lang w:val="es-ES_tradnl"/>
        </w:rPr>
      </w:pPr>
      <w:r w:rsidRPr="009E6414">
        <w:rPr>
          <w:noProof/>
          <w:lang w:val="es-ES_tradnl"/>
        </w:rPr>
        <w:t>El indicador complementario «</w:t>
      </w:r>
      <w:r w:rsidRPr="009E6414">
        <w:rPr>
          <w:i/>
          <w:noProof/>
          <w:lang w:val="es-ES_tradnl"/>
        </w:rPr>
        <w:t>Gasto del PDR en I+D en porcentaje del PIB</w:t>
      </w:r>
      <w:r w:rsidRPr="009E6414">
        <w:rPr>
          <w:noProof/>
          <w:lang w:val="es-ES_tradnl"/>
        </w:rPr>
        <w:t>» (denominado en lo sucesivo GBID del «desarrollo rural» GBIDᴿᴰ) muestra el gasto del PDR en I+D a través de las medidas/submedidas pertinentes en relación con el PIB:</w:t>
      </w:r>
    </w:p>
    <w:p w:rsidR="00F73706" w:rsidRPr="009E6414" w:rsidRDefault="00F73706" w:rsidP="00F73706">
      <w:pPr>
        <w:pStyle w:val="Hlistbullet2"/>
        <w:rPr>
          <w:noProof/>
          <w:lang w:val="es-ES_tradnl"/>
        </w:rPr>
      </w:pPr>
      <w:r w:rsidRPr="009E6414">
        <w:rPr>
          <w:noProof/>
          <w:lang w:val="es-ES_tradnl"/>
        </w:rPr>
        <w:t xml:space="preserve">Los datos sobre el PIB pueden recabarse a través de las estadísticas nacionales y también se encuentran disponibles a partir de fuentes de la UE (Eurostat). </w:t>
      </w:r>
    </w:p>
    <w:p w:rsidR="00F73706" w:rsidRPr="009E6414" w:rsidRDefault="00F73706" w:rsidP="00F73706">
      <w:pPr>
        <w:pStyle w:val="Hlistbullet2"/>
        <w:rPr>
          <w:noProof/>
          <w:lang w:val="es-ES_tradnl"/>
        </w:rPr>
      </w:pPr>
      <w:r w:rsidRPr="009E6414">
        <w:rPr>
          <w:noProof/>
          <w:lang w:val="es-ES_tradnl"/>
        </w:rPr>
        <w:t xml:space="preserve">Los datos relativos a los gastos del PDR en investigación, desarrollo e innovación pueden obtenerse a partir del sistema de seguimiento del PDR contabilizando los gastos vinculados a las operaciones con potencial de innovación (tal como se identificó durante el examen del potencial de innovación - véase el </w:t>
      </w:r>
      <w:hyperlink w:anchor="Screening_Potential" w:history="1">
        <w:r w:rsidRPr="009E6414">
          <w:rPr>
            <w:rStyle w:val="Hyperlink"/>
            <w:noProof/>
            <w:sz w:val="20"/>
            <w:lang w:val="es-ES_tradnl"/>
          </w:rPr>
          <w:t>capítulo 2.2</w:t>
        </w:r>
      </w:hyperlink>
      <w:r w:rsidRPr="009E6414">
        <w:rPr>
          <w:noProof/>
          <w:lang w:val="es-ES_tradnl"/>
        </w:rPr>
        <w:t xml:space="preserve">) y desglosados por beneficiarios atribuidos a los sectores, según lo previsto en el Manual de Frascati. </w:t>
      </w:r>
    </w:p>
    <w:p w:rsidR="00F73706" w:rsidRPr="009E6414" w:rsidRDefault="00F73706" w:rsidP="00F73706">
      <w:pPr>
        <w:pStyle w:val="Hlistbullet"/>
        <w:rPr>
          <w:noProof/>
          <w:lang w:val="es-ES_tradnl"/>
        </w:rPr>
      </w:pPr>
      <w:r w:rsidRPr="009E6414">
        <w:rPr>
          <w:noProof/>
          <w:lang w:val="es-ES_tradnl"/>
        </w:rPr>
        <w:t>El indicador complementario «Gasto del PDR en I+D+i en porcentaje de los gastos totales del PDR» muestra el volumen del presupuesto del PDR destinado a subvencionar la investigación, el desarrollo y la innovación. Los datos de este indicador también pueden obtenerse a partir del sistema de seguimiento del PDR, si la base de datos de operaciones está adaptada para rastrear también la información sobre los proyectos con un elevado potencial de innovación, tal como se identificó en el examen previo a la evaluación.</w:t>
      </w:r>
    </w:p>
    <w:p w:rsidR="00A45935" w:rsidRPr="009E6414" w:rsidRDefault="00F73706" w:rsidP="00F73706">
      <w:pPr>
        <w:pStyle w:val="Hlistbullet"/>
        <w:rPr>
          <w:noProof/>
          <w:lang w:val="es-ES_tradnl"/>
        </w:rPr>
      </w:pPr>
      <w:r w:rsidRPr="009E6414">
        <w:rPr>
          <w:noProof/>
          <w:lang w:val="es-ES_tradnl"/>
        </w:rPr>
        <w:t>El indicador complementario «Gastos del PDR en I+D+i en porcentaje de los gastos internos brutos en I+D+i» muestra la relación entre las inversiones del PDR en investigación, desarrollo e innovación y los gastos internos brutos en I+D. Los datos pueden obtenerse a partir del sistema de seguimiento del PDR, de estadísticas nacionales y regionales y de Eurostat.</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 xml:space="preserve">Los valores para los indicadores pueden ser calculados </w:t>
      </w:r>
      <w:r w:rsidRPr="009E6414">
        <w:rPr>
          <w:i/>
          <w:noProof/>
          <w:lang w:val="es-ES_tradnl"/>
        </w:rPr>
        <w:t>ex ante</w:t>
      </w:r>
      <w:r w:rsidRPr="009E6414">
        <w:rPr>
          <w:noProof/>
          <w:lang w:val="es-ES_tradnl"/>
        </w:rPr>
        <w:t xml:space="preserve"> (contribuciones previstas) y en el momento de la evaluación para el IAE que se presente en 2019 y de la evaluación </w:t>
      </w:r>
      <w:r w:rsidRPr="009E6414">
        <w:rPr>
          <w:i/>
          <w:noProof/>
          <w:lang w:val="es-ES_tradnl"/>
        </w:rPr>
        <w:t>ex post</w:t>
      </w:r>
      <w:r w:rsidRPr="009E6414">
        <w:rPr>
          <w:noProof/>
          <w:lang w:val="es-ES_tradnl"/>
        </w:rPr>
        <w:t xml:space="preserve"> (contribuciones reales en el momento de la evaluación), que posteriormente pueden permitir la comparación prevista con las contribuciones reales. El ejemplo del cuadro 8 muestra los valores previstos y reales de los indicadores comunes y complementarios:</w:t>
      </w:r>
    </w:p>
    <w:p w:rsidR="00A45935" w:rsidRPr="009E6414" w:rsidRDefault="00A45935" w:rsidP="00E05D08">
      <w:pPr>
        <w:spacing w:after="0" w:line="240" w:lineRule="auto"/>
        <w:rPr>
          <w:rFonts w:eastAsia="Times New Roman" w:cs="Times New Roman"/>
          <w:b/>
          <w:noProof/>
          <w:sz w:val="16"/>
          <w:szCs w:val="20"/>
          <w:highlight w:val="yellow"/>
          <w:lang w:val="es-ES_tradnl"/>
        </w:rPr>
      </w:pPr>
      <w:r w:rsidRPr="009E6414">
        <w:rPr>
          <w:noProof/>
          <w:lang w:val="es-ES_tradnl"/>
        </w:rPr>
        <w:br w:type="page"/>
      </w:r>
    </w:p>
    <w:p w:rsidR="00A45935" w:rsidRPr="009E6414" w:rsidRDefault="00A45935" w:rsidP="00D62992">
      <w:pPr>
        <w:pStyle w:val="HHeadingtables"/>
        <w:rPr>
          <w:noProof/>
          <w:color w:val="6F6F6F"/>
          <w:sz w:val="18"/>
          <w:szCs w:val="18"/>
          <w:lang w:val="es-ES_tradnl"/>
        </w:rPr>
      </w:pPr>
      <w:r w:rsidRPr="009E6414">
        <w:rPr>
          <w:noProof/>
          <w:color w:val="6F6F6F"/>
          <w:sz w:val="18"/>
          <w:lang w:val="es-ES_tradnl"/>
        </w:rPr>
        <w:lastRenderedPageBreak/>
        <w:t xml:space="preserve">Ejemplo de valores previstos y reales de los indicadores comunes y complementarios </w:t>
      </w:r>
    </w:p>
    <w:tbl>
      <w:tblPr>
        <w:tblW w:w="91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1511"/>
        <w:gridCol w:w="3599"/>
        <w:gridCol w:w="1560"/>
        <w:gridCol w:w="1560"/>
        <w:gridCol w:w="898"/>
      </w:tblGrid>
      <w:tr w:rsidR="00F73706" w:rsidRPr="009E6414" w:rsidTr="002A6F90">
        <w:trPr>
          <w:trHeight w:val="192"/>
        </w:trPr>
        <w:tc>
          <w:tcPr>
            <w:tcW w:w="1511" w:type="dxa"/>
            <w:shd w:val="clear" w:color="auto" w:fill="F07E31"/>
            <w:vAlign w:val="center"/>
            <w:hideMark/>
          </w:tcPr>
          <w:p w:rsidR="00F73706" w:rsidRPr="009E6414" w:rsidRDefault="00F73706" w:rsidP="00F73706">
            <w:pPr>
              <w:spacing w:before="60" w:after="120" w:line="220" w:lineRule="atLeast"/>
              <w:ind w:right="154"/>
              <w:jc w:val="center"/>
              <w:rPr>
                <w:rFonts w:eastAsia="Times New Roman" w:cs="Arial"/>
                <w:b/>
                <w:bCs/>
                <w:noProof/>
                <w:color w:val="FFFFFF"/>
                <w:sz w:val="18"/>
                <w:szCs w:val="20"/>
                <w:lang w:val="es-ES_tradnl"/>
              </w:rPr>
            </w:pPr>
          </w:p>
        </w:tc>
        <w:tc>
          <w:tcPr>
            <w:tcW w:w="3599" w:type="dxa"/>
            <w:shd w:val="clear" w:color="auto" w:fill="F07E31"/>
            <w:vAlign w:val="center"/>
            <w:hideMark/>
          </w:tcPr>
          <w:p w:rsidR="00F73706" w:rsidRPr="009E6414" w:rsidRDefault="00F73706" w:rsidP="00F73706">
            <w:pPr>
              <w:spacing w:before="60" w:after="120" w:line="220" w:lineRule="atLeast"/>
              <w:jc w:val="center"/>
              <w:rPr>
                <w:rFonts w:eastAsia="Times New Roman" w:cs="Arial"/>
                <w:b/>
                <w:bCs/>
                <w:noProof/>
                <w:color w:val="FFFFFF"/>
                <w:sz w:val="18"/>
                <w:szCs w:val="20"/>
                <w:lang w:val="es-ES_tradnl"/>
              </w:rPr>
            </w:pPr>
            <w:r w:rsidRPr="009E6414">
              <w:rPr>
                <w:b/>
                <w:noProof/>
                <w:color w:val="FFFFFF"/>
                <w:sz w:val="18"/>
                <w:lang w:val="es-ES_tradnl"/>
              </w:rPr>
              <w:t>Indicadores</w:t>
            </w:r>
          </w:p>
        </w:tc>
        <w:tc>
          <w:tcPr>
            <w:tcW w:w="1560" w:type="dxa"/>
            <w:shd w:val="clear" w:color="auto" w:fill="F07E31"/>
            <w:vAlign w:val="center"/>
            <w:hideMark/>
          </w:tcPr>
          <w:p w:rsidR="00F73706" w:rsidRPr="009E6414" w:rsidRDefault="00F73706" w:rsidP="00F73706">
            <w:pPr>
              <w:spacing w:before="60" w:after="120" w:line="220" w:lineRule="atLeast"/>
              <w:jc w:val="center"/>
              <w:rPr>
                <w:rFonts w:eastAsia="Times New Roman" w:cs="Arial"/>
                <w:b/>
                <w:bCs/>
                <w:noProof/>
                <w:color w:val="FFFFFF"/>
                <w:sz w:val="18"/>
                <w:szCs w:val="20"/>
                <w:lang w:val="es-ES_tradnl"/>
              </w:rPr>
            </w:pPr>
            <w:r w:rsidRPr="009E6414">
              <w:rPr>
                <w:b/>
                <w:noProof/>
                <w:color w:val="FFFFFF"/>
                <w:sz w:val="18"/>
                <w:lang w:val="es-ES_tradnl"/>
              </w:rPr>
              <w:t>Previstos</w:t>
            </w:r>
          </w:p>
        </w:tc>
        <w:tc>
          <w:tcPr>
            <w:tcW w:w="1560" w:type="dxa"/>
            <w:shd w:val="clear" w:color="auto" w:fill="F07E31"/>
            <w:vAlign w:val="center"/>
            <w:hideMark/>
          </w:tcPr>
          <w:p w:rsidR="00F73706" w:rsidRPr="009E6414" w:rsidRDefault="00F73706" w:rsidP="00F73706">
            <w:pPr>
              <w:spacing w:before="60" w:after="120" w:line="220" w:lineRule="atLeast"/>
              <w:jc w:val="center"/>
              <w:rPr>
                <w:rFonts w:eastAsia="Times New Roman" w:cs="Arial"/>
                <w:b/>
                <w:bCs/>
                <w:noProof/>
                <w:color w:val="FFFFFF"/>
                <w:sz w:val="18"/>
                <w:szCs w:val="20"/>
                <w:lang w:val="es-ES_tradnl"/>
              </w:rPr>
            </w:pPr>
            <w:r w:rsidRPr="009E6414">
              <w:rPr>
                <w:b/>
                <w:noProof/>
                <w:color w:val="FFFFFF"/>
                <w:sz w:val="18"/>
                <w:lang w:val="es-ES_tradnl"/>
              </w:rPr>
              <w:t>Reales</w:t>
            </w:r>
          </w:p>
        </w:tc>
        <w:tc>
          <w:tcPr>
            <w:tcW w:w="898" w:type="dxa"/>
            <w:shd w:val="clear" w:color="auto" w:fill="F07E31"/>
            <w:vAlign w:val="center"/>
          </w:tcPr>
          <w:p w:rsidR="00F73706" w:rsidRPr="009E6414" w:rsidRDefault="00F73706" w:rsidP="00F73706">
            <w:pPr>
              <w:spacing w:before="60" w:after="120" w:line="220" w:lineRule="atLeast"/>
              <w:jc w:val="center"/>
              <w:rPr>
                <w:rFonts w:eastAsia="Times New Roman" w:cs="Arial"/>
                <w:b/>
                <w:bCs/>
                <w:noProof/>
                <w:color w:val="FFFFFF"/>
                <w:sz w:val="18"/>
                <w:szCs w:val="20"/>
                <w:lang w:val="es-ES_tradnl"/>
              </w:rPr>
            </w:pPr>
            <w:r w:rsidRPr="009E6414">
              <w:rPr>
                <w:b/>
                <w:noProof/>
                <w:color w:val="FFFFFF"/>
                <w:sz w:val="18"/>
                <w:lang w:val="es-ES_tradnl"/>
              </w:rPr>
              <w:t>Calc.</w:t>
            </w:r>
          </w:p>
        </w:tc>
      </w:tr>
      <w:tr w:rsidR="00F73706" w:rsidRPr="009E6414" w:rsidTr="002A6F90">
        <w:trPr>
          <w:trHeight w:val="310"/>
        </w:trPr>
        <w:tc>
          <w:tcPr>
            <w:tcW w:w="1511" w:type="dxa"/>
            <w:vMerge w:val="restart"/>
            <w:shd w:val="clear" w:color="auto" w:fill="auto"/>
            <w:vAlign w:val="center"/>
            <w:hideMark/>
          </w:tcPr>
          <w:p w:rsidR="00F73706" w:rsidRPr="009E6414" w:rsidRDefault="00F73706" w:rsidP="00F73706">
            <w:pPr>
              <w:spacing w:before="60" w:after="120" w:line="220" w:lineRule="atLeast"/>
              <w:jc w:val="left"/>
              <w:rPr>
                <w:rFonts w:eastAsia="Times New Roman" w:cs="Arial"/>
                <w:noProof/>
                <w:sz w:val="18"/>
                <w:szCs w:val="20"/>
                <w:lang w:val="es-ES_tradnl"/>
              </w:rPr>
            </w:pPr>
            <w:r w:rsidRPr="009E6414">
              <w:rPr>
                <w:noProof/>
                <w:sz w:val="18"/>
                <w:lang w:val="es-ES_tradnl"/>
              </w:rPr>
              <w:t>Datos de entrada del PDR (base de datos de operaciones)</w:t>
            </w:r>
          </w:p>
        </w:tc>
        <w:tc>
          <w:tcPr>
            <w:tcW w:w="3599" w:type="dxa"/>
            <w:shd w:val="clear" w:color="auto" w:fill="auto"/>
            <w:vAlign w:val="center"/>
            <w:hideMark/>
          </w:tcPr>
          <w:p w:rsidR="00F73706" w:rsidRPr="009E6414" w:rsidRDefault="00F73706" w:rsidP="00F73706">
            <w:pPr>
              <w:spacing w:before="60" w:after="120" w:line="220" w:lineRule="atLeast"/>
              <w:jc w:val="left"/>
              <w:rPr>
                <w:rFonts w:eastAsia="Times New Roman" w:cs="Arial"/>
                <w:noProof/>
                <w:sz w:val="18"/>
                <w:szCs w:val="20"/>
                <w:lang w:val="es-ES_tradnl"/>
              </w:rPr>
            </w:pPr>
            <w:r w:rsidRPr="009E6414">
              <w:rPr>
                <w:noProof/>
                <w:sz w:val="18"/>
                <w:lang w:val="es-ES_tradnl"/>
              </w:rPr>
              <w:t>Gastos totales del PDR (agregados).</w:t>
            </w:r>
          </w:p>
        </w:tc>
        <w:tc>
          <w:tcPr>
            <w:tcW w:w="1560" w:type="dxa"/>
            <w:shd w:val="clear" w:color="auto" w:fill="auto"/>
            <w:vAlign w:val="center"/>
            <w:hideMark/>
          </w:tcPr>
          <w:p w:rsidR="00F73706" w:rsidRPr="009E6414" w:rsidRDefault="00F73706" w:rsidP="00F73706">
            <w:pPr>
              <w:spacing w:before="60" w:after="120" w:line="220" w:lineRule="atLeast"/>
              <w:jc w:val="right"/>
              <w:rPr>
                <w:rFonts w:eastAsia="Times New Roman" w:cs="Arial"/>
                <w:noProof/>
                <w:sz w:val="18"/>
                <w:szCs w:val="20"/>
                <w:lang w:val="es-ES_tradnl"/>
              </w:rPr>
            </w:pPr>
            <w:r w:rsidRPr="009E6414">
              <w:rPr>
                <w:noProof/>
                <w:sz w:val="18"/>
                <w:lang w:val="es-ES_tradnl"/>
              </w:rPr>
              <w:t>800 000 000</w:t>
            </w:r>
          </w:p>
        </w:tc>
        <w:tc>
          <w:tcPr>
            <w:tcW w:w="1560" w:type="dxa"/>
            <w:shd w:val="clear" w:color="auto" w:fill="auto"/>
            <w:vAlign w:val="center"/>
            <w:hideMark/>
          </w:tcPr>
          <w:p w:rsidR="00F73706" w:rsidRPr="009E6414" w:rsidRDefault="00F73706" w:rsidP="00F73706">
            <w:pPr>
              <w:spacing w:before="60" w:after="120" w:line="220" w:lineRule="atLeast"/>
              <w:jc w:val="right"/>
              <w:rPr>
                <w:rFonts w:eastAsia="Times New Roman" w:cs="Arial"/>
                <w:noProof/>
                <w:sz w:val="18"/>
                <w:szCs w:val="20"/>
                <w:lang w:val="es-ES_tradnl"/>
              </w:rPr>
            </w:pPr>
            <w:r w:rsidRPr="009E6414">
              <w:rPr>
                <w:noProof/>
                <w:sz w:val="18"/>
                <w:lang w:val="es-ES_tradnl"/>
              </w:rPr>
              <w:t>790 000 000</w:t>
            </w:r>
          </w:p>
        </w:tc>
        <w:tc>
          <w:tcPr>
            <w:tcW w:w="898" w:type="dxa"/>
            <w:vAlign w:val="center"/>
          </w:tcPr>
          <w:p w:rsidR="00F73706" w:rsidRPr="009E6414" w:rsidRDefault="00F73706" w:rsidP="00F73706">
            <w:pPr>
              <w:spacing w:before="60" w:after="120" w:line="220" w:lineRule="atLeast"/>
              <w:jc w:val="center"/>
              <w:rPr>
                <w:rFonts w:eastAsia="Times New Roman" w:cs="Arial"/>
                <w:noProof/>
                <w:color w:val="F07E31"/>
                <w:sz w:val="18"/>
                <w:szCs w:val="20"/>
                <w:lang w:val="es-ES_tradnl"/>
              </w:rPr>
            </w:pPr>
            <w:r w:rsidRPr="009E6414">
              <w:rPr>
                <w:noProof/>
                <w:color w:val="F07E31"/>
                <w:sz w:val="18"/>
                <w:lang w:val="es-ES_tradnl"/>
              </w:rPr>
              <w:t>a</w:t>
            </w:r>
          </w:p>
        </w:tc>
      </w:tr>
      <w:tr w:rsidR="00F73706" w:rsidRPr="009E6414" w:rsidTr="002A6F90">
        <w:trPr>
          <w:trHeight w:val="363"/>
        </w:trPr>
        <w:tc>
          <w:tcPr>
            <w:tcW w:w="1511" w:type="dxa"/>
            <w:vMerge/>
            <w:vAlign w:val="center"/>
            <w:hideMark/>
          </w:tcPr>
          <w:p w:rsidR="00F73706" w:rsidRPr="009E6414" w:rsidRDefault="00F73706" w:rsidP="00F73706">
            <w:pPr>
              <w:spacing w:before="60" w:after="120" w:line="220" w:lineRule="atLeast"/>
              <w:jc w:val="left"/>
              <w:rPr>
                <w:rFonts w:eastAsia="Times New Roman" w:cs="Arial"/>
                <w:noProof/>
                <w:sz w:val="18"/>
                <w:szCs w:val="20"/>
                <w:lang w:val="es-ES_tradnl"/>
              </w:rPr>
            </w:pPr>
          </w:p>
        </w:tc>
        <w:tc>
          <w:tcPr>
            <w:tcW w:w="3599" w:type="dxa"/>
            <w:shd w:val="clear" w:color="auto" w:fill="auto"/>
            <w:vAlign w:val="center"/>
            <w:hideMark/>
          </w:tcPr>
          <w:p w:rsidR="00F73706" w:rsidRPr="009E6414" w:rsidRDefault="00F73706" w:rsidP="00F73706">
            <w:pPr>
              <w:spacing w:before="60" w:after="120" w:line="220" w:lineRule="atLeast"/>
              <w:jc w:val="left"/>
              <w:rPr>
                <w:rFonts w:eastAsia="Times New Roman" w:cs="Arial"/>
                <w:noProof/>
                <w:sz w:val="18"/>
                <w:szCs w:val="20"/>
                <w:lang w:val="es-ES_tradnl"/>
              </w:rPr>
            </w:pPr>
            <w:r w:rsidRPr="009E6414">
              <w:rPr>
                <w:noProof/>
                <w:sz w:val="18"/>
                <w:lang w:val="es-ES_tradnl"/>
              </w:rPr>
              <w:t>Gastos del PDR en virtud de los artículos 14,15 y 35 del Reglamento (UE) n.º 1305/2013 (agregados).</w:t>
            </w:r>
          </w:p>
        </w:tc>
        <w:tc>
          <w:tcPr>
            <w:tcW w:w="1560" w:type="dxa"/>
            <w:shd w:val="clear" w:color="auto" w:fill="auto"/>
            <w:vAlign w:val="center"/>
            <w:hideMark/>
          </w:tcPr>
          <w:p w:rsidR="00F73706" w:rsidRPr="009E6414" w:rsidRDefault="00F73706" w:rsidP="00F73706">
            <w:pPr>
              <w:spacing w:before="60" w:after="120" w:line="220" w:lineRule="atLeast"/>
              <w:jc w:val="right"/>
              <w:rPr>
                <w:rFonts w:eastAsia="Times New Roman" w:cs="Arial"/>
                <w:noProof/>
                <w:sz w:val="18"/>
                <w:szCs w:val="20"/>
                <w:lang w:val="es-ES_tradnl"/>
              </w:rPr>
            </w:pPr>
            <w:r w:rsidRPr="009E6414">
              <w:rPr>
                <w:noProof/>
                <w:sz w:val="18"/>
                <w:lang w:val="es-ES_tradnl"/>
              </w:rPr>
              <w:t>40 000 000</w:t>
            </w:r>
          </w:p>
        </w:tc>
        <w:tc>
          <w:tcPr>
            <w:tcW w:w="1560" w:type="dxa"/>
            <w:shd w:val="clear" w:color="auto" w:fill="auto"/>
            <w:vAlign w:val="center"/>
            <w:hideMark/>
          </w:tcPr>
          <w:p w:rsidR="00F73706" w:rsidRPr="009E6414" w:rsidRDefault="00F73706" w:rsidP="00F73706">
            <w:pPr>
              <w:spacing w:before="60" w:after="120" w:line="220" w:lineRule="atLeast"/>
              <w:jc w:val="right"/>
              <w:rPr>
                <w:rFonts w:eastAsia="Times New Roman" w:cs="Arial"/>
                <w:noProof/>
                <w:sz w:val="18"/>
                <w:szCs w:val="20"/>
                <w:lang w:val="es-ES_tradnl"/>
              </w:rPr>
            </w:pPr>
            <w:r w:rsidRPr="009E6414">
              <w:rPr>
                <w:noProof/>
                <w:sz w:val="18"/>
                <w:lang w:val="es-ES_tradnl"/>
              </w:rPr>
              <w:t>30 000 000</w:t>
            </w:r>
          </w:p>
        </w:tc>
        <w:tc>
          <w:tcPr>
            <w:tcW w:w="898" w:type="dxa"/>
            <w:vAlign w:val="center"/>
          </w:tcPr>
          <w:p w:rsidR="00F73706" w:rsidRPr="009E6414" w:rsidRDefault="00F73706" w:rsidP="00F73706">
            <w:pPr>
              <w:spacing w:before="60" w:after="120" w:line="220" w:lineRule="atLeast"/>
              <w:jc w:val="center"/>
              <w:rPr>
                <w:rFonts w:eastAsia="Times New Roman" w:cs="Arial"/>
                <w:noProof/>
                <w:color w:val="F07E31"/>
                <w:sz w:val="18"/>
                <w:szCs w:val="20"/>
                <w:lang w:val="es-ES_tradnl"/>
              </w:rPr>
            </w:pPr>
            <w:r w:rsidRPr="009E6414">
              <w:rPr>
                <w:noProof/>
                <w:color w:val="F07E31"/>
                <w:sz w:val="18"/>
                <w:lang w:val="es-ES_tradnl"/>
              </w:rPr>
              <w:t>b</w:t>
            </w:r>
          </w:p>
        </w:tc>
      </w:tr>
      <w:tr w:rsidR="00F73706" w:rsidRPr="009E6414" w:rsidTr="002A6F90">
        <w:trPr>
          <w:trHeight w:val="631"/>
        </w:trPr>
        <w:tc>
          <w:tcPr>
            <w:tcW w:w="1511" w:type="dxa"/>
            <w:vMerge/>
            <w:vAlign w:val="center"/>
            <w:hideMark/>
          </w:tcPr>
          <w:p w:rsidR="00F73706" w:rsidRPr="009E6414" w:rsidRDefault="00F73706" w:rsidP="00F73706">
            <w:pPr>
              <w:spacing w:before="60" w:after="120" w:line="220" w:lineRule="atLeast"/>
              <w:jc w:val="left"/>
              <w:rPr>
                <w:rFonts w:eastAsia="Times New Roman" w:cs="Arial"/>
                <w:noProof/>
                <w:sz w:val="18"/>
                <w:szCs w:val="20"/>
                <w:lang w:val="es-ES_tradnl"/>
              </w:rPr>
            </w:pPr>
          </w:p>
        </w:tc>
        <w:tc>
          <w:tcPr>
            <w:tcW w:w="3599" w:type="dxa"/>
            <w:shd w:val="clear" w:color="auto" w:fill="auto"/>
            <w:vAlign w:val="center"/>
            <w:hideMark/>
          </w:tcPr>
          <w:p w:rsidR="00F73706" w:rsidRPr="009E6414" w:rsidRDefault="00F73706" w:rsidP="00F73706">
            <w:pPr>
              <w:spacing w:before="60" w:after="120" w:line="220" w:lineRule="atLeast"/>
              <w:jc w:val="left"/>
              <w:rPr>
                <w:rFonts w:eastAsia="Times New Roman" w:cs="Arial"/>
                <w:noProof/>
                <w:sz w:val="18"/>
                <w:szCs w:val="20"/>
                <w:lang w:val="es-ES_tradnl"/>
              </w:rPr>
            </w:pPr>
            <w:r w:rsidRPr="009E6414">
              <w:rPr>
                <w:noProof/>
                <w:sz w:val="18"/>
                <w:lang w:val="es-ES_tradnl"/>
              </w:rPr>
              <w:t>Gastos del PDR para el conjunto de medidas/submedidas del PDR que invierten en I+D y tienen capacidad para potenciar la innovación (agregados).</w:t>
            </w:r>
          </w:p>
        </w:tc>
        <w:tc>
          <w:tcPr>
            <w:tcW w:w="1560" w:type="dxa"/>
            <w:shd w:val="clear" w:color="auto" w:fill="auto"/>
            <w:vAlign w:val="center"/>
            <w:hideMark/>
          </w:tcPr>
          <w:p w:rsidR="00F73706" w:rsidRPr="009E6414" w:rsidRDefault="00F73706" w:rsidP="00F73706">
            <w:pPr>
              <w:spacing w:before="60" w:after="120" w:line="220" w:lineRule="atLeast"/>
              <w:jc w:val="right"/>
              <w:rPr>
                <w:rFonts w:eastAsia="Times New Roman" w:cs="Arial"/>
                <w:noProof/>
                <w:sz w:val="18"/>
                <w:szCs w:val="20"/>
                <w:lang w:val="es-ES_tradnl"/>
              </w:rPr>
            </w:pPr>
            <w:r w:rsidRPr="009E6414">
              <w:rPr>
                <w:noProof/>
                <w:sz w:val="18"/>
                <w:lang w:val="es-ES_tradnl"/>
              </w:rPr>
              <w:t>120 000 000</w:t>
            </w:r>
          </w:p>
        </w:tc>
        <w:tc>
          <w:tcPr>
            <w:tcW w:w="1560" w:type="dxa"/>
            <w:shd w:val="clear" w:color="auto" w:fill="auto"/>
            <w:vAlign w:val="center"/>
            <w:hideMark/>
          </w:tcPr>
          <w:p w:rsidR="00F73706" w:rsidRPr="009E6414" w:rsidRDefault="00F73706" w:rsidP="00F73706">
            <w:pPr>
              <w:spacing w:before="60" w:after="120" w:line="220" w:lineRule="atLeast"/>
              <w:jc w:val="right"/>
              <w:rPr>
                <w:rFonts w:eastAsia="Times New Roman" w:cs="Arial"/>
                <w:noProof/>
                <w:sz w:val="18"/>
                <w:szCs w:val="20"/>
                <w:lang w:val="es-ES_tradnl"/>
              </w:rPr>
            </w:pPr>
            <w:r w:rsidRPr="009E6414">
              <w:rPr>
                <w:noProof/>
                <w:sz w:val="18"/>
                <w:lang w:val="es-ES_tradnl"/>
              </w:rPr>
              <w:t>140 000 000</w:t>
            </w:r>
          </w:p>
        </w:tc>
        <w:tc>
          <w:tcPr>
            <w:tcW w:w="898" w:type="dxa"/>
            <w:vAlign w:val="center"/>
          </w:tcPr>
          <w:p w:rsidR="00F73706" w:rsidRPr="009E6414" w:rsidRDefault="00F73706" w:rsidP="00F73706">
            <w:pPr>
              <w:spacing w:before="60" w:after="120" w:line="220" w:lineRule="atLeast"/>
              <w:jc w:val="center"/>
              <w:rPr>
                <w:rFonts w:eastAsia="Times New Roman" w:cs="Arial"/>
                <w:noProof/>
                <w:color w:val="F07E31"/>
                <w:sz w:val="18"/>
                <w:szCs w:val="20"/>
                <w:lang w:val="es-ES_tradnl"/>
              </w:rPr>
            </w:pPr>
            <w:r w:rsidRPr="009E6414">
              <w:rPr>
                <w:noProof/>
                <w:color w:val="F07E31"/>
                <w:sz w:val="18"/>
                <w:lang w:val="es-ES_tradnl"/>
              </w:rPr>
              <w:t>c</w:t>
            </w:r>
          </w:p>
        </w:tc>
      </w:tr>
      <w:tr w:rsidR="00F73706" w:rsidRPr="009E6414" w:rsidTr="002A6F90">
        <w:trPr>
          <w:trHeight w:val="631"/>
        </w:trPr>
        <w:tc>
          <w:tcPr>
            <w:tcW w:w="1511" w:type="dxa"/>
            <w:vMerge w:val="restart"/>
            <w:vAlign w:val="center"/>
          </w:tcPr>
          <w:p w:rsidR="00F73706" w:rsidRPr="009E6414" w:rsidRDefault="00F73706" w:rsidP="00F73706">
            <w:pPr>
              <w:spacing w:before="60" w:after="120" w:line="220" w:lineRule="atLeast"/>
              <w:jc w:val="left"/>
              <w:rPr>
                <w:rFonts w:eastAsia="Times New Roman" w:cs="Arial"/>
                <w:noProof/>
                <w:sz w:val="18"/>
                <w:szCs w:val="20"/>
                <w:lang w:val="es-ES_tradnl"/>
              </w:rPr>
            </w:pPr>
            <w:r w:rsidRPr="009E6414">
              <w:rPr>
                <w:noProof/>
                <w:sz w:val="18"/>
                <w:lang w:val="es-ES_tradnl"/>
              </w:rPr>
              <w:t>Datos de contexto</w:t>
            </w:r>
          </w:p>
        </w:tc>
        <w:tc>
          <w:tcPr>
            <w:tcW w:w="3599" w:type="dxa"/>
            <w:shd w:val="clear" w:color="auto" w:fill="auto"/>
            <w:vAlign w:val="center"/>
          </w:tcPr>
          <w:p w:rsidR="00F73706" w:rsidRPr="009E6414" w:rsidRDefault="00F73706" w:rsidP="00F73706">
            <w:pPr>
              <w:spacing w:before="60" w:after="120" w:line="220" w:lineRule="atLeast"/>
              <w:jc w:val="left"/>
              <w:rPr>
                <w:rFonts w:eastAsia="Times New Roman" w:cs="Arial"/>
                <w:noProof/>
                <w:sz w:val="18"/>
                <w:szCs w:val="20"/>
                <w:lang w:val="es-ES_tradnl"/>
              </w:rPr>
            </w:pPr>
            <w:r w:rsidRPr="009E6414">
              <w:rPr>
                <w:noProof/>
                <w:sz w:val="18"/>
                <w:lang w:val="es-ES_tradnl"/>
              </w:rPr>
              <w:t>PIB nacional/regional (de todos los sectores) (anualmente).</w:t>
            </w:r>
          </w:p>
        </w:tc>
        <w:tc>
          <w:tcPr>
            <w:tcW w:w="1560" w:type="dxa"/>
            <w:shd w:val="clear" w:color="auto" w:fill="auto"/>
            <w:vAlign w:val="center"/>
          </w:tcPr>
          <w:p w:rsidR="00F73706" w:rsidRPr="009E6414" w:rsidRDefault="00F73706" w:rsidP="00F73706">
            <w:pPr>
              <w:spacing w:before="60" w:after="120" w:line="220" w:lineRule="atLeast"/>
              <w:jc w:val="right"/>
              <w:rPr>
                <w:rFonts w:eastAsia="Times New Roman" w:cs="Arial"/>
                <w:noProof/>
                <w:sz w:val="18"/>
                <w:szCs w:val="20"/>
                <w:lang w:val="es-ES_tradnl"/>
              </w:rPr>
            </w:pPr>
            <w:r w:rsidRPr="009E6414">
              <w:rPr>
                <w:noProof/>
                <w:sz w:val="18"/>
                <w:lang w:val="es-ES_tradnl"/>
              </w:rPr>
              <w:t>200 000 000 000</w:t>
            </w:r>
          </w:p>
        </w:tc>
        <w:tc>
          <w:tcPr>
            <w:tcW w:w="1560" w:type="dxa"/>
            <w:shd w:val="clear" w:color="auto" w:fill="auto"/>
            <w:vAlign w:val="center"/>
          </w:tcPr>
          <w:p w:rsidR="00F73706" w:rsidRPr="009E6414" w:rsidRDefault="00F73706" w:rsidP="00F73706">
            <w:pPr>
              <w:spacing w:before="60" w:after="120" w:line="220" w:lineRule="atLeast"/>
              <w:jc w:val="right"/>
              <w:rPr>
                <w:rFonts w:eastAsia="Times New Roman" w:cs="Arial"/>
                <w:noProof/>
                <w:sz w:val="18"/>
                <w:szCs w:val="20"/>
                <w:lang w:val="es-ES_tradnl"/>
              </w:rPr>
            </w:pPr>
            <w:r w:rsidRPr="009E6414">
              <w:rPr>
                <w:noProof/>
                <w:sz w:val="18"/>
                <w:lang w:val="es-ES_tradnl"/>
              </w:rPr>
              <w:t>200 000 000 000</w:t>
            </w:r>
          </w:p>
        </w:tc>
        <w:tc>
          <w:tcPr>
            <w:tcW w:w="898" w:type="dxa"/>
            <w:vAlign w:val="center"/>
          </w:tcPr>
          <w:p w:rsidR="00F73706" w:rsidRPr="009E6414" w:rsidRDefault="00F73706" w:rsidP="00F73706">
            <w:pPr>
              <w:spacing w:before="60" w:after="120" w:line="220" w:lineRule="atLeast"/>
              <w:jc w:val="center"/>
              <w:rPr>
                <w:rFonts w:eastAsia="Times New Roman" w:cs="Arial"/>
                <w:noProof/>
                <w:color w:val="F07E31"/>
                <w:sz w:val="18"/>
                <w:szCs w:val="20"/>
                <w:lang w:val="es-ES_tradnl"/>
              </w:rPr>
            </w:pPr>
            <w:r w:rsidRPr="009E6414">
              <w:rPr>
                <w:noProof/>
                <w:color w:val="F07E31"/>
                <w:sz w:val="18"/>
                <w:lang w:val="es-ES_tradnl"/>
              </w:rPr>
              <w:t>d</w:t>
            </w:r>
          </w:p>
        </w:tc>
      </w:tr>
      <w:tr w:rsidR="00F73706" w:rsidRPr="009E6414" w:rsidTr="002A6F90">
        <w:trPr>
          <w:trHeight w:val="631"/>
        </w:trPr>
        <w:tc>
          <w:tcPr>
            <w:tcW w:w="1511" w:type="dxa"/>
            <w:vMerge/>
            <w:vAlign w:val="center"/>
          </w:tcPr>
          <w:p w:rsidR="00F73706" w:rsidRPr="009E6414" w:rsidRDefault="00F73706" w:rsidP="00F73706">
            <w:pPr>
              <w:spacing w:before="60" w:after="120" w:line="220" w:lineRule="atLeast"/>
              <w:jc w:val="left"/>
              <w:rPr>
                <w:rFonts w:eastAsia="Times New Roman" w:cs="Arial"/>
                <w:noProof/>
                <w:sz w:val="18"/>
                <w:szCs w:val="20"/>
                <w:lang w:val="es-ES_tradnl"/>
              </w:rPr>
            </w:pPr>
          </w:p>
        </w:tc>
        <w:tc>
          <w:tcPr>
            <w:tcW w:w="3599" w:type="dxa"/>
            <w:shd w:val="clear" w:color="auto" w:fill="auto"/>
            <w:vAlign w:val="center"/>
          </w:tcPr>
          <w:p w:rsidR="00F73706" w:rsidRPr="009E6414" w:rsidRDefault="00F31494" w:rsidP="00F73706">
            <w:pPr>
              <w:spacing w:before="60" w:after="120" w:line="220" w:lineRule="atLeast"/>
              <w:jc w:val="left"/>
              <w:rPr>
                <w:rFonts w:eastAsia="Times New Roman" w:cs="Arial"/>
                <w:noProof/>
                <w:sz w:val="18"/>
                <w:szCs w:val="20"/>
                <w:lang w:val="es-ES_tradnl"/>
              </w:rPr>
            </w:pPr>
            <w:r w:rsidRPr="009E6414">
              <w:rPr>
                <w:noProof/>
                <w:sz w:val="18"/>
                <w:lang w:val="es-ES_tradnl"/>
              </w:rPr>
              <w:t>Gasto interior bruto en I+D (GBID) de todos los sectores (anualmente).</w:t>
            </w:r>
          </w:p>
        </w:tc>
        <w:tc>
          <w:tcPr>
            <w:tcW w:w="1560" w:type="dxa"/>
            <w:shd w:val="clear" w:color="auto" w:fill="auto"/>
            <w:vAlign w:val="center"/>
          </w:tcPr>
          <w:p w:rsidR="00F73706" w:rsidRPr="009E6414" w:rsidRDefault="00F73706" w:rsidP="00F73706">
            <w:pPr>
              <w:spacing w:before="60" w:after="120" w:line="220" w:lineRule="atLeast"/>
              <w:jc w:val="right"/>
              <w:rPr>
                <w:rFonts w:eastAsia="Times New Roman" w:cs="Arial"/>
                <w:noProof/>
                <w:sz w:val="18"/>
                <w:szCs w:val="20"/>
                <w:lang w:val="es-ES_tradnl"/>
              </w:rPr>
            </w:pPr>
            <w:r w:rsidRPr="009E6414">
              <w:rPr>
                <w:noProof/>
                <w:sz w:val="18"/>
                <w:lang w:val="es-ES_tradnl"/>
              </w:rPr>
              <w:t>3 000 000 000</w:t>
            </w:r>
          </w:p>
        </w:tc>
        <w:tc>
          <w:tcPr>
            <w:tcW w:w="1560" w:type="dxa"/>
            <w:shd w:val="clear" w:color="auto" w:fill="auto"/>
            <w:vAlign w:val="center"/>
          </w:tcPr>
          <w:p w:rsidR="00F73706" w:rsidRPr="009E6414" w:rsidRDefault="00F73706" w:rsidP="00F73706">
            <w:pPr>
              <w:spacing w:before="60" w:after="120" w:line="220" w:lineRule="atLeast"/>
              <w:jc w:val="right"/>
              <w:rPr>
                <w:rFonts w:eastAsia="Times New Roman" w:cs="Arial"/>
                <w:noProof/>
                <w:sz w:val="18"/>
                <w:szCs w:val="20"/>
                <w:lang w:val="es-ES_tradnl"/>
              </w:rPr>
            </w:pPr>
            <w:r w:rsidRPr="009E6414">
              <w:rPr>
                <w:noProof/>
                <w:sz w:val="18"/>
                <w:lang w:val="es-ES_tradnl"/>
              </w:rPr>
              <w:t>3 000 000 000</w:t>
            </w:r>
          </w:p>
        </w:tc>
        <w:tc>
          <w:tcPr>
            <w:tcW w:w="898" w:type="dxa"/>
            <w:vAlign w:val="center"/>
          </w:tcPr>
          <w:p w:rsidR="00F73706" w:rsidRPr="009E6414" w:rsidRDefault="00F73706" w:rsidP="00F73706">
            <w:pPr>
              <w:spacing w:before="60" w:after="120" w:line="220" w:lineRule="atLeast"/>
              <w:jc w:val="center"/>
              <w:rPr>
                <w:rFonts w:eastAsia="Times New Roman" w:cs="Arial"/>
                <w:noProof/>
                <w:color w:val="F07E31"/>
                <w:sz w:val="18"/>
                <w:szCs w:val="20"/>
                <w:lang w:val="es-ES_tradnl"/>
              </w:rPr>
            </w:pPr>
            <w:r w:rsidRPr="009E6414">
              <w:rPr>
                <w:noProof/>
                <w:color w:val="F07E31"/>
                <w:sz w:val="18"/>
                <w:lang w:val="es-ES_tradnl"/>
              </w:rPr>
              <w:t>e</w:t>
            </w:r>
          </w:p>
        </w:tc>
      </w:tr>
      <w:tr w:rsidR="00F73706" w:rsidRPr="009E6414" w:rsidTr="002A6F90">
        <w:trPr>
          <w:trHeight w:val="542"/>
        </w:trPr>
        <w:tc>
          <w:tcPr>
            <w:tcW w:w="1511" w:type="dxa"/>
            <w:vMerge w:val="restart"/>
            <w:shd w:val="clear" w:color="auto" w:fill="auto"/>
            <w:vAlign w:val="center"/>
            <w:hideMark/>
          </w:tcPr>
          <w:p w:rsidR="00F73706" w:rsidRPr="009E6414" w:rsidRDefault="00F73706" w:rsidP="00F73706">
            <w:pPr>
              <w:spacing w:before="60" w:after="120" w:line="220" w:lineRule="atLeast"/>
              <w:jc w:val="left"/>
              <w:rPr>
                <w:rFonts w:eastAsia="Times New Roman" w:cs="Arial"/>
                <w:noProof/>
                <w:sz w:val="18"/>
                <w:szCs w:val="20"/>
                <w:lang w:val="es-ES_tradnl"/>
              </w:rPr>
            </w:pPr>
            <w:r w:rsidRPr="009E6414">
              <w:rPr>
                <w:noProof/>
                <w:sz w:val="18"/>
                <w:lang w:val="es-ES_tradnl"/>
              </w:rPr>
              <w:t xml:space="preserve">Valores de los indicadores comunes de objetivos </w:t>
            </w:r>
          </w:p>
        </w:tc>
        <w:tc>
          <w:tcPr>
            <w:tcW w:w="3599" w:type="dxa"/>
            <w:shd w:val="clear" w:color="auto" w:fill="auto"/>
            <w:vAlign w:val="center"/>
            <w:hideMark/>
          </w:tcPr>
          <w:p w:rsidR="00F73706" w:rsidRPr="009E6414" w:rsidRDefault="00F73706" w:rsidP="00F73706">
            <w:pPr>
              <w:spacing w:before="60" w:after="120" w:line="220" w:lineRule="atLeast"/>
              <w:jc w:val="left"/>
              <w:rPr>
                <w:rFonts w:eastAsia="Times New Roman" w:cs="Arial"/>
                <w:noProof/>
                <w:sz w:val="18"/>
                <w:szCs w:val="20"/>
                <w:lang w:val="es-ES_tradnl"/>
              </w:rPr>
            </w:pPr>
            <w:r w:rsidRPr="009E6414">
              <w:rPr>
                <w:noProof/>
                <w:sz w:val="18"/>
                <w:lang w:val="es-ES_tradnl"/>
              </w:rPr>
              <w:t>T1: porcentaje del gasto en virtud de los artículos 14,15 y 35 del Reglamento (UE) n.º 1305/2013 en relación con el gasto total del PDR.</w:t>
            </w:r>
          </w:p>
        </w:tc>
        <w:tc>
          <w:tcPr>
            <w:tcW w:w="1560" w:type="dxa"/>
            <w:shd w:val="clear" w:color="auto" w:fill="auto"/>
            <w:vAlign w:val="center"/>
            <w:hideMark/>
          </w:tcPr>
          <w:p w:rsidR="00F73706" w:rsidRPr="009E6414" w:rsidRDefault="00F73706" w:rsidP="00F73706">
            <w:pPr>
              <w:spacing w:before="60" w:after="120" w:line="220" w:lineRule="atLeast"/>
              <w:jc w:val="right"/>
              <w:rPr>
                <w:rFonts w:eastAsia="Times New Roman" w:cs="Arial"/>
                <w:noProof/>
                <w:sz w:val="18"/>
                <w:szCs w:val="20"/>
                <w:lang w:val="es-ES_tradnl"/>
              </w:rPr>
            </w:pPr>
            <w:r w:rsidRPr="009E6414">
              <w:rPr>
                <w:noProof/>
                <w:sz w:val="18"/>
                <w:lang w:val="es-ES_tradnl"/>
              </w:rPr>
              <w:t>5 %</w:t>
            </w:r>
          </w:p>
        </w:tc>
        <w:tc>
          <w:tcPr>
            <w:tcW w:w="1560" w:type="dxa"/>
            <w:shd w:val="clear" w:color="auto" w:fill="auto"/>
            <w:vAlign w:val="center"/>
            <w:hideMark/>
          </w:tcPr>
          <w:p w:rsidR="00F73706" w:rsidRPr="009E6414" w:rsidRDefault="00F73706" w:rsidP="00F73706">
            <w:pPr>
              <w:spacing w:before="60" w:after="120" w:line="220" w:lineRule="atLeast"/>
              <w:jc w:val="right"/>
              <w:rPr>
                <w:rFonts w:eastAsia="Times New Roman" w:cs="Arial"/>
                <w:noProof/>
                <w:sz w:val="18"/>
                <w:szCs w:val="20"/>
                <w:lang w:val="es-ES_tradnl"/>
              </w:rPr>
            </w:pPr>
            <w:r w:rsidRPr="009E6414">
              <w:rPr>
                <w:noProof/>
                <w:sz w:val="18"/>
                <w:lang w:val="es-ES_tradnl"/>
              </w:rPr>
              <w:t>4 %</w:t>
            </w:r>
          </w:p>
        </w:tc>
        <w:tc>
          <w:tcPr>
            <w:tcW w:w="898" w:type="dxa"/>
            <w:vAlign w:val="center"/>
          </w:tcPr>
          <w:p w:rsidR="00F73706" w:rsidRPr="009E6414" w:rsidRDefault="00F73706" w:rsidP="00F73706">
            <w:pPr>
              <w:spacing w:before="60" w:after="120" w:line="220" w:lineRule="atLeast"/>
              <w:jc w:val="center"/>
              <w:rPr>
                <w:rFonts w:eastAsia="Times New Roman" w:cs="Arial"/>
                <w:noProof/>
                <w:color w:val="F07E31"/>
                <w:sz w:val="18"/>
                <w:szCs w:val="20"/>
                <w:lang w:val="es-ES_tradnl"/>
              </w:rPr>
            </w:pPr>
            <w:r w:rsidRPr="009E6414">
              <w:rPr>
                <w:noProof/>
                <w:color w:val="F07E31"/>
                <w:sz w:val="18"/>
                <w:lang w:val="es-ES_tradnl"/>
              </w:rPr>
              <w:t>f=</w:t>
            </w:r>
            <w:r w:rsidRPr="009E6414">
              <w:rPr>
                <w:rFonts w:eastAsia="Times New Roman" w:cs="Arial"/>
                <w:noProof/>
                <w:color w:val="F07E31"/>
                <w:sz w:val="18"/>
                <w:szCs w:val="20"/>
                <w:lang w:val="es-ES_tradnl"/>
              </w:rPr>
              <w:br/>
            </w:r>
            <w:r w:rsidRPr="009E6414">
              <w:rPr>
                <w:noProof/>
                <w:color w:val="F07E31"/>
                <w:sz w:val="18"/>
                <w:lang w:val="es-ES_tradnl"/>
              </w:rPr>
              <w:t>b*100/a</w:t>
            </w:r>
          </w:p>
        </w:tc>
      </w:tr>
      <w:tr w:rsidR="00F73706" w:rsidRPr="009E6414" w:rsidTr="002A6F90">
        <w:trPr>
          <w:trHeight w:val="542"/>
        </w:trPr>
        <w:tc>
          <w:tcPr>
            <w:tcW w:w="1511" w:type="dxa"/>
            <w:vMerge/>
            <w:vAlign w:val="center"/>
            <w:hideMark/>
          </w:tcPr>
          <w:p w:rsidR="00F73706" w:rsidRPr="009E6414" w:rsidRDefault="00F73706" w:rsidP="00F73706">
            <w:pPr>
              <w:spacing w:before="60" w:after="120" w:line="220" w:lineRule="atLeast"/>
              <w:jc w:val="left"/>
              <w:rPr>
                <w:rFonts w:eastAsia="Times New Roman" w:cs="Arial"/>
                <w:noProof/>
                <w:sz w:val="18"/>
                <w:szCs w:val="20"/>
                <w:lang w:val="es-ES_tradnl"/>
              </w:rPr>
            </w:pPr>
          </w:p>
        </w:tc>
        <w:tc>
          <w:tcPr>
            <w:tcW w:w="3599" w:type="dxa"/>
            <w:shd w:val="clear" w:color="auto" w:fill="auto"/>
            <w:vAlign w:val="center"/>
            <w:hideMark/>
          </w:tcPr>
          <w:p w:rsidR="00F73706" w:rsidRPr="009E6414" w:rsidRDefault="00F73706" w:rsidP="00F73706">
            <w:pPr>
              <w:spacing w:before="60" w:after="120" w:line="220" w:lineRule="atLeast"/>
              <w:jc w:val="left"/>
              <w:rPr>
                <w:rFonts w:eastAsia="Times New Roman" w:cs="Arial"/>
                <w:noProof/>
                <w:sz w:val="18"/>
                <w:szCs w:val="20"/>
                <w:lang w:val="es-ES_tradnl"/>
              </w:rPr>
            </w:pPr>
            <w:r w:rsidRPr="009E6414">
              <w:rPr>
                <w:noProof/>
                <w:sz w:val="18"/>
                <w:lang w:val="es-ES_tradnl"/>
              </w:rPr>
              <w:t>T2: Número total de operaciones de proyectos de cooperación subvencionadas en el marco de la medida de cooperación [artículo 35 del Reglamento (UE) n.º 1305/2013] (grupos, redes, proyectos piloto, etc.).</w:t>
            </w:r>
          </w:p>
        </w:tc>
        <w:tc>
          <w:tcPr>
            <w:tcW w:w="1560" w:type="dxa"/>
            <w:shd w:val="clear" w:color="auto" w:fill="auto"/>
            <w:vAlign w:val="center"/>
            <w:hideMark/>
          </w:tcPr>
          <w:p w:rsidR="00F73706" w:rsidRPr="009E6414" w:rsidRDefault="00F73706" w:rsidP="00F73706">
            <w:pPr>
              <w:spacing w:before="60" w:after="120" w:line="220" w:lineRule="atLeast"/>
              <w:jc w:val="right"/>
              <w:rPr>
                <w:rFonts w:eastAsia="Times New Roman" w:cs="Arial"/>
                <w:noProof/>
                <w:sz w:val="18"/>
                <w:szCs w:val="20"/>
                <w:lang w:val="es-ES_tradnl"/>
              </w:rPr>
            </w:pPr>
            <w:r w:rsidRPr="009E6414">
              <w:rPr>
                <w:noProof/>
                <w:sz w:val="18"/>
                <w:lang w:val="es-ES_tradnl"/>
              </w:rPr>
              <w:t>30</w:t>
            </w:r>
          </w:p>
        </w:tc>
        <w:tc>
          <w:tcPr>
            <w:tcW w:w="1560" w:type="dxa"/>
            <w:shd w:val="clear" w:color="auto" w:fill="auto"/>
            <w:vAlign w:val="center"/>
            <w:hideMark/>
          </w:tcPr>
          <w:p w:rsidR="00F73706" w:rsidRPr="009E6414" w:rsidRDefault="00F73706" w:rsidP="00F73706">
            <w:pPr>
              <w:spacing w:before="60" w:after="120" w:line="220" w:lineRule="atLeast"/>
              <w:jc w:val="right"/>
              <w:rPr>
                <w:rFonts w:eastAsia="Times New Roman" w:cs="Arial"/>
                <w:noProof/>
                <w:sz w:val="18"/>
                <w:szCs w:val="20"/>
                <w:lang w:val="es-ES_tradnl"/>
              </w:rPr>
            </w:pPr>
            <w:r w:rsidRPr="009E6414">
              <w:rPr>
                <w:noProof/>
                <w:sz w:val="18"/>
                <w:lang w:val="es-ES_tradnl"/>
              </w:rPr>
              <w:t>50</w:t>
            </w:r>
          </w:p>
        </w:tc>
        <w:tc>
          <w:tcPr>
            <w:tcW w:w="898" w:type="dxa"/>
            <w:vAlign w:val="center"/>
          </w:tcPr>
          <w:p w:rsidR="00F73706" w:rsidRPr="009E6414" w:rsidRDefault="00F73706" w:rsidP="00F73706">
            <w:pPr>
              <w:spacing w:before="60" w:after="120" w:line="220" w:lineRule="atLeast"/>
              <w:jc w:val="center"/>
              <w:rPr>
                <w:rFonts w:eastAsia="Times New Roman" w:cs="Arial"/>
                <w:noProof/>
                <w:color w:val="F07E31"/>
                <w:sz w:val="18"/>
                <w:szCs w:val="20"/>
                <w:lang w:val="es-ES_tradnl"/>
              </w:rPr>
            </w:pPr>
            <w:r w:rsidRPr="009E6414">
              <w:rPr>
                <w:noProof/>
                <w:color w:val="F07E31"/>
                <w:sz w:val="18"/>
                <w:lang w:val="es-ES_tradnl"/>
              </w:rPr>
              <w:t>g</w:t>
            </w:r>
          </w:p>
        </w:tc>
      </w:tr>
      <w:tr w:rsidR="00F73706" w:rsidRPr="009E6414" w:rsidTr="002A6F90">
        <w:trPr>
          <w:trHeight w:val="561"/>
        </w:trPr>
        <w:tc>
          <w:tcPr>
            <w:tcW w:w="1511" w:type="dxa"/>
            <w:vMerge w:val="restart"/>
            <w:shd w:val="clear" w:color="auto" w:fill="auto"/>
            <w:vAlign w:val="center"/>
          </w:tcPr>
          <w:p w:rsidR="00F73706" w:rsidRPr="009E6414" w:rsidRDefault="00F73706" w:rsidP="00F73706">
            <w:pPr>
              <w:spacing w:before="60" w:after="120" w:line="220" w:lineRule="atLeast"/>
              <w:jc w:val="left"/>
              <w:rPr>
                <w:rFonts w:eastAsia="Times New Roman" w:cs="Arial"/>
                <w:noProof/>
                <w:sz w:val="18"/>
                <w:szCs w:val="20"/>
                <w:lang w:val="es-ES_tradnl"/>
              </w:rPr>
            </w:pPr>
            <w:r w:rsidRPr="009E6414">
              <w:rPr>
                <w:noProof/>
                <w:sz w:val="18"/>
                <w:lang w:val="es-ES_tradnl"/>
              </w:rPr>
              <w:t xml:space="preserve">Valores de los indicadores de resultados complementarios </w:t>
            </w:r>
          </w:p>
        </w:tc>
        <w:tc>
          <w:tcPr>
            <w:tcW w:w="3599" w:type="dxa"/>
            <w:shd w:val="clear" w:color="auto" w:fill="auto"/>
            <w:vAlign w:val="center"/>
          </w:tcPr>
          <w:p w:rsidR="00F73706" w:rsidRPr="009E6414" w:rsidRDefault="00F73706" w:rsidP="00F73706">
            <w:pPr>
              <w:spacing w:after="120" w:line="220" w:lineRule="atLeast"/>
              <w:jc w:val="left"/>
              <w:rPr>
                <w:rFonts w:eastAsia="Times New Roman" w:cs="Arial"/>
                <w:noProof/>
                <w:color w:val="57825E"/>
                <w:sz w:val="18"/>
                <w:szCs w:val="18"/>
                <w:lang w:val="es-ES_tradnl"/>
              </w:rPr>
            </w:pPr>
            <w:r w:rsidRPr="009E6414">
              <w:rPr>
                <w:noProof/>
                <w:color w:val="57825E"/>
                <w:sz w:val="18"/>
                <w:lang w:val="es-ES_tradnl"/>
              </w:rPr>
              <w:t xml:space="preserve">Gasto interior bruto en I+D (GBID) en comparación al producto interior bruto (PIB). </w:t>
            </w:r>
          </w:p>
        </w:tc>
        <w:tc>
          <w:tcPr>
            <w:tcW w:w="1560" w:type="dxa"/>
            <w:shd w:val="clear" w:color="auto" w:fill="auto"/>
            <w:vAlign w:val="center"/>
          </w:tcPr>
          <w:p w:rsidR="00F73706" w:rsidRPr="009E6414" w:rsidRDefault="00F73706" w:rsidP="00F73706">
            <w:pPr>
              <w:spacing w:before="60" w:after="120" w:line="220" w:lineRule="atLeast"/>
              <w:jc w:val="right"/>
              <w:rPr>
                <w:rFonts w:eastAsia="Times New Roman" w:cs="Arial"/>
                <w:noProof/>
                <w:sz w:val="18"/>
                <w:szCs w:val="20"/>
                <w:lang w:val="es-ES_tradnl"/>
              </w:rPr>
            </w:pPr>
            <w:r w:rsidRPr="009E6414">
              <w:rPr>
                <w:noProof/>
                <w:sz w:val="18"/>
                <w:lang w:val="es-ES_tradnl"/>
              </w:rPr>
              <w:t>1,5 %</w:t>
            </w:r>
          </w:p>
        </w:tc>
        <w:tc>
          <w:tcPr>
            <w:tcW w:w="1560" w:type="dxa"/>
            <w:shd w:val="clear" w:color="auto" w:fill="auto"/>
            <w:vAlign w:val="center"/>
          </w:tcPr>
          <w:p w:rsidR="00F73706" w:rsidRPr="009E6414" w:rsidRDefault="00F73706" w:rsidP="00F73706">
            <w:pPr>
              <w:spacing w:before="60" w:after="120" w:line="220" w:lineRule="atLeast"/>
              <w:jc w:val="right"/>
              <w:rPr>
                <w:rFonts w:eastAsia="Times New Roman" w:cs="Arial"/>
                <w:noProof/>
                <w:sz w:val="18"/>
                <w:szCs w:val="20"/>
                <w:lang w:val="es-ES_tradnl"/>
              </w:rPr>
            </w:pPr>
            <w:r w:rsidRPr="009E6414">
              <w:rPr>
                <w:noProof/>
                <w:sz w:val="18"/>
                <w:lang w:val="es-ES_tradnl"/>
              </w:rPr>
              <w:t>1,5 %</w:t>
            </w:r>
          </w:p>
        </w:tc>
        <w:tc>
          <w:tcPr>
            <w:tcW w:w="898" w:type="dxa"/>
            <w:vAlign w:val="center"/>
          </w:tcPr>
          <w:p w:rsidR="00F73706" w:rsidRPr="009E6414" w:rsidRDefault="00F73706" w:rsidP="00F73706">
            <w:pPr>
              <w:spacing w:before="60" w:after="120" w:line="220" w:lineRule="atLeast"/>
              <w:jc w:val="center"/>
              <w:rPr>
                <w:rFonts w:eastAsia="Times New Roman" w:cs="Arial"/>
                <w:noProof/>
                <w:color w:val="F07E31"/>
                <w:sz w:val="18"/>
                <w:szCs w:val="20"/>
                <w:lang w:val="es-ES_tradnl"/>
              </w:rPr>
            </w:pPr>
            <w:r w:rsidRPr="009E6414">
              <w:rPr>
                <w:noProof/>
                <w:color w:val="F07E31"/>
                <w:sz w:val="18"/>
                <w:lang w:val="es-ES_tradnl"/>
              </w:rPr>
              <w:t>h= e*100/d</w:t>
            </w:r>
          </w:p>
        </w:tc>
      </w:tr>
      <w:tr w:rsidR="00F73706" w:rsidRPr="009E6414" w:rsidTr="002A6F90">
        <w:trPr>
          <w:trHeight w:val="561"/>
        </w:trPr>
        <w:tc>
          <w:tcPr>
            <w:tcW w:w="1511" w:type="dxa"/>
            <w:vMerge/>
            <w:shd w:val="clear" w:color="auto" w:fill="auto"/>
            <w:vAlign w:val="center"/>
            <w:hideMark/>
          </w:tcPr>
          <w:p w:rsidR="00F73706" w:rsidRPr="009E6414" w:rsidRDefault="00F73706" w:rsidP="00F73706">
            <w:pPr>
              <w:spacing w:before="60" w:after="120" w:line="220" w:lineRule="atLeast"/>
              <w:rPr>
                <w:rFonts w:eastAsia="Times New Roman" w:cs="Arial"/>
                <w:noProof/>
                <w:sz w:val="18"/>
                <w:szCs w:val="20"/>
                <w:lang w:val="es-ES_tradnl"/>
              </w:rPr>
            </w:pPr>
          </w:p>
        </w:tc>
        <w:tc>
          <w:tcPr>
            <w:tcW w:w="3599" w:type="dxa"/>
            <w:shd w:val="clear" w:color="auto" w:fill="auto"/>
            <w:vAlign w:val="center"/>
            <w:hideMark/>
          </w:tcPr>
          <w:p w:rsidR="00F73706" w:rsidRPr="009E6414" w:rsidRDefault="00F73706" w:rsidP="00F73706">
            <w:pPr>
              <w:spacing w:after="120" w:line="220" w:lineRule="atLeast"/>
              <w:jc w:val="left"/>
              <w:rPr>
                <w:rFonts w:eastAsia="Times New Roman" w:cs="Arial"/>
                <w:noProof/>
                <w:color w:val="57825E"/>
                <w:sz w:val="18"/>
                <w:szCs w:val="20"/>
                <w:lang w:val="es-ES_tradnl"/>
              </w:rPr>
            </w:pPr>
            <w:r w:rsidRPr="009E6414">
              <w:rPr>
                <w:noProof/>
                <w:color w:val="57825E"/>
                <w:sz w:val="18"/>
                <w:lang w:val="es-ES_tradnl"/>
              </w:rPr>
              <w:t xml:space="preserve">Gasto del PDR en I+D en porcentaje del PIB (GBID del «desarrollo rural»). </w:t>
            </w:r>
          </w:p>
        </w:tc>
        <w:tc>
          <w:tcPr>
            <w:tcW w:w="1560" w:type="dxa"/>
            <w:shd w:val="clear" w:color="auto" w:fill="auto"/>
            <w:vAlign w:val="center"/>
          </w:tcPr>
          <w:p w:rsidR="00F73706" w:rsidRPr="009E6414" w:rsidRDefault="00F73706" w:rsidP="00F73706">
            <w:pPr>
              <w:spacing w:before="60" w:after="120" w:line="220" w:lineRule="atLeast"/>
              <w:jc w:val="right"/>
              <w:rPr>
                <w:rFonts w:eastAsia="Times New Roman" w:cs="Arial"/>
                <w:noProof/>
                <w:sz w:val="18"/>
                <w:szCs w:val="20"/>
                <w:lang w:val="es-ES_tradnl"/>
              </w:rPr>
            </w:pPr>
            <w:r w:rsidRPr="009E6414">
              <w:rPr>
                <w:noProof/>
                <w:sz w:val="18"/>
                <w:lang w:val="es-ES_tradnl"/>
              </w:rPr>
              <w:t>0,06 %</w:t>
            </w:r>
          </w:p>
        </w:tc>
        <w:tc>
          <w:tcPr>
            <w:tcW w:w="1560" w:type="dxa"/>
            <w:shd w:val="clear" w:color="auto" w:fill="auto"/>
            <w:vAlign w:val="center"/>
          </w:tcPr>
          <w:p w:rsidR="00F73706" w:rsidRPr="009E6414" w:rsidRDefault="00F73706" w:rsidP="00F73706">
            <w:pPr>
              <w:spacing w:before="60" w:after="120" w:line="220" w:lineRule="atLeast"/>
              <w:jc w:val="right"/>
              <w:rPr>
                <w:rFonts w:eastAsia="Times New Roman" w:cs="Arial"/>
                <w:noProof/>
                <w:sz w:val="18"/>
                <w:szCs w:val="20"/>
                <w:lang w:val="es-ES_tradnl"/>
              </w:rPr>
            </w:pPr>
            <w:r w:rsidRPr="009E6414">
              <w:rPr>
                <w:noProof/>
                <w:sz w:val="18"/>
                <w:lang w:val="es-ES_tradnl"/>
              </w:rPr>
              <w:t>0,07 %</w:t>
            </w:r>
          </w:p>
        </w:tc>
        <w:tc>
          <w:tcPr>
            <w:tcW w:w="898" w:type="dxa"/>
            <w:vAlign w:val="center"/>
          </w:tcPr>
          <w:p w:rsidR="00F73706" w:rsidRPr="009E6414" w:rsidRDefault="00F73706" w:rsidP="00F73706">
            <w:pPr>
              <w:spacing w:before="60" w:after="120" w:line="220" w:lineRule="atLeast"/>
              <w:jc w:val="center"/>
              <w:rPr>
                <w:rFonts w:eastAsia="Times New Roman" w:cs="Arial"/>
                <w:noProof/>
                <w:color w:val="F07E31"/>
                <w:sz w:val="18"/>
                <w:szCs w:val="20"/>
                <w:lang w:val="es-ES_tradnl"/>
              </w:rPr>
            </w:pPr>
            <w:r w:rsidRPr="009E6414">
              <w:rPr>
                <w:noProof/>
                <w:color w:val="F07E31"/>
                <w:sz w:val="18"/>
                <w:lang w:val="es-ES_tradnl"/>
              </w:rPr>
              <w:t xml:space="preserve">i= </w:t>
            </w:r>
            <w:r w:rsidRPr="009E6414">
              <w:rPr>
                <w:rFonts w:eastAsia="Times New Roman" w:cs="Arial"/>
                <w:noProof/>
                <w:color w:val="F07E31"/>
                <w:sz w:val="18"/>
                <w:szCs w:val="18"/>
                <w:lang w:val="es-ES_tradnl"/>
              </w:rPr>
              <w:br/>
            </w:r>
            <w:r w:rsidRPr="009E6414">
              <w:rPr>
                <w:noProof/>
                <w:color w:val="F07E31"/>
                <w:sz w:val="18"/>
                <w:lang w:val="es-ES_tradnl"/>
              </w:rPr>
              <w:t>c*100/d</w:t>
            </w:r>
          </w:p>
        </w:tc>
      </w:tr>
      <w:tr w:rsidR="00F73706" w:rsidRPr="009E6414" w:rsidTr="002A6F90">
        <w:trPr>
          <w:trHeight w:val="650"/>
        </w:trPr>
        <w:tc>
          <w:tcPr>
            <w:tcW w:w="1511" w:type="dxa"/>
            <w:vMerge/>
            <w:shd w:val="clear" w:color="auto" w:fill="auto"/>
            <w:vAlign w:val="center"/>
          </w:tcPr>
          <w:p w:rsidR="00F73706" w:rsidRPr="009E6414" w:rsidRDefault="00F73706" w:rsidP="00F73706">
            <w:pPr>
              <w:spacing w:before="60" w:after="120" w:line="220" w:lineRule="atLeast"/>
              <w:rPr>
                <w:rFonts w:eastAsia="Times New Roman" w:cs="Arial"/>
                <w:noProof/>
                <w:sz w:val="18"/>
                <w:szCs w:val="20"/>
                <w:lang w:val="es-ES_tradnl"/>
              </w:rPr>
            </w:pPr>
          </w:p>
        </w:tc>
        <w:tc>
          <w:tcPr>
            <w:tcW w:w="3599" w:type="dxa"/>
            <w:shd w:val="clear" w:color="auto" w:fill="auto"/>
            <w:vAlign w:val="center"/>
          </w:tcPr>
          <w:p w:rsidR="00F73706" w:rsidRPr="009E6414" w:rsidRDefault="00F73706" w:rsidP="00F73706">
            <w:pPr>
              <w:spacing w:after="120" w:line="220" w:lineRule="atLeast"/>
              <w:jc w:val="left"/>
              <w:rPr>
                <w:rFonts w:eastAsia="Times New Roman" w:cs="Arial"/>
                <w:noProof/>
                <w:color w:val="57825E"/>
                <w:sz w:val="18"/>
                <w:szCs w:val="18"/>
                <w:lang w:val="es-ES_tradnl"/>
              </w:rPr>
            </w:pPr>
            <w:r w:rsidRPr="009E6414">
              <w:rPr>
                <w:noProof/>
                <w:color w:val="57825E"/>
                <w:sz w:val="18"/>
                <w:lang w:val="es-ES_tradnl"/>
              </w:rPr>
              <w:t xml:space="preserve">Gastos del PDR en I+D+i como porcentaje de los gastos totales del PDR. </w:t>
            </w:r>
          </w:p>
        </w:tc>
        <w:tc>
          <w:tcPr>
            <w:tcW w:w="1560" w:type="dxa"/>
            <w:shd w:val="clear" w:color="auto" w:fill="auto"/>
            <w:vAlign w:val="center"/>
          </w:tcPr>
          <w:p w:rsidR="00F73706" w:rsidRPr="009E6414" w:rsidRDefault="00F73706" w:rsidP="00F73706">
            <w:pPr>
              <w:spacing w:before="60" w:after="120" w:line="220" w:lineRule="atLeast"/>
              <w:jc w:val="right"/>
              <w:rPr>
                <w:rFonts w:eastAsia="Times New Roman" w:cs="Arial"/>
                <w:noProof/>
                <w:sz w:val="18"/>
                <w:szCs w:val="20"/>
                <w:lang w:val="es-ES_tradnl"/>
              </w:rPr>
            </w:pPr>
            <w:r w:rsidRPr="009E6414">
              <w:rPr>
                <w:noProof/>
                <w:sz w:val="18"/>
                <w:lang w:val="es-ES_tradnl"/>
              </w:rPr>
              <w:t>15 %</w:t>
            </w:r>
          </w:p>
        </w:tc>
        <w:tc>
          <w:tcPr>
            <w:tcW w:w="1560" w:type="dxa"/>
            <w:shd w:val="clear" w:color="auto" w:fill="auto"/>
            <w:vAlign w:val="center"/>
          </w:tcPr>
          <w:p w:rsidR="00F73706" w:rsidRPr="009E6414" w:rsidRDefault="00F73706" w:rsidP="00F73706">
            <w:pPr>
              <w:spacing w:before="60" w:after="120" w:line="220" w:lineRule="atLeast"/>
              <w:jc w:val="right"/>
              <w:rPr>
                <w:rFonts w:eastAsia="Times New Roman" w:cs="Arial"/>
                <w:noProof/>
                <w:sz w:val="18"/>
                <w:szCs w:val="20"/>
                <w:lang w:val="es-ES_tradnl"/>
              </w:rPr>
            </w:pPr>
            <w:r w:rsidRPr="009E6414">
              <w:rPr>
                <w:noProof/>
                <w:sz w:val="18"/>
                <w:lang w:val="es-ES_tradnl"/>
              </w:rPr>
              <w:t>17,72 %</w:t>
            </w:r>
          </w:p>
        </w:tc>
        <w:tc>
          <w:tcPr>
            <w:tcW w:w="898" w:type="dxa"/>
            <w:vAlign w:val="center"/>
          </w:tcPr>
          <w:p w:rsidR="00F73706" w:rsidRPr="009E6414" w:rsidRDefault="00F73706" w:rsidP="00F73706">
            <w:pPr>
              <w:spacing w:before="60" w:after="120" w:line="220" w:lineRule="atLeast"/>
              <w:jc w:val="center"/>
              <w:rPr>
                <w:rFonts w:eastAsia="Times New Roman" w:cs="Arial"/>
                <w:noProof/>
                <w:color w:val="F07E31"/>
                <w:sz w:val="18"/>
                <w:szCs w:val="20"/>
                <w:lang w:val="es-ES_tradnl"/>
              </w:rPr>
            </w:pPr>
            <w:r w:rsidRPr="009E6414">
              <w:rPr>
                <w:noProof/>
                <w:color w:val="F07E31"/>
                <w:sz w:val="18"/>
                <w:lang w:val="es-ES_tradnl"/>
              </w:rPr>
              <w:t>j=</w:t>
            </w:r>
            <w:r w:rsidRPr="009E6414">
              <w:rPr>
                <w:rFonts w:eastAsia="Times New Roman" w:cs="Arial"/>
                <w:noProof/>
                <w:color w:val="F07E31"/>
                <w:sz w:val="18"/>
                <w:szCs w:val="18"/>
                <w:lang w:val="es-ES_tradnl"/>
              </w:rPr>
              <w:br/>
            </w:r>
            <w:r w:rsidRPr="009E6414">
              <w:rPr>
                <w:noProof/>
                <w:color w:val="F07E31"/>
                <w:sz w:val="18"/>
                <w:lang w:val="es-ES_tradnl"/>
              </w:rPr>
              <w:t>c*100/a</w:t>
            </w:r>
          </w:p>
        </w:tc>
      </w:tr>
      <w:tr w:rsidR="00F73706" w:rsidRPr="009E6414" w:rsidTr="002A6F90">
        <w:trPr>
          <w:trHeight w:val="610"/>
        </w:trPr>
        <w:tc>
          <w:tcPr>
            <w:tcW w:w="1511" w:type="dxa"/>
            <w:vMerge/>
            <w:shd w:val="clear" w:color="auto" w:fill="auto"/>
            <w:vAlign w:val="center"/>
          </w:tcPr>
          <w:p w:rsidR="00F73706" w:rsidRPr="009E6414" w:rsidRDefault="00F73706" w:rsidP="00F73706">
            <w:pPr>
              <w:spacing w:before="60" w:after="120" w:line="220" w:lineRule="atLeast"/>
              <w:rPr>
                <w:rFonts w:eastAsia="Times New Roman" w:cs="Arial"/>
                <w:noProof/>
                <w:sz w:val="18"/>
                <w:szCs w:val="20"/>
                <w:lang w:val="es-ES_tradnl"/>
              </w:rPr>
            </w:pPr>
          </w:p>
        </w:tc>
        <w:tc>
          <w:tcPr>
            <w:tcW w:w="3599" w:type="dxa"/>
            <w:shd w:val="clear" w:color="auto" w:fill="auto"/>
            <w:vAlign w:val="center"/>
          </w:tcPr>
          <w:p w:rsidR="00F73706" w:rsidRPr="009E6414" w:rsidRDefault="00F73706" w:rsidP="00F73706">
            <w:pPr>
              <w:spacing w:after="120" w:line="220" w:lineRule="atLeast"/>
              <w:jc w:val="left"/>
              <w:rPr>
                <w:rFonts w:eastAsia="Times New Roman" w:cs="Arial"/>
                <w:noProof/>
                <w:color w:val="57825E"/>
                <w:sz w:val="18"/>
                <w:szCs w:val="18"/>
                <w:lang w:val="es-ES_tradnl"/>
              </w:rPr>
            </w:pPr>
            <w:r w:rsidRPr="009E6414">
              <w:rPr>
                <w:noProof/>
                <w:color w:val="57825E"/>
                <w:sz w:val="18"/>
                <w:lang w:val="es-ES_tradnl"/>
              </w:rPr>
              <w:t xml:space="preserve">Gastos del PDR en I+D+i en porcentaje de los gastos internos brutos en I+D+i. </w:t>
            </w:r>
          </w:p>
        </w:tc>
        <w:tc>
          <w:tcPr>
            <w:tcW w:w="1560" w:type="dxa"/>
            <w:shd w:val="clear" w:color="auto" w:fill="auto"/>
            <w:vAlign w:val="center"/>
          </w:tcPr>
          <w:p w:rsidR="00F73706" w:rsidRPr="009E6414" w:rsidRDefault="00F73706" w:rsidP="00F73706">
            <w:pPr>
              <w:spacing w:before="60" w:after="120" w:line="220" w:lineRule="atLeast"/>
              <w:jc w:val="right"/>
              <w:rPr>
                <w:rFonts w:eastAsia="Times New Roman" w:cs="Arial"/>
                <w:noProof/>
                <w:sz w:val="18"/>
                <w:szCs w:val="20"/>
                <w:lang w:val="es-ES_tradnl"/>
              </w:rPr>
            </w:pPr>
            <w:r w:rsidRPr="009E6414">
              <w:rPr>
                <w:noProof/>
                <w:sz w:val="18"/>
                <w:lang w:val="es-ES_tradnl"/>
              </w:rPr>
              <w:t>4,00 %</w:t>
            </w:r>
          </w:p>
        </w:tc>
        <w:tc>
          <w:tcPr>
            <w:tcW w:w="1560" w:type="dxa"/>
            <w:shd w:val="clear" w:color="auto" w:fill="auto"/>
            <w:vAlign w:val="center"/>
          </w:tcPr>
          <w:p w:rsidR="00F73706" w:rsidRPr="009E6414" w:rsidRDefault="00F73706" w:rsidP="00F73706">
            <w:pPr>
              <w:spacing w:before="60" w:after="120" w:line="220" w:lineRule="atLeast"/>
              <w:jc w:val="right"/>
              <w:rPr>
                <w:rFonts w:eastAsia="Times New Roman" w:cs="Arial"/>
                <w:noProof/>
                <w:sz w:val="18"/>
                <w:szCs w:val="20"/>
                <w:lang w:val="es-ES_tradnl"/>
              </w:rPr>
            </w:pPr>
            <w:r w:rsidRPr="009E6414">
              <w:rPr>
                <w:noProof/>
                <w:sz w:val="18"/>
                <w:lang w:val="es-ES_tradnl"/>
              </w:rPr>
              <w:t>4,67 %</w:t>
            </w:r>
          </w:p>
        </w:tc>
        <w:tc>
          <w:tcPr>
            <w:tcW w:w="898" w:type="dxa"/>
            <w:vAlign w:val="center"/>
          </w:tcPr>
          <w:p w:rsidR="00F73706" w:rsidRPr="009E6414" w:rsidRDefault="00F73706" w:rsidP="00F73706">
            <w:pPr>
              <w:spacing w:before="60" w:after="120" w:line="220" w:lineRule="atLeast"/>
              <w:jc w:val="center"/>
              <w:rPr>
                <w:rFonts w:eastAsia="Times New Roman" w:cs="Arial"/>
                <w:noProof/>
                <w:color w:val="F07E31"/>
                <w:sz w:val="18"/>
                <w:szCs w:val="20"/>
                <w:lang w:val="es-ES_tradnl"/>
              </w:rPr>
            </w:pPr>
            <w:r w:rsidRPr="009E6414">
              <w:rPr>
                <w:noProof/>
                <w:color w:val="F07E31"/>
                <w:sz w:val="18"/>
                <w:lang w:val="es-ES_tradnl"/>
              </w:rPr>
              <w:t>k=</w:t>
            </w:r>
            <w:r w:rsidRPr="009E6414">
              <w:rPr>
                <w:rFonts w:eastAsia="Times New Roman" w:cs="Arial"/>
                <w:noProof/>
                <w:color w:val="F07E31"/>
                <w:sz w:val="18"/>
                <w:szCs w:val="18"/>
                <w:lang w:val="es-ES_tradnl"/>
              </w:rPr>
              <w:br/>
            </w:r>
            <w:r w:rsidRPr="009E6414">
              <w:rPr>
                <w:noProof/>
                <w:color w:val="F07E31"/>
                <w:sz w:val="18"/>
                <w:lang w:val="es-ES_tradnl"/>
              </w:rPr>
              <w:t>c*100/e</w:t>
            </w:r>
          </w:p>
        </w:tc>
      </w:tr>
    </w:tbl>
    <w:p w:rsidR="00A45935" w:rsidRPr="009E6414" w:rsidRDefault="00A45935" w:rsidP="008C0B17">
      <w:pPr>
        <w:numPr>
          <w:ilvl w:val="0"/>
          <w:numId w:val="61"/>
        </w:numPr>
        <w:spacing w:before="120" w:after="120" w:line="280" w:lineRule="atLeast"/>
        <w:ind w:left="567" w:hanging="567"/>
        <w:mirrorIndents/>
        <w:rPr>
          <w:rFonts w:eastAsia="Times New Roman" w:cs="Times New Roman"/>
          <w:b/>
          <w:noProof/>
          <w:szCs w:val="20"/>
          <w:lang w:val="es-ES_tradnl"/>
        </w:rPr>
      </w:pPr>
      <w:r w:rsidRPr="009E6414">
        <w:rPr>
          <w:b/>
          <w:noProof/>
          <w:lang w:val="es-ES_tradnl"/>
        </w:rPr>
        <w:t xml:space="preserve">Riesgos y soluciones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8"/>
      </w:tblGrid>
      <w:tr w:rsidR="00A45935" w:rsidRPr="009E6414" w:rsidTr="00F73706">
        <w:trPr>
          <w:tblHeader/>
        </w:trPr>
        <w:tc>
          <w:tcPr>
            <w:tcW w:w="4508" w:type="dxa"/>
            <w:shd w:val="clear" w:color="auto" w:fill="F07E31"/>
          </w:tcPr>
          <w:p w:rsidR="00A45935" w:rsidRPr="009E6414" w:rsidRDefault="00A45935" w:rsidP="00E05D08">
            <w:pPr>
              <w:spacing w:after="120" w:line="280" w:lineRule="atLeast"/>
              <w:mirrorIndents/>
              <w:jc w:val="center"/>
              <w:rPr>
                <w:b/>
                <w:noProof/>
                <w:color w:val="FFFFFF"/>
                <w:sz w:val="18"/>
                <w:szCs w:val="18"/>
                <w:lang w:val="es-ES_tradnl"/>
              </w:rPr>
            </w:pPr>
            <w:r w:rsidRPr="009E6414">
              <w:rPr>
                <w:b/>
                <w:noProof/>
                <w:color w:val="FFFFFF"/>
                <w:sz w:val="18"/>
                <w:lang w:val="es-ES_tradnl"/>
              </w:rPr>
              <w:t>Riesgo</w:t>
            </w:r>
          </w:p>
        </w:tc>
        <w:tc>
          <w:tcPr>
            <w:tcW w:w="4508" w:type="dxa"/>
            <w:shd w:val="clear" w:color="auto" w:fill="F07E31"/>
          </w:tcPr>
          <w:p w:rsidR="00A45935" w:rsidRPr="009E6414" w:rsidRDefault="00A45935" w:rsidP="00E05D08">
            <w:pPr>
              <w:spacing w:after="120" w:line="280" w:lineRule="atLeast"/>
              <w:mirrorIndents/>
              <w:jc w:val="center"/>
              <w:rPr>
                <w:b/>
                <w:noProof/>
                <w:color w:val="FFFFFF"/>
                <w:sz w:val="18"/>
                <w:szCs w:val="18"/>
                <w:lang w:val="es-ES_tradnl"/>
              </w:rPr>
            </w:pPr>
            <w:r w:rsidRPr="009E6414">
              <w:rPr>
                <w:b/>
                <w:noProof/>
                <w:color w:val="FFFFFF"/>
                <w:sz w:val="18"/>
                <w:lang w:val="es-ES_tradnl"/>
              </w:rPr>
              <w:t>Solución</w:t>
            </w:r>
          </w:p>
        </w:tc>
      </w:tr>
      <w:tr w:rsidR="00A45935" w:rsidRPr="009E6414" w:rsidTr="00E05D08">
        <w:tc>
          <w:tcPr>
            <w:tcW w:w="4508" w:type="dxa"/>
          </w:tcPr>
          <w:p w:rsidR="00A45935" w:rsidRPr="009E6414" w:rsidRDefault="00A45935" w:rsidP="00BA4FCD">
            <w:pPr>
              <w:spacing w:after="120" w:line="280" w:lineRule="atLeast"/>
              <w:jc w:val="left"/>
              <w:rPr>
                <w:rFonts w:eastAsia="Calibri" w:cs="Arial"/>
                <w:noProof/>
                <w:sz w:val="18"/>
                <w:szCs w:val="18"/>
                <w:lang w:val="es-ES_tradnl"/>
              </w:rPr>
            </w:pPr>
            <w:r w:rsidRPr="009E6414">
              <w:rPr>
                <w:noProof/>
                <w:sz w:val="18"/>
                <w:lang w:val="es-ES_tradnl"/>
              </w:rPr>
              <w:t>Estimación errónea del potencial de varias medidas del PDR para fomentar la innovación en las zonas rurales, principalmente las externas a las «medidas de innovación» típicas como las medidas 1, 2, 16, 19 o 20, que podrían provocar errores en el cálculo de los gastos del PDR vinculados a la I+D+i.</w:t>
            </w:r>
          </w:p>
          <w:p w:rsidR="00A45935" w:rsidRPr="009E6414" w:rsidRDefault="00A45935" w:rsidP="00BA4FCD">
            <w:pPr>
              <w:spacing w:after="120" w:line="280" w:lineRule="atLeast"/>
              <w:jc w:val="left"/>
              <w:rPr>
                <w:rFonts w:eastAsia="Calibri" w:cs="Arial"/>
                <w:b/>
                <w:noProof/>
                <w:sz w:val="18"/>
                <w:szCs w:val="18"/>
                <w:lang w:val="es-ES_tradnl"/>
              </w:rPr>
            </w:pPr>
          </w:p>
        </w:tc>
        <w:tc>
          <w:tcPr>
            <w:tcW w:w="4508" w:type="dxa"/>
          </w:tcPr>
          <w:p w:rsidR="00A45935" w:rsidRPr="009E6414" w:rsidRDefault="00A45935" w:rsidP="00BA4FCD">
            <w:pPr>
              <w:spacing w:after="120" w:line="280" w:lineRule="atLeast"/>
              <w:jc w:val="left"/>
              <w:rPr>
                <w:rFonts w:eastAsia="Calibri" w:cs="Arial"/>
                <w:noProof/>
                <w:sz w:val="18"/>
                <w:szCs w:val="18"/>
                <w:lang w:val="es-ES_tradnl"/>
              </w:rPr>
            </w:pPr>
            <w:r w:rsidRPr="009E6414">
              <w:rPr>
                <w:noProof/>
                <w:sz w:val="18"/>
                <w:lang w:val="es-ES_tradnl"/>
              </w:rPr>
              <w:t xml:space="preserve">Este riesgo puede eliminarse parcialmente si se realiza una valoración exhaustiva del potencial de innovación del PDR antes de iniciar la evaluación. Señalar qué medidas del PDR pueden demostrar un elevado potencial de innovación facilita la valoración de su capacidad real para hacerlo. Por ejemplo, si los evaluadores saben qué medidas pueden tener un importante efecto sobre la generación de nuevas ideas, estos verificarán el «rendimiento innovador» de tales medidas en el momento de la evaluación y tendrán en consideración sus gastos al calcular los indicadores respectivos. </w:t>
            </w:r>
          </w:p>
        </w:tc>
      </w:tr>
      <w:tr w:rsidR="00A45935" w:rsidRPr="009E6414" w:rsidTr="00E05D08">
        <w:tc>
          <w:tcPr>
            <w:tcW w:w="4508" w:type="dxa"/>
          </w:tcPr>
          <w:p w:rsidR="00A45935" w:rsidRPr="009E6414" w:rsidRDefault="00A45935" w:rsidP="00BA4FCD">
            <w:pPr>
              <w:spacing w:after="120" w:line="280" w:lineRule="atLeast"/>
              <w:jc w:val="left"/>
              <w:rPr>
                <w:rFonts w:eastAsia="Calibri" w:cs="Arial"/>
                <w:b/>
                <w:noProof/>
                <w:sz w:val="18"/>
                <w:szCs w:val="18"/>
                <w:lang w:val="es-ES_tradnl"/>
              </w:rPr>
            </w:pPr>
            <w:r w:rsidRPr="009E6414">
              <w:rPr>
                <w:noProof/>
                <w:sz w:val="18"/>
                <w:lang w:val="es-ES_tradnl"/>
              </w:rPr>
              <w:lastRenderedPageBreak/>
              <w:t>Indisponibilidad de datos y falta de datos de calidad (en el formato exigido) sobre I+D+i procedentes de las estadísticas nacionales y regionales. En caso de que exista una falta de datos de alta calidad, se corre el riesgo de que los evaluadores puedan no utilizar técnicas adecuadas para estimar los gastos invertidos en I+D+i. Esto puede poner en peligro la obtención de valores realistas de los indicadores complementarios propuestos.</w:t>
            </w:r>
          </w:p>
        </w:tc>
        <w:tc>
          <w:tcPr>
            <w:tcW w:w="4508" w:type="dxa"/>
          </w:tcPr>
          <w:p w:rsidR="00A45935" w:rsidRPr="009E6414" w:rsidRDefault="00A45935" w:rsidP="00BA4FCD">
            <w:pPr>
              <w:spacing w:after="120" w:line="280" w:lineRule="atLeast"/>
              <w:jc w:val="left"/>
              <w:rPr>
                <w:rFonts w:eastAsia="Calibri" w:cs="Arial"/>
                <w:b/>
                <w:noProof/>
                <w:sz w:val="18"/>
                <w:szCs w:val="18"/>
                <w:lang w:val="es-ES_tradnl"/>
              </w:rPr>
            </w:pPr>
            <w:r w:rsidRPr="009E6414">
              <w:rPr>
                <w:noProof/>
                <w:sz w:val="18"/>
                <w:lang w:val="es-ES_tradnl"/>
              </w:rPr>
              <w:t>Para evitar este riesgo, es importante que los evaluadores dispongan de las capacidades y herramientas necesarias (por ejemplo, coeficientes) para estimar los valores estadísticos a nivel nacional/regional.</w:t>
            </w:r>
          </w:p>
        </w:tc>
      </w:tr>
    </w:tbl>
    <w:p w:rsidR="00A45935" w:rsidRPr="009E6414" w:rsidRDefault="00A45935" w:rsidP="00647766">
      <w:pPr>
        <w:numPr>
          <w:ilvl w:val="0"/>
          <w:numId w:val="61"/>
        </w:numPr>
        <w:spacing w:before="120" w:after="120" w:line="280" w:lineRule="atLeast"/>
        <w:ind w:left="567" w:hanging="567"/>
        <w:mirrorIndents/>
        <w:rPr>
          <w:rFonts w:eastAsia="Times New Roman" w:cs="Times New Roman"/>
          <w:b/>
          <w:noProof/>
          <w:szCs w:val="20"/>
          <w:lang w:val="es-ES_tradnl"/>
        </w:rPr>
      </w:pPr>
      <w:r w:rsidRPr="009E6414">
        <w:rPr>
          <w:b/>
          <w:noProof/>
          <w:lang w:val="es-ES_tradnl"/>
        </w:rPr>
        <w:t xml:space="preserve">Conclusiones y recomendaciones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Las conclusiones y recomendaciones vinculadas a la PCE n.º 23 deben tener en cuenta lo siguiente:</w:t>
      </w:r>
    </w:p>
    <w:p w:rsidR="00A45935" w:rsidRPr="009E6414" w:rsidRDefault="00A45935" w:rsidP="000026C6">
      <w:pPr>
        <w:pStyle w:val="Hlistbullet"/>
        <w:rPr>
          <w:noProof/>
          <w:lang w:val="es-ES_tradnl"/>
        </w:rPr>
      </w:pPr>
      <w:r w:rsidRPr="009E6414">
        <w:rPr>
          <w:b/>
          <w:noProof/>
          <w:lang w:val="es-ES_tradnl"/>
        </w:rPr>
        <w:t>Nivel de inversiones en I+D+i</w:t>
      </w:r>
      <w:r w:rsidRPr="009E6414">
        <w:rPr>
          <w:noProof/>
          <w:lang w:val="es-ES_tradnl"/>
        </w:rPr>
        <w:t xml:space="preserve"> ejecutado a través del PDR en relación con la situación general en materia de inversión en I+D+i en los Estados miembros o regiones.</w:t>
      </w:r>
    </w:p>
    <w:p w:rsidR="00A45935" w:rsidRPr="009E6414" w:rsidRDefault="00A45935" w:rsidP="000026C6">
      <w:pPr>
        <w:pStyle w:val="Hlistbullet"/>
        <w:rPr>
          <w:noProof/>
          <w:lang w:val="es-ES_tradnl"/>
        </w:rPr>
      </w:pPr>
      <w:r w:rsidRPr="009E6414">
        <w:rPr>
          <w:b/>
          <w:noProof/>
          <w:lang w:val="es-ES_tradnl"/>
        </w:rPr>
        <w:t>Potencial de cada una de las medidas para invertir en I+D+i</w:t>
      </w:r>
      <w:r w:rsidRPr="009E6414">
        <w:rPr>
          <w:noProof/>
          <w:lang w:val="es-ES_tradnl"/>
        </w:rPr>
        <w:t xml:space="preserve"> en agricultura, transformación de alimentos, silvicultura y zonas rurales. </w:t>
      </w:r>
    </w:p>
    <w:p w:rsidR="00A45935" w:rsidRPr="009E6414" w:rsidRDefault="00A45935" w:rsidP="00F31494">
      <w:pPr>
        <w:pStyle w:val="HHeading4"/>
        <w:rPr>
          <w:rFonts w:eastAsia="Calibri"/>
          <w:noProof/>
          <w:lang w:val="es-ES_tradnl"/>
        </w:rPr>
      </w:pPr>
      <w:r w:rsidRPr="009E6414">
        <w:rPr>
          <w:noProof/>
          <w:lang w:val="es-ES_tradnl"/>
        </w:rPr>
        <w:t>Bibliografía adicional</w:t>
      </w:r>
    </w:p>
    <w:p w:rsidR="00A45935" w:rsidRPr="009E6414" w:rsidRDefault="00A45935" w:rsidP="00F31494">
      <w:pPr>
        <w:pStyle w:val="HStandard"/>
        <w:rPr>
          <w:noProof/>
          <w:lang w:val="es-ES_tradnl"/>
        </w:rPr>
      </w:pPr>
      <w:r w:rsidRPr="009E6414">
        <w:rPr>
          <w:noProof/>
          <w:lang w:val="en-GB" w:eastAsia="en-GB" w:bidi="ar-SA"/>
        </w:rPr>
        <mc:AlternateContent>
          <mc:Choice Requires="wps">
            <w:drawing>
              <wp:inline distT="0" distB="0" distL="0" distR="0" wp14:anchorId="3974BA07" wp14:editId="4E116773">
                <wp:extent cx="5765165" cy="3067050"/>
                <wp:effectExtent l="0" t="0" r="26035" b="19050"/>
                <wp:docPr id="559" name="Rectangle: Diagonal Corners Rounded 559"/>
                <wp:cNvGraphicFramePr/>
                <a:graphic xmlns:a="http://schemas.openxmlformats.org/drawingml/2006/main">
                  <a:graphicData uri="http://schemas.microsoft.com/office/word/2010/wordprocessingShape">
                    <wps:wsp>
                      <wps:cNvSpPr/>
                      <wps:spPr>
                        <a:xfrm>
                          <a:off x="0" y="0"/>
                          <a:ext cx="5765165" cy="3067050"/>
                        </a:xfrm>
                        <a:prstGeom prst="round2DiagRect">
                          <a:avLst>
                            <a:gd name="adj1" fmla="val 9341"/>
                            <a:gd name="adj2" fmla="val 0"/>
                          </a:avLst>
                        </a:prstGeom>
                        <a:noFill/>
                        <a:ln w="25400" cap="flat" cmpd="sng" algn="ctr">
                          <a:solidFill>
                            <a:srgbClr val="59638E"/>
                          </a:solidFill>
                          <a:prstDash val="solid"/>
                        </a:ln>
                        <a:effectLst/>
                      </wps:spPr>
                      <wps:txbx>
                        <w:txbxContent>
                          <w:p w:rsidR="008D2E0D" w:rsidRPr="008D17C8" w:rsidRDefault="008D2E0D" w:rsidP="00E05D08">
                            <w:pPr>
                              <w:pStyle w:val="HStandard"/>
                              <w:rPr>
                                <w:sz w:val="18"/>
                                <w:szCs w:val="18"/>
                              </w:rPr>
                            </w:pPr>
                            <w:r>
                              <w:rPr>
                                <w:noProof/>
                                <w:lang w:val="en-GB" w:eastAsia="en-GB" w:bidi="ar-SA"/>
                              </w:rPr>
                              <w:drawing>
                                <wp:inline distT="0" distB="0" distL="0" distR="0" wp14:anchorId="091BE5AF" wp14:editId="0E4723AC">
                                  <wp:extent cx="360465" cy="360000"/>
                                  <wp:effectExtent l="0" t="0" r="1905" b="2540"/>
                                  <wp:docPr id="714"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r>
                              <w:t xml:space="preserve">CE (2010) EUROPA 2020 - </w:t>
                            </w:r>
                            <w:hyperlink r:id="rId70">
                              <w:r>
                                <w:rPr>
                                  <w:rStyle w:val="Hyperlink"/>
                                  <w:sz w:val="18"/>
                                </w:rPr>
                                <w:t>Una estrategia para un crecimiento inteligente, sostenible e integrador</w:t>
                              </w:r>
                            </w:hyperlink>
                            <w:r>
                              <w:t>.</w:t>
                            </w:r>
                          </w:p>
                          <w:p w:rsidR="008D2E0D" w:rsidRPr="008D17C8" w:rsidRDefault="008D2E0D" w:rsidP="00E05D08">
                            <w:pPr>
                              <w:pStyle w:val="HStandard"/>
                              <w:rPr>
                                <w:sz w:val="18"/>
                                <w:szCs w:val="18"/>
                              </w:rPr>
                            </w:pPr>
                            <w:r>
                              <w:rPr>
                                <w:sz w:val="18"/>
                              </w:rPr>
                              <w:t xml:space="preserve">EUROSTAT (2017) </w:t>
                            </w:r>
                            <w:hyperlink r:id="rId71">
                              <w:r>
                                <w:rPr>
                                  <w:rStyle w:val="Hyperlink"/>
                                  <w:sz w:val="18"/>
                                </w:rPr>
                                <w:t>¿Más inteligente, más ecológica y más integradora? Indicadores de apoyo a la Estrategia Europa 2020</w:t>
                              </w:r>
                            </w:hyperlink>
                          </w:p>
                          <w:p w:rsidR="008D2E0D" w:rsidRPr="008D17C8" w:rsidRDefault="008D2E0D" w:rsidP="00E05D08">
                            <w:pPr>
                              <w:pStyle w:val="HStandard"/>
                              <w:rPr>
                                <w:sz w:val="18"/>
                                <w:szCs w:val="18"/>
                              </w:rPr>
                            </w:pPr>
                            <w:proofErr w:type="spellStart"/>
                            <w:r>
                              <w:rPr>
                                <w:sz w:val="18"/>
                              </w:rPr>
                              <w:t>Dietz</w:t>
                            </w:r>
                            <w:proofErr w:type="spellEnd"/>
                            <w:r>
                              <w:rPr>
                                <w:sz w:val="18"/>
                              </w:rPr>
                              <w:t xml:space="preserve"> S. (2017) </w:t>
                            </w:r>
                            <w:hyperlink r:id="rId72">
                              <w:r>
                                <w:rPr>
                                  <w:rStyle w:val="Hyperlink"/>
                                  <w:sz w:val="18"/>
                                </w:rPr>
                                <w:t>«</w:t>
                              </w:r>
                              <w:proofErr w:type="spellStart"/>
                              <w:r>
                                <w:rPr>
                                  <w:rStyle w:val="Hyperlink"/>
                                  <w:sz w:val="18"/>
                                </w:rPr>
                                <w:t>ELER</w:t>
                              </w:r>
                              <w:proofErr w:type="spellEnd"/>
                              <w:r>
                                <w:rPr>
                                  <w:rStyle w:val="Hyperlink"/>
                                  <w:sz w:val="18"/>
                                </w:rPr>
                                <w:t xml:space="preserve"> </w:t>
                              </w:r>
                              <w:proofErr w:type="spellStart"/>
                              <w:r>
                                <w:rPr>
                                  <w:rStyle w:val="Hyperlink"/>
                                  <w:sz w:val="18"/>
                                </w:rPr>
                                <w:t>im</w:t>
                              </w:r>
                              <w:proofErr w:type="spellEnd"/>
                              <w:r>
                                <w:rPr>
                                  <w:rStyle w:val="Hyperlink"/>
                                  <w:sz w:val="18"/>
                                </w:rPr>
                                <w:t xml:space="preserve"> </w:t>
                              </w:r>
                              <w:proofErr w:type="spellStart"/>
                              <w:r>
                                <w:rPr>
                                  <w:rStyle w:val="Hyperlink"/>
                                  <w:sz w:val="18"/>
                                </w:rPr>
                                <w:t>Kontext</w:t>
                              </w:r>
                              <w:proofErr w:type="spellEnd"/>
                              <w:r>
                                <w:rPr>
                                  <w:rStyle w:val="Hyperlink"/>
                                  <w:sz w:val="18"/>
                                </w:rPr>
                                <w:t xml:space="preserve"> </w:t>
                              </w:r>
                              <w:proofErr w:type="spellStart"/>
                              <w:r>
                                <w:rPr>
                                  <w:rStyle w:val="Hyperlink"/>
                                  <w:sz w:val="18"/>
                                </w:rPr>
                                <w:t>der</w:t>
                              </w:r>
                              <w:proofErr w:type="spellEnd"/>
                              <w:r>
                                <w:rPr>
                                  <w:rStyle w:val="Hyperlink"/>
                                  <w:sz w:val="18"/>
                                </w:rPr>
                                <w:t xml:space="preserve"> </w:t>
                              </w:r>
                              <w:proofErr w:type="spellStart"/>
                              <w:r>
                                <w:rPr>
                                  <w:rStyle w:val="Hyperlink"/>
                                  <w:sz w:val="18"/>
                                </w:rPr>
                                <w:t>Strategie</w:t>
                              </w:r>
                              <w:proofErr w:type="spellEnd"/>
                              <w:r>
                                <w:rPr>
                                  <w:rStyle w:val="Hyperlink"/>
                                  <w:sz w:val="18"/>
                                </w:rPr>
                                <w:t xml:space="preserve"> „Europa 2020»</w:t>
                              </w:r>
                            </w:hyperlink>
                            <w:r>
                              <w:rPr>
                                <w:sz w:val="18"/>
                              </w:rPr>
                              <w:t xml:space="preserve">; presentación en el Acto anual </w:t>
                            </w:r>
                            <w:proofErr w:type="spellStart"/>
                            <w:r>
                              <w:rPr>
                                <w:sz w:val="18"/>
                              </w:rPr>
                              <w:t>MEN</w:t>
                            </w:r>
                            <w:proofErr w:type="spellEnd"/>
                            <w:r>
                              <w:rPr>
                                <w:sz w:val="18"/>
                              </w:rPr>
                              <w:t>-D de 2017.</w:t>
                            </w:r>
                          </w:p>
                          <w:p w:rsidR="008D2E0D" w:rsidRPr="007B5CB9" w:rsidRDefault="008D2E0D" w:rsidP="00E05D08">
                            <w:pPr>
                              <w:pStyle w:val="HStandard"/>
                              <w:rPr>
                                <w:sz w:val="18"/>
                                <w:szCs w:val="18"/>
                                <w:lang w:val="de-DE"/>
                              </w:rPr>
                            </w:pPr>
                            <w:r w:rsidRPr="007B5CB9">
                              <w:rPr>
                                <w:sz w:val="18"/>
                                <w:lang w:val="de-DE"/>
                              </w:rPr>
                              <w:t xml:space="preserve">MEN-D (2015) </w:t>
                            </w:r>
                            <w:r>
                              <w:fldChar w:fldCharType="begin"/>
                            </w:r>
                            <w:r>
                              <w:instrText xml:space="preserve"> HYPERLINK "http://www.men-d.de/index.php?id=81&amp;tx_ttnews%5btt_news%5d=150&amp;tx_ttnews%5bbackPid%5d=85&amp;cHash=41ecd4ea5c" \h </w:instrText>
                            </w:r>
                            <w:r>
                              <w:fldChar w:fldCharType="separate"/>
                            </w:r>
                            <w:r w:rsidRPr="007B5CB9">
                              <w:rPr>
                                <w:rStyle w:val="Hyperlink"/>
                                <w:sz w:val="18"/>
                                <w:lang w:val="de-DE"/>
                              </w:rPr>
                              <w:t>Monitoring und Evaluierung der ELER-Förderperiode 2014 – 2020: Auswertung der Methoden und Erfahrungen der Ex-Ante Bewertung.</w:t>
                            </w:r>
                            <w:r>
                              <w:rPr>
                                <w:rStyle w:val="Hyperlink"/>
                                <w:sz w:val="18"/>
                                <w:lang w:val="de-DE"/>
                              </w:rPr>
                              <w:fldChar w:fldCharType="end"/>
                            </w:r>
                          </w:p>
                          <w:p w:rsidR="008D2E0D" w:rsidRPr="000041C9" w:rsidRDefault="008D2E0D" w:rsidP="00E05D08">
                            <w:pPr>
                              <w:pStyle w:val="HStandard"/>
                              <w:rPr>
                                <w:sz w:val="18"/>
                                <w:szCs w:val="18"/>
                              </w:rPr>
                            </w:pPr>
                            <w:proofErr w:type="spellStart"/>
                            <w:r>
                              <w:t>MEN</w:t>
                            </w:r>
                            <w:proofErr w:type="spellEnd"/>
                            <w:r>
                              <w:t xml:space="preserve">-D (2017) </w:t>
                            </w:r>
                            <w:hyperlink r:id="rId73">
                              <w:r>
                                <w:rPr>
                                  <w:rStyle w:val="Hyperlink"/>
                                  <w:sz w:val="18"/>
                                </w:rPr>
                                <w:t xml:space="preserve">El </w:t>
                              </w:r>
                              <w:proofErr w:type="spellStart"/>
                              <w:r>
                                <w:rPr>
                                  <w:rStyle w:val="Hyperlink"/>
                                  <w:sz w:val="18"/>
                                </w:rPr>
                                <w:t>Feader</w:t>
                              </w:r>
                              <w:proofErr w:type="spellEnd"/>
                              <w:r>
                                <w:rPr>
                                  <w:rStyle w:val="Hyperlink"/>
                                  <w:sz w:val="18"/>
                                </w:rPr>
                                <w:t xml:space="preserve"> en el contexto de la Estrategia Europa 2020 - Evaluación de las contribuciones y desafíos futuros</w:t>
                              </w:r>
                            </w:hyperlink>
                            <w:r>
                              <w:t>.</w:t>
                            </w:r>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974BA07" id="Rectangle: Diagonal Corners Rounded 559" o:spid="_x0000_s1053" style="width:453.95pt;height:241.5pt;visibility:visible;mso-wrap-style:square;mso-left-percent:-10001;mso-top-percent:-10001;mso-position-horizontal:absolute;mso-position-horizontal-relative:char;mso-position-vertical:absolute;mso-position-vertical-relative:line;mso-left-percent:-10001;mso-top-percent:-10001;v-text-anchor:middle" coordsize="5765165,3067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" adj="-11796480,,5400" path="m286493,l5765165,r,l5765165,2780557v,158226,-128267,286493,-286493,286493l,3067050r,l,286493c,128267,128267,,286493,xe" filled="f" strokecolor="#59638e" strokeweight="2pt">
                <v:stroke joinstyle="miter"/>
                <v:formulas/>
                <v:path arrowok="t" o:connecttype="custom" o:connectlocs="286493,0;5765165,0;5765165,0;5765165,2780557;5478672,3067050;0,3067050;0,3067050;0,286493;286493,0" o:connectangles="0,0,0,0,0,0,0,0,0" textboxrect="0,0,5765165,3067050"/>
                <v:textbox>
                  <w:txbxContent>
                    <w:p w:rsidR="008D2E0D" w:rsidRPr="008D17C8" w:rsidRDefault="008D2E0D" w:rsidP="00E05D08">
                      <w:pPr>
                        <w:pStyle w:val="HStandard"/>
                        <w:rPr>
                          <w:sz w:val="18"/>
                          <w:szCs w:val="18"/>
                        </w:rPr>
                      </w:pPr>
                      <w:r>
                        <w:rPr>
                          <w:noProof/>
                          <w:lang w:val="en-GB" w:eastAsia="en-GB" w:bidi="ar-SA"/>
                        </w:rPr>
                        <w:drawing>
                          <wp:inline distT="0" distB="0" distL="0" distR="0" wp14:anchorId="091BE5AF" wp14:editId="0E4723AC">
                            <wp:extent cx="360465" cy="360000"/>
                            <wp:effectExtent l="0" t="0" r="1905" b="2540"/>
                            <wp:docPr id="714"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r>
                        <w:t xml:space="preserve">CE (2010) EUROPA 2020 - </w:t>
                      </w:r>
                      <w:hyperlink r:id="rId74">
                        <w:r>
                          <w:rPr>
                            <w:rStyle w:val="Hyperlink"/>
                            <w:sz w:val="18"/>
                          </w:rPr>
                          <w:t>Una estrategia para un crecimiento inteligente, sostenible e integrador</w:t>
                        </w:r>
                      </w:hyperlink>
                      <w:r>
                        <w:t>.</w:t>
                      </w:r>
                    </w:p>
                    <w:p w:rsidR="008D2E0D" w:rsidRPr="008D17C8" w:rsidRDefault="008D2E0D" w:rsidP="00E05D08">
                      <w:pPr>
                        <w:pStyle w:val="HStandard"/>
                        <w:rPr>
                          <w:sz w:val="18"/>
                          <w:szCs w:val="18"/>
                        </w:rPr>
                      </w:pPr>
                      <w:r>
                        <w:rPr>
                          <w:sz w:val="18"/>
                        </w:rPr>
                        <w:t xml:space="preserve">EUROSTAT (2017) </w:t>
                      </w:r>
                      <w:hyperlink r:id="rId75">
                        <w:r>
                          <w:rPr>
                            <w:rStyle w:val="Hyperlink"/>
                            <w:sz w:val="18"/>
                          </w:rPr>
                          <w:t>¿Más inteligente, más ecológica y más integradora? Indicadores de apoyo a la Estrategia Europa 2020</w:t>
                        </w:r>
                      </w:hyperlink>
                    </w:p>
                    <w:p w:rsidR="008D2E0D" w:rsidRPr="008D17C8" w:rsidRDefault="008D2E0D" w:rsidP="00E05D08">
                      <w:pPr>
                        <w:pStyle w:val="HStandard"/>
                        <w:rPr>
                          <w:sz w:val="18"/>
                          <w:szCs w:val="18"/>
                        </w:rPr>
                      </w:pPr>
                      <w:proofErr w:type="spellStart"/>
                      <w:r>
                        <w:rPr>
                          <w:sz w:val="18"/>
                        </w:rPr>
                        <w:t>Dietz</w:t>
                      </w:r>
                      <w:proofErr w:type="spellEnd"/>
                      <w:r>
                        <w:rPr>
                          <w:sz w:val="18"/>
                        </w:rPr>
                        <w:t xml:space="preserve"> S. (2017) </w:t>
                      </w:r>
                      <w:hyperlink r:id="rId76">
                        <w:r>
                          <w:rPr>
                            <w:rStyle w:val="Hyperlink"/>
                            <w:sz w:val="18"/>
                          </w:rPr>
                          <w:t>«</w:t>
                        </w:r>
                        <w:proofErr w:type="spellStart"/>
                        <w:r>
                          <w:rPr>
                            <w:rStyle w:val="Hyperlink"/>
                            <w:sz w:val="18"/>
                          </w:rPr>
                          <w:t>ELER</w:t>
                        </w:r>
                        <w:proofErr w:type="spellEnd"/>
                        <w:r>
                          <w:rPr>
                            <w:rStyle w:val="Hyperlink"/>
                            <w:sz w:val="18"/>
                          </w:rPr>
                          <w:t xml:space="preserve"> </w:t>
                        </w:r>
                        <w:proofErr w:type="spellStart"/>
                        <w:r>
                          <w:rPr>
                            <w:rStyle w:val="Hyperlink"/>
                            <w:sz w:val="18"/>
                          </w:rPr>
                          <w:t>im</w:t>
                        </w:r>
                        <w:proofErr w:type="spellEnd"/>
                        <w:r>
                          <w:rPr>
                            <w:rStyle w:val="Hyperlink"/>
                            <w:sz w:val="18"/>
                          </w:rPr>
                          <w:t xml:space="preserve"> </w:t>
                        </w:r>
                        <w:proofErr w:type="spellStart"/>
                        <w:r>
                          <w:rPr>
                            <w:rStyle w:val="Hyperlink"/>
                            <w:sz w:val="18"/>
                          </w:rPr>
                          <w:t>Kontext</w:t>
                        </w:r>
                        <w:proofErr w:type="spellEnd"/>
                        <w:r>
                          <w:rPr>
                            <w:rStyle w:val="Hyperlink"/>
                            <w:sz w:val="18"/>
                          </w:rPr>
                          <w:t xml:space="preserve"> </w:t>
                        </w:r>
                        <w:proofErr w:type="spellStart"/>
                        <w:r>
                          <w:rPr>
                            <w:rStyle w:val="Hyperlink"/>
                            <w:sz w:val="18"/>
                          </w:rPr>
                          <w:t>der</w:t>
                        </w:r>
                        <w:proofErr w:type="spellEnd"/>
                        <w:r>
                          <w:rPr>
                            <w:rStyle w:val="Hyperlink"/>
                            <w:sz w:val="18"/>
                          </w:rPr>
                          <w:t xml:space="preserve"> </w:t>
                        </w:r>
                        <w:proofErr w:type="spellStart"/>
                        <w:r>
                          <w:rPr>
                            <w:rStyle w:val="Hyperlink"/>
                            <w:sz w:val="18"/>
                          </w:rPr>
                          <w:t>Strategie</w:t>
                        </w:r>
                        <w:proofErr w:type="spellEnd"/>
                        <w:r>
                          <w:rPr>
                            <w:rStyle w:val="Hyperlink"/>
                            <w:sz w:val="18"/>
                          </w:rPr>
                          <w:t xml:space="preserve"> „Europa 2020»</w:t>
                        </w:r>
                      </w:hyperlink>
                      <w:r>
                        <w:rPr>
                          <w:sz w:val="18"/>
                        </w:rPr>
                        <w:t xml:space="preserve">; presentación en el Acto anual </w:t>
                      </w:r>
                      <w:proofErr w:type="spellStart"/>
                      <w:r>
                        <w:rPr>
                          <w:sz w:val="18"/>
                        </w:rPr>
                        <w:t>MEN</w:t>
                      </w:r>
                      <w:proofErr w:type="spellEnd"/>
                      <w:r>
                        <w:rPr>
                          <w:sz w:val="18"/>
                        </w:rPr>
                        <w:t>-D de 2017.</w:t>
                      </w:r>
                    </w:p>
                    <w:p w:rsidR="008D2E0D" w:rsidRPr="007B5CB9" w:rsidRDefault="008D2E0D" w:rsidP="00E05D08">
                      <w:pPr>
                        <w:pStyle w:val="HStandard"/>
                        <w:rPr>
                          <w:sz w:val="18"/>
                          <w:szCs w:val="18"/>
                          <w:lang w:val="de-DE"/>
                        </w:rPr>
                      </w:pPr>
                      <w:r w:rsidRPr="007B5CB9">
                        <w:rPr>
                          <w:sz w:val="18"/>
                          <w:lang w:val="de-DE"/>
                        </w:rPr>
                        <w:t xml:space="preserve">MEN-D (2015) </w:t>
                      </w:r>
                      <w:r>
                        <w:fldChar w:fldCharType="begin"/>
                      </w:r>
                      <w:r>
                        <w:instrText xml:space="preserve"> HYPERLINK "http://www.men-d.de/index.php?id=81&amp;tx_ttnews%5btt_news%5d=150&amp;tx_ttnews%5bbackPid%5d=85&amp;cHash=41ecd4ea5c" \h </w:instrText>
                      </w:r>
                      <w:r>
                        <w:fldChar w:fldCharType="separate"/>
                      </w:r>
                      <w:r w:rsidRPr="007B5CB9">
                        <w:rPr>
                          <w:rStyle w:val="Hyperlink"/>
                          <w:sz w:val="18"/>
                          <w:lang w:val="de-DE"/>
                        </w:rPr>
                        <w:t>Monitoring und Evaluierung der ELER-Förderperiode 2014 – 2020: Auswertung der Methoden und Erfahrungen der Ex-Ante Bewertung.</w:t>
                      </w:r>
                      <w:r>
                        <w:rPr>
                          <w:rStyle w:val="Hyperlink"/>
                          <w:sz w:val="18"/>
                          <w:lang w:val="de-DE"/>
                        </w:rPr>
                        <w:fldChar w:fldCharType="end"/>
                      </w:r>
                    </w:p>
                    <w:p w:rsidR="008D2E0D" w:rsidRPr="000041C9" w:rsidRDefault="008D2E0D" w:rsidP="00E05D08">
                      <w:pPr>
                        <w:pStyle w:val="HStandard"/>
                        <w:rPr>
                          <w:sz w:val="18"/>
                          <w:szCs w:val="18"/>
                        </w:rPr>
                      </w:pPr>
                      <w:proofErr w:type="spellStart"/>
                      <w:r>
                        <w:t>MEN</w:t>
                      </w:r>
                      <w:proofErr w:type="spellEnd"/>
                      <w:r>
                        <w:t xml:space="preserve">-D (2017) </w:t>
                      </w:r>
                      <w:hyperlink r:id="rId77">
                        <w:r>
                          <w:rPr>
                            <w:rStyle w:val="Hyperlink"/>
                            <w:sz w:val="18"/>
                          </w:rPr>
                          <w:t xml:space="preserve">El </w:t>
                        </w:r>
                        <w:proofErr w:type="spellStart"/>
                        <w:r>
                          <w:rPr>
                            <w:rStyle w:val="Hyperlink"/>
                            <w:sz w:val="18"/>
                          </w:rPr>
                          <w:t>Feader</w:t>
                        </w:r>
                        <w:proofErr w:type="spellEnd"/>
                        <w:r>
                          <w:rPr>
                            <w:rStyle w:val="Hyperlink"/>
                            <w:sz w:val="18"/>
                          </w:rPr>
                          <w:t xml:space="preserve"> en el contexto de la Estrategia Europa 2020 - Evaluación de las contribuciones y desafíos futuros</w:t>
                        </w:r>
                      </w:hyperlink>
                      <w:r>
                        <w:t>.</w:t>
                      </w:r>
                      <w:r>
                        <w:rPr>
                          <w:sz w:val="18"/>
                        </w:rPr>
                        <w:t xml:space="preserve"> </w:t>
                      </w:r>
                    </w:p>
                  </w:txbxContent>
                </v:textbox>
                <w10:anchorlock/>
              </v:shape>
            </w:pict>
          </mc:Fallback>
        </mc:AlternateContent>
      </w:r>
    </w:p>
    <w:p w:rsidR="00A45935" w:rsidRPr="009E6414" w:rsidRDefault="00A45935" w:rsidP="00D13817">
      <w:pPr>
        <w:pStyle w:val="HHeading3"/>
        <w:numPr>
          <w:ilvl w:val="2"/>
          <w:numId w:val="125"/>
        </w:numPr>
        <w:tabs>
          <w:tab w:val="clear" w:pos="567"/>
        </w:tabs>
        <w:spacing w:before="480" w:line="280" w:lineRule="exact"/>
        <w:ind w:left="567" w:hanging="567"/>
        <w:rPr>
          <w:noProof/>
          <w:lang w:val="es-ES_tradnl"/>
        </w:rPr>
      </w:pPr>
      <w:bookmarkStart w:id="27" w:name="_Toc508707924"/>
      <w:r w:rsidRPr="009E6414">
        <w:rPr>
          <w:noProof/>
          <w:lang w:val="es-ES_tradnl"/>
        </w:rPr>
        <w:t>PCE n.º 30: «¿En qué medida han contribuido las intervenciones de los PDR a potenciar la innovación?»</w:t>
      </w:r>
      <w:bookmarkEnd w:id="27"/>
    </w:p>
    <w:p w:rsidR="00A45935" w:rsidRPr="009E6414" w:rsidRDefault="00A45935" w:rsidP="00E05D08">
      <w:pPr>
        <w:keepNext/>
        <w:keepLines/>
        <w:tabs>
          <w:tab w:val="left" w:pos="680"/>
        </w:tabs>
        <w:spacing w:before="240" w:after="240" w:line="280" w:lineRule="atLeast"/>
        <w:mirrorIndents/>
        <w:outlineLvl w:val="3"/>
        <w:rPr>
          <w:rFonts w:eastAsia="Calibri" w:cs="Times New Roman"/>
          <w:b/>
          <w:noProof/>
          <w:color w:val="57825E"/>
          <w:szCs w:val="20"/>
          <w:shd w:val="clear" w:color="auto" w:fill="FFFFFF"/>
          <w:lang w:val="es-ES_tradnl"/>
        </w:rPr>
      </w:pPr>
      <w:r w:rsidRPr="009E6414">
        <w:rPr>
          <w:b/>
          <w:noProof/>
          <w:color w:val="57825E"/>
          <w:shd w:val="clear" w:color="auto" w:fill="FFFFFF"/>
          <w:lang w:val="es-ES_tradnl"/>
        </w:rPr>
        <w:t>Entender la PCE</w:t>
      </w:r>
    </w:p>
    <w:p w:rsidR="00A45935" w:rsidRPr="009E6414" w:rsidRDefault="00A45935" w:rsidP="00E05D08">
      <w:pPr>
        <w:spacing w:after="120" w:line="280" w:lineRule="atLeast"/>
        <w:mirrorIndents/>
        <w:rPr>
          <w:rFonts w:eastAsia="Times New Roman" w:cs="Arial"/>
          <w:noProof/>
          <w:szCs w:val="20"/>
          <w:lang w:val="es-ES_tradnl"/>
        </w:rPr>
      </w:pPr>
      <w:r w:rsidRPr="009E6414">
        <w:rPr>
          <w:noProof/>
          <w:lang w:val="es-ES_tradnl"/>
        </w:rPr>
        <w:t>La PCE n.º 30 está relacionada con el proceso de potenciación de la innovación. Esto la convierte en una pregunta conceptualmente muy amplia, dado que la</w:t>
      </w:r>
      <w:r w:rsidRPr="009E6414">
        <w:rPr>
          <w:b/>
          <w:noProof/>
          <w:lang w:val="es-ES_tradnl"/>
        </w:rPr>
        <w:t xml:space="preserve"> innovación surge de las interacciones de los agentes en el sistema de innovación</w:t>
      </w:r>
      <w:r w:rsidRPr="009E6414">
        <w:rPr>
          <w:noProof/>
          <w:lang w:val="es-ES_tradnl"/>
        </w:rPr>
        <w:t>.</w:t>
      </w:r>
      <w:r w:rsidRPr="009E6414">
        <w:rPr>
          <w:b/>
          <w:noProof/>
          <w:lang w:val="es-ES_tradnl"/>
        </w:rPr>
        <w:t xml:space="preserve"> </w:t>
      </w:r>
      <w:r w:rsidRPr="009E6414">
        <w:rPr>
          <w:noProof/>
          <w:lang w:val="es-ES_tradnl"/>
        </w:rPr>
        <w:t xml:space="preserve">La evaluación de los procesos requiere tiempo y, por lo tanto, la pregunta solo puede responderse una vez que la intervención del PDR haya realizado progresos sustanciales (en el IAE presentado en 2019) o haya finalizado (evaluación </w:t>
      </w:r>
      <w:r w:rsidRPr="009E6414">
        <w:rPr>
          <w:i/>
          <w:noProof/>
          <w:lang w:val="es-ES_tradnl"/>
        </w:rPr>
        <w:t>ex post</w:t>
      </w:r>
      <w:r w:rsidRPr="009E6414">
        <w:rPr>
          <w:noProof/>
          <w:lang w:val="es-ES_tradnl"/>
        </w:rPr>
        <w:t xml:space="preserve">). </w:t>
      </w:r>
    </w:p>
    <w:p w:rsidR="00A45935" w:rsidRPr="009E6414" w:rsidRDefault="00A45935" w:rsidP="00E05D08">
      <w:pPr>
        <w:spacing w:after="120" w:line="280" w:lineRule="atLeast"/>
        <w:mirrorIndents/>
        <w:rPr>
          <w:rFonts w:eastAsia="Times New Roman" w:cs="Arial"/>
          <w:noProof/>
          <w:szCs w:val="20"/>
          <w:lang w:val="es-ES_tradnl"/>
        </w:rPr>
      </w:pPr>
      <w:r w:rsidRPr="009E6414">
        <w:rPr>
          <w:noProof/>
          <w:lang w:val="es-ES_tradnl"/>
        </w:rPr>
        <w:lastRenderedPageBreak/>
        <w:t xml:space="preserve">La UE está interesada en la contribución del PDR a la innovación a escala, es decir, en los procesos de innovación exitosos que han entrañado cambios relativamente importantes (por ejemplo, un número relativamente elevado de agricultores que adopta una nueva tecnología). El punto de partida para responder a la PCE n.º 30 pasa, por tanto, por identificar cambios importantes a los cuales ha contribuido el PDR, y si al menos una parte de la contribución se produjo a través de la potenciación de la innovación. Estos cambios importantes pueden ser identificados a través de la evaluación de los indicadores de impacto y la recopilación de información complementaria (por ejemplo, a través de análisis documentales y entrevistas con las partes interesadas tras los resultados de la identificación del potencial de innovación, véase el </w:t>
      </w:r>
      <w:r w:rsidRPr="009E6414">
        <w:rPr>
          <w:noProof/>
          <w:color w:val="F07E31"/>
          <w:lang w:val="es-ES_tradnl"/>
        </w:rPr>
        <w:t>capítulo 2.2</w:t>
      </w:r>
      <w:r w:rsidRPr="009E6414">
        <w:rPr>
          <w:noProof/>
          <w:lang w:val="es-ES_tradnl"/>
        </w:rPr>
        <w:t xml:space="preserve">). Las conclusiones también se utilizarán para responder a preguntas distintas de la PCE n.º 30 (PCE n.º 24 a n.º 29). </w:t>
      </w:r>
    </w:p>
    <w:p w:rsidR="00A45935" w:rsidRPr="009E6414" w:rsidRDefault="00A45935" w:rsidP="00E05D08">
      <w:pPr>
        <w:spacing w:after="120" w:line="280" w:lineRule="atLeast"/>
        <w:mirrorIndents/>
        <w:rPr>
          <w:rFonts w:eastAsia="Times New Roman" w:cs="Arial"/>
          <w:noProof/>
          <w:szCs w:val="20"/>
          <w:lang w:val="es-ES_tradnl"/>
        </w:rPr>
      </w:pPr>
      <w:r w:rsidRPr="009E6414">
        <w:rPr>
          <w:noProof/>
          <w:lang w:val="es-ES_tradnl"/>
        </w:rPr>
        <w:t xml:space="preserve">Una presunción </w:t>
      </w:r>
      <w:r w:rsidRPr="009E6414">
        <w:rPr>
          <w:i/>
          <w:noProof/>
          <w:lang w:val="es-ES_tradnl"/>
        </w:rPr>
        <w:t>a priori</w:t>
      </w:r>
      <w:r w:rsidRPr="009E6414">
        <w:rPr>
          <w:noProof/>
          <w:lang w:val="es-ES_tradnl"/>
        </w:rPr>
        <w:t xml:space="preserve"> del capítulo 1.1 es que las medidas/submedidas del PDR contribuyen a </w:t>
      </w:r>
      <w:r w:rsidRPr="009E6414">
        <w:rPr>
          <w:b/>
          <w:noProof/>
          <w:lang w:val="es-ES_tradnl"/>
        </w:rPr>
        <w:t>potenciar la innovación</w:t>
      </w:r>
      <w:r w:rsidRPr="009E6414">
        <w:rPr>
          <w:noProof/>
          <w:lang w:val="es-ES_tradnl"/>
        </w:rPr>
        <w:t xml:space="preserve"> a través de tres vías interrelacionadas (véase la </w:t>
      </w:r>
      <w:hyperlink w:anchor="Pathways" w:history="1">
        <w:r w:rsidRPr="009E6414">
          <w:rPr>
            <w:rStyle w:val="Hyperlink"/>
            <w:noProof/>
            <w:sz w:val="20"/>
            <w:lang w:val="es-ES_tradnl"/>
          </w:rPr>
          <w:t>figura 1</w:t>
        </w:r>
      </w:hyperlink>
      <w:r w:rsidRPr="009E6414">
        <w:rPr>
          <w:noProof/>
          <w:lang w:val="es-ES_tradnl"/>
        </w:rPr>
        <w:t xml:space="preserve">). Las tres vías tienen el valor de ayudar al evaluador a desagregar y entender mejor el proceso de innovación. Por lo tanto, las orientaciones proponen tres subpreguntas de la PCE n.º 30 correspondientes a las vías: </w:t>
      </w:r>
    </w:p>
    <w:p w:rsidR="00A45935" w:rsidRPr="009E6414" w:rsidRDefault="00A45935" w:rsidP="000026C6">
      <w:pPr>
        <w:pStyle w:val="Hlistbullet"/>
        <w:rPr>
          <w:noProof/>
          <w:lang w:val="es-ES_tradnl"/>
        </w:rPr>
      </w:pPr>
      <w:r w:rsidRPr="009E6414">
        <w:rPr>
          <w:noProof/>
          <w:lang w:val="es-ES_tradnl"/>
        </w:rPr>
        <w:t>¿En qué medida el PDR ha fomentado la innovación a través de favorecer el potencial innovador? (itinerario 1)</w:t>
      </w:r>
    </w:p>
    <w:p w:rsidR="00A45935" w:rsidRPr="009E6414" w:rsidRDefault="00A45935" w:rsidP="000026C6">
      <w:pPr>
        <w:pStyle w:val="Hlistbullet"/>
        <w:rPr>
          <w:noProof/>
          <w:lang w:val="es-ES_tradnl"/>
        </w:rPr>
      </w:pPr>
      <w:r w:rsidRPr="009E6414">
        <w:rPr>
          <w:noProof/>
          <w:lang w:val="es-ES_tradnl"/>
        </w:rPr>
        <w:t>¿En qué medida el PDR ha fomentado la innovación mediante la consolidación de la capacidad para innovar? (Vía 2)</w:t>
      </w:r>
    </w:p>
    <w:p w:rsidR="00A45935" w:rsidRPr="009E6414" w:rsidRDefault="00A45935" w:rsidP="000026C6">
      <w:pPr>
        <w:pStyle w:val="Hlistbullet"/>
        <w:rPr>
          <w:noProof/>
          <w:lang w:val="es-ES_tradnl"/>
        </w:rPr>
      </w:pPr>
      <w:r w:rsidRPr="009E6414">
        <w:rPr>
          <w:noProof/>
          <w:lang w:val="es-ES_tradnl"/>
        </w:rPr>
        <w:t>¿En qué medida el PDR ha fomentado la innovación mediante la creación de un entorno propicio para la innovación? (Vía 3)</w:t>
      </w:r>
    </w:p>
    <w:p w:rsidR="00A45935" w:rsidRPr="009E6414" w:rsidRDefault="00A45935" w:rsidP="00690E70">
      <w:pPr>
        <w:spacing w:after="120" w:line="280" w:lineRule="atLeast"/>
        <w:mirrorIndents/>
        <w:rPr>
          <w:rFonts w:eastAsia="Times New Roman" w:cs="Arial"/>
          <w:noProof/>
          <w:szCs w:val="20"/>
          <w:lang w:val="es-ES_tradnl"/>
        </w:rPr>
      </w:pPr>
      <w:r w:rsidRPr="009E6414">
        <w:rPr>
          <w:noProof/>
          <w:lang w:val="es-ES_tradnl"/>
        </w:rPr>
        <w:t xml:space="preserve">Las interacciones entre las vías también son importantes. El proceso de impulsar el potencial innovador de forma colaborativa (por ejemplo, desarrollando y presentando una nueva tecnología) intensifica la capacidad de innovar de las personas y organizaciones interesadas, así como del sistema de innovación propiamente dicho. A la hora de responder a las tres subpreguntas y a la PCE n.º 30 deben abordarse las interacciones entre las vías. </w:t>
      </w:r>
    </w:p>
    <w:p w:rsidR="00A45935" w:rsidRPr="009E6414" w:rsidRDefault="00A45935" w:rsidP="00E05D08">
      <w:pPr>
        <w:keepNext/>
        <w:keepLines/>
        <w:tabs>
          <w:tab w:val="left" w:pos="680"/>
        </w:tabs>
        <w:spacing w:before="240" w:after="240" w:line="280" w:lineRule="atLeast"/>
        <w:mirrorIndents/>
        <w:outlineLvl w:val="3"/>
        <w:rPr>
          <w:rFonts w:eastAsia="Calibri" w:cs="Times New Roman"/>
          <w:b/>
          <w:noProof/>
          <w:color w:val="57825E"/>
          <w:szCs w:val="20"/>
          <w:shd w:val="clear" w:color="auto" w:fill="FFFFFF"/>
          <w:lang w:val="es-ES_tradnl"/>
        </w:rPr>
      </w:pPr>
      <w:r w:rsidRPr="009E6414">
        <w:rPr>
          <w:b/>
          <w:noProof/>
          <w:color w:val="57825E"/>
          <w:shd w:val="clear" w:color="auto" w:fill="FFFFFF"/>
          <w:lang w:val="es-ES_tradnl"/>
        </w:rPr>
        <w:t xml:space="preserve">Retos específicos </w:t>
      </w:r>
    </w:p>
    <w:p w:rsidR="00A45935" w:rsidRPr="009E6414" w:rsidRDefault="00A45935" w:rsidP="000026C6">
      <w:pPr>
        <w:pStyle w:val="Hlistbullet"/>
        <w:rPr>
          <w:noProof/>
          <w:lang w:val="es-ES_tradnl"/>
        </w:rPr>
      </w:pPr>
      <w:r w:rsidRPr="009E6414">
        <w:rPr>
          <w:b/>
          <w:noProof/>
          <w:lang w:val="es-ES_tradnl"/>
        </w:rPr>
        <w:t>Elaborar elementos de evaluación complementarios</w:t>
      </w:r>
      <w:r w:rsidRPr="009E6414">
        <w:rPr>
          <w:noProof/>
          <w:lang w:val="es-ES_tradnl"/>
        </w:rPr>
        <w:t xml:space="preserve"> para responder a la PCE n.º 30 (criterios de valoración e indicadores, tanto cualitativos como cuantitativos). </w:t>
      </w:r>
    </w:p>
    <w:p w:rsidR="00A45935" w:rsidRPr="009E6414" w:rsidRDefault="00A45935" w:rsidP="000026C6">
      <w:pPr>
        <w:pStyle w:val="Hlistbullet"/>
        <w:rPr>
          <w:noProof/>
          <w:lang w:val="es-ES_tradnl"/>
        </w:rPr>
      </w:pPr>
      <w:r w:rsidRPr="009E6414">
        <w:rPr>
          <w:b/>
          <w:noProof/>
          <w:lang w:val="es-ES_tradnl"/>
        </w:rPr>
        <w:t>Aplicar métodos de evaluación</w:t>
      </w:r>
      <w:r w:rsidRPr="009E6414">
        <w:rPr>
          <w:noProof/>
          <w:lang w:val="es-ES_tradnl"/>
        </w:rPr>
        <w:t xml:space="preserve"> que permitan la atribución de los cambios observados en </w:t>
      </w:r>
      <w:r w:rsidRPr="009E6414">
        <w:rPr>
          <w:noProof/>
          <w:u w:val="single"/>
          <w:lang w:val="es-ES_tradnl"/>
        </w:rPr>
        <w:t>las tres</w:t>
      </w:r>
      <w:r w:rsidRPr="009E6414">
        <w:rPr>
          <w:noProof/>
          <w:lang w:val="es-ES_tradnl"/>
        </w:rPr>
        <w:t xml:space="preserve"> vías del sistema de innovación en zonas rurales a las intervenciones del PDR. </w:t>
      </w:r>
    </w:p>
    <w:p w:rsidR="00A45935" w:rsidRPr="009E6414" w:rsidRDefault="00A45935" w:rsidP="000026C6">
      <w:pPr>
        <w:pStyle w:val="Hlistbullet"/>
        <w:rPr>
          <w:noProof/>
          <w:lang w:val="es-ES_tradnl"/>
        </w:rPr>
      </w:pPr>
      <w:r w:rsidRPr="009E6414">
        <w:rPr>
          <w:b/>
          <w:noProof/>
          <w:lang w:val="es-ES_tradnl"/>
        </w:rPr>
        <w:t>Evaluar los cambios</w:t>
      </w:r>
      <w:r w:rsidRPr="009E6414">
        <w:rPr>
          <w:noProof/>
          <w:lang w:val="es-ES_tradnl"/>
        </w:rPr>
        <w:t xml:space="preserve"> acaecidos debido a las innovaciones financiadas por el PDR. </w:t>
      </w:r>
    </w:p>
    <w:p w:rsidR="00A45935" w:rsidRPr="009E6414" w:rsidRDefault="00A45935" w:rsidP="00E05D08">
      <w:pPr>
        <w:keepNext/>
        <w:keepLines/>
        <w:tabs>
          <w:tab w:val="left" w:pos="680"/>
        </w:tabs>
        <w:spacing w:before="240" w:after="240" w:line="280" w:lineRule="atLeast"/>
        <w:mirrorIndents/>
        <w:outlineLvl w:val="3"/>
        <w:rPr>
          <w:rFonts w:eastAsia="Calibri" w:cs="Times New Roman"/>
          <w:b/>
          <w:noProof/>
          <w:color w:val="57825E"/>
          <w:szCs w:val="20"/>
          <w:shd w:val="clear" w:color="auto" w:fill="FFFFFF"/>
          <w:lang w:val="es-ES_tradnl"/>
        </w:rPr>
      </w:pPr>
      <w:r w:rsidRPr="009E6414">
        <w:rPr>
          <w:b/>
          <w:noProof/>
          <w:color w:val="57825E"/>
          <w:shd w:val="clear" w:color="auto" w:fill="FFFFFF"/>
          <w:lang w:val="es-ES_tradnl"/>
        </w:rPr>
        <w:t>Planteamiento propuesto para responder a la PCE n.º 30</w:t>
      </w:r>
    </w:p>
    <w:p w:rsidR="00A45935" w:rsidRPr="009E6414" w:rsidRDefault="00A45935" w:rsidP="00647766">
      <w:pPr>
        <w:numPr>
          <w:ilvl w:val="0"/>
          <w:numId w:val="62"/>
        </w:numPr>
        <w:spacing w:before="120" w:after="120" w:line="280" w:lineRule="atLeast"/>
        <w:ind w:left="567" w:hanging="567"/>
        <w:mirrorIndents/>
        <w:rPr>
          <w:rFonts w:eastAsia="Calibri" w:cs="Times New Roman"/>
          <w:b/>
          <w:noProof/>
          <w:szCs w:val="20"/>
          <w:lang w:val="es-ES_tradnl"/>
        </w:rPr>
      </w:pPr>
      <w:r w:rsidRPr="009E6414">
        <w:rPr>
          <w:b/>
          <w:noProof/>
          <w:lang w:val="es-ES_tradnl"/>
        </w:rPr>
        <w:t xml:space="preserve">Lógica de intervención </w:t>
      </w:r>
    </w:p>
    <w:p w:rsidR="00A45935" w:rsidRPr="009E6414" w:rsidRDefault="00A45935" w:rsidP="00E05D08">
      <w:pPr>
        <w:spacing w:after="120" w:line="280" w:lineRule="atLeast"/>
        <w:mirrorIndents/>
        <w:rPr>
          <w:rFonts w:eastAsia="Times New Roman" w:cs="Arial"/>
          <w:noProof/>
          <w:szCs w:val="20"/>
          <w:lang w:val="es-ES_tradnl"/>
        </w:rPr>
      </w:pPr>
      <w:r w:rsidRPr="009E6414">
        <w:rPr>
          <w:noProof/>
          <w:lang w:val="es-ES_tradnl"/>
        </w:rPr>
        <w:t>El planteamiento del PDR hacia la innovación se establece durante la concepción del programa</w:t>
      </w:r>
      <w:r w:rsidRPr="009E6414">
        <w:rPr>
          <w:noProof/>
          <w:vertAlign w:val="superscript"/>
          <w:lang w:val="es-ES_tradnl"/>
        </w:rPr>
        <w:footnoteReference w:id="76"/>
      </w:r>
      <w:r w:rsidRPr="009E6414">
        <w:rPr>
          <w:noProof/>
          <w:lang w:val="es-ES_tradnl"/>
        </w:rPr>
        <w:t xml:space="preserve">. En el examen del potencial de innovación de las medidas/submedidas del PDR durante la fase de preparación de la evaluación, todas las medidas/submedidas (no solo las medidas M1, M2, M16, M19 y AT) son examinadas y probadas para determinar su potencial para cultivar ideas, consolidar capacidades y crear un entorno propicio. Por consiguiente, cabe esperar que </w:t>
      </w:r>
      <w:r w:rsidRPr="009E6414">
        <w:rPr>
          <w:b/>
          <w:noProof/>
          <w:lang w:val="es-ES_tradnl"/>
        </w:rPr>
        <w:t>todas las medidas y submedidas del PDR que hayan mostrado un potencial de innovación importante</w:t>
      </w:r>
      <w:r w:rsidRPr="009E6414">
        <w:rPr>
          <w:noProof/>
          <w:lang w:val="es-ES_tradnl"/>
        </w:rPr>
        <w:t xml:space="preserve"> formen parte de la lógica de intervención del PDR relacionada con la innovación que guía la ejecución del PDR </w:t>
      </w:r>
      <w:r w:rsidRPr="009E6414">
        <w:rPr>
          <w:noProof/>
          <w:lang w:val="es-ES_tradnl"/>
        </w:rPr>
        <w:lastRenderedPageBreak/>
        <w:t xml:space="preserve">hacia la innovación. El evaluador utiliza esta lógica como una aportación para la construcción del proceso relativo a cómo el PDR ha contribuido a la innovación (véase la </w:t>
      </w:r>
      <w:hyperlink w:anchor="Example_IL" w:history="1">
        <w:r w:rsidRPr="009E6414">
          <w:rPr>
            <w:rStyle w:val="Hyperlink"/>
            <w:noProof/>
            <w:sz w:val="20"/>
            <w:lang w:val="es-ES_tradnl"/>
          </w:rPr>
          <w:t>figura 11</w:t>
        </w:r>
      </w:hyperlink>
      <w:r w:rsidRPr="009E6414">
        <w:rPr>
          <w:noProof/>
          <w:lang w:val="es-ES_tradnl"/>
        </w:rPr>
        <w:t>).</w:t>
      </w:r>
    </w:p>
    <w:p w:rsidR="00A45935" w:rsidRPr="009E6414" w:rsidRDefault="00BE1F31" w:rsidP="000026C6">
      <w:pPr>
        <w:pStyle w:val="HHeadingfigures"/>
      </w:pPr>
      <w:bookmarkStart w:id="28" w:name="_Toc508707938"/>
      <w:r w:rsidRPr="009E6414">
        <w:t>Ejemplo de lógica de intervención para la PCE n.º 30</w:t>
      </w:r>
      <w:bookmarkEnd w:id="28"/>
    </w:p>
    <w:p w:rsidR="00A45935" w:rsidRPr="009E6414" w:rsidRDefault="006172D0" w:rsidP="002C2C15">
      <w:pPr>
        <w:suppressAutoHyphens/>
        <w:spacing w:before="60" w:after="140" w:line="240" w:lineRule="auto"/>
        <w:mirrorIndents/>
        <w:jc w:val="center"/>
        <w:rPr>
          <w:rFonts w:eastAsia="Times New Roman" w:cs="Times New Roman"/>
          <w:i/>
          <w:noProof/>
          <w:sz w:val="16"/>
          <w:szCs w:val="20"/>
          <w:lang w:val="es-ES_tradnl"/>
        </w:rPr>
      </w:pPr>
      <w:r w:rsidRPr="006172D0">
        <w:rPr>
          <w:noProof/>
          <w:lang w:val="en-GB" w:eastAsia="en-GB" w:bidi="ar-SA"/>
        </w:rPr>
        <w:drawing>
          <wp:inline distT="0" distB="0" distL="0" distR="0">
            <wp:extent cx="5729605" cy="3032760"/>
            <wp:effectExtent l="0" t="0" r="4445"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29605" cy="3032760"/>
                    </a:xfrm>
                    <a:prstGeom prst="rect">
                      <a:avLst/>
                    </a:prstGeom>
                    <a:noFill/>
                    <a:ln>
                      <a:noFill/>
                    </a:ln>
                  </pic:spPr>
                </pic:pic>
              </a:graphicData>
            </a:graphic>
          </wp:inline>
        </w:drawing>
      </w:r>
    </w:p>
    <w:p w:rsidR="00A45935" w:rsidRPr="009E6414" w:rsidRDefault="00A45935" w:rsidP="00916AB5">
      <w:pPr>
        <w:suppressAutoHyphens/>
        <w:spacing w:before="60" w:after="140" w:line="240" w:lineRule="auto"/>
        <w:mirrorIndents/>
        <w:jc w:val="center"/>
        <w:rPr>
          <w:rFonts w:eastAsia="Times New Roman" w:cs="Times New Roman"/>
          <w:i/>
          <w:noProof/>
          <w:sz w:val="16"/>
          <w:szCs w:val="20"/>
          <w:lang w:val="es-ES_tradnl"/>
        </w:rPr>
      </w:pPr>
      <w:r w:rsidRPr="009E6414">
        <w:rPr>
          <w:i/>
          <w:noProof/>
          <w:sz w:val="16"/>
          <w:lang w:val="es-ES_tradnl"/>
        </w:rPr>
        <w:t>Fuente: Servicio de asistencia de evaluación europeo para el desarrollo rural, 2017</w:t>
      </w:r>
    </w:p>
    <w:p w:rsidR="00A45935" w:rsidRPr="009E6414" w:rsidRDefault="00A45935" w:rsidP="00E05D08">
      <w:pPr>
        <w:spacing w:after="120" w:line="280" w:lineRule="atLeast"/>
        <w:mirrorIndents/>
        <w:rPr>
          <w:rFonts w:eastAsia="Times New Roman" w:cs="Arial"/>
          <w:noProof/>
          <w:szCs w:val="20"/>
          <w:lang w:val="es-ES_tradnl"/>
        </w:rPr>
      </w:pPr>
      <w:r w:rsidRPr="009E6414">
        <w:rPr>
          <w:rFonts w:eastAsia="Times New Roman" w:cs="Times New Roman"/>
          <w:noProof/>
          <w:sz w:val="18"/>
          <w:szCs w:val="24"/>
          <w:lang w:val="en-GB" w:eastAsia="en-GB" w:bidi="ar-SA"/>
        </w:rPr>
        <mc:AlternateContent>
          <mc:Choice Requires="wps">
            <w:drawing>
              <wp:inline distT="0" distB="0" distL="0" distR="0" wp14:anchorId="69F857B0" wp14:editId="7748E34F">
                <wp:extent cx="5732145" cy="2762250"/>
                <wp:effectExtent l="0" t="0" r="20955" b="19050"/>
                <wp:docPr id="560" name="Rectangle: Diagonal Corners Rounded 560"/>
                <wp:cNvGraphicFramePr/>
                <a:graphic xmlns:a="http://schemas.openxmlformats.org/drawingml/2006/main">
                  <a:graphicData uri="http://schemas.microsoft.com/office/word/2010/wordprocessingShape">
                    <wps:wsp>
                      <wps:cNvSpPr/>
                      <wps:spPr>
                        <a:xfrm>
                          <a:off x="0" y="0"/>
                          <a:ext cx="5732145" cy="2762250"/>
                        </a:xfrm>
                        <a:prstGeom prst="round2DiagRect">
                          <a:avLst>
                            <a:gd name="adj1" fmla="val 11556"/>
                            <a:gd name="adj2" fmla="val 0"/>
                          </a:avLst>
                        </a:prstGeom>
                        <a:noFill/>
                        <a:ln w="25400" cap="flat" cmpd="sng" algn="ctr">
                          <a:solidFill>
                            <a:srgbClr val="F07E31"/>
                          </a:solidFill>
                          <a:prstDash val="solid"/>
                        </a:ln>
                        <a:effectLst/>
                      </wps:spPr>
                      <wps:txbx>
                        <w:txbxContent>
                          <w:p w:rsidR="008D2E0D" w:rsidRPr="0079762F" w:rsidRDefault="008D2E0D" w:rsidP="00E05D08">
                            <w:pPr>
                              <w:pStyle w:val="HStandard"/>
                              <w:rPr>
                                <w:rFonts w:cs="Arial"/>
                                <w:sz w:val="18"/>
                              </w:rPr>
                            </w:pPr>
                            <w:r>
                              <w:rPr>
                                <w:noProof/>
                                <w:sz w:val="18"/>
                                <w:szCs w:val="18"/>
                                <w:lang w:val="en-GB" w:eastAsia="en-GB" w:bidi="ar-SA"/>
                              </w:rPr>
                              <w:drawing>
                                <wp:inline distT="0" distB="0" distL="0" distR="0" wp14:anchorId="56BA2AFC" wp14:editId="3F0FED06">
                                  <wp:extent cx="353060" cy="359410"/>
                                  <wp:effectExtent l="0" t="0" r="8890" b="2540"/>
                                  <wp:docPr id="71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En este ejemplo, las medidas (círculos) programadas en el marco de los </w:t>
                            </w:r>
                            <w:proofErr w:type="spellStart"/>
                            <w:r>
                              <w:t>AI</w:t>
                            </w:r>
                            <w:proofErr w:type="spellEnd"/>
                            <w:r>
                              <w:t xml:space="preserve"> (rectángulos) son susceptibles de potenciar la innovación por sí solas o en combinación con otras medidas de formas diferentes (tres vías representadas como pictogramas).</w:t>
                            </w:r>
                            <w:r>
                              <w:rPr>
                                <w:sz w:val="18"/>
                              </w:rPr>
                              <w:t xml:space="preserve"> Por ejemplo, las medidas </w:t>
                            </w:r>
                            <w:proofErr w:type="spellStart"/>
                            <w:r>
                              <w:rPr>
                                <w:sz w:val="18"/>
                              </w:rPr>
                              <w:t>M16</w:t>
                            </w:r>
                            <w:proofErr w:type="spellEnd"/>
                            <w:r>
                              <w:rPr>
                                <w:sz w:val="18"/>
                              </w:rPr>
                              <w:t xml:space="preserve"> y </w:t>
                            </w:r>
                            <w:proofErr w:type="spellStart"/>
                            <w:r>
                              <w:rPr>
                                <w:sz w:val="18"/>
                              </w:rPr>
                              <w:t>M2</w:t>
                            </w:r>
                            <w:proofErr w:type="spellEnd"/>
                            <w:r>
                              <w:rPr>
                                <w:sz w:val="18"/>
                              </w:rPr>
                              <w:t xml:space="preserve"> programadas en el marco del </w:t>
                            </w:r>
                            <w:proofErr w:type="spellStart"/>
                            <w:r>
                              <w:rPr>
                                <w:sz w:val="18"/>
                              </w:rPr>
                              <w:t>AI</w:t>
                            </w:r>
                            <w:proofErr w:type="spellEnd"/>
                            <w:r>
                              <w:rPr>
                                <w:sz w:val="18"/>
                              </w:rPr>
                              <w:t xml:space="preserve"> </w:t>
                            </w:r>
                            <w:proofErr w:type="spellStart"/>
                            <w:r>
                              <w:rPr>
                                <w:sz w:val="18"/>
                              </w:rPr>
                              <w:t>3A</w:t>
                            </w:r>
                            <w:proofErr w:type="spellEnd"/>
                            <w:r>
                              <w:rPr>
                                <w:sz w:val="18"/>
                              </w:rPr>
                              <w:t xml:space="preserve"> - integración de productores primarios en la cadena alimentaria y en el marco del </w:t>
                            </w:r>
                            <w:proofErr w:type="spellStart"/>
                            <w:r>
                              <w:rPr>
                                <w:sz w:val="18"/>
                              </w:rPr>
                              <w:t>AI</w:t>
                            </w:r>
                            <w:proofErr w:type="spellEnd"/>
                            <w:r>
                              <w:rPr>
                                <w:sz w:val="18"/>
                              </w:rPr>
                              <w:t xml:space="preserve"> </w:t>
                            </w:r>
                            <w:proofErr w:type="spellStart"/>
                            <w:r>
                              <w:rPr>
                                <w:sz w:val="18"/>
                              </w:rPr>
                              <w:t>5A</w:t>
                            </w:r>
                            <w:proofErr w:type="spellEnd"/>
                            <w:r>
                              <w:rPr>
                                <w:sz w:val="18"/>
                              </w:rPr>
                              <w:t xml:space="preserve"> - eficiencia en el uso del agua, son susceptibles de potenciar conjuntamente la innovación a través de las tres vías. En otro caso, </w:t>
                            </w:r>
                            <w:proofErr w:type="spellStart"/>
                            <w:r>
                              <w:rPr>
                                <w:sz w:val="18"/>
                              </w:rPr>
                              <w:t>AI</w:t>
                            </w:r>
                            <w:proofErr w:type="spellEnd"/>
                            <w:r>
                              <w:rPr>
                                <w:sz w:val="18"/>
                              </w:rPr>
                              <w:t xml:space="preserve"> </w:t>
                            </w:r>
                            <w:proofErr w:type="spellStart"/>
                            <w:r>
                              <w:rPr>
                                <w:sz w:val="18"/>
                              </w:rPr>
                              <w:t>5B</w:t>
                            </w:r>
                            <w:proofErr w:type="spellEnd"/>
                            <w:r>
                              <w:rPr>
                                <w:sz w:val="18"/>
                              </w:rPr>
                              <w:t xml:space="preserve">, ambas medidas en combinación con la </w:t>
                            </w:r>
                            <w:proofErr w:type="spellStart"/>
                            <w:r>
                              <w:rPr>
                                <w:sz w:val="18"/>
                              </w:rPr>
                              <w:t>M4</w:t>
                            </w:r>
                            <w:proofErr w:type="spellEnd"/>
                            <w:r>
                              <w:rPr>
                                <w:sz w:val="18"/>
                              </w:rPr>
                              <w:t xml:space="preserve"> son susceptibles de fomentar la innovación a través del refuerzo de las capacidades en un espíritu de colaboración. </w:t>
                            </w:r>
                          </w:p>
                          <w:p w:rsidR="008D2E0D" w:rsidRPr="00ED3BAD" w:rsidRDefault="008D2E0D" w:rsidP="00E05D08">
                            <w:pPr>
                              <w:pStyle w:val="HStandard"/>
                              <w:rPr>
                                <w:sz w:val="18"/>
                                <w:szCs w:val="18"/>
                              </w:rPr>
                            </w:pPr>
                            <w:r>
                              <w:rPr>
                                <w:sz w:val="18"/>
                              </w:rPr>
                              <w:t xml:space="preserve">Las medidas con potencial de innovación son susceptibles de generar resultados, que dan lugar a resultados en el fomento de la innovación a través de las tres vías y, en </w:t>
                            </w:r>
                            <w:proofErr w:type="gramStart"/>
                            <w:r>
                              <w:rPr>
                                <w:sz w:val="18"/>
                              </w:rPr>
                              <w:t>último instancia</w:t>
                            </w:r>
                            <w:proofErr w:type="gramEnd"/>
                            <w:r>
                              <w:rPr>
                                <w:sz w:val="18"/>
                              </w:rPr>
                              <w:t>, repercuten en la consecución de los objetivos de la política.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F857B0" id="Rectangle: Diagonal Corners Rounded 560" o:spid="_x0000_s1054" style="width:451.35pt;height:217.5pt;visibility:visible;mso-wrap-style:square;mso-left-percent:-10001;mso-top-percent:-10001;mso-position-horizontal:absolute;mso-position-horizontal-relative:char;mso-position-vertical:absolute;mso-position-vertical-relative:line;mso-left-percent:-10001;mso-top-percent:-10001;v-text-anchor:middle" coordsize="5732145,2762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" adj="-11796480,,5400" path="m319206,l5732145,r,l5732145,2443044v,176293,-142913,319206,-319206,319206l,2762250r,l,319206c,142913,142913,,319206,xe" filled="f" strokecolor="#f07e31" strokeweight="2pt">
                <v:stroke joinstyle="miter"/>
                <v:formulas/>
                <v:path arrowok="t" o:connecttype="custom" o:connectlocs="319206,0;5732145,0;5732145,0;5732145,2443044;5412939,2762250;0,2762250;0,2762250;0,319206;319206,0" o:connectangles="0,0,0,0,0,0,0,0,0" textboxrect="0,0,5732145,2762250"/>
                <v:textbox>
                  <w:txbxContent>
                    <w:p w:rsidR="008D2E0D" w:rsidRPr="0079762F" w:rsidRDefault="008D2E0D" w:rsidP="00E05D08">
                      <w:pPr>
                        <w:pStyle w:val="HStandard"/>
                        <w:rPr>
                          <w:rFonts w:cs="Arial"/>
                          <w:sz w:val="18"/>
                        </w:rPr>
                      </w:pPr>
                      <w:r>
                        <w:rPr>
                          <w:noProof/>
                          <w:sz w:val="18"/>
                          <w:szCs w:val="18"/>
                          <w:lang w:val="en-GB" w:eastAsia="en-GB" w:bidi="ar-SA"/>
                        </w:rPr>
                        <w:drawing>
                          <wp:inline distT="0" distB="0" distL="0" distR="0" wp14:anchorId="56BA2AFC" wp14:editId="3F0FED06">
                            <wp:extent cx="353060" cy="359410"/>
                            <wp:effectExtent l="0" t="0" r="8890" b="2540"/>
                            <wp:docPr id="71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En este ejemplo, las medidas (círculos) programadas en el marco de los </w:t>
                      </w:r>
                      <w:proofErr w:type="spellStart"/>
                      <w:r>
                        <w:t>AI</w:t>
                      </w:r>
                      <w:proofErr w:type="spellEnd"/>
                      <w:r>
                        <w:t xml:space="preserve"> (rectángulos) son susceptibles de potenciar la innovación por sí solas o en combinación con otras medidas de formas diferentes (tres vías representadas como pictogramas).</w:t>
                      </w:r>
                      <w:r>
                        <w:rPr>
                          <w:sz w:val="18"/>
                        </w:rPr>
                        <w:t xml:space="preserve"> Por ejemplo, las medidas </w:t>
                      </w:r>
                      <w:proofErr w:type="spellStart"/>
                      <w:r>
                        <w:rPr>
                          <w:sz w:val="18"/>
                        </w:rPr>
                        <w:t>M16</w:t>
                      </w:r>
                      <w:proofErr w:type="spellEnd"/>
                      <w:r>
                        <w:rPr>
                          <w:sz w:val="18"/>
                        </w:rPr>
                        <w:t xml:space="preserve"> y </w:t>
                      </w:r>
                      <w:proofErr w:type="spellStart"/>
                      <w:r>
                        <w:rPr>
                          <w:sz w:val="18"/>
                        </w:rPr>
                        <w:t>M2</w:t>
                      </w:r>
                      <w:proofErr w:type="spellEnd"/>
                      <w:r>
                        <w:rPr>
                          <w:sz w:val="18"/>
                        </w:rPr>
                        <w:t xml:space="preserve"> programadas en el marco del </w:t>
                      </w:r>
                      <w:proofErr w:type="spellStart"/>
                      <w:r>
                        <w:rPr>
                          <w:sz w:val="18"/>
                        </w:rPr>
                        <w:t>AI</w:t>
                      </w:r>
                      <w:proofErr w:type="spellEnd"/>
                      <w:r>
                        <w:rPr>
                          <w:sz w:val="18"/>
                        </w:rPr>
                        <w:t xml:space="preserve"> </w:t>
                      </w:r>
                      <w:proofErr w:type="spellStart"/>
                      <w:r>
                        <w:rPr>
                          <w:sz w:val="18"/>
                        </w:rPr>
                        <w:t>3A</w:t>
                      </w:r>
                      <w:proofErr w:type="spellEnd"/>
                      <w:r>
                        <w:rPr>
                          <w:sz w:val="18"/>
                        </w:rPr>
                        <w:t xml:space="preserve"> - integración de productores primarios en la cadena alimentaria y en el marco del </w:t>
                      </w:r>
                      <w:proofErr w:type="spellStart"/>
                      <w:r>
                        <w:rPr>
                          <w:sz w:val="18"/>
                        </w:rPr>
                        <w:t>AI</w:t>
                      </w:r>
                      <w:proofErr w:type="spellEnd"/>
                      <w:r>
                        <w:rPr>
                          <w:sz w:val="18"/>
                        </w:rPr>
                        <w:t xml:space="preserve"> </w:t>
                      </w:r>
                      <w:proofErr w:type="spellStart"/>
                      <w:r>
                        <w:rPr>
                          <w:sz w:val="18"/>
                        </w:rPr>
                        <w:t>5A</w:t>
                      </w:r>
                      <w:proofErr w:type="spellEnd"/>
                      <w:r>
                        <w:rPr>
                          <w:sz w:val="18"/>
                        </w:rPr>
                        <w:t xml:space="preserve"> - eficiencia en el uso del agua, son susceptibles de potenciar conjuntamente la innovación a través de las tres vías. En otro caso, </w:t>
                      </w:r>
                      <w:proofErr w:type="spellStart"/>
                      <w:r>
                        <w:rPr>
                          <w:sz w:val="18"/>
                        </w:rPr>
                        <w:t>AI</w:t>
                      </w:r>
                      <w:proofErr w:type="spellEnd"/>
                      <w:r>
                        <w:rPr>
                          <w:sz w:val="18"/>
                        </w:rPr>
                        <w:t xml:space="preserve"> </w:t>
                      </w:r>
                      <w:proofErr w:type="spellStart"/>
                      <w:r>
                        <w:rPr>
                          <w:sz w:val="18"/>
                        </w:rPr>
                        <w:t>5B</w:t>
                      </w:r>
                      <w:proofErr w:type="spellEnd"/>
                      <w:r>
                        <w:rPr>
                          <w:sz w:val="18"/>
                        </w:rPr>
                        <w:t xml:space="preserve">, ambas medidas en combinación con la </w:t>
                      </w:r>
                      <w:proofErr w:type="spellStart"/>
                      <w:r>
                        <w:rPr>
                          <w:sz w:val="18"/>
                        </w:rPr>
                        <w:t>M4</w:t>
                      </w:r>
                      <w:proofErr w:type="spellEnd"/>
                      <w:r>
                        <w:rPr>
                          <w:sz w:val="18"/>
                        </w:rPr>
                        <w:t xml:space="preserve"> son susceptibles de fomentar la innovación a través del refuerzo de las capacidades en un espíritu de colaboración. </w:t>
                      </w:r>
                    </w:p>
                    <w:p w:rsidR="008D2E0D" w:rsidRPr="00ED3BAD" w:rsidRDefault="008D2E0D" w:rsidP="00E05D08">
                      <w:pPr>
                        <w:pStyle w:val="HStandard"/>
                        <w:rPr>
                          <w:sz w:val="18"/>
                          <w:szCs w:val="18"/>
                        </w:rPr>
                      </w:pPr>
                      <w:r>
                        <w:rPr>
                          <w:sz w:val="18"/>
                        </w:rPr>
                        <w:t xml:space="preserve">Las medidas con potencial de innovación son susceptibles de generar resultados, que dan lugar a resultados en el fomento de la innovación a través de las tres vías y, en </w:t>
                      </w:r>
                      <w:proofErr w:type="gramStart"/>
                      <w:r>
                        <w:rPr>
                          <w:sz w:val="18"/>
                        </w:rPr>
                        <w:t>último instancia</w:t>
                      </w:r>
                      <w:proofErr w:type="gramEnd"/>
                      <w:r>
                        <w:rPr>
                          <w:sz w:val="18"/>
                        </w:rPr>
                        <w:t>, repercuten en la consecución de los objetivos de la política.</w:t>
                      </w:r>
                    </w:p>
                  </w:txbxContent>
                </v:textbox>
                <w10:anchorlock/>
              </v:shape>
            </w:pict>
          </mc:Fallback>
        </mc:AlternateContent>
      </w:r>
    </w:p>
    <w:p w:rsidR="00A45935" w:rsidRPr="009E6414" w:rsidRDefault="00A45935" w:rsidP="00E05D08">
      <w:pPr>
        <w:spacing w:after="120" w:line="280" w:lineRule="atLeast"/>
        <w:mirrorIndents/>
        <w:rPr>
          <w:rFonts w:eastAsia="Times New Roman" w:cs="Arial"/>
          <w:noProof/>
          <w:szCs w:val="20"/>
          <w:lang w:val="es-ES_tradnl"/>
        </w:rPr>
        <w:sectPr w:rsidR="00A45935" w:rsidRPr="009E6414" w:rsidSect="001F6F07">
          <w:headerReference w:type="even" r:id="rId79"/>
          <w:headerReference w:type="first" r:id="rId80"/>
          <w:endnotePr>
            <w:numFmt w:val="decimal"/>
          </w:endnotePr>
          <w:pgSz w:w="11907" w:h="16840" w:code="9"/>
          <w:pgMar w:top="1134" w:right="1440" w:bottom="1440" w:left="1440" w:header="567" w:footer="1020" w:gutter="0"/>
          <w:cols w:space="708"/>
          <w:noEndnote/>
          <w:titlePg/>
          <w:docGrid w:linePitch="435"/>
        </w:sectPr>
      </w:pPr>
    </w:p>
    <w:p w:rsidR="00A45935" w:rsidRPr="009E6414" w:rsidRDefault="00A45935" w:rsidP="00E05D08">
      <w:pPr>
        <w:spacing w:after="120" w:line="280" w:lineRule="atLeast"/>
        <w:mirrorIndents/>
        <w:rPr>
          <w:rFonts w:eastAsia="Times New Roman" w:cs="Arial"/>
          <w:noProof/>
          <w:szCs w:val="20"/>
          <w:lang w:val="es-ES_tradnl"/>
        </w:rPr>
      </w:pPr>
      <w:r w:rsidRPr="009E6414">
        <w:rPr>
          <w:noProof/>
          <w:lang w:val="es-ES_tradnl"/>
        </w:rPr>
        <w:t>Habida cuenta del carácter complejo y emergente de la innovación, cabe suponer que no habrá una correspondencia perfecta entre el potencial de innovación previsto y las intervenciones del PDR que marcan una diferencia. Por lo tanto, en el momento de la evaluación, la tarea del evaluador consiste en comparar el potencial de innovación previsto del PDR con las contribuciones reales al cambio.</w:t>
      </w:r>
    </w:p>
    <w:p w:rsidR="00A45935" w:rsidRPr="009E6414" w:rsidRDefault="00A45935" w:rsidP="008C0B17">
      <w:pPr>
        <w:numPr>
          <w:ilvl w:val="0"/>
          <w:numId w:val="62"/>
        </w:numPr>
        <w:spacing w:before="120" w:after="120" w:line="280" w:lineRule="atLeast"/>
        <w:ind w:left="567" w:hanging="567"/>
        <w:mirrorIndents/>
        <w:rPr>
          <w:rFonts w:eastAsia="Times New Roman" w:cs="Times New Roman"/>
          <w:b/>
          <w:noProof/>
          <w:szCs w:val="20"/>
          <w:lang w:val="es-ES_tradnl"/>
        </w:rPr>
      </w:pPr>
      <w:r w:rsidRPr="009E6414">
        <w:rPr>
          <w:b/>
          <w:noProof/>
          <w:lang w:val="es-ES_tradnl"/>
        </w:rPr>
        <w:t xml:space="preserve">Elementos de evaluación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 xml:space="preserve">El documento de trabajo </w:t>
      </w:r>
      <w:hyperlink r:id="rId81">
        <w:r w:rsidRPr="009E6414">
          <w:rPr>
            <w:rStyle w:val="Hyperlink"/>
            <w:noProof/>
            <w:sz w:val="20"/>
            <w:lang w:val="es-ES_tradnl"/>
          </w:rPr>
          <w:t>Preguntas comunes de evaluación para los PDR 2014-2020</w:t>
        </w:r>
      </w:hyperlink>
      <w:r w:rsidRPr="009E6414">
        <w:rPr>
          <w:noProof/>
          <w:lang w:val="es-ES_tradnl"/>
        </w:rPr>
        <w:t xml:space="preserve"> sugiere un criterio de valoración (se ha fomentado la innovación en zonas y sectores rurales) y un indicador común (T1 - gastos relacionados con los artículos 14, 15 y 35). También recomienda recabar más información cuantitativa y cualitativa sobre innovación para responder a la PCE n.º 30. Sin embargo, estos elementos no pueden captar plenamente las contribuciones del PDR a la potenciación de las innovaciones.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lastRenderedPageBreak/>
        <w:t xml:space="preserve">Por lo tanto, las presentes directrices proponen considerar el uso de elementos de evaluación complementarios para responder a la PCE n.º 30 (véase el </w:t>
      </w:r>
      <w:hyperlink w:anchor="CEQ_fostering" w:history="1">
        <w:r w:rsidRPr="009E6414">
          <w:rPr>
            <w:rStyle w:val="Hyperlink"/>
            <w:noProof/>
            <w:sz w:val="20"/>
            <w:lang w:val="es-ES_tradnl"/>
          </w:rPr>
          <w:t>cuadro 9</w:t>
        </w:r>
      </w:hyperlink>
      <w:r w:rsidRPr="009E6414">
        <w:rPr>
          <w:noProof/>
          <w:lang w:val="es-ES_tradnl"/>
        </w:rPr>
        <w:t xml:space="preserve">). En el caso de la PCE n.º 30, los elementos de evaluación están vinculados a las tres subpreguntas correspondientes a las tres vías del proceso de innovación. Los criterios de valoración propuestos están vinculados a las características de cada vía. Esto permite ver si se ha seguido la vía a lo largo de la ejecución de las medidas del PDR, tal como se identificó durante el examen del potencial de innovación. </w:t>
      </w:r>
    </w:p>
    <w:p w:rsidR="00A45935" w:rsidRPr="009E6414" w:rsidRDefault="00A45935" w:rsidP="00E05D08">
      <w:pPr>
        <w:spacing w:after="120" w:line="280" w:lineRule="atLeast"/>
        <w:mirrorIndents/>
        <w:rPr>
          <w:rFonts w:eastAsia="Times New Roman" w:cs="Times New Roman"/>
          <w:noProof/>
          <w:szCs w:val="20"/>
          <w:lang w:val="es-ES_tradnl"/>
        </w:rPr>
      </w:pPr>
      <w:r w:rsidRPr="009E6414">
        <w:rPr>
          <w:noProof/>
          <w:lang w:val="es-ES_tradnl"/>
        </w:rPr>
        <w:t xml:space="preserve">Aparte de los indicadores comunes, los elementos sugeridos no son vinculantes y las partes interesadas en los Estados miembros pueden elaboar sus propios criterios de valoración e indicadores complementarios. </w:t>
      </w:r>
    </w:p>
    <w:p w:rsidR="00A45935" w:rsidRPr="009E6414" w:rsidRDefault="00A45935" w:rsidP="00E05D08">
      <w:pPr>
        <w:spacing w:after="120" w:line="280" w:lineRule="atLeast"/>
        <w:mirrorIndents/>
        <w:rPr>
          <w:rFonts w:eastAsia="Times New Roman" w:cs="Times New Roman"/>
          <w:noProof/>
          <w:szCs w:val="20"/>
          <w:lang w:val="es-ES_tradnl"/>
        </w:rPr>
        <w:sectPr w:rsidR="00A45935" w:rsidRPr="009E6414" w:rsidSect="001F6F07">
          <w:endnotePr>
            <w:numFmt w:val="decimal"/>
          </w:endnotePr>
          <w:type w:val="continuous"/>
          <w:pgSz w:w="11907" w:h="16840" w:code="9"/>
          <w:pgMar w:top="1134" w:right="1440" w:bottom="1440" w:left="1440" w:header="567" w:footer="1020" w:gutter="0"/>
          <w:cols w:space="708"/>
          <w:noEndnote/>
          <w:titlePg/>
          <w:docGrid w:linePitch="435"/>
        </w:sectPr>
      </w:pPr>
    </w:p>
    <w:p w:rsidR="00A45935" w:rsidRPr="009E6414" w:rsidRDefault="00A45935" w:rsidP="009C734C">
      <w:pPr>
        <w:pStyle w:val="HHeadingtables"/>
        <w:rPr>
          <w:noProof/>
          <w:color w:val="6F6F6F"/>
          <w:sz w:val="18"/>
          <w:szCs w:val="18"/>
          <w:lang w:val="es-ES_tradnl"/>
        </w:rPr>
      </w:pPr>
      <w:r w:rsidRPr="009E6414">
        <w:rPr>
          <w:noProof/>
          <w:color w:val="6F6F6F"/>
          <w:sz w:val="18"/>
          <w:lang w:val="es-ES_tradnl"/>
        </w:rPr>
        <w:lastRenderedPageBreak/>
        <w:t xml:space="preserve">Elementos de evaluación vinculados a la PCE n.º 30 </w:t>
      </w:r>
    </w:p>
    <w:p w:rsidR="00A45935" w:rsidRPr="009E6414" w:rsidRDefault="00A45935" w:rsidP="00E05D08">
      <w:pPr>
        <w:spacing w:after="120" w:line="280" w:lineRule="atLeast"/>
        <w:mirrorIndents/>
        <w:rPr>
          <w:rFonts w:eastAsia="Times New Roman" w:cs="Arial"/>
          <w:i/>
          <w:noProof/>
          <w:szCs w:val="20"/>
          <w:lang w:val="es-ES_tradnl"/>
        </w:rPr>
      </w:pPr>
      <w:r w:rsidRPr="009E6414">
        <w:rPr>
          <w:i/>
          <w:noProof/>
          <w:lang w:val="es-ES_tradnl"/>
        </w:rPr>
        <w:t xml:space="preserve">Los elementos de evaluación (subpreguntas, criterios de valoración e indicadores) previstos además de los copiados del documento de trabajo: </w:t>
      </w:r>
      <w:hyperlink r:id="rId82">
        <w:r w:rsidRPr="009E6414">
          <w:rPr>
            <w:rStyle w:val="Hyperlink"/>
            <w:noProof/>
            <w:sz w:val="20"/>
            <w:lang w:val="es-ES_tradnl"/>
          </w:rPr>
          <w:t>Preguntas comunes de evaluación para los PDR 2014-2020</w:t>
        </w:r>
      </w:hyperlink>
      <w:r w:rsidRPr="009E6414">
        <w:rPr>
          <w:noProof/>
          <w:lang w:val="es-ES_tradnl"/>
        </w:rPr>
        <w:t xml:space="preserve"> </w:t>
      </w:r>
      <w:r w:rsidRPr="009E6414">
        <w:rPr>
          <w:i/>
          <w:noProof/>
          <w:lang w:val="es-ES_tradnl"/>
        </w:rPr>
        <w:t>aparecen escritos en «cursiva»</w:t>
      </w:r>
      <w:r w:rsidRPr="009E6414">
        <w:rPr>
          <w:noProof/>
          <w:lang w:val="es-ES_tradnl"/>
        </w:rPr>
        <w:t>.</w:t>
      </w:r>
      <w:r w:rsidRPr="009E6414">
        <w:rPr>
          <w:i/>
          <w:noProof/>
          <w:lang w:val="es-ES_tradnl"/>
        </w:rPr>
        <w:t xml:space="preserve"> </w:t>
      </w:r>
    </w:p>
    <w:tbl>
      <w:tblPr>
        <w:tblStyle w:val="TableGrid1"/>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988"/>
        <w:gridCol w:w="2488"/>
        <w:gridCol w:w="3302"/>
        <w:gridCol w:w="2715"/>
        <w:gridCol w:w="2715"/>
      </w:tblGrid>
      <w:tr w:rsidR="00A45935" w:rsidRPr="009E6414" w:rsidTr="00F73706">
        <w:trPr>
          <w:tblHeader/>
        </w:trPr>
        <w:tc>
          <w:tcPr>
            <w:tcW w:w="2988" w:type="dxa"/>
            <w:shd w:val="clear" w:color="auto" w:fill="F07E31"/>
          </w:tcPr>
          <w:p w:rsidR="00A45935" w:rsidRPr="009E6414" w:rsidRDefault="00A45935" w:rsidP="00E05D08">
            <w:pPr>
              <w:spacing w:after="120" w:line="220" w:lineRule="atLeast"/>
              <w:jc w:val="center"/>
              <w:rPr>
                <w:rFonts w:cs="Arial"/>
                <w:b/>
                <w:noProof/>
                <w:color w:val="FFFFFF"/>
                <w:sz w:val="18"/>
                <w:szCs w:val="18"/>
                <w:lang w:val="es-ES_tradnl"/>
              </w:rPr>
            </w:pPr>
            <w:r w:rsidRPr="009E6414">
              <w:rPr>
                <w:b/>
                <w:noProof/>
                <w:color w:val="FFFFFF"/>
                <w:sz w:val="18"/>
                <w:lang w:val="es-ES_tradnl"/>
              </w:rPr>
              <w:t>Subpreguntas</w:t>
            </w:r>
          </w:p>
        </w:tc>
        <w:tc>
          <w:tcPr>
            <w:tcW w:w="2127" w:type="dxa"/>
            <w:shd w:val="clear" w:color="auto" w:fill="F07E31"/>
          </w:tcPr>
          <w:p w:rsidR="00A45935" w:rsidRPr="009E6414" w:rsidRDefault="00A45935" w:rsidP="00E05D08">
            <w:pPr>
              <w:spacing w:after="120" w:line="220" w:lineRule="atLeast"/>
              <w:jc w:val="center"/>
              <w:rPr>
                <w:rFonts w:cs="Arial"/>
                <w:b/>
                <w:noProof/>
                <w:color w:val="FFFFFF"/>
                <w:sz w:val="18"/>
                <w:szCs w:val="18"/>
                <w:lang w:val="es-ES_tradnl"/>
              </w:rPr>
            </w:pPr>
            <w:r w:rsidRPr="009E6414">
              <w:rPr>
                <w:b/>
                <w:noProof/>
                <w:color w:val="FFFFFF"/>
                <w:sz w:val="18"/>
                <w:lang w:val="es-ES_tradnl"/>
              </w:rPr>
              <w:t>Criterios de valoración</w:t>
            </w:r>
          </w:p>
        </w:tc>
        <w:tc>
          <w:tcPr>
            <w:tcW w:w="3302" w:type="dxa"/>
            <w:shd w:val="clear" w:color="auto" w:fill="F07E31"/>
          </w:tcPr>
          <w:p w:rsidR="00A45935" w:rsidRPr="009E6414" w:rsidRDefault="00A45935" w:rsidP="00E05D08">
            <w:pPr>
              <w:spacing w:after="120" w:line="220" w:lineRule="atLeast"/>
              <w:jc w:val="center"/>
              <w:rPr>
                <w:rFonts w:cs="Arial"/>
                <w:b/>
                <w:noProof/>
                <w:color w:val="FFFFFF"/>
                <w:sz w:val="18"/>
                <w:szCs w:val="18"/>
                <w:lang w:val="es-ES_tradnl"/>
              </w:rPr>
            </w:pPr>
            <w:r w:rsidRPr="009E6414">
              <w:rPr>
                <w:b/>
                <w:noProof/>
                <w:color w:val="FFFFFF"/>
                <w:sz w:val="18"/>
                <w:lang w:val="es-ES_tradnl"/>
              </w:rPr>
              <w:t>Indicadores de resultado</w:t>
            </w:r>
          </w:p>
        </w:tc>
        <w:tc>
          <w:tcPr>
            <w:tcW w:w="2715" w:type="dxa"/>
            <w:shd w:val="clear" w:color="auto" w:fill="F07E31"/>
          </w:tcPr>
          <w:p w:rsidR="00A45935" w:rsidRPr="009E6414" w:rsidRDefault="00A45935" w:rsidP="00E05D08">
            <w:pPr>
              <w:spacing w:after="120" w:line="220" w:lineRule="atLeast"/>
              <w:jc w:val="center"/>
              <w:rPr>
                <w:rFonts w:cs="Arial"/>
                <w:b/>
                <w:noProof/>
                <w:color w:val="FFFFFF"/>
                <w:sz w:val="18"/>
                <w:szCs w:val="18"/>
                <w:lang w:val="es-ES_tradnl"/>
              </w:rPr>
            </w:pPr>
            <w:r w:rsidRPr="009E6414">
              <w:rPr>
                <w:b/>
                <w:noProof/>
                <w:color w:val="FFFFFF"/>
                <w:sz w:val="18"/>
                <w:lang w:val="es-ES_tradnl"/>
              </w:rPr>
              <w:t>Datos e informaciones necesarios</w:t>
            </w:r>
          </w:p>
        </w:tc>
        <w:tc>
          <w:tcPr>
            <w:tcW w:w="2715" w:type="dxa"/>
            <w:shd w:val="clear" w:color="auto" w:fill="F07E31"/>
          </w:tcPr>
          <w:p w:rsidR="00A45935" w:rsidRPr="009E6414" w:rsidRDefault="00A45935" w:rsidP="00E05D08">
            <w:pPr>
              <w:spacing w:after="120" w:line="220" w:lineRule="atLeast"/>
              <w:jc w:val="center"/>
              <w:rPr>
                <w:rFonts w:cs="Arial"/>
                <w:b/>
                <w:noProof/>
                <w:color w:val="FFFFFF"/>
                <w:sz w:val="18"/>
                <w:szCs w:val="18"/>
                <w:lang w:val="es-ES_tradnl"/>
              </w:rPr>
            </w:pPr>
            <w:r w:rsidRPr="009E6414">
              <w:rPr>
                <w:b/>
                <w:noProof/>
                <w:color w:val="FFFFFF"/>
                <w:sz w:val="18"/>
                <w:lang w:val="es-ES_tradnl"/>
              </w:rPr>
              <w:t>Fuentes de datos</w:t>
            </w:r>
          </w:p>
        </w:tc>
      </w:tr>
      <w:tr w:rsidR="00A45935" w:rsidRPr="009E6414" w:rsidTr="00F73706">
        <w:trPr>
          <w:trHeight w:val="1408"/>
        </w:trPr>
        <w:tc>
          <w:tcPr>
            <w:tcW w:w="2988" w:type="dxa"/>
          </w:tcPr>
          <w:p w:rsidR="00A45935" w:rsidRPr="009E6414" w:rsidRDefault="00A45935" w:rsidP="00F73706">
            <w:pPr>
              <w:spacing w:line="220" w:lineRule="atLeast"/>
              <w:jc w:val="left"/>
              <w:rPr>
                <w:rFonts w:cs="Arial"/>
                <w:i/>
                <w:noProof/>
                <w:sz w:val="18"/>
                <w:szCs w:val="16"/>
                <w:lang w:val="es-ES_tradnl"/>
              </w:rPr>
            </w:pPr>
            <w:r w:rsidRPr="009E6414">
              <w:rPr>
                <w:i/>
                <w:noProof/>
                <w:sz w:val="18"/>
                <w:lang w:val="es-ES_tradnl"/>
              </w:rPr>
              <w:t xml:space="preserve">¿En qué medida el PDR ha fomentado la innovación a través de favorecer el potencial innovador (itinerario 1)? </w:t>
            </w:r>
          </w:p>
        </w:tc>
        <w:tc>
          <w:tcPr>
            <w:tcW w:w="2127" w:type="dxa"/>
          </w:tcPr>
          <w:p w:rsidR="00A45935" w:rsidRPr="009E6414" w:rsidRDefault="00A45935" w:rsidP="008A260B">
            <w:pPr>
              <w:spacing w:line="220" w:lineRule="atLeast"/>
              <w:jc w:val="left"/>
              <w:rPr>
                <w:rFonts w:ascii="Helvetica" w:hAnsi="Helvetica"/>
                <w:noProof/>
                <w:sz w:val="18"/>
                <w:lang w:val="es-ES_tradnl"/>
              </w:rPr>
            </w:pPr>
            <w:r w:rsidRPr="009E6414">
              <w:rPr>
                <w:i/>
                <w:noProof/>
                <w:sz w:val="18"/>
                <w:lang w:val="es-ES_tradnl"/>
              </w:rPr>
              <w:t>Criterio de valoración complementario: Adopción de ideas innovadoras, procesos, modelos y/o tecnologías introducidos por el PDR.</w:t>
            </w:r>
          </w:p>
        </w:tc>
        <w:tc>
          <w:tcPr>
            <w:tcW w:w="3302" w:type="dxa"/>
          </w:tcPr>
          <w:p w:rsidR="00A45935" w:rsidRPr="009E6414" w:rsidRDefault="00A45935" w:rsidP="00F73706">
            <w:pPr>
              <w:spacing w:line="220" w:lineRule="atLeast"/>
              <w:jc w:val="left"/>
              <w:rPr>
                <w:rFonts w:cs="Arial"/>
                <w:noProof/>
                <w:sz w:val="18"/>
                <w:szCs w:val="16"/>
                <w:lang w:val="es-ES_tradnl"/>
              </w:rPr>
            </w:pPr>
            <w:r w:rsidRPr="009E6414">
              <w:rPr>
                <w:noProof/>
                <w:sz w:val="18"/>
                <w:lang w:val="es-ES_tradnl"/>
              </w:rPr>
              <w:t xml:space="preserve">T1: porcentaje del gasto en virtud de los artículos 14,15 y 35 del Reglamento (UE) n.º 1305/2013 en relación con el gasto total del PDR. </w:t>
            </w:r>
          </w:p>
          <w:p w:rsidR="00A45935" w:rsidRPr="009E6414" w:rsidRDefault="00A45935" w:rsidP="00F73706">
            <w:pPr>
              <w:spacing w:line="220" w:lineRule="atLeast"/>
              <w:jc w:val="left"/>
              <w:rPr>
                <w:rFonts w:cs="Arial"/>
                <w:noProof/>
                <w:sz w:val="18"/>
                <w:szCs w:val="16"/>
                <w:lang w:val="es-ES_tradnl"/>
              </w:rPr>
            </w:pPr>
          </w:p>
          <w:p w:rsidR="00A45935" w:rsidRPr="009E6414" w:rsidRDefault="00A45935" w:rsidP="00F73706">
            <w:pPr>
              <w:spacing w:line="220" w:lineRule="atLeast"/>
              <w:jc w:val="left"/>
              <w:rPr>
                <w:rFonts w:cs="Arial"/>
                <w:noProof/>
                <w:sz w:val="18"/>
                <w:szCs w:val="16"/>
                <w:lang w:val="es-ES_tradnl"/>
              </w:rPr>
            </w:pPr>
            <w:r w:rsidRPr="009E6414">
              <w:rPr>
                <w:noProof/>
                <w:sz w:val="18"/>
                <w:lang w:val="es-ES_tradnl"/>
              </w:rPr>
              <w:t>Número de acciones innovadoras subvencionadas ejecutadas y difundidas por GO de la AEI.</w:t>
            </w:r>
          </w:p>
          <w:p w:rsidR="001275FF" w:rsidRPr="009E6414" w:rsidRDefault="001275FF" w:rsidP="00F73706">
            <w:pPr>
              <w:spacing w:line="220" w:lineRule="atLeast"/>
              <w:jc w:val="left"/>
              <w:rPr>
                <w:rFonts w:cs="Arial"/>
                <w:noProof/>
                <w:sz w:val="18"/>
                <w:szCs w:val="16"/>
                <w:lang w:val="es-ES_tradnl"/>
              </w:rPr>
            </w:pPr>
          </w:p>
          <w:p w:rsidR="00A45935" w:rsidRPr="009E6414" w:rsidRDefault="00A45935" w:rsidP="00F73706">
            <w:pPr>
              <w:spacing w:line="220" w:lineRule="atLeast"/>
              <w:jc w:val="left"/>
              <w:rPr>
                <w:rFonts w:cs="Arial"/>
                <w:i/>
                <w:noProof/>
                <w:sz w:val="18"/>
                <w:szCs w:val="16"/>
                <w:lang w:val="es-ES_tradnl"/>
              </w:rPr>
            </w:pPr>
            <w:r w:rsidRPr="009E6414">
              <w:rPr>
                <w:i/>
                <w:noProof/>
                <w:color w:val="57825E"/>
                <w:sz w:val="18"/>
                <w:u w:val="single"/>
                <w:lang w:val="es-ES_tradnl"/>
              </w:rPr>
              <w:t>Indicador de resultados complementario:</w:t>
            </w:r>
            <w:r w:rsidRPr="009E6414">
              <w:rPr>
                <w:i/>
                <w:noProof/>
                <w:color w:val="57825E"/>
                <w:sz w:val="18"/>
                <w:lang w:val="es-ES_tradnl"/>
              </w:rPr>
              <w:t xml:space="preserve"> Nivel de adopción de nuevas ideas, procesos, modelos y/o tecnologías presentados por las partes interesadas. </w:t>
            </w:r>
          </w:p>
        </w:tc>
        <w:tc>
          <w:tcPr>
            <w:tcW w:w="2715" w:type="dxa"/>
          </w:tcPr>
          <w:p w:rsidR="00A45935" w:rsidRPr="009E6414" w:rsidRDefault="00A45935" w:rsidP="00F73706">
            <w:pPr>
              <w:spacing w:line="220" w:lineRule="atLeast"/>
              <w:jc w:val="left"/>
              <w:rPr>
                <w:rFonts w:cs="Arial"/>
                <w:noProof/>
                <w:sz w:val="18"/>
                <w:szCs w:val="16"/>
                <w:lang w:val="es-ES_tradnl"/>
              </w:rPr>
            </w:pPr>
            <w:r w:rsidRPr="009E6414">
              <w:rPr>
                <w:noProof/>
                <w:sz w:val="18"/>
                <w:lang w:val="es-ES_tradnl"/>
              </w:rPr>
              <w:t>Datos sobre los gastos de las operaciones ejecutadas en el marco de las medidas 1, 2 y 16.</w:t>
            </w:r>
          </w:p>
          <w:p w:rsidR="00A45935" w:rsidRPr="009E6414" w:rsidRDefault="00A45935" w:rsidP="00F73706">
            <w:pPr>
              <w:spacing w:line="220" w:lineRule="atLeast"/>
              <w:jc w:val="left"/>
              <w:rPr>
                <w:rFonts w:cs="Arial"/>
                <w:noProof/>
                <w:sz w:val="18"/>
                <w:szCs w:val="16"/>
                <w:lang w:val="es-ES_tradnl"/>
              </w:rPr>
            </w:pPr>
          </w:p>
          <w:p w:rsidR="00A45935" w:rsidRPr="009E6414" w:rsidRDefault="00A45935" w:rsidP="00F73706">
            <w:pPr>
              <w:spacing w:line="220" w:lineRule="atLeast"/>
              <w:jc w:val="left"/>
              <w:rPr>
                <w:rFonts w:cs="Arial"/>
                <w:noProof/>
                <w:sz w:val="18"/>
                <w:szCs w:val="16"/>
                <w:lang w:val="es-ES_tradnl"/>
              </w:rPr>
            </w:pPr>
          </w:p>
          <w:p w:rsidR="00A45935" w:rsidRPr="009E6414" w:rsidRDefault="00A45935" w:rsidP="00F73706">
            <w:pPr>
              <w:spacing w:line="220" w:lineRule="atLeast"/>
              <w:jc w:val="left"/>
              <w:rPr>
                <w:rFonts w:cs="Arial"/>
                <w:noProof/>
                <w:sz w:val="18"/>
                <w:szCs w:val="16"/>
                <w:lang w:val="es-ES_tradnl"/>
              </w:rPr>
            </w:pPr>
            <w:r w:rsidRPr="009E6414">
              <w:rPr>
                <w:noProof/>
                <w:sz w:val="18"/>
                <w:lang w:val="es-ES_tradnl"/>
              </w:rPr>
              <w:t xml:space="preserve">Datos sobre acciones innovadoras ejecutadas por el GO de la AEI. </w:t>
            </w:r>
          </w:p>
          <w:p w:rsidR="00A45935" w:rsidRPr="009E6414" w:rsidRDefault="00A45935" w:rsidP="00F73706">
            <w:pPr>
              <w:spacing w:line="220" w:lineRule="atLeast"/>
              <w:jc w:val="left"/>
              <w:rPr>
                <w:rFonts w:cs="Arial"/>
                <w:noProof/>
                <w:sz w:val="18"/>
                <w:szCs w:val="16"/>
                <w:lang w:val="es-ES_tradnl"/>
              </w:rPr>
            </w:pPr>
          </w:p>
          <w:p w:rsidR="00A45935" w:rsidRPr="009E6414" w:rsidRDefault="00A45935" w:rsidP="00F73706">
            <w:pPr>
              <w:spacing w:line="220" w:lineRule="atLeast"/>
              <w:jc w:val="left"/>
              <w:rPr>
                <w:rFonts w:cs="Arial"/>
                <w:noProof/>
                <w:sz w:val="18"/>
                <w:szCs w:val="16"/>
                <w:lang w:val="es-ES_tradnl"/>
              </w:rPr>
            </w:pPr>
          </w:p>
          <w:p w:rsidR="00A45935" w:rsidRPr="009E6414" w:rsidRDefault="00A45935" w:rsidP="00F73706">
            <w:pPr>
              <w:spacing w:line="220" w:lineRule="atLeast"/>
              <w:jc w:val="left"/>
              <w:rPr>
                <w:rFonts w:cs="Arial"/>
                <w:noProof/>
                <w:sz w:val="18"/>
                <w:szCs w:val="16"/>
                <w:lang w:val="es-ES_tradnl"/>
              </w:rPr>
            </w:pPr>
            <w:r w:rsidRPr="009E6414">
              <w:rPr>
                <w:noProof/>
                <w:sz w:val="18"/>
                <w:lang w:val="es-ES_tradnl"/>
              </w:rPr>
              <w:t xml:space="preserve">Datos e información sobre ideas, modelos y tecnologías innovadores generados. </w:t>
            </w:r>
          </w:p>
        </w:tc>
        <w:tc>
          <w:tcPr>
            <w:tcW w:w="2715" w:type="dxa"/>
          </w:tcPr>
          <w:p w:rsidR="00A45935" w:rsidRPr="009E6414" w:rsidRDefault="00A45935" w:rsidP="00F73706">
            <w:pPr>
              <w:spacing w:line="220" w:lineRule="atLeast"/>
              <w:jc w:val="left"/>
              <w:rPr>
                <w:rFonts w:cs="Arial"/>
                <w:noProof/>
                <w:sz w:val="18"/>
                <w:szCs w:val="16"/>
                <w:lang w:val="es-ES_tradnl"/>
              </w:rPr>
            </w:pPr>
            <w:r w:rsidRPr="009E6414">
              <w:rPr>
                <w:noProof/>
                <w:sz w:val="18"/>
                <w:lang w:val="es-ES_tradnl"/>
              </w:rPr>
              <w:t xml:space="preserve">Sistema de seguimiento del PDR. </w:t>
            </w:r>
          </w:p>
          <w:p w:rsidR="00A45935" w:rsidRPr="009E6414" w:rsidRDefault="00A45935" w:rsidP="00F73706">
            <w:pPr>
              <w:spacing w:line="220" w:lineRule="atLeast"/>
              <w:jc w:val="left"/>
              <w:rPr>
                <w:rFonts w:cs="Arial"/>
                <w:noProof/>
                <w:sz w:val="18"/>
                <w:szCs w:val="16"/>
                <w:lang w:val="es-ES_tradnl"/>
              </w:rPr>
            </w:pPr>
          </w:p>
          <w:p w:rsidR="00A45935" w:rsidRPr="009E6414" w:rsidRDefault="00A45935" w:rsidP="00F73706">
            <w:pPr>
              <w:spacing w:line="220" w:lineRule="atLeast"/>
              <w:jc w:val="left"/>
              <w:rPr>
                <w:rFonts w:cs="Arial"/>
                <w:noProof/>
                <w:sz w:val="18"/>
                <w:szCs w:val="16"/>
                <w:lang w:val="es-ES_tradnl"/>
              </w:rPr>
            </w:pPr>
          </w:p>
          <w:p w:rsidR="00A45935" w:rsidRPr="009E6414" w:rsidRDefault="00A45935" w:rsidP="00F73706">
            <w:pPr>
              <w:spacing w:line="220" w:lineRule="atLeast"/>
              <w:jc w:val="left"/>
              <w:rPr>
                <w:rFonts w:cs="Arial"/>
                <w:noProof/>
                <w:sz w:val="18"/>
                <w:szCs w:val="16"/>
                <w:lang w:val="es-ES_tradnl"/>
              </w:rPr>
            </w:pPr>
          </w:p>
          <w:p w:rsidR="00A45935" w:rsidRPr="009E6414" w:rsidRDefault="00A45935" w:rsidP="00F73706">
            <w:pPr>
              <w:spacing w:line="220" w:lineRule="atLeast"/>
              <w:jc w:val="left"/>
              <w:rPr>
                <w:rFonts w:cs="Arial"/>
                <w:noProof/>
                <w:sz w:val="18"/>
                <w:szCs w:val="16"/>
                <w:lang w:val="es-ES_tradnl"/>
              </w:rPr>
            </w:pPr>
          </w:p>
          <w:p w:rsidR="00A45935" w:rsidRPr="009E6414" w:rsidRDefault="00A45935" w:rsidP="00F73706">
            <w:pPr>
              <w:spacing w:line="220" w:lineRule="atLeast"/>
              <w:jc w:val="left"/>
              <w:rPr>
                <w:rFonts w:cs="Arial"/>
                <w:noProof/>
                <w:sz w:val="18"/>
                <w:szCs w:val="16"/>
                <w:lang w:val="es-ES_tradnl"/>
              </w:rPr>
            </w:pPr>
          </w:p>
          <w:p w:rsidR="00A45935" w:rsidRPr="009E6414" w:rsidRDefault="00A45935" w:rsidP="00F73706">
            <w:pPr>
              <w:spacing w:line="220" w:lineRule="atLeast"/>
              <w:jc w:val="left"/>
              <w:rPr>
                <w:rFonts w:cs="Arial"/>
                <w:noProof/>
                <w:sz w:val="18"/>
                <w:szCs w:val="16"/>
                <w:lang w:val="es-ES_tradnl"/>
              </w:rPr>
            </w:pPr>
            <w:r w:rsidRPr="009E6414">
              <w:rPr>
                <w:noProof/>
                <w:sz w:val="18"/>
                <w:lang w:val="es-ES_tradnl"/>
              </w:rPr>
              <w:t>Sistema de seguimiento del PDR y entrevistas.</w:t>
            </w:r>
          </w:p>
          <w:p w:rsidR="00A45935" w:rsidRPr="009E6414" w:rsidRDefault="00A45935" w:rsidP="00F73706">
            <w:pPr>
              <w:spacing w:line="220" w:lineRule="atLeast"/>
              <w:jc w:val="left"/>
              <w:rPr>
                <w:rFonts w:cs="Arial"/>
                <w:noProof/>
                <w:sz w:val="18"/>
                <w:szCs w:val="16"/>
                <w:lang w:val="es-ES_tradnl"/>
              </w:rPr>
            </w:pPr>
          </w:p>
          <w:p w:rsidR="00A45935" w:rsidRPr="009E6414" w:rsidRDefault="00A45935" w:rsidP="00F73706">
            <w:pPr>
              <w:spacing w:line="220" w:lineRule="atLeast"/>
              <w:jc w:val="left"/>
              <w:rPr>
                <w:rFonts w:cs="Arial"/>
                <w:noProof/>
                <w:sz w:val="18"/>
                <w:szCs w:val="16"/>
                <w:lang w:val="es-ES_tradnl"/>
              </w:rPr>
            </w:pPr>
          </w:p>
          <w:p w:rsidR="00A45935" w:rsidRPr="009E6414" w:rsidRDefault="00A45935" w:rsidP="00F73706">
            <w:pPr>
              <w:spacing w:line="220" w:lineRule="atLeast"/>
              <w:jc w:val="left"/>
              <w:rPr>
                <w:rFonts w:cs="Arial"/>
                <w:noProof/>
                <w:sz w:val="18"/>
                <w:szCs w:val="16"/>
                <w:lang w:val="es-ES_tradnl"/>
              </w:rPr>
            </w:pPr>
          </w:p>
          <w:p w:rsidR="00A45935" w:rsidRPr="009E6414" w:rsidRDefault="00A45935" w:rsidP="00F73706">
            <w:pPr>
              <w:spacing w:line="220" w:lineRule="atLeast"/>
              <w:jc w:val="left"/>
              <w:rPr>
                <w:rFonts w:cs="Arial"/>
                <w:noProof/>
                <w:sz w:val="18"/>
                <w:szCs w:val="16"/>
                <w:lang w:val="es-ES_tradnl"/>
              </w:rPr>
            </w:pPr>
            <w:r w:rsidRPr="009E6414">
              <w:rPr>
                <w:noProof/>
                <w:sz w:val="18"/>
                <w:lang w:val="es-ES_tradnl"/>
              </w:rPr>
              <w:t>Sistema de seguimiento del PDR, encuestas y entrevistas.</w:t>
            </w:r>
          </w:p>
        </w:tc>
      </w:tr>
      <w:tr w:rsidR="00A45935" w:rsidRPr="009E6414" w:rsidTr="00F73706">
        <w:tc>
          <w:tcPr>
            <w:tcW w:w="2988" w:type="dxa"/>
          </w:tcPr>
          <w:p w:rsidR="00A45935" w:rsidRPr="009E6414" w:rsidRDefault="00A45935" w:rsidP="00F73706">
            <w:pPr>
              <w:spacing w:line="220" w:lineRule="atLeast"/>
              <w:jc w:val="left"/>
              <w:rPr>
                <w:rFonts w:cs="Arial"/>
                <w:i/>
                <w:noProof/>
                <w:sz w:val="18"/>
                <w:szCs w:val="16"/>
                <w:lang w:val="es-ES_tradnl"/>
              </w:rPr>
            </w:pPr>
            <w:r w:rsidRPr="009E6414">
              <w:rPr>
                <w:i/>
                <w:noProof/>
                <w:sz w:val="18"/>
                <w:lang w:val="es-ES_tradnl"/>
              </w:rPr>
              <w:t>¿En qué medida el PDR ha fomentado la innovación mediante la consolidación de la capacidad para innovar (Vía 2)?</w:t>
            </w:r>
          </w:p>
        </w:tc>
        <w:tc>
          <w:tcPr>
            <w:tcW w:w="2127" w:type="dxa"/>
          </w:tcPr>
          <w:p w:rsidR="00A45935" w:rsidRPr="009E6414" w:rsidRDefault="00A45935" w:rsidP="00F73706">
            <w:pPr>
              <w:spacing w:line="220" w:lineRule="atLeast"/>
              <w:jc w:val="left"/>
              <w:rPr>
                <w:rFonts w:eastAsia="Calibri" w:cs="Arial"/>
                <w:i/>
                <w:noProof/>
                <w:sz w:val="18"/>
                <w:szCs w:val="16"/>
                <w:lang w:val="es-ES_tradnl"/>
              </w:rPr>
            </w:pPr>
            <w:r w:rsidRPr="009E6414">
              <w:rPr>
                <w:i/>
                <w:noProof/>
                <w:sz w:val="18"/>
                <w:lang w:val="es-ES_tradnl"/>
              </w:rPr>
              <w:t xml:space="preserve">Criterio de valoración complementario: El PDR aumentó los vínculos funcionales entre diferentes tipos de agentes. </w:t>
            </w:r>
          </w:p>
          <w:p w:rsidR="00A45935" w:rsidRPr="009E6414" w:rsidRDefault="00A45935" w:rsidP="00F73706">
            <w:pPr>
              <w:spacing w:line="220" w:lineRule="atLeast"/>
              <w:jc w:val="left"/>
              <w:rPr>
                <w:rFonts w:eastAsia="Calibri" w:cs="Arial"/>
                <w:i/>
                <w:noProof/>
                <w:sz w:val="18"/>
                <w:szCs w:val="16"/>
                <w:lang w:val="es-ES_tradnl"/>
              </w:rPr>
            </w:pPr>
          </w:p>
          <w:p w:rsidR="00A45935" w:rsidRPr="009E6414" w:rsidRDefault="00A45935" w:rsidP="00F73706">
            <w:pPr>
              <w:spacing w:line="220" w:lineRule="atLeast"/>
              <w:jc w:val="left"/>
              <w:rPr>
                <w:rFonts w:eastAsia="Calibri" w:cs="Arial"/>
                <w:i/>
                <w:noProof/>
                <w:sz w:val="18"/>
                <w:szCs w:val="16"/>
                <w:lang w:val="es-ES_tradnl"/>
              </w:rPr>
            </w:pPr>
          </w:p>
          <w:p w:rsidR="00A45935" w:rsidRPr="009E6414" w:rsidRDefault="00A45935" w:rsidP="00F73706">
            <w:pPr>
              <w:spacing w:line="220" w:lineRule="atLeast"/>
              <w:jc w:val="left"/>
              <w:rPr>
                <w:rFonts w:eastAsia="Calibri" w:cs="Arial"/>
                <w:i/>
                <w:noProof/>
                <w:sz w:val="18"/>
                <w:szCs w:val="16"/>
                <w:lang w:val="es-ES_tradnl"/>
              </w:rPr>
            </w:pPr>
          </w:p>
          <w:p w:rsidR="00A45935" w:rsidRPr="009E6414" w:rsidRDefault="00A45935" w:rsidP="00F73706">
            <w:pPr>
              <w:spacing w:line="220" w:lineRule="atLeast"/>
              <w:jc w:val="left"/>
              <w:rPr>
                <w:rFonts w:eastAsia="Calibri" w:cs="Arial"/>
                <w:i/>
                <w:noProof/>
                <w:sz w:val="18"/>
                <w:szCs w:val="16"/>
                <w:lang w:val="es-ES_tradnl"/>
              </w:rPr>
            </w:pPr>
          </w:p>
          <w:p w:rsidR="00A45935" w:rsidRPr="009E6414" w:rsidRDefault="00A45935" w:rsidP="00F73706">
            <w:pPr>
              <w:spacing w:line="220" w:lineRule="atLeast"/>
              <w:jc w:val="left"/>
              <w:rPr>
                <w:rFonts w:eastAsia="Calibri" w:cs="Arial"/>
                <w:i/>
                <w:noProof/>
                <w:sz w:val="18"/>
                <w:szCs w:val="16"/>
                <w:lang w:val="es-ES_tradnl"/>
              </w:rPr>
            </w:pPr>
            <w:r w:rsidRPr="009E6414">
              <w:rPr>
                <w:i/>
                <w:noProof/>
                <w:sz w:val="18"/>
                <w:lang w:val="es-ES_tradnl"/>
              </w:rPr>
              <w:t>Criterio de valoración complementario: Se han creado y reforzado plataformas de aprendizaje y otros tipos de espacios institucionales que permiten el intercambio, la reflexión y el aprendizaje.</w:t>
            </w:r>
          </w:p>
          <w:p w:rsidR="00A45935" w:rsidRPr="009E6414" w:rsidRDefault="00A45935" w:rsidP="00F73706">
            <w:pPr>
              <w:spacing w:line="220" w:lineRule="atLeast"/>
              <w:jc w:val="left"/>
              <w:rPr>
                <w:rFonts w:eastAsia="Calibri" w:cs="Arial"/>
                <w:i/>
                <w:noProof/>
                <w:sz w:val="18"/>
                <w:szCs w:val="16"/>
                <w:lang w:val="es-ES_tradnl"/>
              </w:rPr>
            </w:pPr>
          </w:p>
          <w:p w:rsidR="00A45935" w:rsidRPr="009E6414" w:rsidRDefault="00A45935" w:rsidP="00F73706">
            <w:pPr>
              <w:spacing w:line="220" w:lineRule="atLeast"/>
              <w:jc w:val="left"/>
              <w:rPr>
                <w:rFonts w:cs="Arial"/>
                <w:noProof/>
                <w:sz w:val="18"/>
                <w:szCs w:val="16"/>
                <w:lang w:val="es-ES_tradnl"/>
              </w:rPr>
            </w:pPr>
            <w:r w:rsidRPr="009E6414">
              <w:rPr>
                <w:i/>
                <w:noProof/>
                <w:sz w:val="18"/>
                <w:lang w:val="es-ES_tradnl"/>
              </w:rPr>
              <w:t xml:space="preserve">Criterio de valoración </w:t>
            </w:r>
            <w:r w:rsidRPr="009E6414">
              <w:rPr>
                <w:i/>
                <w:noProof/>
                <w:sz w:val="18"/>
                <w:lang w:val="es-ES_tradnl"/>
              </w:rPr>
              <w:lastRenderedPageBreak/>
              <w:t xml:space="preserve">complementario: En el sistema de innovación en el que se ha producido el cambio ha mejorado el flujo de información entre diversos agentes. </w:t>
            </w:r>
          </w:p>
        </w:tc>
        <w:tc>
          <w:tcPr>
            <w:tcW w:w="3302" w:type="dxa"/>
          </w:tcPr>
          <w:p w:rsidR="00A45935" w:rsidRPr="009E6414" w:rsidRDefault="00A45935" w:rsidP="00F73706">
            <w:pPr>
              <w:spacing w:line="220" w:lineRule="atLeast"/>
              <w:jc w:val="left"/>
              <w:rPr>
                <w:rFonts w:eastAsia="Calibri" w:cs="Arial"/>
                <w:i/>
                <w:noProof/>
                <w:color w:val="57825E"/>
                <w:sz w:val="18"/>
                <w:szCs w:val="16"/>
                <w:lang w:val="es-ES_tradnl"/>
              </w:rPr>
            </w:pPr>
            <w:r w:rsidRPr="009E6414">
              <w:rPr>
                <w:i/>
                <w:noProof/>
                <w:color w:val="57825E"/>
                <w:sz w:val="18"/>
                <w:u w:val="single"/>
                <w:lang w:val="es-ES_tradnl"/>
              </w:rPr>
              <w:lastRenderedPageBreak/>
              <w:t>Indicador de resultados complementario:</w:t>
            </w:r>
            <w:r w:rsidRPr="009E6414">
              <w:rPr>
                <w:i/>
                <w:noProof/>
                <w:color w:val="57825E"/>
                <w:sz w:val="18"/>
                <w:lang w:val="es-ES_tradnl"/>
              </w:rPr>
              <w:t xml:space="preserve"> Número de asociaciones formales auspiciadas por el PDR vinculadas a los cambios en las prioridades de desarrollo rural a los que el PDR ha contribuido. </w:t>
            </w:r>
          </w:p>
          <w:p w:rsidR="00A45935" w:rsidRPr="009E6414" w:rsidRDefault="00A45935" w:rsidP="00F73706">
            <w:pPr>
              <w:spacing w:line="220" w:lineRule="atLeast"/>
              <w:jc w:val="left"/>
              <w:rPr>
                <w:rFonts w:eastAsia="Calibri" w:cs="Arial"/>
                <w:i/>
                <w:noProof/>
                <w:color w:val="57825E"/>
                <w:sz w:val="18"/>
                <w:szCs w:val="16"/>
                <w:lang w:val="es-ES_tradnl"/>
              </w:rPr>
            </w:pPr>
          </w:p>
          <w:p w:rsidR="00A45935" w:rsidRPr="009E6414" w:rsidRDefault="00A45935" w:rsidP="00F73706">
            <w:pPr>
              <w:spacing w:line="220" w:lineRule="atLeast"/>
              <w:jc w:val="left"/>
              <w:rPr>
                <w:rFonts w:cs="Arial"/>
                <w:noProof/>
                <w:sz w:val="18"/>
                <w:szCs w:val="16"/>
                <w:lang w:val="es-ES_tradnl"/>
              </w:rPr>
            </w:pPr>
            <w:r w:rsidRPr="009E6414">
              <w:rPr>
                <w:noProof/>
                <w:sz w:val="18"/>
                <w:lang w:val="es-ES_tradnl"/>
              </w:rPr>
              <w:t xml:space="preserve">Aumento porcentual en número y tipos de socios involucrados en proyectos de cooperación (DT sobre las PCE para los PDR 2014-2020). </w:t>
            </w:r>
          </w:p>
          <w:p w:rsidR="00A45935" w:rsidRPr="009E6414" w:rsidRDefault="00A45935" w:rsidP="00F73706">
            <w:pPr>
              <w:spacing w:line="220" w:lineRule="atLeast"/>
              <w:jc w:val="left"/>
              <w:rPr>
                <w:rFonts w:cs="Arial"/>
                <w:noProof/>
                <w:color w:val="57825E"/>
                <w:sz w:val="18"/>
                <w:szCs w:val="16"/>
                <w:lang w:val="es-ES_tradnl"/>
              </w:rPr>
            </w:pPr>
          </w:p>
          <w:p w:rsidR="00A45935" w:rsidRPr="009E6414" w:rsidRDefault="00A45935" w:rsidP="00F73706">
            <w:pPr>
              <w:spacing w:line="220" w:lineRule="atLeast"/>
              <w:jc w:val="left"/>
              <w:rPr>
                <w:rFonts w:eastAsia="Calibri" w:cs="Arial"/>
                <w:noProof/>
                <w:color w:val="57825E"/>
                <w:sz w:val="18"/>
                <w:szCs w:val="16"/>
                <w:lang w:val="es-ES_tradnl"/>
              </w:rPr>
            </w:pPr>
            <w:r w:rsidRPr="009E6414">
              <w:rPr>
                <w:i/>
                <w:noProof/>
                <w:color w:val="57825E"/>
                <w:sz w:val="18"/>
                <w:u w:val="single"/>
                <w:lang w:val="es-ES_tradnl"/>
              </w:rPr>
              <w:t>Indicador de resultados complementario:</w:t>
            </w:r>
            <w:r w:rsidRPr="009E6414">
              <w:rPr>
                <w:i/>
                <w:noProof/>
                <w:color w:val="57825E"/>
                <w:sz w:val="18"/>
                <w:lang w:val="es-ES_tradnl"/>
              </w:rPr>
              <w:t xml:space="preserve"> Número y calidad de las plataformas y de los «espacios» de apoyo a la innovación creados o reforzados por el PDR, por ejemplo, comunidades de prácticas, plataformas de innovación, eventos </w:t>
            </w:r>
            <w:r w:rsidRPr="009E6414">
              <w:rPr>
                <w:i/>
                <w:noProof/>
                <w:color w:val="57825E"/>
                <w:sz w:val="18"/>
                <w:lang w:val="es-ES_tradnl"/>
              </w:rPr>
              <w:lastRenderedPageBreak/>
              <w:t xml:space="preserve">celebrados para la reflexión y el aprendizaje. </w:t>
            </w:r>
          </w:p>
          <w:p w:rsidR="00560E46" w:rsidRPr="009E6414" w:rsidRDefault="00560E46" w:rsidP="00F73706">
            <w:pPr>
              <w:spacing w:line="220" w:lineRule="atLeast"/>
              <w:jc w:val="left"/>
              <w:rPr>
                <w:rFonts w:eastAsia="Calibri" w:cs="Arial"/>
                <w:noProof/>
                <w:color w:val="57825E"/>
                <w:sz w:val="18"/>
                <w:szCs w:val="16"/>
                <w:lang w:val="es-ES_tradnl"/>
              </w:rPr>
            </w:pPr>
          </w:p>
          <w:p w:rsidR="00A45935" w:rsidRPr="009E6414" w:rsidRDefault="00A45935" w:rsidP="00F73706">
            <w:pPr>
              <w:spacing w:line="220" w:lineRule="atLeast"/>
              <w:jc w:val="left"/>
              <w:rPr>
                <w:rFonts w:eastAsia="Calibri" w:cs="Arial"/>
                <w:i/>
                <w:noProof/>
                <w:color w:val="57825E"/>
                <w:sz w:val="18"/>
                <w:szCs w:val="16"/>
                <w:lang w:val="es-ES_tradnl"/>
              </w:rPr>
            </w:pPr>
            <w:r w:rsidRPr="009E6414">
              <w:rPr>
                <w:i/>
                <w:noProof/>
                <w:color w:val="57825E"/>
                <w:sz w:val="18"/>
                <w:u w:val="single"/>
                <w:lang w:val="es-ES_tradnl"/>
              </w:rPr>
              <w:t xml:space="preserve">Indicador de resultados complementario: </w:t>
            </w:r>
            <w:r w:rsidRPr="009E6414">
              <w:rPr>
                <w:i/>
                <w:noProof/>
                <w:color w:val="57825E"/>
                <w:sz w:val="18"/>
                <w:lang w:val="es-ES_tradnl"/>
              </w:rPr>
              <w:t xml:space="preserve">Disminución de la longitud media de la ruta de red y de la diversidad de la red (medidas de análisis de redes sociales). </w:t>
            </w:r>
          </w:p>
        </w:tc>
        <w:tc>
          <w:tcPr>
            <w:tcW w:w="2715" w:type="dxa"/>
          </w:tcPr>
          <w:p w:rsidR="00A45935" w:rsidRPr="009E6414" w:rsidRDefault="00A45935" w:rsidP="00F73706">
            <w:pPr>
              <w:spacing w:line="220" w:lineRule="atLeast"/>
              <w:jc w:val="left"/>
              <w:rPr>
                <w:rFonts w:eastAsia="Calibri" w:cs="Arial"/>
                <w:noProof/>
                <w:sz w:val="18"/>
                <w:szCs w:val="16"/>
                <w:lang w:val="es-ES_tradnl"/>
              </w:rPr>
            </w:pPr>
            <w:r w:rsidRPr="009E6414">
              <w:rPr>
                <w:noProof/>
                <w:sz w:val="18"/>
                <w:lang w:val="es-ES_tradnl"/>
              </w:rPr>
              <w:lastRenderedPageBreak/>
              <w:t>Información sobre relaciones formales.</w:t>
            </w:r>
          </w:p>
          <w:p w:rsidR="00A45935" w:rsidRPr="009E6414" w:rsidRDefault="00A45935" w:rsidP="00F73706">
            <w:pPr>
              <w:spacing w:line="220" w:lineRule="atLeast"/>
              <w:jc w:val="left"/>
              <w:rPr>
                <w:rFonts w:eastAsia="Calibri" w:cs="Arial"/>
                <w:noProof/>
                <w:sz w:val="18"/>
                <w:szCs w:val="16"/>
                <w:lang w:val="es-ES_tradnl"/>
              </w:rPr>
            </w:pPr>
          </w:p>
          <w:p w:rsidR="00A45935" w:rsidRPr="009E6414" w:rsidRDefault="00A45935" w:rsidP="00F73706">
            <w:pPr>
              <w:spacing w:line="220" w:lineRule="atLeast"/>
              <w:jc w:val="left"/>
              <w:rPr>
                <w:rFonts w:eastAsia="Calibri" w:cs="Arial"/>
                <w:noProof/>
                <w:sz w:val="18"/>
                <w:szCs w:val="16"/>
                <w:lang w:val="es-ES_tradnl"/>
              </w:rPr>
            </w:pPr>
          </w:p>
          <w:p w:rsidR="00A45935" w:rsidRPr="009E6414" w:rsidRDefault="00A45935" w:rsidP="00F73706">
            <w:pPr>
              <w:spacing w:line="220" w:lineRule="atLeast"/>
              <w:jc w:val="left"/>
              <w:rPr>
                <w:rFonts w:eastAsia="Calibri" w:cs="Arial"/>
                <w:noProof/>
                <w:sz w:val="18"/>
                <w:szCs w:val="16"/>
                <w:lang w:val="es-ES_tradnl"/>
              </w:rPr>
            </w:pPr>
          </w:p>
          <w:p w:rsidR="00A45935" w:rsidRPr="009E6414" w:rsidRDefault="00A45935" w:rsidP="00F73706">
            <w:pPr>
              <w:spacing w:line="220" w:lineRule="atLeast"/>
              <w:jc w:val="left"/>
              <w:rPr>
                <w:rFonts w:eastAsia="Calibri" w:cs="Arial"/>
                <w:noProof/>
                <w:sz w:val="18"/>
                <w:szCs w:val="16"/>
                <w:lang w:val="es-ES_tradnl"/>
              </w:rPr>
            </w:pPr>
          </w:p>
          <w:p w:rsidR="00A45935" w:rsidRPr="009E6414" w:rsidRDefault="00A45935" w:rsidP="00F73706">
            <w:pPr>
              <w:spacing w:line="220" w:lineRule="atLeast"/>
              <w:jc w:val="left"/>
              <w:rPr>
                <w:rFonts w:eastAsia="Calibri" w:cs="Arial"/>
                <w:noProof/>
                <w:sz w:val="18"/>
                <w:szCs w:val="16"/>
                <w:lang w:val="es-ES_tradnl"/>
              </w:rPr>
            </w:pPr>
            <w:r w:rsidRPr="009E6414">
              <w:rPr>
                <w:noProof/>
                <w:sz w:val="18"/>
                <w:lang w:val="es-ES_tradnl"/>
              </w:rPr>
              <w:t xml:space="preserve">Datos sobre número y tipo de socios en proyectos de cooperación. </w:t>
            </w:r>
          </w:p>
          <w:p w:rsidR="00A45935" w:rsidRPr="009E6414" w:rsidRDefault="00A45935" w:rsidP="00F73706">
            <w:pPr>
              <w:spacing w:line="220" w:lineRule="atLeast"/>
              <w:jc w:val="left"/>
              <w:rPr>
                <w:rFonts w:eastAsia="Calibri" w:cs="Arial"/>
                <w:noProof/>
                <w:sz w:val="18"/>
                <w:szCs w:val="16"/>
                <w:lang w:val="es-ES_tradnl"/>
              </w:rPr>
            </w:pPr>
          </w:p>
          <w:p w:rsidR="00A45935" w:rsidRPr="009E6414" w:rsidRDefault="00A45935" w:rsidP="00F73706">
            <w:pPr>
              <w:spacing w:line="220" w:lineRule="atLeast"/>
              <w:jc w:val="left"/>
              <w:rPr>
                <w:rFonts w:eastAsia="Calibri" w:cs="Arial"/>
                <w:noProof/>
                <w:sz w:val="18"/>
                <w:szCs w:val="16"/>
                <w:lang w:val="es-ES_tradnl"/>
              </w:rPr>
            </w:pPr>
          </w:p>
          <w:p w:rsidR="00A45935" w:rsidRPr="009E6414" w:rsidRDefault="00A45935" w:rsidP="00F73706">
            <w:pPr>
              <w:spacing w:line="220" w:lineRule="atLeast"/>
              <w:jc w:val="left"/>
              <w:rPr>
                <w:rFonts w:eastAsia="Calibri" w:cs="Arial"/>
                <w:noProof/>
                <w:sz w:val="18"/>
                <w:szCs w:val="16"/>
                <w:lang w:val="es-ES_tradnl"/>
              </w:rPr>
            </w:pPr>
            <w:r w:rsidRPr="009E6414">
              <w:rPr>
                <w:noProof/>
                <w:sz w:val="18"/>
                <w:lang w:val="es-ES_tradnl"/>
              </w:rPr>
              <w:t>Información sobre plataformas creadas por el PDR.</w:t>
            </w:r>
          </w:p>
          <w:p w:rsidR="00A45935" w:rsidRPr="009E6414" w:rsidRDefault="00A45935" w:rsidP="00F73706">
            <w:pPr>
              <w:spacing w:line="220" w:lineRule="atLeast"/>
              <w:jc w:val="left"/>
              <w:rPr>
                <w:rFonts w:eastAsia="Calibri" w:cs="Arial"/>
                <w:noProof/>
                <w:sz w:val="18"/>
                <w:szCs w:val="16"/>
                <w:lang w:val="es-ES_tradnl"/>
              </w:rPr>
            </w:pPr>
          </w:p>
          <w:p w:rsidR="00A45935" w:rsidRPr="009E6414" w:rsidRDefault="00A45935" w:rsidP="00F73706">
            <w:pPr>
              <w:spacing w:line="220" w:lineRule="atLeast"/>
              <w:jc w:val="left"/>
              <w:rPr>
                <w:rFonts w:eastAsia="Calibri" w:cs="Arial"/>
                <w:noProof/>
                <w:sz w:val="18"/>
                <w:szCs w:val="16"/>
                <w:lang w:val="es-ES_tradnl"/>
              </w:rPr>
            </w:pPr>
          </w:p>
          <w:p w:rsidR="00A45935" w:rsidRPr="009E6414" w:rsidRDefault="00A45935" w:rsidP="00F73706">
            <w:pPr>
              <w:spacing w:line="220" w:lineRule="atLeast"/>
              <w:jc w:val="left"/>
              <w:rPr>
                <w:rFonts w:eastAsia="Calibri" w:cs="Arial"/>
                <w:noProof/>
                <w:sz w:val="18"/>
                <w:szCs w:val="16"/>
                <w:lang w:val="es-ES_tradnl"/>
              </w:rPr>
            </w:pPr>
          </w:p>
          <w:p w:rsidR="00A45935" w:rsidRPr="009E6414" w:rsidRDefault="00A45935" w:rsidP="00F73706">
            <w:pPr>
              <w:spacing w:line="220" w:lineRule="atLeast"/>
              <w:jc w:val="left"/>
              <w:rPr>
                <w:rFonts w:eastAsia="Calibri" w:cs="Arial"/>
                <w:noProof/>
                <w:sz w:val="18"/>
                <w:szCs w:val="16"/>
                <w:lang w:val="es-ES_tradnl"/>
              </w:rPr>
            </w:pPr>
          </w:p>
          <w:p w:rsidR="00A45935" w:rsidRPr="009E6414" w:rsidRDefault="00A45935" w:rsidP="00F73706">
            <w:pPr>
              <w:spacing w:line="220" w:lineRule="atLeast"/>
              <w:jc w:val="left"/>
              <w:rPr>
                <w:rFonts w:eastAsia="Calibri" w:cs="Arial"/>
                <w:noProof/>
                <w:sz w:val="18"/>
                <w:szCs w:val="16"/>
                <w:lang w:val="es-ES_tradnl"/>
              </w:rPr>
            </w:pPr>
          </w:p>
          <w:p w:rsidR="00A45935" w:rsidRPr="009E6414" w:rsidRDefault="00A45935" w:rsidP="00F73706">
            <w:pPr>
              <w:spacing w:line="220" w:lineRule="atLeast"/>
              <w:jc w:val="left"/>
              <w:rPr>
                <w:rFonts w:eastAsia="Calibri" w:cs="Arial"/>
                <w:noProof/>
                <w:sz w:val="18"/>
                <w:szCs w:val="16"/>
                <w:lang w:val="es-ES_tradnl"/>
              </w:rPr>
            </w:pPr>
          </w:p>
          <w:p w:rsidR="00560E46" w:rsidRPr="009E6414" w:rsidRDefault="00560E46" w:rsidP="00F73706">
            <w:pPr>
              <w:spacing w:line="220" w:lineRule="atLeast"/>
              <w:jc w:val="left"/>
              <w:rPr>
                <w:rFonts w:eastAsia="Calibri" w:cs="Arial"/>
                <w:noProof/>
                <w:sz w:val="18"/>
                <w:szCs w:val="16"/>
                <w:lang w:val="es-ES_tradnl"/>
              </w:rPr>
            </w:pPr>
          </w:p>
          <w:p w:rsidR="00560E46" w:rsidRPr="009E6414" w:rsidRDefault="00560E46" w:rsidP="00F73706">
            <w:pPr>
              <w:spacing w:line="220" w:lineRule="atLeast"/>
              <w:jc w:val="left"/>
              <w:rPr>
                <w:rFonts w:eastAsia="Calibri" w:cs="Arial"/>
                <w:noProof/>
                <w:sz w:val="18"/>
                <w:szCs w:val="16"/>
                <w:lang w:val="es-ES_tradnl"/>
              </w:rPr>
            </w:pPr>
          </w:p>
          <w:p w:rsidR="00A45935" w:rsidRPr="009E6414" w:rsidRDefault="00A45935" w:rsidP="00560E46">
            <w:pPr>
              <w:spacing w:line="220" w:lineRule="atLeast"/>
              <w:jc w:val="left"/>
              <w:rPr>
                <w:rFonts w:eastAsia="Calibri" w:cs="Arial"/>
                <w:noProof/>
                <w:sz w:val="18"/>
                <w:szCs w:val="16"/>
                <w:lang w:val="es-ES_tradnl"/>
              </w:rPr>
            </w:pPr>
            <w:r w:rsidRPr="009E6414">
              <w:rPr>
                <w:noProof/>
                <w:sz w:val="18"/>
                <w:lang w:val="es-ES_tradnl"/>
              </w:rPr>
              <w:t xml:space="preserve">Información sobre redes. </w:t>
            </w:r>
          </w:p>
        </w:tc>
        <w:tc>
          <w:tcPr>
            <w:tcW w:w="2715" w:type="dxa"/>
          </w:tcPr>
          <w:p w:rsidR="00A45935" w:rsidRPr="009E6414" w:rsidRDefault="00A45935" w:rsidP="00F73706">
            <w:pPr>
              <w:spacing w:line="220" w:lineRule="atLeast"/>
              <w:jc w:val="left"/>
              <w:rPr>
                <w:rFonts w:eastAsia="Calibri" w:cs="Arial"/>
                <w:noProof/>
                <w:sz w:val="18"/>
                <w:szCs w:val="16"/>
                <w:lang w:val="es-ES_tradnl"/>
              </w:rPr>
            </w:pPr>
            <w:r w:rsidRPr="009E6414">
              <w:rPr>
                <w:noProof/>
                <w:sz w:val="18"/>
                <w:lang w:val="es-ES_tradnl"/>
              </w:rPr>
              <w:lastRenderedPageBreak/>
              <w:t xml:space="preserve">Entrevistas y grupos de discusión. </w:t>
            </w:r>
          </w:p>
          <w:p w:rsidR="00A45935" w:rsidRPr="009E6414" w:rsidRDefault="00A45935" w:rsidP="00F73706">
            <w:pPr>
              <w:spacing w:line="220" w:lineRule="atLeast"/>
              <w:jc w:val="left"/>
              <w:rPr>
                <w:rFonts w:eastAsia="Calibri" w:cs="Arial"/>
                <w:noProof/>
                <w:sz w:val="18"/>
                <w:szCs w:val="16"/>
                <w:lang w:val="es-ES_tradnl"/>
              </w:rPr>
            </w:pPr>
          </w:p>
          <w:p w:rsidR="00A45935" w:rsidRPr="009E6414" w:rsidRDefault="00A45935" w:rsidP="00F73706">
            <w:pPr>
              <w:spacing w:line="220" w:lineRule="atLeast"/>
              <w:jc w:val="left"/>
              <w:rPr>
                <w:rFonts w:eastAsia="Calibri" w:cs="Arial"/>
                <w:noProof/>
                <w:sz w:val="18"/>
                <w:szCs w:val="16"/>
                <w:lang w:val="es-ES_tradnl"/>
              </w:rPr>
            </w:pPr>
          </w:p>
          <w:p w:rsidR="00A45935" w:rsidRPr="009E6414" w:rsidRDefault="00A45935" w:rsidP="00F73706">
            <w:pPr>
              <w:spacing w:line="220" w:lineRule="atLeast"/>
              <w:jc w:val="left"/>
              <w:rPr>
                <w:rFonts w:eastAsia="Calibri" w:cs="Arial"/>
                <w:noProof/>
                <w:sz w:val="18"/>
                <w:szCs w:val="16"/>
                <w:lang w:val="es-ES_tradnl"/>
              </w:rPr>
            </w:pPr>
          </w:p>
          <w:p w:rsidR="00A45935" w:rsidRPr="009E6414" w:rsidRDefault="00A45935" w:rsidP="00F73706">
            <w:pPr>
              <w:spacing w:line="220" w:lineRule="atLeast"/>
              <w:jc w:val="left"/>
              <w:rPr>
                <w:rFonts w:eastAsia="Calibri" w:cs="Arial"/>
                <w:noProof/>
                <w:sz w:val="18"/>
                <w:szCs w:val="16"/>
                <w:lang w:val="es-ES_tradnl"/>
              </w:rPr>
            </w:pPr>
          </w:p>
          <w:p w:rsidR="00A45935" w:rsidRPr="009E6414" w:rsidRDefault="00A45935" w:rsidP="00F73706">
            <w:pPr>
              <w:spacing w:line="220" w:lineRule="atLeast"/>
              <w:jc w:val="left"/>
              <w:rPr>
                <w:rFonts w:eastAsia="Calibri" w:cs="Arial"/>
                <w:noProof/>
                <w:sz w:val="18"/>
                <w:szCs w:val="16"/>
                <w:lang w:val="es-ES_tradnl"/>
              </w:rPr>
            </w:pPr>
          </w:p>
          <w:p w:rsidR="00A45935" w:rsidRPr="009E6414" w:rsidRDefault="00A45935" w:rsidP="00F73706">
            <w:pPr>
              <w:spacing w:line="220" w:lineRule="atLeast"/>
              <w:jc w:val="left"/>
              <w:rPr>
                <w:rFonts w:eastAsia="Calibri" w:cs="Arial"/>
                <w:noProof/>
                <w:sz w:val="18"/>
                <w:szCs w:val="16"/>
                <w:lang w:val="es-ES_tradnl"/>
              </w:rPr>
            </w:pPr>
          </w:p>
          <w:p w:rsidR="00A45935" w:rsidRPr="009E6414" w:rsidRDefault="00A45935" w:rsidP="00F73706">
            <w:pPr>
              <w:spacing w:line="220" w:lineRule="atLeast"/>
              <w:jc w:val="left"/>
              <w:rPr>
                <w:rFonts w:eastAsia="Calibri" w:cs="Arial"/>
                <w:noProof/>
                <w:sz w:val="18"/>
                <w:szCs w:val="16"/>
                <w:lang w:val="es-ES_tradnl"/>
              </w:rPr>
            </w:pPr>
            <w:r w:rsidRPr="009E6414">
              <w:rPr>
                <w:noProof/>
                <w:sz w:val="18"/>
                <w:lang w:val="es-ES_tradnl"/>
              </w:rPr>
              <w:t>Sistema de seguimiento del PDR.</w:t>
            </w:r>
          </w:p>
          <w:p w:rsidR="00A45935" w:rsidRPr="009E6414" w:rsidRDefault="00A45935" w:rsidP="00F73706">
            <w:pPr>
              <w:spacing w:line="220" w:lineRule="atLeast"/>
              <w:jc w:val="left"/>
              <w:rPr>
                <w:rFonts w:eastAsia="Calibri" w:cs="Arial"/>
                <w:noProof/>
                <w:sz w:val="18"/>
                <w:szCs w:val="16"/>
                <w:lang w:val="es-ES_tradnl"/>
              </w:rPr>
            </w:pPr>
          </w:p>
          <w:p w:rsidR="00A45935" w:rsidRPr="009E6414" w:rsidRDefault="00A45935" w:rsidP="00F73706">
            <w:pPr>
              <w:spacing w:line="220" w:lineRule="atLeast"/>
              <w:jc w:val="left"/>
              <w:rPr>
                <w:rFonts w:eastAsia="Calibri" w:cs="Arial"/>
                <w:noProof/>
                <w:sz w:val="18"/>
                <w:szCs w:val="16"/>
                <w:lang w:val="es-ES_tradnl"/>
              </w:rPr>
            </w:pPr>
          </w:p>
          <w:p w:rsidR="00A45935" w:rsidRPr="009E6414" w:rsidRDefault="00A45935" w:rsidP="00F73706">
            <w:pPr>
              <w:spacing w:line="220" w:lineRule="atLeast"/>
              <w:jc w:val="left"/>
              <w:rPr>
                <w:rFonts w:eastAsia="Calibri" w:cs="Arial"/>
                <w:noProof/>
                <w:sz w:val="18"/>
                <w:szCs w:val="16"/>
                <w:lang w:val="es-ES_tradnl"/>
              </w:rPr>
            </w:pPr>
          </w:p>
          <w:p w:rsidR="00A45935" w:rsidRPr="009E6414" w:rsidRDefault="00A45935" w:rsidP="00F73706">
            <w:pPr>
              <w:spacing w:line="220" w:lineRule="atLeast"/>
              <w:jc w:val="left"/>
              <w:rPr>
                <w:rFonts w:eastAsia="Calibri" w:cs="Arial"/>
                <w:noProof/>
                <w:sz w:val="18"/>
                <w:szCs w:val="16"/>
                <w:lang w:val="es-ES_tradnl"/>
              </w:rPr>
            </w:pPr>
            <w:r w:rsidRPr="009E6414">
              <w:rPr>
                <w:noProof/>
                <w:sz w:val="18"/>
                <w:lang w:val="es-ES_tradnl"/>
              </w:rPr>
              <w:t xml:space="preserve">Entrevistas y grupos de discusión. </w:t>
            </w:r>
          </w:p>
          <w:p w:rsidR="00A45935" w:rsidRPr="009E6414" w:rsidRDefault="00A45935" w:rsidP="00F73706">
            <w:pPr>
              <w:spacing w:line="220" w:lineRule="atLeast"/>
              <w:jc w:val="left"/>
              <w:rPr>
                <w:rFonts w:eastAsia="Calibri" w:cs="Arial"/>
                <w:noProof/>
                <w:sz w:val="18"/>
                <w:szCs w:val="16"/>
                <w:lang w:val="es-ES_tradnl"/>
              </w:rPr>
            </w:pPr>
          </w:p>
          <w:p w:rsidR="00A45935" w:rsidRPr="009E6414" w:rsidRDefault="00A45935" w:rsidP="00F73706">
            <w:pPr>
              <w:spacing w:line="220" w:lineRule="atLeast"/>
              <w:jc w:val="left"/>
              <w:rPr>
                <w:rFonts w:eastAsia="Calibri" w:cs="Arial"/>
                <w:noProof/>
                <w:sz w:val="18"/>
                <w:szCs w:val="16"/>
                <w:lang w:val="es-ES_tradnl"/>
              </w:rPr>
            </w:pPr>
          </w:p>
          <w:p w:rsidR="00A45935" w:rsidRPr="009E6414" w:rsidRDefault="00A45935" w:rsidP="00F73706">
            <w:pPr>
              <w:spacing w:line="220" w:lineRule="atLeast"/>
              <w:jc w:val="left"/>
              <w:rPr>
                <w:rFonts w:eastAsia="Calibri" w:cs="Arial"/>
                <w:noProof/>
                <w:sz w:val="18"/>
                <w:szCs w:val="16"/>
                <w:lang w:val="es-ES_tradnl"/>
              </w:rPr>
            </w:pPr>
          </w:p>
          <w:p w:rsidR="00A45935" w:rsidRPr="009E6414" w:rsidRDefault="00A45935" w:rsidP="00F73706">
            <w:pPr>
              <w:spacing w:line="220" w:lineRule="atLeast"/>
              <w:jc w:val="left"/>
              <w:rPr>
                <w:rFonts w:eastAsia="Calibri" w:cs="Arial"/>
                <w:noProof/>
                <w:sz w:val="18"/>
                <w:szCs w:val="16"/>
                <w:lang w:val="es-ES_tradnl"/>
              </w:rPr>
            </w:pPr>
          </w:p>
          <w:p w:rsidR="00A45935" w:rsidRPr="009E6414" w:rsidRDefault="00A45935" w:rsidP="00F73706">
            <w:pPr>
              <w:spacing w:line="220" w:lineRule="atLeast"/>
              <w:jc w:val="left"/>
              <w:rPr>
                <w:rFonts w:eastAsia="Calibri" w:cs="Arial"/>
                <w:noProof/>
                <w:sz w:val="18"/>
                <w:szCs w:val="16"/>
                <w:lang w:val="es-ES_tradnl"/>
              </w:rPr>
            </w:pPr>
          </w:p>
          <w:p w:rsidR="00A45935" w:rsidRPr="009E6414" w:rsidRDefault="00A45935" w:rsidP="00F73706">
            <w:pPr>
              <w:spacing w:line="220" w:lineRule="atLeast"/>
              <w:jc w:val="left"/>
              <w:rPr>
                <w:rFonts w:eastAsia="Calibri" w:cs="Arial"/>
                <w:noProof/>
                <w:sz w:val="18"/>
                <w:szCs w:val="16"/>
                <w:lang w:val="es-ES_tradnl"/>
              </w:rPr>
            </w:pPr>
          </w:p>
          <w:p w:rsidR="00A45935" w:rsidRPr="009E6414" w:rsidRDefault="00A45935" w:rsidP="00F73706">
            <w:pPr>
              <w:spacing w:line="220" w:lineRule="atLeast"/>
              <w:jc w:val="left"/>
              <w:rPr>
                <w:rFonts w:eastAsia="Calibri" w:cs="Arial"/>
                <w:noProof/>
                <w:sz w:val="18"/>
                <w:szCs w:val="16"/>
                <w:lang w:val="es-ES_tradnl"/>
              </w:rPr>
            </w:pPr>
          </w:p>
          <w:p w:rsidR="00560E46" w:rsidRPr="009E6414" w:rsidRDefault="00560E46" w:rsidP="00F73706">
            <w:pPr>
              <w:spacing w:line="220" w:lineRule="atLeast"/>
              <w:jc w:val="left"/>
              <w:rPr>
                <w:rFonts w:eastAsia="Calibri" w:cs="Arial"/>
                <w:noProof/>
                <w:sz w:val="18"/>
                <w:szCs w:val="16"/>
                <w:lang w:val="es-ES_tradnl"/>
              </w:rPr>
            </w:pPr>
          </w:p>
          <w:p w:rsidR="00560E46" w:rsidRPr="009E6414" w:rsidRDefault="00560E46" w:rsidP="00F73706">
            <w:pPr>
              <w:spacing w:line="220" w:lineRule="atLeast"/>
              <w:jc w:val="left"/>
              <w:rPr>
                <w:rFonts w:eastAsia="Calibri" w:cs="Arial"/>
                <w:noProof/>
                <w:sz w:val="18"/>
                <w:szCs w:val="16"/>
                <w:lang w:val="es-ES_tradnl"/>
              </w:rPr>
            </w:pPr>
          </w:p>
          <w:p w:rsidR="00A45935" w:rsidRPr="009E6414" w:rsidRDefault="00A45935" w:rsidP="00560E46">
            <w:pPr>
              <w:spacing w:line="220" w:lineRule="atLeast"/>
              <w:jc w:val="left"/>
              <w:rPr>
                <w:rFonts w:eastAsia="Calibri" w:cs="Arial"/>
                <w:noProof/>
                <w:sz w:val="18"/>
                <w:szCs w:val="16"/>
                <w:lang w:val="es-ES_tradnl"/>
              </w:rPr>
            </w:pPr>
            <w:r w:rsidRPr="009E6414">
              <w:rPr>
                <w:noProof/>
                <w:sz w:val="18"/>
                <w:lang w:val="es-ES_tradnl"/>
              </w:rPr>
              <w:t>Información del ARS.</w:t>
            </w:r>
          </w:p>
        </w:tc>
      </w:tr>
      <w:tr w:rsidR="00A45935" w:rsidRPr="009E6414" w:rsidTr="00F73706">
        <w:trPr>
          <w:trHeight w:val="4850"/>
        </w:trPr>
        <w:tc>
          <w:tcPr>
            <w:tcW w:w="2988" w:type="dxa"/>
          </w:tcPr>
          <w:p w:rsidR="00A45935" w:rsidRPr="009E6414" w:rsidRDefault="00A45935" w:rsidP="00F73706">
            <w:pPr>
              <w:spacing w:line="220" w:lineRule="atLeast"/>
              <w:jc w:val="left"/>
              <w:rPr>
                <w:rFonts w:cs="Arial"/>
                <w:i/>
                <w:noProof/>
                <w:sz w:val="18"/>
                <w:szCs w:val="16"/>
                <w:lang w:val="es-ES_tradnl"/>
              </w:rPr>
            </w:pPr>
            <w:r w:rsidRPr="009E6414">
              <w:rPr>
                <w:i/>
                <w:noProof/>
                <w:sz w:val="18"/>
                <w:lang w:val="es-ES_tradnl"/>
              </w:rPr>
              <w:t>¿En qué medida el PDR ha fomentado la innovación mediante la creación de un entorno propicio para la innovación (Vía 3)?</w:t>
            </w:r>
          </w:p>
        </w:tc>
        <w:tc>
          <w:tcPr>
            <w:tcW w:w="2127" w:type="dxa"/>
          </w:tcPr>
          <w:p w:rsidR="00A45935" w:rsidRPr="009E6414" w:rsidRDefault="00A45935" w:rsidP="00F73706">
            <w:pPr>
              <w:spacing w:line="220" w:lineRule="atLeast"/>
              <w:jc w:val="left"/>
              <w:rPr>
                <w:rFonts w:eastAsia="Calibri" w:cs="Arial"/>
                <w:i/>
                <w:noProof/>
                <w:sz w:val="18"/>
                <w:szCs w:val="16"/>
                <w:lang w:val="es-ES_tradnl"/>
              </w:rPr>
            </w:pPr>
            <w:r w:rsidRPr="009E6414">
              <w:rPr>
                <w:i/>
                <w:noProof/>
                <w:sz w:val="18"/>
                <w:lang w:val="es-ES_tradnl"/>
              </w:rPr>
              <w:t>Criterio de valoración complementario: El PDR ha propiciado políticas que apoyan los cambios a los que el PDR ha contribuido.</w:t>
            </w:r>
          </w:p>
          <w:p w:rsidR="00A45935" w:rsidRPr="009E6414" w:rsidRDefault="00A45935" w:rsidP="00F73706">
            <w:pPr>
              <w:spacing w:line="220" w:lineRule="atLeast"/>
              <w:jc w:val="left"/>
              <w:rPr>
                <w:rFonts w:eastAsia="Calibri" w:cs="Arial"/>
                <w:i/>
                <w:noProof/>
                <w:sz w:val="18"/>
                <w:szCs w:val="16"/>
                <w:lang w:val="es-ES_tradnl"/>
              </w:rPr>
            </w:pPr>
          </w:p>
          <w:p w:rsidR="00A45935" w:rsidRPr="009E6414" w:rsidRDefault="00A45935" w:rsidP="00F73706">
            <w:pPr>
              <w:spacing w:line="220" w:lineRule="atLeast"/>
              <w:jc w:val="left"/>
              <w:rPr>
                <w:rFonts w:eastAsia="Calibri" w:cs="Arial"/>
                <w:i/>
                <w:noProof/>
                <w:sz w:val="18"/>
                <w:szCs w:val="16"/>
                <w:lang w:val="es-ES_tradnl"/>
              </w:rPr>
            </w:pPr>
            <w:r w:rsidRPr="009E6414">
              <w:rPr>
                <w:i/>
                <w:noProof/>
                <w:sz w:val="18"/>
                <w:lang w:val="es-ES_tradnl"/>
              </w:rPr>
              <w:t xml:space="preserve">Criterio de valoración complementario: El PDR ha propiciado oportunidades para la formación y el intercambio de prácticas innovadoras. </w:t>
            </w:r>
          </w:p>
          <w:p w:rsidR="00A45935" w:rsidRPr="009E6414" w:rsidRDefault="00A45935" w:rsidP="00F73706">
            <w:pPr>
              <w:spacing w:line="220" w:lineRule="atLeast"/>
              <w:jc w:val="left"/>
              <w:rPr>
                <w:rFonts w:eastAsia="Calibri" w:cs="Arial"/>
                <w:i/>
                <w:noProof/>
                <w:sz w:val="18"/>
                <w:szCs w:val="16"/>
                <w:lang w:val="es-ES_tradnl"/>
              </w:rPr>
            </w:pPr>
          </w:p>
          <w:p w:rsidR="00A45935" w:rsidRPr="009E6414" w:rsidRDefault="00A45935" w:rsidP="00F73706">
            <w:pPr>
              <w:spacing w:line="220" w:lineRule="atLeast"/>
              <w:jc w:val="left"/>
              <w:rPr>
                <w:rFonts w:eastAsia="Calibri" w:cs="Arial"/>
                <w:i/>
                <w:noProof/>
                <w:sz w:val="18"/>
                <w:szCs w:val="16"/>
                <w:lang w:val="es-ES_tradnl"/>
              </w:rPr>
            </w:pPr>
            <w:r w:rsidRPr="009E6414">
              <w:rPr>
                <w:i/>
                <w:noProof/>
                <w:sz w:val="18"/>
                <w:lang w:val="es-ES_tradnl"/>
              </w:rPr>
              <w:t xml:space="preserve">Criterio de valoración complementario: El PDR ha permitido interacciones entre agentes (nacionales/transfronterizos) para potenciar las innovaciones. </w:t>
            </w:r>
          </w:p>
          <w:p w:rsidR="00A45935" w:rsidRPr="009E6414" w:rsidRDefault="00A45935" w:rsidP="00F73706">
            <w:pPr>
              <w:spacing w:line="220" w:lineRule="atLeast"/>
              <w:jc w:val="left"/>
              <w:rPr>
                <w:rFonts w:eastAsia="Calibri" w:cs="Arial"/>
                <w:i/>
                <w:noProof/>
                <w:sz w:val="18"/>
                <w:szCs w:val="16"/>
                <w:lang w:val="es-ES_tradnl"/>
              </w:rPr>
            </w:pPr>
          </w:p>
          <w:p w:rsidR="00A45935" w:rsidRPr="009E6414" w:rsidRDefault="00A45935" w:rsidP="00F73706">
            <w:pPr>
              <w:spacing w:line="220" w:lineRule="atLeast"/>
              <w:jc w:val="left"/>
              <w:rPr>
                <w:rFonts w:cs="Arial"/>
                <w:i/>
                <w:noProof/>
                <w:sz w:val="18"/>
                <w:szCs w:val="16"/>
                <w:lang w:val="es-ES_tradnl"/>
              </w:rPr>
            </w:pPr>
            <w:r w:rsidRPr="009E6414">
              <w:rPr>
                <w:i/>
                <w:noProof/>
                <w:sz w:val="18"/>
                <w:lang w:val="es-ES_tradnl"/>
              </w:rPr>
              <w:t xml:space="preserve">Criterio de valoración complementario: El PDR ha financiado las nuevas tecnologías en zonas rurales. </w:t>
            </w:r>
          </w:p>
        </w:tc>
        <w:tc>
          <w:tcPr>
            <w:tcW w:w="3302" w:type="dxa"/>
          </w:tcPr>
          <w:p w:rsidR="00A45935" w:rsidRPr="009E6414" w:rsidRDefault="00A45935" w:rsidP="00F73706">
            <w:pPr>
              <w:spacing w:line="220" w:lineRule="atLeast"/>
              <w:jc w:val="left"/>
              <w:rPr>
                <w:rFonts w:eastAsia="Calibri" w:cs="Arial"/>
                <w:i/>
                <w:noProof/>
                <w:color w:val="57825E"/>
                <w:sz w:val="18"/>
                <w:szCs w:val="16"/>
                <w:lang w:val="es-ES_tradnl"/>
              </w:rPr>
            </w:pPr>
            <w:r w:rsidRPr="009E6414">
              <w:rPr>
                <w:i/>
                <w:noProof/>
                <w:color w:val="57825E"/>
                <w:sz w:val="18"/>
                <w:u w:val="single"/>
                <w:lang w:val="es-ES_tradnl"/>
              </w:rPr>
              <w:t>Indicador de resultados complementario:</w:t>
            </w:r>
            <w:r w:rsidRPr="009E6414">
              <w:rPr>
                <w:i/>
                <w:noProof/>
                <w:color w:val="57825E"/>
                <w:sz w:val="18"/>
                <w:lang w:val="es-ES_tradnl"/>
              </w:rPr>
              <w:t xml:space="preserve"> Número y tipo de políticas en las que el PDR ha influido al nivel de las organizaciones participantes y del entorno propicio más amplio. </w:t>
            </w:r>
          </w:p>
          <w:p w:rsidR="00A45935" w:rsidRPr="009E6414" w:rsidRDefault="00A45935" w:rsidP="00F73706">
            <w:pPr>
              <w:spacing w:line="220" w:lineRule="atLeast"/>
              <w:jc w:val="left"/>
              <w:rPr>
                <w:rFonts w:eastAsia="Calibri" w:cs="Arial"/>
                <w:i/>
                <w:noProof/>
                <w:color w:val="57825E"/>
                <w:sz w:val="18"/>
                <w:szCs w:val="16"/>
                <w:lang w:val="es-ES_tradnl"/>
              </w:rPr>
            </w:pPr>
          </w:p>
          <w:p w:rsidR="00A45935" w:rsidRPr="009E6414" w:rsidRDefault="00A45935" w:rsidP="00F73706">
            <w:pPr>
              <w:spacing w:line="220" w:lineRule="atLeast"/>
              <w:jc w:val="left"/>
              <w:rPr>
                <w:rFonts w:eastAsia="Calibri" w:cs="Arial"/>
                <w:i/>
                <w:noProof/>
                <w:color w:val="57825E"/>
                <w:sz w:val="18"/>
                <w:szCs w:val="16"/>
                <w:lang w:val="es-ES_tradnl"/>
              </w:rPr>
            </w:pPr>
            <w:r w:rsidRPr="009E6414">
              <w:rPr>
                <w:i/>
                <w:noProof/>
                <w:color w:val="57825E"/>
                <w:sz w:val="18"/>
                <w:u w:val="single"/>
                <w:lang w:val="es-ES_tradnl"/>
              </w:rPr>
              <w:t>Indicador de resultados complementario:</w:t>
            </w:r>
            <w:r w:rsidRPr="009E6414">
              <w:rPr>
                <w:i/>
                <w:noProof/>
                <w:color w:val="57825E"/>
                <w:sz w:val="18"/>
                <w:lang w:val="es-ES_tradnl"/>
              </w:rPr>
              <w:t xml:space="preserve"> Número de actividades de formación y eventos para el intercambio de prácticas innovadoras y su porcentaje en el número total de acciones de formación/eventos financiados por el PDR. </w:t>
            </w:r>
          </w:p>
          <w:p w:rsidR="00A45935" w:rsidRPr="009E6414" w:rsidRDefault="00A45935" w:rsidP="00F73706">
            <w:pPr>
              <w:spacing w:line="220" w:lineRule="atLeast"/>
              <w:jc w:val="left"/>
              <w:rPr>
                <w:rFonts w:eastAsia="Calibri" w:cs="Arial"/>
                <w:i/>
                <w:noProof/>
                <w:color w:val="57825E"/>
                <w:sz w:val="18"/>
                <w:szCs w:val="16"/>
                <w:lang w:val="es-ES_tradnl"/>
              </w:rPr>
            </w:pPr>
          </w:p>
          <w:p w:rsidR="00A45935" w:rsidRPr="009E6414" w:rsidRDefault="00A45935" w:rsidP="00F73706">
            <w:pPr>
              <w:spacing w:line="220" w:lineRule="atLeast"/>
              <w:jc w:val="left"/>
              <w:rPr>
                <w:rFonts w:eastAsia="Calibri" w:cs="Arial"/>
                <w:i/>
                <w:noProof/>
                <w:color w:val="57825E"/>
                <w:sz w:val="18"/>
                <w:szCs w:val="16"/>
                <w:lang w:val="es-ES_tradnl"/>
              </w:rPr>
            </w:pPr>
            <w:r w:rsidRPr="009E6414">
              <w:rPr>
                <w:i/>
                <w:noProof/>
                <w:color w:val="57825E"/>
                <w:sz w:val="18"/>
                <w:u w:val="single"/>
                <w:lang w:val="es-ES_tradnl"/>
              </w:rPr>
              <w:t>Indicador de resultados complementario:</w:t>
            </w:r>
            <w:r w:rsidRPr="009E6414">
              <w:rPr>
                <w:i/>
                <w:noProof/>
                <w:color w:val="57825E"/>
                <w:sz w:val="18"/>
                <w:lang w:val="es-ES_tradnl"/>
              </w:rPr>
              <w:t xml:space="preserve"> Número de eventos centrados en el establecimiento de contactos entre los agentes de la innovación financiados por el PDR. </w:t>
            </w:r>
          </w:p>
          <w:p w:rsidR="00A45935" w:rsidRPr="009E6414" w:rsidRDefault="00A45935" w:rsidP="00F73706">
            <w:pPr>
              <w:spacing w:line="220" w:lineRule="atLeast"/>
              <w:jc w:val="left"/>
              <w:rPr>
                <w:rFonts w:eastAsia="Calibri" w:cs="Arial"/>
                <w:i/>
                <w:noProof/>
                <w:color w:val="57825E"/>
                <w:sz w:val="18"/>
                <w:szCs w:val="16"/>
                <w:lang w:val="es-ES_tradnl"/>
              </w:rPr>
            </w:pPr>
          </w:p>
          <w:p w:rsidR="00A45935" w:rsidRPr="009E6414" w:rsidRDefault="00A45935" w:rsidP="00F73706">
            <w:pPr>
              <w:spacing w:line="220" w:lineRule="atLeast"/>
              <w:jc w:val="left"/>
              <w:rPr>
                <w:rFonts w:eastAsia="Calibri" w:cs="Arial"/>
                <w:noProof/>
                <w:color w:val="57825E"/>
                <w:sz w:val="18"/>
                <w:szCs w:val="16"/>
                <w:lang w:val="es-ES_tradnl"/>
              </w:rPr>
            </w:pPr>
            <w:r w:rsidRPr="009E6414">
              <w:rPr>
                <w:i/>
                <w:noProof/>
                <w:color w:val="57825E"/>
                <w:sz w:val="18"/>
                <w:u w:val="single"/>
                <w:lang w:val="es-ES_tradnl"/>
              </w:rPr>
              <w:t>Indicador de resultados complementario:</w:t>
            </w:r>
            <w:r w:rsidRPr="009E6414">
              <w:rPr>
                <w:i/>
                <w:noProof/>
                <w:color w:val="57825E"/>
                <w:sz w:val="18"/>
                <w:lang w:val="es-ES_tradnl"/>
              </w:rPr>
              <w:t xml:space="preserve"> Número de nuevas tecnologías en zonas rurales financiadas por el PDR, desglosadas por tipo. </w:t>
            </w:r>
          </w:p>
        </w:tc>
        <w:tc>
          <w:tcPr>
            <w:tcW w:w="2715" w:type="dxa"/>
          </w:tcPr>
          <w:p w:rsidR="00A45935" w:rsidRPr="009E6414" w:rsidRDefault="00A45935" w:rsidP="00560E46">
            <w:pPr>
              <w:spacing w:line="220" w:lineRule="atLeast"/>
              <w:jc w:val="left"/>
              <w:rPr>
                <w:rFonts w:eastAsia="Calibri" w:cs="Arial"/>
                <w:noProof/>
                <w:sz w:val="18"/>
                <w:szCs w:val="16"/>
                <w:lang w:val="es-ES_tradnl"/>
              </w:rPr>
            </w:pPr>
            <w:r w:rsidRPr="009E6414">
              <w:rPr>
                <w:noProof/>
                <w:sz w:val="18"/>
                <w:lang w:val="es-ES_tradnl"/>
              </w:rPr>
              <w:t xml:space="preserve">Información relativa a las políticas. </w:t>
            </w:r>
          </w:p>
          <w:p w:rsidR="00A45935" w:rsidRPr="009E6414" w:rsidRDefault="00A45935" w:rsidP="00560E46">
            <w:pPr>
              <w:spacing w:line="220" w:lineRule="atLeast"/>
              <w:jc w:val="left"/>
              <w:rPr>
                <w:rFonts w:eastAsia="Calibri" w:cs="Arial"/>
                <w:noProof/>
                <w:sz w:val="18"/>
                <w:szCs w:val="16"/>
                <w:lang w:val="es-ES_tradnl"/>
              </w:rPr>
            </w:pPr>
          </w:p>
          <w:p w:rsidR="00A45935" w:rsidRPr="009E6414" w:rsidRDefault="00A45935" w:rsidP="00560E46">
            <w:pPr>
              <w:spacing w:line="220" w:lineRule="atLeast"/>
              <w:jc w:val="left"/>
              <w:rPr>
                <w:rFonts w:eastAsia="Calibri" w:cs="Arial"/>
                <w:noProof/>
                <w:sz w:val="18"/>
                <w:szCs w:val="16"/>
                <w:lang w:val="es-ES_tradnl"/>
              </w:rPr>
            </w:pPr>
          </w:p>
          <w:p w:rsidR="00560E46" w:rsidRPr="009E6414" w:rsidRDefault="00560E46" w:rsidP="00560E46">
            <w:pPr>
              <w:spacing w:line="220" w:lineRule="atLeast"/>
              <w:jc w:val="left"/>
              <w:rPr>
                <w:rFonts w:eastAsia="Calibri" w:cs="Arial"/>
                <w:noProof/>
                <w:sz w:val="18"/>
                <w:szCs w:val="16"/>
                <w:lang w:val="es-ES_tradnl"/>
              </w:rPr>
            </w:pPr>
          </w:p>
          <w:p w:rsidR="00560E46" w:rsidRPr="009E6414" w:rsidRDefault="00560E46" w:rsidP="00560E46">
            <w:pPr>
              <w:spacing w:line="220" w:lineRule="atLeast"/>
              <w:jc w:val="left"/>
              <w:rPr>
                <w:rFonts w:eastAsia="Calibri" w:cs="Arial"/>
                <w:noProof/>
                <w:sz w:val="18"/>
                <w:szCs w:val="16"/>
                <w:lang w:val="es-ES_tradnl"/>
              </w:rPr>
            </w:pPr>
          </w:p>
          <w:p w:rsidR="00560E46" w:rsidRPr="009E6414" w:rsidRDefault="00560E46" w:rsidP="00560E46">
            <w:pPr>
              <w:spacing w:line="220" w:lineRule="atLeast"/>
              <w:jc w:val="left"/>
              <w:rPr>
                <w:rFonts w:eastAsia="Calibri" w:cs="Arial"/>
                <w:noProof/>
                <w:sz w:val="18"/>
                <w:szCs w:val="16"/>
                <w:lang w:val="es-ES_tradnl"/>
              </w:rPr>
            </w:pPr>
          </w:p>
          <w:p w:rsidR="00A45935" w:rsidRPr="009E6414" w:rsidRDefault="00A45935" w:rsidP="00560E46">
            <w:pPr>
              <w:spacing w:line="220" w:lineRule="atLeast"/>
              <w:jc w:val="left"/>
              <w:rPr>
                <w:rFonts w:eastAsia="Calibri" w:cs="Arial"/>
                <w:noProof/>
                <w:sz w:val="18"/>
                <w:szCs w:val="16"/>
                <w:lang w:val="es-ES_tradnl"/>
              </w:rPr>
            </w:pPr>
            <w:r w:rsidRPr="009E6414">
              <w:rPr>
                <w:noProof/>
                <w:sz w:val="18"/>
                <w:lang w:val="es-ES_tradnl"/>
              </w:rPr>
              <w:t>Información sobre actividades de formación y eventos.</w:t>
            </w:r>
          </w:p>
          <w:p w:rsidR="00A45935" w:rsidRPr="009E6414" w:rsidRDefault="00A45935" w:rsidP="00560E46">
            <w:pPr>
              <w:spacing w:line="220" w:lineRule="atLeast"/>
              <w:jc w:val="left"/>
              <w:rPr>
                <w:rFonts w:eastAsia="Calibri" w:cs="Arial"/>
                <w:noProof/>
                <w:sz w:val="18"/>
                <w:szCs w:val="16"/>
                <w:lang w:val="es-ES_tradnl"/>
              </w:rPr>
            </w:pPr>
          </w:p>
          <w:p w:rsidR="00A45935" w:rsidRPr="009E6414" w:rsidRDefault="00A45935" w:rsidP="00560E46">
            <w:pPr>
              <w:spacing w:line="220" w:lineRule="atLeast"/>
              <w:jc w:val="left"/>
              <w:rPr>
                <w:rFonts w:eastAsia="Calibri" w:cs="Arial"/>
                <w:noProof/>
                <w:sz w:val="18"/>
                <w:szCs w:val="16"/>
                <w:lang w:val="es-ES_tradnl"/>
              </w:rPr>
            </w:pPr>
          </w:p>
          <w:p w:rsidR="00A45935" w:rsidRPr="009E6414" w:rsidRDefault="00A45935" w:rsidP="00560E46">
            <w:pPr>
              <w:spacing w:line="220" w:lineRule="atLeast"/>
              <w:jc w:val="left"/>
              <w:rPr>
                <w:rFonts w:eastAsia="Calibri" w:cs="Arial"/>
                <w:noProof/>
                <w:sz w:val="18"/>
                <w:szCs w:val="16"/>
                <w:lang w:val="es-ES_tradnl"/>
              </w:rPr>
            </w:pPr>
          </w:p>
          <w:p w:rsidR="00A45935" w:rsidRPr="009E6414" w:rsidRDefault="00A45935" w:rsidP="00560E46">
            <w:pPr>
              <w:spacing w:line="220" w:lineRule="atLeast"/>
              <w:jc w:val="left"/>
              <w:rPr>
                <w:rFonts w:eastAsia="Calibri" w:cs="Arial"/>
                <w:noProof/>
                <w:sz w:val="18"/>
                <w:szCs w:val="16"/>
                <w:lang w:val="es-ES_tradnl"/>
              </w:rPr>
            </w:pPr>
          </w:p>
          <w:p w:rsidR="00A45935" w:rsidRPr="009E6414" w:rsidRDefault="00A45935" w:rsidP="00560E46">
            <w:pPr>
              <w:spacing w:line="220" w:lineRule="atLeast"/>
              <w:jc w:val="left"/>
              <w:rPr>
                <w:rFonts w:eastAsia="Calibri" w:cs="Arial"/>
                <w:noProof/>
                <w:sz w:val="18"/>
                <w:szCs w:val="16"/>
                <w:lang w:val="es-ES_tradnl"/>
              </w:rPr>
            </w:pPr>
            <w:r w:rsidRPr="009E6414">
              <w:rPr>
                <w:noProof/>
                <w:sz w:val="18"/>
                <w:lang w:val="es-ES_tradnl"/>
              </w:rPr>
              <w:t xml:space="preserve">Información sobre nuevas tecnologías. </w:t>
            </w:r>
          </w:p>
        </w:tc>
        <w:tc>
          <w:tcPr>
            <w:tcW w:w="2715" w:type="dxa"/>
          </w:tcPr>
          <w:p w:rsidR="00A45935" w:rsidRPr="009E6414" w:rsidRDefault="00A45935" w:rsidP="00560E46">
            <w:pPr>
              <w:spacing w:line="220" w:lineRule="atLeast"/>
              <w:jc w:val="left"/>
              <w:rPr>
                <w:rFonts w:eastAsia="Calibri" w:cs="Arial"/>
                <w:noProof/>
                <w:sz w:val="18"/>
                <w:szCs w:val="16"/>
                <w:lang w:val="es-ES_tradnl"/>
              </w:rPr>
            </w:pPr>
            <w:r w:rsidRPr="009E6414">
              <w:rPr>
                <w:noProof/>
                <w:sz w:val="18"/>
                <w:lang w:val="es-ES_tradnl"/>
              </w:rPr>
              <w:t xml:space="preserve">Entrevistas y grupos de discusión (por ejemplo, resultado de la cosecha). </w:t>
            </w:r>
          </w:p>
          <w:p w:rsidR="00A45935" w:rsidRPr="009E6414" w:rsidRDefault="00A45935" w:rsidP="00560E46">
            <w:pPr>
              <w:spacing w:line="220" w:lineRule="atLeast"/>
              <w:jc w:val="left"/>
              <w:rPr>
                <w:rFonts w:eastAsia="Calibri" w:cs="Arial"/>
                <w:noProof/>
                <w:sz w:val="18"/>
                <w:szCs w:val="18"/>
                <w:lang w:val="es-ES_tradnl"/>
              </w:rPr>
            </w:pPr>
          </w:p>
          <w:p w:rsidR="00A45935" w:rsidRPr="009E6414" w:rsidRDefault="00A45935" w:rsidP="00560E46">
            <w:pPr>
              <w:spacing w:line="220" w:lineRule="atLeast"/>
              <w:jc w:val="left"/>
              <w:rPr>
                <w:rFonts w:eastAsia="Calibri" w:cs="Arial"/>
                <w:noProof/>
                <w:sz w:val="18"/>
                <w:szCs w:val="18"/>
                <w:lang w:val="es-ES_tradnl"/>
              </w:rPr>
            </w:pPr>
          </w:p>
          <w:p w:rsidR="00560E46" w:rsidRPr="009E6414" w:rsidRDefault="00560E46" w:rsidP="00560E46">
            <w:pPr>
              <w:spacing w:line="220" w:lineRule="atLeast"/>
              <w:jc w:val="left"/>
              <w:rPr>
                <w:rFonts w:eastAsia="Calibri" w:cs="Arial"/>
                <w:noProof/>
                <w:sz w:val="18"/>
                <w:szCs w:val="18"/>
                <w:lang w:val="es-ES_tradnl"/>
              </w:rPr>
            </w:pPr>
          </w:p>
          <w:p w:rsidR="00560E46" w:rsidRPr="009E6414" w:rsidRDefault="00560E46" w:rsidP="00560E46">
            <w:pPr>
              <w:spacing w:line="220" w:lineRule="atLeast"/>
              <w:jc w:val="left"/>
              <w:rPr>
                <w:rFonts w:eastAsia="Calibri" w:cs="Arial"/>
                <w:noProof/>
                <w:sz w:val="18"/>
                <w:szCs w:val="18"/>
                <w:lang w:val="es-ES_tradnl"/>
              </w:rPr>
            </w:pPr>
          </w:p>
          <w:p w:rsidR="00A45935" w:rsidRPr="009E6414" w:rsidRDefault="00A45935" w:rsidP="00560E46">
            <w:pPr>
              <w:spacing w:line="220" w:lineRule="atLeast"/>
              <w:jc w:val="left"/>
              <w:rPr>
                <w:rFonts w:eastAsia="Calibri" w:cs="Arial"/>
                <w:noProof/>
                <w:sz w:val="18"/>
                <w:szCs w:val="18"/>
                <w:lang w:val="es-ES_tradnl"/>
              </w:rPr>
            </w:pPr>
            <w:r w:rsidRPr="009E6414">
              <w:rPr>
                <w:noProof/>
                <w:sz w:val="18"/>
                <w:lang w:val="es-ES_tradnl"/>
              </w:rPr>
              <w:t>Sistema de seguimiento del PDR.</w:t>
            </w:r>
          </w:p>
        </w:tc>
      </w:tr>
    </w:tbl>
    <w:p w:rsidR="00A45935" w:rsidRPr="009E6414" w:rsidRDefault="00A45935" w:rsidP="00E05D08">
      <w:pPr>
        <w:spacing w:before="240" w:after="120" w:line="280" w:lineRule="atLeast"/>
        <w:ind w:left="720"/>
        <w:mirrorIndents/>
        <w:rPr>
          <w:rFonts w:eastAsia="Times New Roman" w:cs="Arial"/>
          <w:b/>
          <w:noProof/>
          <w:szCs w:val="18"/>
          <w:lang w:val="es-ES_tradnl"/>
        </w:rPr>
      </w:pPr>
    </w:p>
    <w:p w:rsidR="00A45935" w:rsidRPr="009E6414" w:rsidRDefault="00A45935" w:rsidP="008C0B17">
      <w:pPr>
        <w:numPr>
          <w:ilvl w:val="0"/>
          <w:numId w:val="46"/>
        </w:numPr>
        <w:spacing w:before="240" w:after="120" w:line="280" w:lineRule="atLeast"/>
        <w:rPr>
          <w:rFonts w:eastAsia="Times New Roman" w:cs="Arial"/>
          <w:b/>
          <w:noProof/>
          <w:szCs w:val="18"/>
          <w:lang w:val="es-ES_tradnl"/>
        </w:rPr>
        <w:sectPr w:rsidR="00A45935" w:rsidRPr="009E6414" w:rsidSect="001F6F07">
          <w:endnotePr>
            <w:numFmt w:val="decimal"/>
          </w:endnotePr>
          <w:pgSz w:w="16840" w:h="11907" w:orient="landscape" w:code="9"/>
          <w:pgMar w:top="1440" w:right="1134" w:bottom="1440" w:left="1440" w:header="567" w:footer="1020" w:gutter="0"/>
          <w:cols w:space="708"/>
          <w:noEndnote/>
          <w:docGrid w:linePitch="435"/>
        </w:sectPr>
      </w:pPr>
    </w:p>
    <w:p w:rsidR="00A45935" w:rsidRPr="009E6414" w:rsidRDefault="00A45935" w:rsidP="008C0B17">
      <w:pPr>
        <w:numPr>
          <w:ilvl w:val="0"/>
          <w:numId w:val="62"/>
        </w:numPr>
        <w:spacing w:before="120" w:after="120" w:line="280" w:lineRule="atLeast"/>
        <w:ind w:left="709" w:hanging="709"/>
        <w:mirrorIndents/>
        <w:rPr>
          <w:rFonts w:eastAsia="Times New Roman" w:cs="Times New Roman"/>
          <w:b/>
          <w:noProof/>
          <w:szCs w:val="20"/>
          <w:lang w:val="es-ES_tradnl"/>
        </w:rPr>
      </w:pPr>
      <w:r w:rsidRPr="009E6414">
        <w:rPr>
          <w:b/>
          <w:noProof/>
          <w:lang w:val="es-ES_tradnl"/>
        </w:rPr>
        <w:lastRenderedPageBreak/>
        <w:t>Metodología de evaluación propuesta</w:t>
      </w:r>
    </w:p>
    <w:p w:rsidR="00A45935" w:rsidRPr="009E6414" w:rsidRDefault="00A45935" w:rsidP="00E05D08">
      <w:pPr>
        <w:spacing w:after="120" w:line="280" w:lineRule="atLeast"/>
        <w:mirrorIndents/>
        <w:rPr>
          <w:rFonts w:eastAsia="Times New Roman" w:cs="Arial"/>
          <w:noProof/>
          <w:szCs w:val="20"/>
          <w:lang w:val="es-ES_tradnl"/>
        </w:rPr>
      </w:pPr>
      <w:r w:rsidRPr="009E6414">
        <w:rPr>
          <w:noProof/>
          <w:lang w:val="es-ES_tradnl"/>
        </w:rPr>
        <w:t xml:space="preserve">El método de evaluación propuesto para responder a la PCE n.º 30 es el </w:t>
      </w:r>
      <w:r w:rsidRPr="009E6414">
        <w:rPr>
          <w:b/>
          <w:noProof/>
          <w:lang w:val="es-ES_tradnl"/>
        </w:rPr>
        <w:t>método de estudio de casos</w:t>
      </w:r>
      <w:r w:rsidRPr="009E6414">
        <w:rPr>
          <w:noProof/>
          <w:lang w:val="es-ES_tradnl"/>
        </w:rPr>
        <w:t>. Se recomienda a los evaluadores seguir las siguientes fases para realizar la evaluación:</w:t>
      </w:r>
    </w:p>
    <w:p w:rsidR="00A45935" w:rsidRPr="009E6414" w:rsidRDefault="00A45935" w:rsidP="000026C6">
      <w:pPr>
        <w:pStyle w:val="Hlistbullet"/>
        <w:rPr>
          <w:noProof/>
          <w:lang w:val="es-ES_tradnl"/>
        </w:rPr>
      </w:pPr>
      <w:r w:rsidRPr="009E6414">
        <w:rPr>
          <w:b/>
          <w:noProof/>
          <w:lang w:val="es-ES_tradnl"/>
        </w:rPr>
        <w:t>FASE 1 - Identificar los cambios significativos a los cuales el PDR puede alegar que ha contribuido mediante la potenciación de la innovación a través de una o más de las tres vías.</w:t>
      </w:r>
      <w:r w:rsidRPr="009E6414">
        <w:rPr>
          <w:noProof/>
          <w:lang w:val="es-ES_tradnl"/>
        </w:rPr>
        <w:t xml:space="preserve"> Esto puede efectuarse haciendo referencia a las respuestas a las PCE n.</w:t>
      </w:r>
      <w:r w:rsidRPr="009E6414">
        <w:rPr>
          <w:noProof/>
          <w:vertAlign w:val="superscript"/>
          <w:lang w:val="es-ES_tradnl"/>
        </w:rPr>
        <w:t>os</w:t>
      </w:r>
      <w:r w:rsidRPr="009E6414">
        <w:rPr>
          <w:noProof/>
          <w:lang w:val="es-ES_tradnl"/>
        </w:rPr>
        <w:t xml:space="preserve"> 22 a 29 (PCE relacionadas con la Estrategia Europa 2020 y los objetivos globales de la PAC), a través de entrevistas al personal y/o un análisis documental de la documentación del proyecto. Por ejemplo, el PDR puede alegar que contribuyó a un cambio significativo de la rentabilidad de las explotaciones agrícolas gracias al desarrollo de un nuevo elemento de maquinaria agrícola que posteriormente fue ampliamente adoptado y utilizado por los agricultores. La búsqueda de cambios significativos debe tener en cuenta las predicciones realizadas acerca de su probable adopción cuando se estableció el potencial de innovación al comienzo del programa.</w:t>
      </w:r>
    </w:p>
    <w:p w:rsidR="00320AA0" w:rsidRPr="009E6414" w:rsidRDefault="00320AA0" w:rsidP="00320AA0">
      <w:pPr>
        <w:pStyle w:val="Hlistbullet"/>
        <w:numPr>
          <w:ilvl w:val="0"/>
          <w:numId w:val="0"/>
        </w:numPr>
        <w:ind w:left="567"/>
        <w:rPr>
          <w:noProof/>
          <w:lang w:val="es-ES_tradnl"/>
        </w:rPr>
      </w:pPr>
      <w:r w:rsidRPr="009E6414">
        <w:rPr>
          <w:noProof/>
          <w:sz w:val="18"/>
          <w:lang w:val="en-GB" w:eastAsia="en-GB" w:bidi="ar-SA"/>
        </w:rPr>
        <mc:AlternateContent>
          <mc:Choice Requires="wps">
            <w:drawing>
              <wp:inline distT="0" distB="0" distL="0" distR="0" wp14:anchorId="42454EE0" wp14:editId="77EFC6E8">
                <wp:extent cx="5374005" cy="3724275"/>
                <wp:effectExtent l="0" t="0" r="17145" b="28575"/>
                <wp:docPr id="719" name="Rectangle: Diagonal Corners Rounded 719"/>
                <wp:cNvGraphicFramePr/>
                <a:graphic xmlns:a="http://schemas.openxmlformats.org/drawingml/2006/main">
                  <a:graphicData uri="http://schemas.microsoft.com/office/word/2010/wordprocessingShape">
                    <wps:wsp>
                      <wps:cNvSpPr/>
                      <wps:spPr>
                        <a:xfrm>
                          <a:off x="0" y="0"/>
                          <a:ext cx="5374005" cy="3724275"/>
                        </a:xfrm>
                        <a:prstGeom prst="round2DiagRect">
                          <a:avLst>
                            <a:gd name="adj1" fmla="val 3961"/>
                            <a:gd name="adj2" fmla="val 0"/>
                          </a:avLst>
                        </a:prstGeom>
                        <a:noFill/>
                        <a:ln w="25400" cap="flat" cmpd="sng" algn="ctr">
                          <a:solidFill>
                            <a:srgbClr val="F07E31"/>
                          </a:solidFill>
                          <a:prstDash val="solid"/>
                        </a:ln>
                        <a:effectLst/>
                      </wps:spPr>
                      <wps:txbx>
                        <w:txbxContent>
                          <w:p w:rsidR="008D2E0D" w:rsidRPr="00253803" w:rsidRDefault="008D2E0D" w:rsidP="00320AA0">
                            <w:pPr>
                              <w:ind w:left="567" w:hanging="567"/>
                              <w:rPr>
                                <w:rFonts w:cs="Arial"/>
                                <w:color w:val="F07E31"/>
                                <w:sz w:val="18"/>
                                <w:szCs w:val="18"/>
                              </w:rPr>
                            </w:pPr>
                            <w:r>
                              <w:rPr>
                                <w:noProof/>
                                <w:szCs w:val="18"/>
                                <w:lang w:val="en-GB" w:eastAsia="en-GB" w:bidi="ar-SA"/>
                              </w:rPr>
                              <w:drawing>
                                <wp:inline distT="0" distB="0" distL="0" distR="0" wp14:anchorId="12458E8B" wp14:editId="117A2A90">
                                  <wp:extent cx="353060" cy="359410"/>
                                  <wp:effectExtent l="0" t="0" r="8890" b="2540"/>
                                  <wp:docPr id="72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rPr>
                              <w:t>Una red temática sobre sistemas agrarios con alto valor natural.</w:t>
                            </w:r>
                            <w:r>
                              <w:rPr>
                                <w:color w:val="F07E31"/>
                                <w:sz w:val="18"/>
                              </w:rPr>
                              <w:t xml:space="preserve"> </w:t>
                            </w:r>
                          </w:p>
                          <w:p w:rsidR="008D2E0D" w:rsidRPr="00253803" w:rsidRDefault="008D2E0D" w:rsidP="00320AA0">
                            <w:pPr>
                              <w:spacing w:line="280" w:lineRule="atLeast"/>
                              <w:rPr>
                                <w:rFonts w:cs="Arial"/>
                                <w:sz w:val="18"/>
                                <w:szCs w:val="18"/>
                              </w:rPr>
                            </w:pPr>
                            <w:r>
                              <w:rPr>
                                <w:sz w:val="18"/>
                              </w:rPr>
                              <w:t xml:space="preserve">Como parte del proyecto de investigación Horizonte 2020: </w:t>
                            </w:r>
                            <w:r>
                              <w:t>«</w:t>
                            </w:r>
                            <w:hyperlink r:id="rId83">
                              <w:r>
                                <w:rPr>
                                  <w:rStyle w:val="Hyperlink"/>
                                  <w:sz w:val="18"/>
                                </w:rPr>
                                <w:t>Enlace alto valor natural</w:t>
                              </w:r>
                            </w:hyperlink>
                            <w:r>
                              <w:t>», un equipo de investigadores ha desarrollado un marco de evaluación para analizar la situación de partida de las zonas de alto valor natural a las cuales la innovación puede potencialmente contribuir.</w:t>
                            </w:r>
                            <w:r>
                              <w:rPr>
                                <w:sz w:val="18"/>
                              </w:rPr>
                              <w:t xml:space="preserve"> Esta valoración preliminar incluye el análisis de varios atributos relacionados con: </w:t>
                            </w:r>
                          </w:p>
                          <w:p w:rsidR="008D2E0D" w:rsidRPr="00253803" w:rsidRDefault="008D2E0D" w:rsidP="00320AA0">
                            <w:pPr>
                              <w:numPr>
                                <w:ilvl w:val="0"/>
                                <w:numId w:val="63"/>
                              </w:numPr>
                              <w:ind w:left="567" w:hanging="567"/>
                              <w:contextualSpacing/>
                              <w:rPr>
                                <w:rFonts w:cs="Arial"/>
                                <w:sz w:val="18"/>
                                <w:szCs w:val="18"/>
                              </w:rPr>
                            </w:pPr>
                            <w:r>
                              <w:rPr>
                                <w:sz w:val="18"/>
                              </w:rPr>
                              <w:t>el ecosistema agrario (suelo, clima y condiciones topográficas);</w:t>
                            </w:r>
                          </w:p>
                          <w:p w:rsidR="008D2E0D" w:rsidRPr="00253803" w:rsidRDefault="008D2E0D" w:rsidP="00320AA0">
                            <w:pPr>
                              <w:numPr>
                                <w:ilvl w:val="0"/>
                                <w:numId w:val="63"/>
                              </w:numPr>
                              <w:ind w:left="567" w:hanging="567"/>
                              <w:contextualSpacing/>
                              <w:rPr>
                                <w:rFonts w:cs="Arial"/>
                                <w:sz w:val="18"/>
                                <w:szCs w:val="18"/>
                              </w:rPr>
                            </w:pPr>
                            <w:r>
                              <w:rPr>
                                <w:sz w:val="18"/>
                              </w:rPr>
                              <w:t>los sistemas de cultivo y su dinámica en los sistemas agrarios;</w:t>
                            </w:r>
                          </w:p>
                          <w:p w:rsidR="008D2E0D" w:rsidRPr="00253803" w:rsidRDefault="008D2E0D" w:rsidP="00320AA0">
                            <w:pPr>
                              <w:numPr>
                                <w:ilvl w:val="0"/>
                                <w:numId w:val="63"/>
                              </w:numPr>
                              <w:ind w:left="567" w:hanging="567"/>
                              <w:contextualSpacing/>
                              <w:rPr>
                                <w:rFonts w:cs="Arial"/>
                                <w:sz w:val="18"/>
                                <w:szCs w:val="18"/>
                              </w:rPr>
                            </w:pPr>
                            <w:r>
                              <w:rPr>
                                <w:sz w:val="18"/>
                              </w:rPr>
                              <w:t xml:space="preserve">el contexto rural y las fuerzas motrices más amplias (políticas, tecnologías, cambios sociales); </w:t>
                            </w:r>
                          </w:p>
                          <w:p w:rsidR="008D2E0D" w:rsidRPr="00253803" w:rsidRDefault="008D2E0D" w:rsidP="00320AA0">
                            <w:pPr>
                              <w:numPr>
                                <w:ilvl w:val="0"/>
                                <w:numId w:val="63"/>
                              </w:numPr>
                              <w:ind w:left="567" w:hanging="567"/>
                              <w:contextualSpacing/>
                              <w:rPr>
                                <w:rFonts w:cs="Arial"/>
                                <w:sz w:val="18"/>
                                <w:szCs w:val="18"/>
                              </w:rPr>
                            </w:pPr>
                            <w:r>
                              <w:rPr>
                                <w:sz w:val="18"/>
                              </w:rPr>
                              <w:t>las cuestiones transversales (agentes y organizaciones sociales).</w:t>
                            </w:r>
                          </w:p>
                          <w:p w:rsidR="008D2E0D" w:rsidRPr="000E5745" w:rsidRDefault="008D2E0D" w:rsidP="00320AA0">
                            <w:pPr>
                              <w:pStyle w:val="Hlistbullet"/>
                              <w:numPr>
                                <w:ilvl w:val="0"/>
                                <w:numId w:val="0"/>
                              </w:numPr>
                              <w:rPr>
                                <w:sz w:val="18"/>
                                <w:szCs w:val="18"/>
                              </w:rPr>
                            </w:pPr>
                            <w:r>
                              <w:rPr>
                                <w:sz w:val="18"/>
                              </w:rPr>
                              <w:t xml:space="preserve">Para crear una situación de partida se combinaron métodos diferentes: 1) valoración del ecosistema agrario, 2) análisis del sistema agrario y de la explotación, 3) análisis rural y 4) análisis de los agentes. La metodología permite construir una situación hipotética para valorar el proceso y los efectos de las innovaciones que tienen lugar en las zonas de elevado valor natural. </w:t>
                            </w:r>
                            <w:r>
                              <w:t>En el siguiente enlace se puede consultar u</w:t>
                            </w:r>
                            <w:r>
                              <w:rPr>
                                <w:sz w:val="18"/>
                              </w:rPr>
                              <w:t xml:space="preserve">n ejemplo de la aplicación de esta metodología: </w:t>
                            </w:r>
                            <w:hyperlink r:id="rId84">
                              <w:r>
                                <w:rPr>
                                  <w:rStyle w:val="Hyperlink"/>
                                  <w:sz w:val="18"/>
                                </w:rPr>
                                <w:t>http://www.hnvlink.eu/download/D1.3BAcomplete.pdf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454EE0" id="Rectangle: Diagonal Corners Rounded 719" o:spid="_x0000_s1055" style="width:423.15pt;height:293.25pt;visibility:visible;mso-wrap-style:square;mso-left-percent:-10001;mso-top-percent:-10001;mso-position-horizontal:absolute;mso-position-horizontal-relative:char;mso-position-vertical:absolute;mso-position-vertical-relative:line;mso-left-percent:-10001;mso-top-percent:-10001;v-text-anchor:middle" coordsize="5374005,3724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" adj="-11796480,,5400" path="m147519,l5374005,r,l5374005,3576756v,81472,-66047,147519,-147519,147519l,3724275r,l,147519c,66047,66047,,147519,xe" filled="f" strokecolor="#f07e31" strokeweight="2pt">
                <v:stroke joinstyle="miter"/>
                <v:formulas/>
                <v:path arrowok="t" o:connecttype="custom" o:connectlocs="147519,0;5374005,0;5374005,0;5374005,3576756;5226486,3724275;0,3724275;0,3724275;0,147519;147519,0" o:connectangles="0,0,0,0,0,0,0,0,0" textboxrect="0,0,5374005,3724275"/>
                <v:textbox>
                  <w:txbxContent>
                    <w:p w:rsidR="008D2E0D" w:rsidRPr="00253803" w:rsidRDefault="008D2E0D" w:rsidP="00320AA0">
                      <w:pPr>
                        <w:ind w:left="567" w:hanging="567"/>
                        <w:rPr>
                          <w:rFonts w:cs="Arial"/>
                          <w:color w:val="F07E31"/>
                          <w:sz w:val="18"/>
                          <w:szCs w:val="18"/>
                        </w:rPr>
                      </w:pPr>
                      <w:r>
                        <w:rPr>
                          <w:noProof/>
                          <w:szCs w:val="18"/>
                          <w:lang w:val="en-GB" w:eastAsia="en-GB" w:bidi="ar-SA"/>
                        </w:rPr>
                        <w:drawing>
                          <wp:inline distT="0" distB="0" distL="0" distR="0" wp14:anchorId="12458E8B" wp14:editId="117A2A90">
                            <wp:extent cx="353060" cy="359410"/>
                            <wp:effectExtent l="0" t="0" r="8890" b="2540"/>
                            <wp:docPr id="72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rPr>
                        <w:t>Una red temática sobre sistemas agrarios con alto valor natural.</w:t>
                      </w:r>
                      <w:r>
                        <w:rPr>
                          <w:color w:val="F07E31"/>
                          <w:sz w:val="18"/>
                        </w:rPr>
                        <w:t xml:space="preserve"> </w:t>
                      </w:r>
                    </w:p>
                    <w:p w:rsidR="008D2E0D" w:rsidRPr="00253803" w:rsidRDefault="008D2E0D" w:rsidP="00320AA0">
                      <w:pPr>
                        <w:spacing w:line="280" w:lineRule="atLeast"/>
                        <w:rPr>
                          <w:rFonts w:cs="Arial"/>
                          <w:sz w:val="18"/>
                          <w:szCs w:val="18"/>
                        </w:rPr>
                      </w:pPr>
                      <w:r>
                        <w:rPr>
                          <w:sz w:val="18"/>
                        </w:rPr>
                        <w:t xml:space="preserve">Como parte del proyecto de investigación Horizonte 2020: </w:t>
                      </w:r>
                      <w:r>
                        <w:t>«</w:t>
                      </w:r>
                      <w:hyperlink r:id="rId85">
                        <w:r>
                          <w:rPr>
                            <w:rStyle w:val="Hyperlink"/>
                            <w:sz w:val="18"/>
                          </w:rPr>
                          <w:t>Enlace alto valor natural</w:t>
                        </w:r>
                      </w:hyperlink>
                      <w:r>
                        <w:t>», un equipo de investigadores ha desarrollado un marco de evaluación para analizar la situación de partida de las zonas de alto valor natural a las cuales la innovación puede potencialmente contribuir.</w:t>
                      </w:r>
                      <w:r>
                        <w:rPr>
                          <w:sz w:val="18"/>
                        </w:rPr>
                        <w:t xml:space="preserve"> Esta valoración preliminar incluye el análisis de varios atributos relacionados con: </w:t>
                      </w:r>
                    </w:p>
                    <w:p w:rsidR="008D2E0D" w:rsidRPr="00253803" w:rsidRDefault="008D2E0D" w:rsidP="00320AA0">
                      <w:pPr>
                        <w:numPr>
                          <w:ilvl w:val="0"/>
                          <w:numId w:val="63"/>
                        </w:numPr>
                        <w:ind w:left="567" w:hanging="567"/>
                        <w:contextualSpacing/>
                        <w:rPr>
                          <w:rFonts w:cs="Arial"/>
                          <w:sz w:val="18"/>
                          <w:szCs w:val="18"/>
                        </w:rPr>
                      </w:pPr>
                      <w:r>
                        <w:rPr>
                          <w:sz w:val="18"/>
                        </w:rPr>
                        <w:t>el ecosistema agrario (suelo, clima y condiciones topográficas);</w:t>
                      </w:r>
                    </w:p>
                    <w:p w:rsidR="008D2E0D" w:rsidRPr="00253803" w:rsidRDefault="008D2E0D" w:rsidP="00320AA0">
                      <w:pPr>
                        <w:numPr>
                          <w:ilvl w:val="0"/>
                          <w:numId w:val="63"/>
                        </w:numPr>
                        <w:ind w:left="567" w:hanging="567"/>
                        <w:contextualSpacing/>
                        <w:rPr>
                          <w:rFonts w:cs="Arial"/>
                          <w:sz w:val="18"/>
                          <w:szCs w:val="18"/>
                        </w:rPr>
                      </w:pPr>
                      <w:r>
                        <w:rPr>
                          <w:sz w:val="18"/>
                        </w:rPr>
                        <w:t>los sistemas de cultivo y su dinámica en los sistemas agrarios;</w:t>
                      </w:r>
                    </w:p>
                    <w:p w:rsidR="008D2E0D" w:rsidRPr="00253803" w:rsidRDefault="008D2E0D" w:rsidP="00320AA0">
                      <w:pPr>
                        <w:numPr>
                          <w:ilvl w:val="0"/>
                          <w:numId w:val="63"/>
                        </w:numPr>
                        <w:ind w:left="567" w:hanging="567"/>
                        <w:contextualSpacing/>
                        <w:rPr>
                          <w:rFonts w:cs="Arial"/>
                          <w:sz w:val="18"/>
                          <w:szCs w:val="18"/>
                        </w:rPr>
                      </w:pPr>
                      <w:r>
                        <w:rPr>
                          <w:sz w:val="18"/>
                        </w:rPr>
                        <w:t xml:space="preserve">el contexto rural y las fuerzas motrices más amplias (políticas, tecnologías, cambios sociales); </w:t>
                      </w:r>
                    </w:p>
                    <w:p w:rsidR="008D2E0D" w:rsidRPr="00253803" w:rsidRDefault="008D2E0D" w:rsidP="00320AA0">
                      <w:pPr>
                        <w:numPr>
                          <w:ilvl w:val="0"/>
                          <w:numId w:val="63"/>
                        </w:numPr>
                        <w:ind w:left="567" w:hanging="567"/>
                        <w:contextualSpacing/>
                        <w:rPr>
                          <w:rFonts w:cs="Arial"/>
                          <w:sz w:val="18"/>
                          <w:szCs w:val="18"/>
                        </w:rPr>
                      </w:pPr>
                      <w:r>
                        <w:rPr>
                          <w:sz w:val="18"/>
                        </w:rPr>
                        <w:t>las cuestiones transversales (agentes y organizaciones sociales).</w:t>
                      </w:r>
                    </w:p>
                    <w:p w:rsidR="008D2E0D" w:rsidRPr="000E5745" w:rsidRDefault="008D2E0D" w:rsidP="00320AA0">
                      <w:pPr>
                        <w:pStyle w:val="Hlistbullet"/>
                        <w:numPr>
                          <w:ilvl w:val="0"/>
                          <w:numId w:val="0"/>
                        </w:numPr>
                        <w:rPr>
                          <w:sz w:val="18"/>
                          <w:szCs w:val="18"/>
                        </w:rPr>
                      </w:pPr>
                      <w:r>
                        <w:rPr>
                          <w:sz w:val="18"/>
                        </w:rPr>
                        <w:t xml:space="preserve">Para crear una situación de partida se combinaron métodos diferentes: 1) valoración del ecosistema agrario, 2) análisis del sistema agrario y de la explotación, 3) análisis rural y 4) análisis de los agentes. La metodología permite construir una situación hipotética para valorar el proceso y los efectos de las innovaciones que tienen lugar en las zonas de elevado valor natural. </w:t>
                      </w:r>
                      <w:r>
                        <w:t>En el siguiente enlace se puede consultar u</w:t>
                      </w:r>
                      <w:r>
                        <w:rPr>
                          <w:sz w:val="18"/>
                        </w:rPr>
                        <w:t xml:space="preserve">n ejemplo de la aplicación de esta metodología: </w:t>
                      </w:r>
                      <w:hyperlink r:id="rId86">
                        <w:r>
                          <w:rPr>
                            <w:rStyle w:val="Hyperlink"/>
                            <w:sz w:val="18"/>
                          </w:rPr>
                          <w:t>http://www.hnvlink.eu/download/D1.3BAcomplete.pdf</w:t>
                        </w:r>
                      </w:hyperlink>
                    </w:p>
                  </w:txbxContent>
                </v:textbox>
                <w10:anchorlock/>
              </v:shape>
            </w:pict>
          </mc:Fallback>
        </mc:AlternateContent>
      </w:r>
    </w:p>
    <w:p w:rsidR="00447B72" w:rsidRDefault="00A45935" w:rsidP="000026C6">
      <w:pPr>
        <w:pStyle w:val="Hlistbullet"/>
        <w:rPr>
          <w:noProof/>
          <w:lang w:val="es-ES_tradnl"/>
        </w:rPr>
      </w:pPr>
      <w:r w:rsidRPr="009E6414">
        <w:rPr>
          <w:b/>
          <w:noProof/>
          <w:lang w:val="es-ES_tradnl"/>
        </w:rPr>
        <w:t>FASE 2 - Recabar información sobre el rendimiento del PDR en comparación con los criterios de valoración y los indicadores</w:t>
      </w:r>
      <w:r w:rsidRPr="009E6414">
        <w:rPr>
          <w:noProof/>
          <w:lang w:val="es-ES_tradnl"/>
        </w:rPr>
        <w:t xml:space="preserve"> (tal como se propone en el cuadro 9 anterior de los elementos de evaluación) para las tres subpreguntas relativas al grado en que el PDR ha repercutido en las tres vías. </w:t>
      </w:r>
    </w:p>
    <w:p w:rsidR="00A45935" w:rsidRPr="00A74E46" w:rsidRDefault="00037CA6" w:rsidP="000026C6">
      <w:pPr>
        <w:pStyle w:val="Hlistbullet2"/>
        <w:rPr>
          <w:noProof/>
          <w:lang w:val="es-ES_tradnl"/>
        </w:rPr>
      </w:pPr>
      <w:r w:rsidRPr="00A74E46">
        <w:rPr>
          <w:noProof/>
          <w:lang w:val="en-GB" w:eastAsia="en-GB" w:bidi="ar-SA"/>
        </w:rPr>
        <w:lastRenderedPageBreak/>
        <mc:AlternateContent>
          <mc:Choice Requires="wps">
            <w:drawing>
              <wp:inline distT="0" distB="0" distL="0" distR="0" wp14:anchorId="5EBD0562" wp14:editId="14845C77">
                <wp:extent cx="5414645" cy="2895600"/>
                <wp:effectExtent l="0" t="0" r="14605" b="19050"/>
                <wp:docPr id="562" name="Rectangle: Diagonal Corners Rounded 562"/>
                <wp:cNvGraphicFramePr/>
                <a:graphic xmlns:a="http://schemas.openxmlformats.org/drawingml/2006/main">
                  <a:graphicData uri="http://schemas.microsoft.com/office/word/2010/wordprocessingShape">
                    <wps:wsp>
                      <wps:cNvSpPr/>
                      <wps:spPr>
                        <a:xfrm>
                          <a:off x="0" y="0"/>
                          <a:ext cx="5414645" cy="2895600"/>
                        </a:xfrm>
                        <a:prstGeom prst="round2DiagRect">
                          <a:avLst>
                            <a:gd name="adj1" fmla="val 7843"/>
                            <a:gd name="adj2" fmla="val 0"/>
                          </a:avLst>
                        </a:prstGeom>
                        <a:noFill/>
                        <a:ln w="25400" cap="flat" cmpd="sng" algn="ctr">
                          <a:solidFill>
                            <a:srgbClr val="BE4A35"/>
                          </a:solidFill>
                          <a:prstDash val="solid"/>
                        </a:ln>
                        <a:effectLst/>
                      </wps:spPr>
                      <wps:txbx>
                        <w:txbxContent>
                          <w:p w:rsidR="008D2E0D" w:rsidRPr="003D7EC4" w:rsidRDefault="008D2E0D" w:rsidP="00E05D08">
                            <w:pPr>
                              <w:pStyle w:val="HStandard"/>
                              <w:rPr>
                                <w:rFonts w:cs="Arial"/>
                                <w:sz w:val="18"/>
                              </w:rPr>
                            </w:pPr>
                            <w:r>
                              <w:rPr>
                                <w:noProof/>
                                <w:lang w:val="en-GB" w:eastAsia="en-GB" w:bidi="ar-SA"/>
                              </w:rPr>
                              <w:drawing>
                                <wp:inline distT="0" distB="0" distL="0" distR="0" wp14:anchorId="251B64B6" wp14:editId="26F35F81">
                                  <wp:extent cx="664845" cy="487680"/>
                                  <wp:effectExtent l="0" t="0" r="0" b="7620"/>
                                  <wp:docPr id="728"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La adopción de ideas innovadoras, procesos, modelos y/o tecnologías introducidos por el </w:t>
                            </w:r>
                            <w:proofErr w:type="spellStart"/>
                            <w:r>
                              <w:t>PDR</w:t>
                            </w:r>
                            <w:proofErr w:type="spellEnd"/>
                            <w:r>
                              <w:t xml:space="preserve"> puede evaluarse utilizando </w:t>
                            </w:r>
                            <w:r>
                              <w:rPr>
                                <w:b/>
                              </w:rPr>
                              <w:t>encuestas</w:t>
                            </w:r>
                            <w:r>
                              <w:t xml:space="preserve"> que midan el nivel y el grado de adopción de las novedades y determinen el origen de las mismas.</w:t>
                            </w:r>
                            <w:r>
                              <w:rPr>
                                <w:sz w:val="18"/>
                              </w:rPr>
                              <w:t xml:space="preserve"> Las </w:t>
                            </w:r>
                            <w:proofErr w:type="spellStart"/>
                            <w:r>
                              <w:rPr>
                                <w:sz w:val="18"/>
                              </w:rPr>
                              <w:t>encuentas</w:t>
                            </w:r>
                            <w:proofErr w:type="spellEnd"/>
                            <w:r>
                              <w:rPr>
                                <w:sz w:val="18"/>
                              </w:rPr>
                              <w:t xml:space="preserve"> deben:</w:t>
                            </w:r>
                          </w:p>
                          <w:p w:rsidR="008D2E0D" w:rsidRPr="003D7EC4" w:rsidRDefault="008D2E0D" w:rsidP="008C0B17">
                            <w:pPr>
                              <w:pStyle w:val="HStandard"/>
                              <w:numPr>
                                <w:ilvl w:val="3"/>
                                <w:numId w:val="43"/>
                              </w:numPr>
                            </w:pPr>
                            <w:r>
                              <w:rPr>
                                <w:sz w:val="18"/>
                              </w:rPr>
                              <w:t>incluir a aquellos que adoptaron la novedad, pero también a aquellos que no lo hicieron y deben esforzarse por: a) entender los motivos de su no adopción y b) identificar si existen formas alternativas de resolver la cuestión que la novedad aborda;</w:t>
                            </w:r>
                          </w:p>
                          <w:p w:rsidR="008D2E0D" w:rsidRPr="000E5745" w:rsidRDefault="008D2E0D" w:rsidP="008C0B17">
                            <w:pPr>
                              <w:pStyle w:val="HStandard"/>
                              <w:numPr>
                                <w:ilvl w:val="3"/>
                                <w:numId w:val="43"/>
                              </w:numPr>
                            </w:pPr>
                            <w:r>
                              <w:t xml:space="preserve">ser enumeradas entre los adoptantes y no adoptantes de una nueva idea cuando se sepa que la adopción ha tenido lugar, así como en los ámbitos que fueron identificados como prometedores durante el examen del potencial de innovación (véase el </w:t>
                            </w:r>
                            <w:hyperlink w:anchor="Screening_Potential" w:history="1">
                              <w:r>
                                <w:rPr>
                                  <w:rStyle w:val="Hyperlink"/>
                                  <w:sz w:val="18"/>
                                </w:rPr>
                                <w:t>capítulo 2.2</w:t>
                              </w:r>
                            </w:hyperlink>
                            <w:r>
                              <w:t>).</w:t>
                            </w:r>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EBD0562" id="Rectangle: Diagonal Corners Rounded 562" o:spid="_x0000_s1056" style="width:426.35pt;height:228pt;visibility:visible;mso-wrap-style:square;mso-left-percent:-10001;mso-top-percent:-10001;mso-position-horizontal:absolute;mso-position-horizontal-relative:char;mso-position-vertical:absolute;mso-position-vertical-relative:line;mso-left-percent:-10001;mso-top-percent:-10001;v-text-anchor:middle" coordsize="5414645,2895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" adj="-11796480,,5400" path="m227102,l5414645,r,l5414645,2668498v,125425,-101677,227102,-227102,227102l,2895600r,l,227102c,101677,101677,,227102,xe" filled="f" strokecolor="#be4a35" strokeweight="2pt">
                <v:stroke joinstyle="miter"/>
                <v:formulas/>
                <v:path arrowok="t" o:connecttype="custom" o:connectlocs="227102,0;5414645,0;5414645,0;5414645,2668498;5187543,2895600;0,2895600;0,2895600;0,227102;227102,0" o:connectangles="0,0,0,0,0,0,0,0,0" textboxrect="0,0,5414645,2895600"/>
                <v:textbox>
                  <w:txbxContent>
                    <w:p w:rsidR="008D2E0D" w:rsidRPr="003D7EC4" w:rsidRDefault="008D2E0D" w:rsidP="00E05D08">
                      <w:pPr>
                        <w:pStyle w:val="HStandard"/>
                        <w:rPr>
                          <w:rFonts w:cs="Arial"/>
                          <w:sz w:val="18"/>
                        </w:rPr>
                      </w:pPr>
                      <w:r>
                        <w:rPr>
                          <w:noProof/>
                          <w:lang w:val="en-GB" w:eastAsia="en-GB" w:bidi="ar-SA"/>
                        </w:rPr>
                        <w:drawing>
                          <wp:inline distT="0" distB="0" distL="0" distR="0" wp14:anchorId="251B64B6" wp14:editId="26F35F81">
                            <wp:extent cx="664845" cy="487680"/>
                            <wp:effectExtent l="0" t="0" r="0" b="7620"/>
                            <wp:docPr id="728"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La adopción de ideas innovadoras, procesos, modelos y/o tecnologías introducidos por el </w:t>
                      </w:r>
                      <w:proofErr w:type="spellStart"/>
                      <w:r>
                        <w:t>PDR</w:t>
                      </w:r>
                      <w:proofErr w:type="spellEnd"/>
                      <w:r>
                        <w:t xml:space="preserve"> puede evaluarse utilizando </w:t>
                      </w:r>
                      <w:r>
                        <w:rPr>
                          <w:b/>
                        </w:rPr>
                        <w:t>encuestas</w:t>
                      </w:r>
                      <w:r>
                        <w:t xml:space="preserve"> que midan el nivel y el grado de adopción de las novedades y determinen el origen de las mismas.</w:t>
                      </w:r>
                      <w:r>
                        <w:rPr>
                          <w:sz w:val="18"/>
                        </w:rPr>
                        <w:t xml:space="preserve"> Las </w:t>
                      </w:r>
                      <w:proofErr w:type="spellStart"/>
                      <w:r>
                        <w:rPr>
                          <w:sz w:val="18"/>
                        </w:rPr>
                        <w:t>encuentas</w:t>
                      </w:r>
                      <w:proofErr w:type="spellEnd"/>
                      <w:r>
                        <w:rPr>
                          <w:sz w:val="18"/>
                        </w:rPr>
                        <w:t xml:space="preserve"> deben:</w:t>
                      </w:r>
                    </w:p>
                    <w:p w:rsidR="008D2E0D" w:rsidRPr="003D7EC4" w:rsidRDefault="008D2E0D" w:rsidP="008C0B17">
                      <w:pPr>
                        <w:pStyle w:val="HStandard"/>
                        <w:numPr>
                          <w:ilvl w:val="3"/>
                          <w:numId w:val="43"/>
                        </w:numPr>
                      </w:pPr>
                      <w:r>
                        <w:rPr>
                          <w:sz w:val="18"/>
                        </w:rPr>
                        <w:t>incluir a aquellos que adoptaron la novedad, pero también a aquellos que no lo hicieron y deben esforzarse por: a) entender los motivos de su no adopción y b) identificar si existen formas alternativas de resolver la cuestión que la novedad aborda;</w:t>
                      </w:r>
                    </w:p>
                    <w:p w:rsidR="008D2E0D" w:rsidRPr="000E5745" w:rsidRDefault="008D2E0D" w:rsidP="008C0B17">
                      <w:pPr>
                        <w:pStyle w:val="HStandard"/>
                        <w:numPr>
                          <w:ilvl w:val="3"/>
                          <w:numId w:val="43"/>
                        </w:numPr>
                      </w:pPr>
                      <w:r>
                        <w:t xml:space="preserve">ser enumeradas entre los adoptantes y no adoptantes de una nueva idea cuando se sepa que la adopción ha tenido lugar, así como en los ámbitos que fueron identificados como prometedores durante el examen del potencial de innovación (véase el </w:t>
                      </w:r>
                      <w:hyperlink w:anchor="Screening_Potential" w:history="1">
                        <w:r>
                          <w:rPr>
                            <w:rStyle w:val="Hyperlink"/>
                            <w:sz w:val="18"/>
                          </w:rPr>
                          <w:t>capítulo 2.2</w:t>
                        </w:r>
                      </w:hyperlink>
                      <w:r>
                        <w:t>).</w:t>
                      </w:r>
                      <w:r>
                        <w:rPr>
                          <w:sz w:val="18"/>
                        </w:rPr>
                        <w:t xml:space="preserve"> </w:t>
                      </w:r>
                    </w:p>
                  </w:txbxContent>
                </v:textbox>
                <w10:anchorlock/>
              </v:shape>
            </w:pict>
          </mc:Fallback>
        </mc:AlternateContent>
      </w:r>
      <w:r w:rsidRPr="00A74E46">
        <w:rPr>
          <w:noProof/>
          <w:lang w:val="es-ES_tradnl"/>
        </w:rPr>
        <w:t xml:space="preserve">La </w:t>
      </w:r>
      <w:r w:rsidRPr="00A74E46">
        <w:rPr>
          <w:b/>
          <w:noProof/>
          <w:lang w:val="es-ES_tradnl"/>
        </w:rPr>
        <w:t>vía 1</w:t>
      </w:r>
      <w:r w:rsidRPr="00A74E46">
        <w:rPr>
          <w:noProof/>
          <w:lang w:val="es-ES_tradnl"/>
        </w:rPr>
        <w:t xml:space="preserve"> tiene el criterio de valoración «adopción de ideas innovadoras, procesos, modelos y/o tecnologías introducidos por el PDR». Dicho criterio puede medirse utilizando indicadores comunes y complementarios, tal como se propone en el cuadro 9. En el caso de los indicadores comunes, los datos pueden recopilarse a través de la base de datos de operaciones. En el caso de los indicadores complementarios, los datos y la información pueden recopilarse a través de una encuesta organizada y dirigida por el evaluador (véase el ejemplo a continuación).</w:t>
      </w:r>
    </w:p>
    <w:p w:rsidR="00A45935" w:rsidRPr="009E6414" w:rsidRDefault="00A45935" w:rsidP="000026C6">
      <w:pPr>
        <w:pStyle w:val="Hlistbullet2"/>
        <w:rPr>
          <w:noProof/>
          <w:lang w:val="es-ES_tradnl"/>
        </w:rPr>
      </w:pPr>
      <w:r w:rsidRPr="009E6414">
        <w:rPr>
          <w:noProof/>
          <w:lang w:val="es-ES_tradnl"/>
        </w:rPr>
        <w:t xml:space="preserve">La </w:t>
      </w:r>
      <w:r w:rsidRPr="009E6414">
        <w:rPr>
          <w:b/>
          <w:noProof/>
          <w:lang w:val="es-ES_tradnl"/>
        </w:rPr>
        <w:t>vía 2</w:t>
      </w:r>
      <w:r w:rsidRPr="009E6414">
        <w:rPr>
          <w:noProof/>
          <w:lang w:val="es-ES_tradnl"/>
        </w:rPr>
        <w:t xml:space="preserve"> cuenta con tres criterios de valoración, que van acompañados por indicadores de resultados: </w:t>
      </w:r>
    </w:p>
    <w:p w:rsidR="00A45935" w:rsidRPr="009E6414" w:rsidRDefault="00A45935" w:rsidP="000026C6">
      <w:pPr>
        <w:numPr>
          <w:ilvl w:val="3"/>
          <w:numId w:val="44"/>
        </w:numPr>
        <w:spacing w:before="60" w:after="120" w:line="280" w:lineRule="atLeast"/>
        <w:ind w:left="1701" w:hanging="567"/>
        <w:rPr>
          <w:rFonts w:eastAsia="Times New Roman" w:cs="Arial"/>
          <w:noProof/>
          <w:szCs w:val="20"/>
          <w:lang w:val="es-ES_tradnl"/>
        </w:rPr>
      </w:pPr>
      <w:r w:rsidRPr="009E6414">
        <w:rPr>
          <w:noProof/>
          <w:lang w:val="es-ES_tradnl"/>
        </w:rPr>
        <w:t xml:space="preserve">El primero es el incremento de la colaboración y del intercambio entre los agentes implicados en provocar el cambio al que el PDR ha contribuido. Esto implica identificar los acuerdos entre los socios que el PDR ha auspiciado con la ayuda de los indicadores de resultados complementarios: «Número de asociaciones formales auspiciadas por el PDR vinculadas a los cambios en las prioridades de desarrollo rural a los que el PDR ha contribuido» y «Aumento porcentual en número y tipos de socios involucrados en proyectos de cooperación» (véase el documento de trabajo </w:t>
      </w:r>
      <w:hyperlink r:id="rId87">
        <w:r w:rsidRPr="009E6414">
          <w:rPr>
            <w:noProof/>
            <w:color w:val="F07E31"/>
            <w:u w:val="single"/>
            <w:lang w:val="es-ES_tradnl"/>
          </w:rPr>
          <w:t>PCE de los PDR 2014-2020</w:t>
        </w:r>
      </w:hyperlink>
      <w:r w:rsidRPr="009E6414">
        <w:rPr>
          <w:noProof/>
          <w:lang w:val="es-ES_tradnl"/>
        </w:rPr>
        <w:t xml:space="preserve">). Los datos y la información para el primer indicador complementario pueden ser recopilados por los evaluadores durante la evaluación a través de entrevistas y grupos de discusión con los socios que participan en las asociaciones establecidas. Para el segundo indicador complementario, los datos pueden recopilarse directamente de la base de datos de operaciones. </w:t>
      </w:r>
    </w:p>
    <w:p w:rsidR="00A45935" w:rsidRPr="009E6414" w:rsidRDefault="00A45935" w:rsidP="000026C6">
      <w:pPr>
        <w:numPr>
          <w:ilvl w:val="3"/>
          <w:numId w:val="44"/>
        </w:numPr>
        <w:spacing w:before="60" w:after="120" w:line="280" w:lineRule="atLeast"/>
        <w:ind w:left="1701" w:hanging="567"/>
        <w:rPr>
          <w:rFonts w:eastAsia="Times New Roman" w:cs="Arial"/>
          <w:noProof/>
          <w:szCs w:val="20"/>
          <w:lang w:val="es-ES_tradnl"/>
        </w:rPr>
      </w:pPr>
      <w:r w:rsidRPr="009E6414">
        <w:rPr>
          <w:noProof/>
          <w:lang w:val="es-ES_tradnl"/>
        </w:rPr>
        <w:t>El segundo indicador se refiere a la contribución del PDR al incremento del aprendizaje, la reflexión y el intercambio. Esto implica identificar plataformas (por ejemplo, comunidad de prácticas), grupos y otras formas de «espacio» institucional (por ejemplo, revisiones después de las acciones), tanto virtuales como presenciales, que permitan a los participantes en el proceso de innovación compartir experiencias, reflexionar sobre su significado y valor, aprender y adoptar las acciones subsiguientes. Se propone utilizar el indicador de resultados complementario: «Número y calidad de las plataformas y de los "espacios" de apoyo a la innovación creados o reforzados por el PDR» para medir el éxito especificado con los presentes criterios de valoración.</w:t>
      </w:r>
      <w:r w:rsidRPr="009E6414">
        <w:rPr>
          <w:i/>
          <w:noProof/>
          <w:sz w:val="18"/>
          <w:lang w:val="es-ES_tradnl"/>
        </w:rPr>
        <w:t xml:space="preserve"> </w:t>
      </w:r>
      <w:r w:rsidRPr="009E6414">
        <w:rPr>
          <w:noProof/>
          <w:lang w:val="es-ES_tradnl"/>
        </w:rPr>
        <w:t xml:space="preserve">Durante la evaluación los </w:t>
      </w:r>
      <w:r w:rsidRPr="009E6414">
        <w:rPr>
          <w:noProof/>
          <w:lang w:val="es-ES_tradnl"/>
        </w:rPr>
        <w:lastRenderedPageBreak/>
        <w:t xml:space="preserve">evaluadores deberán recopilar información cuantitativa y cualitativa (por ejemplo, mediante entrevistas de grupos de discusión con participantes de las plataformas/espacios antes mencionados). </w:t>
      </w:r>
    </w:p>
    <w:p w:rsidR="00A45935" w:rsidRPr="009E6414" w:rsidRDefault="003B44A9" w:rsidP="000026C6">
      <w:pPr>
        <w:numPr>
          <w:ilvl w:val="3"/>
          <w:numId w:val="44"/>
        </w:numPr>
        <w:spacing w:before="60" w:after="120" w:line="280" w:lineRule="atLeast"/>
        <w:ind w:left="1701" w:hanging="567"/>
        <w:rPr>
          <w:rFonts w:eastAsia="Times New Roman" w:cs="Arial"/>
          <w:noProof/>
          <w:szCs w:val="20"/>
          <w:lang w:val="es-ES_tradnl"/>
        </w:rPr>
      </w:pPr>
      <w:r w:rsidRPr="009E6414">
        <w:rPr>
          <w:rFonts w:eastAsia="Times New Roman" w:cs="Times New Roman"/>
          <w:noProof/>
          <w:szCs w:val="20"/>
          <w:highlight w:val="yellow"/>
          <w:lang w:val="en-GB" w:eastAsia="en-GB" w:bidi="ar-SA"/>
        </w:rPr>
        <mc:AlternateContent>
          <mc:Choice Requires="wps">
            <w:drawing>
              <wp:anchor distT="0" distB="0" distL="114300" distR="114300" simplePos="0" relativeHeight="251662848" behindDoc="0" locked="0" layoutInCell="1" allowOverlap="1" wp14:anchorId="4BCBC916" wp14:editId="63EE1DA4">
                <wp:simplePos x="0" y="0"/>
                <wp:positionH relativeFrom="column">
                  <wp:posOffset>3324225</wp:posOffset>
                </wp:positionH>
                <wp:positionV relativeFrom="paragraph">
                  <wp:posOffset>1190625</wp:posOffset>
                </wp:positionV>
                <wp:extent cx="2360930" cy="2466975"/>
                <wp:effectExtent l="0" t="0" r="20320" b="28575"/>
                <wp:wrapSquare wrapText="bothSides"/>
                <wp:docPr id="564" name="Rectangle: Diagonal Corners Rounded 564"/>
                <wp:cNvGraphicFramePr/>
                <a:graphic xmlns:a="http://schemas.openxmlformats.org/drawingml/2006/main">
                  <a:graphicData uri="http://schemas.microsoft.com/office/word/2010/wordprocessingShape">
                    <wps:wsp>
                      <wps:cNvSpPr/>
                      <wps:spPr>
                        <a:xfrm>
                          <a:off x="0" y="0"/>
                          <a:ext cx="2360930" cy="2466975"/>
                        </a:xfrm>
                        <a:prstGeom prst="round2DiagRect">
                          <a:avLst>
                            <a:gd name="adj1" fmla="val 7843"/>
                            <a:gd name="adj2" fmla="val 0"/>
                          </a:avLst>
                        </a:prstGeom>
                        <a:noFill/>
                        <a:ln w="25400" cap="flat" cmpd="sng" algn="ctr">
                          <a:solidFill>
                            <a:srgbClr val="BE4A35"/>
                          </a:solidFill>
                          <a:prstDash val="solid"/>
                        </a:ln>
                        <a:effectLst/>
                      </wps:spPr>
                      <wps:txbx>
                        <w:txbxContent>
                          <w:p w:rsidR="008D2E0D" w:rsidRPr="000E5745" w:rsidRDefault="008D2E0D" w:rsidP="00E05D08">
                            <w:pPr>
                              <w:pStyle w:val="HStandard"/>
                            </w:pPr>
                            <w:r>
                              <w:rPr>
                                <w:noProof/>
                                <w:lang w:val="en-GB" w:eastAsia="en-GB" w:bidi="ar-SA"/>
                              </w:rPr>
                              <w:drawing>
                                <wp:inline distT="0" distB="0" distL="0" distR="0" wp14:anchorId="763BFF20" wp14:editId="76B759FF">
                                  <wp:extent cx="664845" cy="487680"/>
                                  <wp:effectExtent l="0" t="0" r="0" b="7620"/>
                                  <wp:docPr id="717"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rPr>
                              <w:t xml:space="preserve">La recolección de resultados </w:t>
                            </w:r>
                            <w:r>
                              <w:t xml:space="preserve">es un método que exige a los agentes del cambio del </w:t>
                            </w:r>
                            <w:proofErr w:type="spellStart"/>
                            <w:r>
                              <w:t>PDR</w:t>
                            </w:r>
                            <w:proofErr w:type="spellEnd"/>
                            <w:r>
                              <w:t xml:space="preserve"> (implicados en el compromiso político del </w:t>
                            </w:r>
                            <w:proofErr w:type="spellStart"/>
                            <w:r>
                              <w:t>PDR</w:t>
                            </w:r>
                            <w:proofErr w:type="spellEnd"/>
                            <w:r>
                              <w:t xml:space="preserve">) identificar los cambios políticos a los que el </w:t>
                            </w:r>
                            <w:proofErr w:type="spellStart"/>
                            <w:r>
                              <w:t>PDR</w:t>
                            </w:r>
                            <w:proofErr w:type="spellEnd"/>
                            <w:r>
                              <w:t xml:space="preserve"> ha contribuido y luego exige a personas bien informadas pero independientes validar esas afirmaciones.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BC916" id="Rectangle: Diagonal Corners Rounded 564" o:spid="_x0000_s1057" style="position:absolute;left:0;text-align:left;margin-left:261.75pt;margin-top:93.75pt;width:185.9pt;height:19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0930,2466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" adj="-11796480,,5400" path="m185168,l2360930,r,l2360930,2281807v,102265,-82903,185168,-185168,185168l,2466975r,l,185168c,82903,82903,,185168,xe" filled="f" strokecolor="#be4a35" strokeweight="2pt">
                <v:stroke joinstyle="miter"/>
                <v:formulas/>
                <v:path arrowok="t" o:connecttype="custom" o:connectlocs="185168,0;2360930,0;2360930,0;2360930,2281807;2175762,2466975;0,2466975;0,2466975;0,185168;185168,0" o:connectangles="0,0,0,0,0,0,0,0,0" textboxrect="0,0,2360930,2466975"/>
                <v:textbox>
                  <w:txbxContent>
                    <w:p w:rsidR="008D2E0D" w:rsidRPr="000E5745" w:rsidRDefault="008D2E0D" w:rsidP="00E05D08">
                      <w:pPr>
                        <w:pStyle w:val="HStandard"/>
                      </w:pPr>
                      <w:r>
                        <w:rPr>
                          <w:noProof/>
                          <w:lang w:val="en-GB" w:eastAsia="en-GB" w:bidi="ar-SA"/>
                        </w:rPr>
                        <w:drawing>
                          <wp:inline distT="0" distB="0" distL="0" distR="0" wp14:anchorId="763BFF20" wp14:editId="76B759FF">
                            <wp:extent cx="664845" cy="487680"/>
                            <wp:effectExtent l="0" t="0" r="0" b="7620"/>
                            <wp:docPr id="717"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rPr>
                        <w:t xml:space="preserve">La recolección de resultados </w:t>
                      </w:r>
                      <w:r>
                        <w:t xml:space="preserve">es un método que exige a los agentes del cambio del </w:t>
                      </w:r>
                      <w:proofErr w:type="spellStart"/>
                      <w:r>
                        <w:t>PDR</w:t>
                      </w:r>
                      <w:proofErr w:type="spellEnd"/>
                      <w:r>
                        <w:t xml:space="preserve"> (implicados en el compromiso político del </w:t>
                      </w:r>
                      <w:proofErr w:type="spellStart"/>
                      <w:r>
                        <w:t>PDR</w:t>
                      </w:r>
                      <w:proofErr w:type="spellEnd"/>
                      <w:r>
                        <w:t xml:space="preserve">) identificar los cambios políticos a los que el </w:t>
                      </w:r>
                      <w:proofErr w:type="spellStart"/>
                      <w:r>
                        <w:t>PDR</w:t>
                      </w:r>
                      <w:proofErr w:type="spellEnd"/>
                      <w:r>
                        <w:t xml:space="preserve"> ha contribuido y luego exige a personas bien informadas pero independientes validar esas afirmaciones.</w:t>
                      </w:r>
                    </w:p>
                  </w:txbxContent>
                </v:textbox>
                <w10:wrap type="square"/>
              </v:shape>
            </w:pict>
          </mc:Fallback>
        </mc:AlternateContent>
      </w:r>
      <w:r w:rsidRPr="009E6414">
        <w:rPr>
          <w:noProof/>
          <w:lang w:val="es-ES_tradnl"/>
        </w:rPr>
        <w:t>El tercer criterio se refiere a las mejoras en el flujo de información y la diversidad de tipos de organización en el sistema de innovación en que se produjo el cambio. Pueden recopilarse pruebas con el indicador de resultados complementario: «Disminución de la longitud media de la ruta de red y de la diversidad de la red». Este puede ser medido por el análisis de las redes sociales (ARS) que debe efectuar el evaluador en el momento de la evaluación.</w:t>
      </w:r>
      <w:r w:rsidRPr="009E6414">
        <w:rPr>
          <w:b/>
          <w:i/>
          <w:noProof/>
          <w:color w:val="BE4A35"/>
          <w:lang w:val="es-ES_tradnl"/>
        </w:rPr>
        <w:t xml:space="preserve"> El análisis de las redes sociales</w:t>
      </w:r>
      <w:r w:rsidRPr="009E6414">
        <w:rPr>
          <w:noProof/>
          <w:vertAlign w:val="superscript"/>
          <w:lang w:val="es-ES_tradnl"/>
        </w:rPr>
        <w:footnoteReference w:id="77"/>
      </w:r>
      <w:r w:rsidRPr="009E6414">
        <w:rPr>
          <w:noProof/>
          <w:lang w:val="es-ES_tradnl"/>
        </w:rPr>
        <w:t xml:space="preserve"> es el método que debe utilizarse para recabar pruebas para los indicadores correspondientes en dos momentos distintos, calculando los cambios en la longitud media de la ruta de red y el número de tipos de agentes implicados diferentes. Los cambios deben entonces relacionarse con la intervención del PDR a través de </w:t>
      </w:r>
      <w:r w:rsidRPr="009E6414">
        <w:rPr>
          <w:b/>
          <w:noProof/>
          <w:lang w:val="es-ES_tradnl"/>
        </w:rPr>
        <w:t>entrevistas</w:t>
      </w:r>
      <w:r w:rsidRPr="009E6414">
        <w:rPr>
          <w:noProof/>
          <w:lang w:val="es-ES_tradnl"/>
        </w:rPr>
        <w:t xml:space="preserve"> con testigos privilegiados, personas bien informadas pero independientes que pueden verificar o descartar las afirmaciones causales. Idealmente, la hipótesis de referencia debería haber sido formulada como parte del potencial de innovación estimado al comienzo del PDR.</w:t>
      </w:r>
    </w:p>
    <w:p w:rsidR="00A45935" w:rsidRPr="009E6414" w:rsidRDefault="00A45935" w:rsidP="00A847F8">
      <w:pPr>
        <w:pStyle w:val="Hlistbullet2"/>
        <w:rPr>
          <w:noProof/>
          <w:lang w:val="es-ES_tradnl"/>
        </w:rPr>
      </w:pPr>
      <w:r w:rsidRPr="009E6414">
        <w:rPr>
          <w:noProof/>
          <w:lang w:val="es-ES_tradnl"/>
        </w:rPr>
        <w:t xml:space="preserve">La </w:t>
      </w:r>
      <w:r w:rsidRPr="009E6414">
        <w:rPr>
          <w:b/>
          <w:noProof/>
          <w:lang w:val="es-ES_tradnl"/>
        </w:rPr>
        <w:t>vía 3</w:t>
      </w:r>
      <w:r w:rsidRPr="009E6414">
        <w:rPr>
          <w:noProof/>
          <w:lang w:val="es-ES_tradnl"/>
        </w:rPr>
        <w:t xml:space="preserve"> cuenta con varios criterios de valoración vinculados a diversos tipos de entornos propicios, tal como se describe en el capítulo 1.1:</w:t>
      </w:r>
    </w:p>
    <w:p w:rsidR="00A45935" w:rsidRPr="009E6414" w:rsidRDefault="00A45935" w:rsidP="00A847F8">
      <w:pPr>
        <w:numPr>
          <w:ilvl w:val="0"/>
          <w:numId w:val="48"/>
        </w:numPr>
        <w:spacing w:before="240" w:after="120" w:line="280" w:lineRule="atLeast"/>
        <w:ind w:left="1701" w:hanging="567"/>
        <w:rPr>
          <w:rFonts w:eastAsia="Times New Roman" w:cs="Arial"/>
          <w:noProof/>
          <w:szCs w:val="20"/>
          <w:lang w:val="es-ES_tradnl"/>
        </w:rPr>
      </w:pPr>
      <w:r w:rsidRPr="009E6414">
        <w:rPr>
          <w:noProof/>
          <w:lang w:val="es-ES_tradnl"/>
        </w:rPr>
        <w:t>El primer criterio se refiere al grado en que el PDR ha propiciado políticas que respaldaron el cambio al que ha contribuido el PDR. Esto requiere identificar las políticas en las cuales el PDR puede afirmar haber influido y presentar a continuación elementos que confirmen la legitimidad de estas afirmaciones. Las pruebas pueden recopilarse con el indicador de resultados complementario «Número y tipo de políticas en las que el PDR ha influido al nivel de las organizaciones participantes y del entorno propicio general» durante la evaluación. La recolección de resultados</w:t>
      </w:r>
      <w:r w:rsidRPr="009E6414">
        <w:rPr>
          <w:noProof/>
          <w:vertAlign w:val="superscript"/>
          <w:lang w:val="es-ES_tradnl"/>
        </w:rPr>
        <w:footnoteReference w:id="78"/>
      </w:r>
      <w:r w:rsidRPr="009E6414">
        <w:rPr>
          <w:noProof/>
          <w:lang w:val="es-ES_tradnl"/>
        </w:rPr>
        <w:t xml:space="preserve"> es un enfoque bastante apropiado para evaluar el compromiso político del PDR. </w:t>
      </w:r>
    </w:p>
    <w:p w:rsidR="00A45935" w:rsidRPr="009E6414" w:rsidRDefault="00A45935" w:rsidP="00A847F8">
      <w:pPr>
        <w:numPr>
          <w:ilvl w:val="0"/>
          <w:numId w:val="48"/>
        </w:numPr>
        <w:spacing w:before="240" w:after="120" w:line="280" w:lineRule="atLeast"/>
        <w:ind w:left="1701" w:hanging="567"/>
        <w:rPr>
          <w:rFonts w:eastAsia="Times New Roman" w:cs="Arial"/>
          <w:noProof/>
          <w:szCs w:val="20"/>
          <w:lang w:val="es-ES_tradnl"/>
        </w:rPr>
      </w:pPr>
      <w:r w:rsidRPr="009E6414">
        <w:rPr>
          <w:noProof/>
          <w:lang w:val="es-ES_tradnl"/>
        </w:rPr>
        <w:t>El segundo criterio de valoración se refiere a las oportunidades de formación y al intercambio de prácticas innovadoras financiadas por el PDR. El indicador de resultados complementario propuesto para recopilar pruebas es «Número de actividades de formación y eventos organizados para el intercambio de prácticas innovadoras y su porcentaje en el número total de acciones de formación/eventos financiados por el PDR». Los datos para el indicador pueden recabarse a través de la base de datos de operaciones, tras conectar la información sobre actividades de formación y eventos para la innovación.</w:t>
      </w:r>
    </w:p>
    <w:p w:rsidR="00A45935" w:rsidRPr="009E6414" w:rsidRDefault="00A45935" w:rsidP="00A847F8">
      <w:pPr>
        <w:numPr>
          <w:ilvl w:val="0"/>
          <w:numId w:val="48"/>
        </w:numPr>
        <w:spacing w:before="60" w:after="120" w:line="280" w:lineRule="atLeast"/>
        <w:ind w:left="1701" w:hanging="567"/>
        <w:rPr>
          <w:rFonts w:eastAsia="Times New Roman" w:cs="Arial"/>
          <w:noProof/>
          <w:szCs w:val="20"/>
          <w:lang w:val="es-ES_tradnl"/>
        </w:rPr>
      </w:pPr>
      <w:r w:rsidRPr="009E6414">
        <w:rPr>
          <w:noProof/>
          <w:lang w:val="es-ES_tradnl"/>
        </w:rPr>
        <w:lastRenderedPageBreak/>
        <w:t xml:space="preserve">El tercer criterio de valoración está vinculado a las interacciones propicias entre los agentes de la innovación. Para medir el éxito asociado a este criterio de valoración se recomienda utilizar el indicador de resultado complementario: «Número de eventos organizados centrados en el establecimiento de contactos entre los agentes de la innovación financiados por el PDR». Los datos para este indicador pueden recopilarse a través de la base de datos de operaciones (por ejemplo, añadiendo al seguimiento de eventos información sobre los agentes de la innovación financiados por el PDR). </w:t>
      </w:r>
    </w:p>
    <w:p w:rsidR="001275FF" w:rsidRPr="009E6414" w:rsidRDefault="00A45935" w:rsidP="00A847F8">
      <w:pPr>
        <w:numPr>
          <w:ilvl w:val="0"/>
          <w:numId w:val="48"/>
        </w:numPr>
        <w:spacing w:before="60" w:after="120" w:line="280" w:lineRule="atLeast"/>
        <w:ind w:left="1701" w:hanging="567"/>
        <w:rPr>
          <w:rFonts w:eastAsia="Calibri" w:cs="Arial"/>
          <w:noProof/>
          <w:szCs w:val="20"/>
          <w:lang w:val="es-ES_tradnl"/>
        </w:rPr>
      </w:pPr>
      <w:r w:rsidRPr="009E6414">
        <w:rPr>
          <w:noProof/>
          <w:lang w:val="es-ES_tradnl"/>
        </w:rPr>
        <w:t xml:space="preserve">El cuarto criterio de valoración se refiere al PDR como creador de un entorno propicio para la introducción de nuevas tecnologías. Puede medirse con el indicador de resultados complementario «Número de nuevas tecnologías en zonas rurales financiadas por el PDR, desglosadas por tipo». La información necesaria para este indicador puede recopilarse a partir de la base de datos de operaciones, si está adaptada convenientemente. </w:t>
      </w:r>
    </w:p>
    <w:p w:rsidR="00A45935" w:rsidRPr="009E6414" w:rsidRDefault="00A847F8" w:rsidP="00A847F8">
      <w:pPr>
        <w:pStyle w:val="Hlistbullet"/>
        <w:rPr>
          <w:noProof/>
          <w:color w:val="FFFFFF" w:themeColor="background1"/>
          <w:lang w:val="es-ES_tradnl"/>
        </w:rPr>
      </w:pPr>
      <w:r w:rsidRPr="009E6414">
        <w:rPr>
          <w:b/>
          <w:noProof/>
          <w:highlight w:val="yellow"/>
          <w:lang w:val="en-GB" w:eastAsia="en-GB" w:bidi="ar-SA"/>
        </w:rPr>
        <mc:AlternateContent>
          <mc:Choice Requires="wps">
            <w:drawing>
              <wp:anchor distT="0" distB="0" distL="114300" distR="114300" simplePos="0" relativeHeight="251651584" behindDoc="0" locked="0" layoutInCell="1" allowOverlap="1" wp14:anchorId="40F415D0" wp14:editId="6EF5A25A">
                <wp:simplePos x="0" y="0"/>
                <wp:positionH relativeFrom="column">
                  <wp:posOffset>160655</wp:posOffset>
                </wp:positionH>
                <wp:positionV relativeFrom="paragraph">
                  <wp:posOffset>1636234</wp:posOffset>
                </wp:positionV>
                <wp:extent cx="5670550" cy="2752725"/>
                <wp:effectExtent l="0" t="0" r="25400" b="28575"/>
                <wp:wrapSquare wrapText="bothSides"/>
                <wp:docPr id="566" name="Rectangle: Diagonal Corners Rounded 566"/>
                <wp:cNvGraphicFramePr/>
                <a:graphic xmlns:a="http://schemas.openxmlformats.org/drawingml/2006/main">
                  <a:graphicData uri="http://schemas.microsoft.com/office/word/2010/wordprocessingShape">
                    <wps:wsp>
                      <wps:cNvSpPr/>
                      <wps:spPr>
                        <a:xfrm>
                          <a:off x="0" y="0"/>
                          <a:ext cx="5670550" cy="2752725"/>
                        </a:xfrm>
                        <a:prstGeom prst="round2DiagRect">
                          <a:avLst>
                            <a:gd name="adj1" fmla="val 7843"/>
                            <a:gd name="adj2" fmla="val 0"/>
                          </a:avLst>
                        </a:prstGeom>
                        <a:noFill/>
                        <a:ln w="25400" cap="flat" cmpd="sng" algn="ctr">
                          <a:solidFill>
                            <a:srgbClr val="BE4A35"/>
                          </a:solidFill>
                          <a:prstDash val="solid"/>
                        </a:ln>
                        <a:effectLst/>
                      </wps:spPr>
                      <wps:txbx>
                        <w:txbxContent>
                          <w:p w:rsidR="008D2E0D" w:rsidRPr="00EF653F" w:rsidRDefault="008D2E0D" w:rsidP="00E05D08">
                            <w:pPr>
                              <w:pStyle w:val="HStandard"/>
                              <w:rPr>
                                <w:rFonts w:cs="Arial"/>
                                <w:b/>
                                <w:sz w:val="18"/>
                                <w:szCs w:val="18"/>
                              </w:rPr>
                            </w:pPr>
                            <w:r>
                              <w:rPr>
                                <w:noProof/>
                                <w:lang w:val="en-GB" w:eastAsia="en-GB" w:bidi="ar-SA"/>
                              </w:rPr>
                              <w:drawing>
                                <wp:inline distT="0" distB="0" distL="0" distR="0" wp14:anchorId="7BD028BD" wp14:editId="7BB7DA7C">
                                  <wp:extent cx="664845" cy="487680"/>
                                  <wp:effectExtent l="0" t="0" r="0" b="7620"/>
                                  <wp:docPr id="718"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rPr>
                              <w:t>Técnicas de elaboración de la descripción y clasificación de los resultados</w:t>
                            </w:r>
                          </w:p>
                          <w:p w:rsidR="008D2E0D" w:rsidRPr="00EF653F" w:rsidRDefault="008D2E0D" w:rsidP="00E05D08">
                            <w:pPr>
                              <w:pStyle w:val="HStandard"/>
                              <w:rPr>
                                <w:rFonts w:cs="Arial"/>
                                <w:sz w:val="18"/>
                                <w:szCs w:val="18"/>
                              </w:rPr>
                            </w:pPr>
                            <w:r>
                              <w:rPr>
                                <w:sz w:val="18"/>
                              </w:rPr>
                              <w:t xml:space="preserve">Para elaborar la descripción, el evaluador podrá recurrir a varias </w:t>
                            </w:r>
                            <w:r>
                              <w:rPr>
                                <w:b/>
                                <w:sz w:val="18"/>
                              </w:rPr>
                              <w:t xml:space="preserve">técnicas para triangular y confirmar el caso. </w:t>
                            </w:r>
                            <w:r>
                              <w:rPr>
                                <w:sz w:val="18"/>
                              </w:rPr>
                              <w:t xml:space="preserve">Estas técnicas incluyen: el análisis de la contribución en la que el evaluador identifica un conjunto causal necesario y suficiente para explicar el </w:t>
                            </w:r>
                            <w:proofErr w:type="spellStart"/>
                            <w:r>
                              <w:rPr>
                                <w:sz w:val="18"/>
                              </w:rPr>
                              <w:t>cambio</w:t>
                            </w:r>
                            <w:r>
                              <w:rPr>
                                <w:sz w:val="18"/>
                                <w:vertAlign w:val="superscript"/>
                              </w:rPr>
                              <w:t>82</w:t>
                            </w:r>
                            <w:proofErr w:type="spellEnd"/>
                            <w:r>
                              <w:rPr>
                                <w:sz w:val="18"/>
                              </w:rPr>
                              <w:t xml:space="preserve">; determinar y descartar otras explicaciones </w:t>
                            </w:r>
                            <w:proofErr w:type="spellStart"/>
                            <w:r>
                              <w:rPr>
                                <w:sz w:val="18"/>
                              </w:rPr>
                              <w:t>causales</w:t>
                            </w:r>
                            <w:r>
                              <w:rPr>
                                <w:sz w:val="18"/>
                                <w:vertAlign w:val="superscript"/>
                              </w:rPr>
                              <w:t>83</w:t>
                            </w:r>
                            <w:proofErr w:type="spellEnd"/>
                            <w:r>
                              <w:rPr>
                                <w:sz w:val="18"/>
                              </w:rPr>
                              <w:t xml:space="preserve"> y/o identificar y confirmar partes cruciales de la cadena de pruebas reunidas para defender la contribución del </w:t>
                            </w:r>
                            <w:proofErr w:type="spellStart"/>
                            <w:r>
                              <w:rPr>
                                <w:sz w:val="18"/>
                              </w:rPr>
                              <w:t>PDR</w:t>
                            </w:r>
                            <w:r>
                              <w:rPr>
                                <w:sz w:val="18"/>
                                <w:vertAlign w:val="superscript"/>
                              </w:rPr>
                              <w:t>84</w:t>
                            </w:r>
                            <w:proofErr w:type="spellEnd"/>
                            <w:r>
                              <w:rPr>
                                <w:sz w:val="18"/>
                              </w:rPr>
                              <w:t>.</w:t>
                            </w:r>
                          </w:p>
                          <w:p w:rsidR="008D2E0D" w:rsidRPr="000E5745" w:rsidRDefault="008D2E0D" w:rsidP="00E05D08">
                            <w:pPr>
                              <w:pStyle w:val="HStandard"/>
                            </w:pPr>
                            <w:r>
                              <w:rPr>
                                <w:sz w:val="18"/>
                              </w:rPr>
                              <w:t xml:space="preserve">El grado de contribución del </w:t>
                            </w:r>
                            <w:proofErr w:type="spellStart"/>
                            <w:r>
                              <w:rPr>
                                <w:sz w:val="18"/>
                              </w:rPr>
                              <w:t>PDR</w:t>
                            </w:r>
                            <w:proofErr w:type="spellEnd"/>
                            <w:r>
                              <w:rPr>
                                <w:sz w:val="18"/>
                              </w:rPr>
                              <w:t xml:space="preserve"> debe valorarse sobre una escala de </w:t>
                            </w:r>
                            <w:proofErr w:type="spellStart"/>
                            <w:r>
                              <w:rPr>
                                <w:sz w:val="18"/>
                              </w:rPr>
                              <w:t>Likert</w:t>
                            </w:r>
                            <w:r>
                              <w:rPr>
                                <w:sz w:val="18"/>
                                <w:vertAlign w:val="superscript"/>
                              </w:rPr>
                              <w:t>85</w:t>
                            </w:r>
                            <w:proofErr w:type="spellEnd"/>
                            <w:r>
                              <w:rPr>
                                <w:sz w:val="18"/>
                              </w:rPr>
                              <w:t>: por ejemplo, factor de contribución nulo, escaso, mediano, principal o único. El evaluador también debe puntuar el nivel de confianza que tiene en las conclusiones utilizando una escala similar de cinco puntos. La puntuación otorgada deberá justificarse.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415D0" id="Rectangle: Diagonal Corners Rounded 566" o:spid="_x0000_s1058" style="position:absolute;left:0;text-align:left;margin-left:12.65pt;margin-top:128.85pt;width:446.5pt;height:216.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70550,2752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" adj="-11796480,,5400" path="m215896,l5670550,r,l5670550,2536829v,119236,-96660,215896,-215896,215896l,2752725r,l,215896c,96660,96660,,215896,xe" filled="f" strokecolor="#be4a35" strokeweight="2pt">
                <v:stroke joinstyle="miter"/>
                <v:formulas/>
                <v:path arrowok="t" o:connecttype="custom" o:connectlocs="215896,0;5670550,0;5670550,0;5670550,2536829;5454654,2752725;0,2752725;0,2752725;0,215896;215896,0" o:connectangles="0,0,0,0,0,0,0,0,0" textboxrect="0,0,5670550,2752725"/>
                <v:textbox>
                  <w:txbxContent>
                    <w:p w:rsidR="008D2E0D" w:rsidRPr="00EF653F" w:rsidRDefault="008D2E0D" w:rsidP="00E05D08">
                      <w:pPr>
                        <w:pStyle w:val="HStandard"/>
                        <w:rPr>
                          <w:rFonts w:cs="Arial"/>
                          <w:b/>
                          <w:sz w:val="18"/>
                          <w:szCs w:val="18"/>
                        </w:rPr>
                      </w:pPr>
                      <w:r>
                        <w:rPr>
                          <w:noProof/>
                          <w:lang w:val="en-GB" w:eastAsia="en-GB" w:bidi="ar-SA"/>
                        </w:rPr>
                        <w:drawing>
                          <wp:inline distT="0" distB="0" distL="0" distR="0" wp14:anchorId="7BD028BD" wp14:editId="7BB7DA7C">
                            <wp:extent cx="664845" cy="487680"/>
                            <wp:effectExtent l="0" t="0" r="0" b="7620"/>
                            <wp:docPr id="718"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rPr>
                        <w:t>Técnicas de elaboración de la descripción y clasificación de los resultados</w:t>
                      </w:r>
                    </w:p>
                    <w:p w:rsidR="008D2E0D" w:rsidRPr="00EF653F" w:rsidRDefault="008D2E0D" w:rsidP="00E05D08">
                      <w:pPr>
                        <w:pStyle w:val="HStandard"/>
                        <w:rPr>
                          <w:rFonts w:cs="Arial"/>
                          <w:sz w:val="18"/>
                          <w:szCs w:val="18"/>
                        </w:rPr>
                      </w:pPr>
                      <w:r>
                        <w:rPr>
                          <w:sz w:val="18"/>
                        </w:rPr>
                        <w:t xml:space="preserve">Para elaborar la descripción, el evaluador podrá recurrir a varias </w:t>
                      </w:r>
                      <w:r>
                        <w:rPr>
                          <w:b/>
                          <w:sz w:val="18"/>
                        </w:rPr>
                        <w:t xml:space="preserve">técnicas para triangular y confirmar el caso. </w:t>
                      </w:r>
                      <w:r>
                        <w:rPr>
                          <w:sz w:val="18"/>
                        </w:rPr>
                        <w:t xml:space="preserve">Estas técnicas incluyen: el análisis de la contribución en la que el evaluador identifica un conjunto causal necesario y suficiente para explicar el </w:t>
                      </w:r>
                      <w:proofErr w:type="spellStart"/>
                      <w:r>
                        <w:rPr>
                          <w:sz w:val="18"/>
                        </w:rPr>
                        <w:t>cambio</w:t>
                      </w:r>
                      <w:r>
                        <w:rPr>
                          <w:sz w:val="18"/>
                          <w:vertAlign w:val="superscript"/>
                        </w:rPr>
                        <w:t>82</w:t>
                      </w:r>
                      <w:proofErr w:type="spellEnd"/>
                      <w:r>
                        <w:rPr>
                          <w:sz w:val="18"/>
                        </w:rPr>
                        <w:t xml:space="preserve">; determinar y descartar otras explicaciones </w:t>
                      </w:r>
                      <w:proofErr w:type="spellStart"/>
                      <w:r>
                        <w:rPr>
                          <w:sz w:val="18"/>
                        </w:rPr>
                        <w:t>causales</w:t>
                      </w:r>
                      <w:r>
                        <w:rPr>
                          <w:sz w:val="18"/>
                          <w:vertAlign w:val="superscript"/>
                        </w:rPr>
                        <w:t>83</w:t>
                      </w:r>
                      <w:proofErr w:type="spellEnd"/>
                      <w:r>
                        <w:rPr>
                          <w:sz w:val="18"/>
                        </w:rPr>
                        <w:t xml:space="preserve"> y/o identificar y confirmar partes cruciales de la cadena de pruebas reunidas para defender la contribución del </w:t>
                      </w:r>
                      <w:proofErr w:type="spellStart"/>
                      <w:r>
                        <w:rPr>
                          <w:sz w:val="18"/>
                        </w:rPr>
                        <w:t>PDR</w:t>
                      </w:r>
                      <w:r>
                        <w:rPr>
                          <w:sz w:val="18"/>
                          <w:vertAlign w:val="superscript"/>
                        </w:rPr>
                        <w:t>84</w:t>
                      </w:r>
                      <w:proofErr w:type="spellEnd"/>
                      <w:r>
                        <w:rPr>
                          <w:sz w:val="18"/>
                        </w:rPr>
                        <w:t>.</w:t>
                      </w:r>
                    </w:p>
                    <w:p w:rsidR="008D2E0D" w:rsidRPr="000E5745" w:rsidRDefault="008D2E0D" w:rsidP="00E05D08">
                      <w:pPr>
                        <w:pStyle w:val="HStandard"/>
                      </w:pPr>
                      <w:r>
                        <w:rPr>
                          <w:sz w:val="18"/>
                        </w:rPr>
                        <w:t xml:space="preserve">El grado de contribución del </w:t>
                      </w:r>
                      <w:proofErr w:type="spellStart"/>
                      <w:r>
                        <w:rPr>
                          <w:sz w:val="18"/>
                        </w:rPr>
                        <w:t>PDR</w:t>
                      </w:r>
                      <w:proofErr w:type="spellEnd"/>
                      <w:r>
                        <w:rPr>
                          <w:sz w:val="18"/>
                        </w:rPr>
                        <w:t xml:space="preserve"> debe valorarse sobre una escala de </w:t>
                      </w:r>
                      <w:proofErr w:type="spellStart"/>
                      <w:r>
                        <w:rPr>
                          <w:sz w:val="18"/>
                        </w:rPr>
                        <w:t>Likert</w:t>
                      </w:r>
                      <w:r>
                        <w:rPr>
                          <w:sz w:val="18"/>
                          <w:vertAlign w:val="superscript"/>
                        </w:rPr>
                        <w:t>85</w:t>
                      </w:r>
                      <w:proofErr w:type="spellEnd"/>
                      <w:r>
                        <w:rPr>
                          <w:sz w:val="18"/>
                        </w:rPr>
                        <w:t>: por ejemplo, factor de contribución nulo, escaso, mediano, principal o único. El evaluador también debe puntuar el nivel de confianza que tiene en las conclusiones utilizando una escala similar de cinco puntos. La puntuación otorgada deberá justificarse.</w:t>
                      </w:r>
                    </w:p>
                  </w:txbxContent>
                </v:textbox>
                <w10:wrap type="square"/>
              </v:shape>
            </w:pict>
          </mc:Fallback>
        </mc:AlternateContent>
      </w:r>
      <w:r w:rsidRPr="009E6414">
        <w:rPr>
          <w:b/>
          <w:noProof/>
          <w:lang w:val="es-ES_tradnl"/>
        </w:rPr>
        <w:t xml:space="preserve">FASE 3 - Elaborar una cronología causal y una descripción </w:t>
      </w:r>
      <w:r w:rsidRPr="009E6414">
        <w:rPr>
          <w:noProof/>
          <w:lang w:val="es-ES_tradnl"/>
        </w:rPr>
        <w:t xml:space="preserve">sobre cómo se produjeron los cambios identificados en la fase 1. La descripción asumirá, </w:t>
      </w:r>
      <w:r w:rsidRPr="009E6414">
        <w:rPr>
          <w:i/>
          <w:noProof/>
          <w:lang w:val="es-ES_tradnl"/>
        </w:rPr>
        <w:t>a priori</w:t>
      </w:r>
      <w:r w:rsidRPr="009E6414">
        <w:rPr>
          <w:noProof/>
          <w:lang w:val="es-ES_tradnl"/>
        </w:rPr>
        <w:t xml:space="preserve">, que los cambios se produjeron como consecuencia de una o más de las tres vías y de sus interacciones (véase la </w:t>
      </w:r>
      <w:hyperlink w:anchor="Pathways" w:history="1">
        <w:r w:rsidRPr="009E6414">
          <w:rPr>
            <w:rStyle w:val="Hyperlink"/>
            <w:noProof/>
            <w:sz w:val="20"/>
            <w:lang w:val="es-ES_tradnl"/>
          </w:rPr>
          <w:t>figura 1</w:t>
        </w:r>
      </w:hyperlink>
      <w:r w:rsidRPr="009E6414">
        <w:rPr>
          <w:noProof/>
          <w:lang w:val="es-ES_tradnl"/>
        </w:rPr>
        <w:t>). La cronología y la descripción deben incluir todos los acontecimientos y procesos fundamentales que condujeron al cambio, no solo los derivados de la actividad del PDR. Este enfoque se basa en una metodología de estudio de casos</w:t>
      </w:r>
      <w:r w:rsidRPr="009E6414">
        <w:rPr>
          <w:noProof/>
          <w:vertAlign w:val="superscript"/>
          <w:lang w:val="es-ES_tradnl"/>
        </w:rPr>
        <w:footnoteReference w:id="79"/>
      </w:r>
      <w:r w:rsidRPr="009E6414">
        <w:rPr>
          <w:noProof/>
          <w:lang w:val="es-ES_tradnl"/>
        </w:rPr>
        <w:t>. Los métodos específicos que pueden ser útiles son el rastreo del proceso (establecer una trayectoria teórica desde el resultado hasta sus causas considerando varias alternativas)</w:t>
      </w:r>
      <w:r w:rsidRPr="009E6414">
        <w:rPr>
          <w:noProof/>
          <w:vertAlign w:val="superscript"/>
          <w:lang w:val="es-ES_tradnl"/>
        </w:rPr>
        <w:footnoteReference w:id="80"/>
      </w:r>
      <w:r w:rsidRPr="009E6414">
        <w:rPr>
          <w:noProof/>
          <w:lang w:val="es-ES_tradnl"/>
        </w:rPr>
        <w:t xml:space="preserve"> y la construcción de historias de innovación (método para registrar un proceso de innovación y reflexionar sobre él)</w:t>
      </w:r>
      <w:r w:rsidR="00683332">
        <w:rPr>
          <w:noProof/>
          <w:lang w:val="es-ES_tradnl"/>
        </w:rPr>
        <w:t>.</w:t>
      </w:r>
      <w:r w:rsidRPr="00ED3278">
        <w:rPr>
          <w:noProof/>
          <w:color w:val="auto"/>
          <w:vertAlign w:val="superscript"/>
          <w:lang w:val="es-ES_tradnl"/>
        </w:rPr>
        <w:footnoteReference w:id="81"/>
      </w:r>
      <w:r w:rsidR="00683332" w:rsidRPr="004A3EE9">
        <w:rPr>
          <w:rStyle w:val="FootnoteReference"/>
          <w:noProof/>
          <w:color w:val="FFFFFF" w:themeColor="background1"/>
          <w:lang w:val="es-ES_tradnl"/>
        </w:rPr>
        <w:footnoteReference w:id="82"/>
      </w:r>
      <w:r w:rsidR="00683332" w:rsidRPr="004A3EE9">
        <w:rPr>
          <w:rStyle w:val="FootnoteReference"/>
          <w:noProof/>
          <w:color w:val="FFFFFF" w:themeColor="background1"/>
          <w:lang w:val="es-ES_tradnl"/>
        </w:rPr>
        <w:footnoteReference w:id="83"/>
      </w:r>
      <w:r w:rsidR="00ED3278" w:rsidRPr="004A3EE9">
        <w:rPr>
          <w:rStyle w:val="FootnoteReference"/>
          <w:noProof/>
          <w:color w:val="FFFFFF" w:themeColor="background1"/>
          <w:lang w:val="es-ES_tradnl"/>
        </w:rPr>
        <w:footnoteReference w:id="84"/>
      </w:r>
      <w:r w:rsidR="004A3EE9" w:rsidRPr="004A3EE9">
        <w:rPr>
          <w:rStyle w:val="FootnoteReference"/>
          <w:noProof/>
          <w:color w:val="FFFFFF" w:themeColor="background1"/>
          <w:lang w:val="es-ES_tradnl"/>
        </w:rPr>
        <w:footnoteReference w:id="85"/>
      </w:r>
      <w:r w:rsidR="00ED3278" w:rsidRPr="004A3EE9">
        <w:rPr>
          <w:noProof/>
          <w:color w:val="FFFFFF" w:themeColor="background1"/>
          <w:lang w:val="es-ES_tradnl"/>
        </w:rPr>
        <w:t xml:space="preserve"> </w:t>
      </w:r>
      <w:r w:rsidRPr="009E6414">
        <w:rPr>
          <w:noProof/>
          <w:lang w:val="es-ES_tradnl"/>
        </w:rPr>
        <w:lastRenderedPageBreak/>
        <w:t>Los datos procederán de las fases anteriores, de la revisión de la documentación del PDR y/o de entrevistas con testigos privilegiados como el personal del programa y las partes interesadas.</w:t>
      </w:r>
      <w:r w:rsidRPr="009E6414">
        <w:rPr>
          <w:rStyle w:val="FootnoteReference"/>
          <w:noProof/>
          <w:color w:val="FFFFFF" w:themeColor="background1"/>
          <w:lang w:val="es-ES_tradnl"/>
        </w:rPr>
        <w:t xml:space="preserve"> </w:t>
      </w:r>
    </w:p>
    <w:p w:rsidR="00E05D08" w:rsidRPr="009E6414" w:rsidRDefault="00E05D08" w:rsidP="00F31494">
      <w:pPr>
        <w:pStyle w:val="Hlistbullet"/>
        <w:spacing w:before="240"/>
        <w:rPr>
          <w:noProof/>
          <w:lang w:val="es-ES_tradnl"/>
        </w:rPr>
      </w:pPr>
      <w:r w:rsidRPr="009E6414">
        <w:rPr>
          <w:b/>
          <w:noProof/>
          <w:lang w:val="es-ES_tradnl"/>
        </w:rPr>
        <w:t>FASE 4 - Comparar el potencial de innovación identificado antes de la evaluación con la contribución realizada por el PDR.</w:t>
      </w:r>
      <w:r w:rsidRPr="009E6414">
        <w:rPr>
          <w:noProof/>
          <w:lang w:val="es-ES_tradnl"/>
        </w:rPr>
        <w:t xml:space="preserve"> Según nuestra hipótesis de trabajo, habrá diferencias que ayuden a las personas implicadas a entender mejor la innovación como un proceso emergente e imprevisible que, sin embargo, puede ser fomentado si en el PDR se introducen mecanismos de aprendizaje y de gestión adaptativa.</w:t>
      </w:r>
    </w:p>
    <w:p w:rsidR="00AB6603" w:rsidRPr="009E6414" w:rsidRDefault="00F64797" w:rsidP="00AB6603">
      <w:pPr>
        <w:numPr>
          <w:ilvl w:val="0"/>
          <w:numId w:val="62"/>
        </w:numPr>
        <w:spacing w:before="120" w:after="120" w:line="280" w:lineRule="atLeast"/>
        <w:ind w:left="567" w:hanging="567"/>
        <w:mirrorIndents/>
        <w:rPr>
          <w:rFonts w:eastAsia="Times New Roman" w:cs="Times New Roman"/>
          <w:b/>
          <w:noProof/>
          <w:szCs w:val="20"/>
          <w:lang w:val="es-ES_tradnl"/>
        </w:rPr>
      </w:pPr>
      <w:r w:rsidRPr="009E6414">
        <w:rPr>
          <w:b/>
          <w:noProof/>
          <w:lang w:val="es-ES_tradnl"/>
        </w:rPr>
        <w:t>Riesgos y soluciones</w:t>
      </w:r>
      <w:r w:rsidRPr="009E6414">
        <w:rPr>
          <w:noProof/>
          <w:lang w:val="es-ES_tradnl"/>
        </w:rPr>
        <w:t xml:space="preserve"> </w:t>
      </w:r>
    </w:p>
    <w:p w:rsidR="00E05D08" w:rsidRPr="009E6414" w:rsidRDefault="00AB6603" w:rsidP="00A847F8">
      <w:pPr>
        <w:spacing w:before="120" w:after="120" w:line="280" w:lineRule="atLeast"/>
        <w:mirrorIndents/>
        <w:rPr>
          <w:rFonts w:eastAsia="Times New Roman" w:cs="Times New Roman"/>
          <w:b/>
          <w:noProof/>
          <w:szCs w:val="20"/>
          <w:lang w:val="es-ES_tradnl"/>
        </w:rPr>
      </w:pPr>
      <w:r w:rsidRPr="009E6414">
        <w:rPr>
          <w:noProof/>
          <w:lang w:val="es-ES_tradnl"/>
        </w:rPr>
        <w:t>El riesgo principal es que la evaluación del estudio de casos antes descrita no se realice con un nivel suficiente de calidad para ser convincente en sus conclusiones.</w:t>
      </w:r>
    </w:p>
    <w:p w:rsidR="00E05D08" w:rsidRPr="009E6414" w:rsidRDefault="00E05D08" w:rsidP="00E05D08">
      <w:pPr>
        <w:spacing w:after="120" w:line="280" w:lineRule="atLeast"/>
        <w:mirrorIndents/>
        <w:rPr>
          <w:rFonts w:eastAsia="Times New Roman" w:cs="Arial"/>
          <w:noProof/>
          <w:szCs w:val="20"/>
          <w:lang w:val="es-ES_tradnl"/>
        </w:rPr>
      </w:pPr>
      <w:r w:rsidRPr="009E6414">
        <w:rPr>
          <w:noProof/>
          <w:lang w:val="es-ES_tradnl"/>
        </w:rPr>
        <w:t xml:space="preserve">Por otro lado, si no se utiliza un enfoque de estudio de casos, entonces el riesgo es evaluar la PCE n.º 30 basándose únicamente en los criterios de valoración e indicadores, lo cual no permitirá evaluar el grado de las aportaciones del PDR, ni ayudará a las personas implicadas a conocer cómo se produce el cambio en sistemas complejos. </w:t>
      </w:r>
    </w:p>
    <w:p w:rsidR="00E05D08" w:rsidRPr="009E6414" w:rsidRDefault="00E05D08" w:rsidP="008C0B17">
      <w:pPr>
        <w:numPr>
          <w:ilvl w:val="0"/>
          <w:numId w:val="62"/>
        </w:numPr>
        <w:spacing w:before="120" w:after="120" w:line="280" w:lineRule="atLeast"/>
        <w:ind w:left="567" w:hanging="567"/>
        <w:mirrorIndents/>
        <w:rPr>
          <w:rFonts w:eastAsia="Times New Roman" w:cs="Times New Roman"/>
          <w:b/>
          <w:noProof/>
          <w:szCs w:val="20"/>
          <w:lang w:val="es-ES_tradnl"/>
        </w:rPr>
      </w:pPr>
      <w:r w:rsidRPr="009E6414">
        <w:rPr>
          <w:b/>
          <w:noProof/>
          <w:lang w:val="es-ES_tradnl"/>
        </w:rPr>
        <w:t>Conclusiones y recomendaciones</w:t>
      </w:r>
    </w:p>
    <w:p w:rsidR="00E05D08" w:rsidRPr="009E6414" w:rsidRDefault="00E05D08" w:rsidP="00E05D08">
      <w:pPr>
        <w:spacing w:after="120" w:line="280" w:lineRule="atLeast"/>
        <w:mirrorIndents/>
        <w:rPr>
          <w:rFonts w:eastAsia="Times New Roman" w:cs="Arial"/>
          <w:noProof/>
          <w:szCs w:val="20"/>
          <w:lang w:val="es-ES_tradnl"/>
        </w:rPr>
      </w:pPr>
      <w:r w:rsidRPr="009E6414">
        <w:rPr>
          <w:noProof/>
          <w:lang w:val="es-ES_tradnl"/>
        </w:rPr>
        <w:t>Las conclusiones y recomendaciones relativas a la PCE n.º 30 deben tener en cuenta lo siguiente:</w:t>
      </w:r>
    </w:p>
    <w:p w:rsidR="00E05D08" w:rsidRPr="009E6414" w:rsidRDefault="00E05D08" w:rsidP="00320AA0">
      <w:pPr>
        <w:pStyle w:val="Hlistbullet"/>
        <w:rPr>
          <w:noProof/>
          <w:lang w:val="es-ES_tradnl"/>
        </w:rPr>
      </w:pPr>
      <w:r w:rsidRPr="009E6414">
        <w:rPr>
          <w:noProof/>
          <w:lang w:val="es-ES_tradnl"/>
        </w:rPr>
        <w:t xml:space="preserve">qué medidas específicas (y sus combinaciones) fueron más eficaces y eficientes para potenciar la innovación en las zonas rurales a través del PDR; </w:t>
      </w:r>
    </w:p>
    <w:p w:rsidR="00E05D08" w:rsidRPr="009E6414" w:rsidRDefault="00E05D08" w:rsidP="00320AA0">
      <w:pPr>
        <w:pStyle w:val="Hlistbullet"/>
        <w:rPr>
          <w:noProof/>
          <w:lang w:val="es-ES_tradnl"/>
        </w:rPr>
      </w:pPr>
      <w:r w:rsidRPr="009E6414">
        <w:rPr>
          <w:noProof/>
          <w:lang w:val="es-ES_tradnl"/>
        </w:rPr>
        <w:t xml:space="preserve">de qué manera el PDR potenció las innovaciones en asociación con las tres vías; </w:t>
      </w:r>
    </w:p>
    <w:p w:rsidR="00E05D08" w:rsidRPr="009E6414" w:rsidRDefault="00E05D08" w:rsidP="00320AA0">
      <w:pPr>
        <w:pStyle w:val="Hlistbullet"/>
        <w:rPr>
          <w:noProof/>
          <w:lang w:val="es-ES_tradnl"/>
        </w:rPr>
      </w:pPr>
      <w:r w:rsidRPr="009E6414">
        <w:rPr>
          <w:noProof/>
          <w:lang w:val="es-ES_tradnl"/>
        </w:rPr>
        <w:t xml:space="preserve">los objetivos políticos a los cuales la potenciación de la innovación ha contribuido en mayor medida; </w:t>
      </w:r>
    </w:p>
    <w:p w:rsidR="000E0FE4" w:rsidRPr="009E6414" w:rsidRDefault="00E05D08" w:rsidP="00320AA0">
      <w:pPr>
        <w:pStyle w:val="Hlistbullet"/>
        <w:rPr>
          <w:noProof/>
          <w:lang w:val="es-ES_tradnl"/>
        </w:rPr>
      </w:pPr>
      <w:r w:rsidRPr="009E6414">
        <w:rPr>
          <w:noProof/>
          <w:lang w:val="es-ES_tradnl"/>
        </w:rPr>
        <w:t xml:space="preserve">qué partes interesadas y beneficiarios del PDR fueron los vehículos más eficaces de la innovación. </w:t>
      </w:r>
      <w:r w:rsidRPr="009E6414">
        <w:rPr>
          <w:noProof/>
          <w:lang w:val="es-ES_tradnl"/>
        </w:rPr>
        <w:br w:type="page"/>
      </w:r>
    </w:p>
    <w:p w:rsidR="000E0FE4" w:rsidRPr="009E6414" w:rsidRDefault="000E0FE4" w:rsidP="000E0FE4">
      <w:pPr>
        <w:ind w:left="720"/>
        <w:mirrorIndents/>
        <w:rPr>
          <w:noProof/>
          <w:szCs w:val="20"/>
          <w:lang w:val="es-ES_tradnl"/>
        </w:rPr>
        <w:sectPr w:rsidR="000E0FE4" w:rsidRPr="009E6414" w:rsidSect="001F6F07">
          <w:headerReference w:type="first" r:id="rId88"/>
          <w:pgSz w:w="11907" w:h="16840" w:code="9"/>
          <w:pgMar w:top="1440" w:right="1440" w:bottom="1134" w:left="1440" w:header="567" w:footer="1020" w:gutter="0"/>
          <w:cols w:space="708"/>
          <w:titlePg/>
          <w:docGrid w:linePitch="435"/>
        </w:sectPr>
      </w:pPr>
    </w:p>
    <w:p w:rsidR="00E05D08" w:rsidRPr="009E6414" w:rsidRDefault="00BA450C" w:rsidP="00E05D08">
      <w:pPr>
        <w:keepNext/>
        <w:keepLines/>
        <w:tabs>
          <w:tab w:val="left" w:pos="680"/>
        </w:tabs>
        <w:spacing w:before="240" w:after="240" w:line="280" w:lineRule="atLeast"/>
        <w:mirrorIndents/>
        <w:outlineLvl w:val="3"/>
        <w:rPr>
          <w:rFonts w:eastAsia="Times New Roman" w:cs="Times New Roman"/>
          <w:b/>
          <w:noProof/>
          <w:color w:val="57825E"/>
          <w:szCs w:val="20"/>
          <w:lang w:val="es-ES_tradnl"/>
        </w:rPr>
      </w:pPr>
      <w:r w:rsidRPr="009E6414">
        <w:rPr>
          <w:rFonts w:eastAsia="Times New Roman" w:cs="Times New Roman"/>
          <w:b/>
          <w:noProof/>
          <w:color w:val="57825E"/>
          <w:sz w:val="18"/>
          <w:szCs w:val="24"/>
          <w:lang w:val="en-GB" w:eastAsia="en-GB" w:bidi="ar-SA"/>
        </w:rPr>
        <w:lastRenderedPageBreak/>
        <mc:AlternateContent>
          <mc:Choice Requires="wps">
            <w:drawing>
              <wp:anchor distT="0" distB="0" distL="114300" distR="114300" simplePos="0" relativeHeight="251652608" behindDoc="0" locked="0" layoutInCell="1" allowOverlap="1" wp14:anchorId="60625612" wp14:editId="378CE8A6">
                <wp:simplePos x="0" y="0"/>
                <wp:positionH relativeFrom="column">
                  <wp:posOffset>-57150</wp:posOffset>
                </wp:positionH>
                <wp:positionV relativeFrom="paragraph">
                  <wp:posOffset>323850</wp:posOffset>
                </wp:positionV>
                <wp:extent cx="5811864" cy="4229100"/>
                <wp:effectExtent l="0" t="0" r="17780" b="19050"/>
                <wp:wrapNone/>
                <wp:docPr id="582" name="Rectangle: Diagonal Corners Rounded 582"/>
                <wp:cNvGraphicFramePr/>
                <a:graphic xmlns:a="http://schemas.openxmlformats.org/drawingml/2006/main">
                  <a:graphicData uri="http://schemas.microsoft.com/office/word/2010/wordprocessingShape">
                    <wps:wsp>
                      <wps:cNvSpPr/>
                      <wps:spPr>
                        <a:xfrm>
                          <a:off x="0" y="0"/>
                          <a:ext cx="5811864" cy="4229100"/>
                        </a:xfrm>
                        <a:prstGeom prst="round2DiagRect">
                          <a:avLst>
                            <a:gd name="adj1" fmla="val 6996"/>
                            <a:gd name="adj2" fmla="val 0"/>
                          </a:avLst>
                        </a:prstGeom>
                        <a:noFill/>
                        <a:ln w="25400" cap="flat" cmpd="sng" algn="ctr">
                          <a:solidFill>
                            <a:srgbClr val="59638E"/>
                          </a:solidFill>
                          <a:prstDash val="solid"/>
                        </a:ln>
                        <a:effectLst/>
                      </wps:spPr>
                      <wps:txbx>
                        <w:txbxContent>
                          <w:p w:rsidR="008D2E0D" w:rsidRPr="00BA450C" w:rsidRDefault="008D2E0D" w:rsidP="00BA450C">
                            <w:pPr>
                              <w:pStyle w:val="HStandard"/>
                              <w:rPr>
                                <w:sz w:val="18"/>
                                <w:szCs w:val="18"/>
                              </w:rPr>
                            </w:pPr>
                            <w:r>
                              <w:rPr>
                                <w:noProof/>
                                <w:lang w:val="en-GB" w:eastAsia="en-GB" w:bidi="ar-SA"/>
                              </w:rPr>
                              <w:drawing>
                                <wp:inline distT="0" distB="0" distL="0" distR="0" wp14:anchorId="17D0022F" wp14:editId="21F086F0">
                                  <wp:extent cx="360465" cy="360000"/>
                                  <wp:effectExtent l="0" t="0" r="1905" b="2540"/>
                                  <wp:docPr id="760"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r>
                              <w:rPr>
                                <w:sz w:val="18"/>
                              </w:rPr>
                              <w:t xml:space="preserve">Allen, I. E. y </w:t>
                            </w:r>
                            <w:proofErr w:type="spellStart"/>
                            <w:r>
                              <w:rPr>
                                <w:sz w:val="18"/>
                              </w:rPr>
                              <w:t>Seaman</w:t>
                            </w:r>
                            <w:proofErr w:type="spellEnd"/>
                            <w:r>
                              <w:rPr>
                                <w:sz w:val="18"/>
                              </w:rPr>
                              <w:t xml:space="preserve">, C. A. (2007). </w:t>
                            </w:r>
                            <w:hyperlink r:id="rId89">
                              <w:r>
                                <w:rPr>
                                  <w:rStyle w:val="Hyperlink"/>
                                  <w:sz w:val="18"/>
                                </w:rPr>
                                <w:t>Escalas de Likert y análisis de datos</w:t>
                              </w:r>
                            </w:hyperlink>
                            <w:r>
                              <w:t>.</w:t>
                            </w:r>
                            <w:r>
                              <w:rPr>
                                <w:sz w:val="18"/>
                              </w:rPr>
                              <w:t> Avance cualitativo, 40 (7), p. 64.</w:t>
                            </w:r>
                          </w:p>
                          <w:p w:rsidR="008D2E0D" w:rsidRPr="007B5CB9" w:rsidRDefault="008D2E0D" w:rsidP="00BA450C">
                            <w:pPr>
                              <w:pStyle w:val="HStandard"/>
                              <w:jc w:val="left"/>
                              <w:rPr>
                                <w:sz w:val="18"/>
                                <w:szCs w:val="18"/>
                                <w:lang w:val="en-GB"/>
                              </w:rPr>
                            </w:pPr>
                            <w:r w:rsidRPr="007B5CB9">
                              <w:rPr>
                                <w:sz w:val="18"/>
                                <w:lang w:val="en-GB"/>
                              </w:rPr>
                              <w:t>Collier, D., 2011. «</w:t>
                            </w:r>
                            <w:hyperlink r:id="rId90">
                              <w:r w:rsidRPr="007B5CB9">
                                <w:rPr>
                                  <w:rStyle w:val="Hyperlink"/>
                                  <w:sz w:val="18"/>
                                  <w:lang w:val="en-GB"/>
                                </w:rPr>
                                <w:t>Understanding process tracing.</w:t>
                              </w:r>
                            </w:hyperlink>
                            <w:r w:rsidRPr="007B5CB9">
                              <w:rPr>
                                <w:lang w:val="en-GB"/>
                              </w:rPr>
                              <w:t>»</w:t>
                            </w:r>
                            <w:r w:rsidRPr="007B5CB9">
                              <w:rPr>
                                <w:sz w:val="18"/>
                                <w:lang w:val="en-GB"/>
                              </w:rPr>
                              <w:t> PS: Political Science &amp; Politics 44.04: 823-830.</w:t>
                            </w:r>
                          </w:p>
                          <w:p w:rsidR="008D2E0D" w:rsidRPr="00BA450C" w:rsidRDefault="008D2E0D" w:rsidP="00BA450C">
                            <w:pPr>
                              <w:pStyle w:val="HStandard"/>
                              <w:jc w:val="left"/>
                              <w:rPr>
                                <w:sz w:val="18"/>
                                <w:szCs w:val="18"/>
                              </w:rPr>
                            </w:pPr>
                            <w:proofErr w:type="spellStart"/>
                            <w:r w:rsidRPr="007B5CB9">
                              <w:rPr>
                                <w:sz w:val="18"/>
                                <w:lang w:val="en-GB"/>
                              </w:rPr>
                              <w:t>Douthwaite</w:t>
                            </w:r>
                            <w:proofErr w:type="spellEnd"/>
                            <w:r w:rsidRPr="007B5CB9">
                              <w:rPr>
                                <w:sz w:val="18"/>
                                <w:lang w:val="en-GB"/>
                              </w:rPr>
                              <w:t xml:space="preserve">, B. y Ashby, J., 2005. Innovation histories: a method from learning from experience. </w:t>
                            </w:r>
                            <w:proofErr w:type="spellStart"/>
                            <w:r>
                              <w:rPr>
                                <w:sz w:val="18"/>
                              </w:rPr>
                              <w:t>Institutional</w:t>
                            </w:r>
                            <w:proofErr w:type="spellEnd"/>
                            <w:r>
                              <w:rPr>
                                <w:sz w:val="18"/>
                              </w:rPr>
                              <w:t xml:space="preserve"> </w:t>
                            </w:r>
                            <w:proofErr w:type="spellStart"/>
                            <w:r>
                              <w:rPr>
                                <w:sz w:val="18"/>
                              </w:rPr>
                              <w:t>Learning</w:t>
                            </w:r>
                            <w:proofErr w:type="spellEnd"/>
                            <w:r>
                              <w:rPr>
                                <w:sz w:val="18"/>
                              </w:rPr>
                              <w:t xml:space="preserve"> and Change </w:t>
                            </w:r>
                            <w:proofErr w:type="spellStart"/>
                            <w:r>
                              <w:rPr>
                                <w:sz w:val="18"/>
                              </w:rPr>
                              <w:t>Initiative</w:t>
                            </w:r>
                            <w:proofErr w:type="spellEnd"/>
                            <w:r>
                              <w:rPr>
                                <w:sz w:val="18"/>
                              </w:rPr>
                              <w:t xml:space="preserve">. Consultado el 15 de mayo en la siguiente dirección: </w:t>
                            </w:r>
                            <w:hyperlink r:id="rId91">
                              <w:r>
                                <w:rPr>
                                  <w:rStyle w:val="Hyperlink"/>
                                  <w:sz w:val="18"/>
                                </w:rPr>
                                <w:t>http://ageconsearch.umn.edu/bitstream/52515/2/ILAC_Brief05_Histories.pdf</w:t>
                              </w:r>
                            </w:hyperlink>
                          </w:p>
                          <w:p w:rsidR="008D2E0D" w:rsidRPr="007B5CB9" w:rsidRDefault="008D2E0D" w:rsidP="00BA450C">
                            <w:pPr>
                              <w:pStyle w:val="HStandard"/>
                              <w:jc w:val="left"/>
                              <w:rPr>
                                <w:sz w:val="18"/>
                                <w:szCs w:val="18"/>
                                <w:lang w:val="en-GB"/>
                              </w:rPr>
                            </w:pPr>
                            <w:r w:rsidRPr="007B5CB9">
                              <w:rPr>
                                <w:sz w:val="18"/>
                                <w:lang w:val="en-GB"/>
                              </w:rPr>
                              <w:t>GAO (</w:t>
                            </w:r>
                            <w:proofErr w:type="spellStart"/>
                            <w:r w:rsidRPr="007B5CB9">
                              <w:rPr>
                                <w:sz w:val="18"/>
                                <w:lang w:val="en-GB"/>
                              </w:rPr>
                              <w:t>Oficina</w:t>
                            </w:r>
                            <w:proofErr w:type="spellEnd"/>
                            <w:r w:rsidRPr="007B5CB9">
                              <w:rPr>
                                <w:sz w:val="18"/>
                                <w:lang w:val="en-GB"/>
                              </w:rPr>
                              <w:t xml:space="preserve"> General de </w:t>
                            </w:r>
                            <w:proofErr w:type="spellStart"/>
                            <w:r w:rsidRPr="007B5CB9">
                              <w:rPr>
                                <w:sz w:val="18"/>
                                <w:lang w:val="en-GB"/>
                              </w:rPr>
                              <w:t>Cuentas</w:t>
                            </w:r>
                            <w:proofErr w:type="spellEnd"/>
                            <w:r w:rsidRPr="007B5CB9">
                              <w:rPr>
                                <w:sz w:val="18"/>
                                <w:lang w:val="en-GB"/>
                              </w:rPr>
                              <w:t xml:space="preserve">) (1987) </w:t>
                            </w:r>
                            <w:hyperlink r:id="rId92">
                              <w:r w:rsidRPr="007B5CB9">
                                <w:rPr>
                                  <w:rStyle w:val="Hyperlink"/>
                                  <w:sz w:val="18"/>
                                  <w:lang w:val="en-GB"/>
                                </w:rPr>
                                <w:t>Case study evaluation. Program Evaluation and Methodology</w:t>
                              </w:r>
                            </w:hyperlink>
                            <w:r w:rsidRPr="007B5CB9">
                              <w:rPr>
                                <w:sz w:val="18"/>
                                <w:lang w:val="en-GB"/>
                              </w:rPr>
                              <w:t>. Division, Transfer Paper 9. Washington DC: GAO.</w:t>
                            </w:r>
                          </w:p>
                          <w:p w:rsidR="008D2E0D" w:rsidRPr="007B5CB9" w:rsidRDefault="008D2E0D" w:rsidP="00BA450C">
                            <w:pPr>
                              <w:pStyle w:val="HStandard"/>
                              <w:jc w:val="left"/>
                              <w:rPr>
                                <w:sz w:val="18"/>
                                <w:szCs w:val="18"/>
                                <w:lang w:val="en-GB"/>
                              </w:rPr>
                            </w:pPr>
                            <w:r w:rsidRPr="007B5CB9">
                              <w:rPr>
                                <w:sz w:val="18"/>
                                <w:lang w:val="en-GB"/>
                              </w:rPr>
                              <w:t xml:space="preserve">Hilton, D. J., 1996. </w:t>
                            </w:r>
                            <w:hyperlink r:id="rId93">
                              <w:r w:rsidRPr="007B5CB9">
                                <w:rPr>
                                  <w:rStyle w:val="Hyperlink"/>
                                  <w:sz w:val="18"/>
                                  <w:lang w:val="en-GB"/>
                                </w:rPr>
                                <w:t>Mental models and causal explanation: Judgments of probable cause and explanatory relevance</w:t>
                              </w:r>
                            </w:hyperlink>
                            <w:r w:rsidRPr="007B5CB9">
                              <w:rPr>
                                <w:sz w:val="18"/>
                                <w:lang w:val="en-GB"/>
                              </w:rPr>
                              <w:t xml:space="preserve">. Thinking &amp; Reasoning, 2(4), </w:t>
                            </w:r>
                            <w:proofErr w:type="spellStart"/>
                            <w:r w:rsidRPr="007B5CB9">
                              <w:rPr>
                                <w:sz w:val="18"/>
                                <w:lang w:val="en-GB"/>
                              </w:rPr>
                              <w:t>pp.273</w:t>
                            </w:r>
                            <w:proofErr w:type="spellEnd"/>
                            <w:r w:rsidRPr="007B5CB9">
                              <w:rPr>
                                <w:sz w:val="18"/>
                                <w:lang w:val="en-GB"/>
                              </w:rPr>
                              <w:t>-308.</w:t>
                            </w:r>
                          </w:p>
                          <w:p w:rsidR="008D2E0D" w:rsidRPr="007B5CB9" w:rsidRDefault="008D2E0D" w:rsidP="00BA450C">
                            <w:pPr>
                              <w:pStyle w:val="HStandard"/>
                              <w:jc w:val="left"/>
                              <w:rPr>
                                <w:sz w:val="18"/>
                                <w:szCs w:val="18"/>
                                <w:lang w:val="en-GB"/>
                              </w:rPr>
                            </w:pPr>
                            <w:r w:rsidRPr="007B5CB9">
                              <w:rPr>
                                <w:sz w:val="18"/>
                                <w:lang w:val="en-GB"/>
                              </w:rPr>
                              <w:t xml:space="preserve">Mayne, J., 2012. </w:t>
                            </w:r>
                            <w:hyperlink r:id="rId94">
                              <w:r w:rsidRPr="007B5CB9">
                                <w:rPr>
                                  <w:rStyle w:val="Hyperlink"/>
                                  <w:sz w:val="18"/>
                                  <w:lang w:val="en-GB"/>
                                </w:rPr>
                                <w:t>Contribution analysis: Coming of age?</w:t>
                              </w:r>
                            </w:hyperlink>
                            <w:r w:rsidRPr="007B5CB9">
                              <w:rPr>
                                <w:sz w:val="18"/>
                                <w:lang w:val="en-GB"/>
                              </w:rPr>
                              <w:t xml:space="preserve"> Evaluation 18.3 (2012): 270-280.</w:t>
                            </w:r>
                          </w:p>
                          <w:p w:rsidR="008D2E0D" w:rsidRPr="007B5CB9" w:rsidRDefault="008D2E0D" w:rsidP="00BA450C">
                            <w:pPr>
                              <w:pStyle w:val="HStandard"/>
                              <w:jc w:val="left"/>
                              <w:rPr>
                                <w:sz w:val="18"/>
                                <w:szCs w:val="18"/>
                                <w:lang w:val="en-GB"/>
                              </w:rPr>
                            </w:pPr>
                            <w:r w:rsidRPr="007B5CB9">
                              <w:rPr>
                                <w:sz w:val="18"/>
                                <w:lang w:val="en-GB"/>
                              </w:rPr>
                              <w:t xml:space="preserve">Pawson, R., Greenhalgh, T., Harvey, G. y Walshe, K., 2005. </w:t>
                            </w:r>
                            <w:hyperlink r:id="rId95">
                              <w:r w:rsidRPr="007B5CB9">
                                <w:rPr>
                                  <w:rStyle w:val="Hyperlink"/>
                                  <w:sz w:val="18"/>
                                  <w:lang w:val="en-GB"/>
                                </w:rPr>
                                <w:t>Realist review–a new method of systematic review designed for complex policy interventions.</w:t>
                              </w:r>
                            </w:hyperlink>
                            <w:r w:rsidRPr="007B5CB9">
                              <w:rPr>
                                <w:sz w:val="18"/>
                                <w:lang w:val="en-GB"/>
                              </w:rPr>
                              <w:t> Journal of health services research &amp; policy, 10 (</w:t>
                            </w:r>
                            <w:proofErr w:type="spellStart"/>
                            <w:r w:rsidRPr="007B5CB9">
                              <w:rPr>
                                <w:sz w:val="18"/>
                                <w:lang w:val="en-GB"/>
                              </w:rPr>
                              <w:t>suppl</w:t>
                            </w:r>
                            <w:proofErr w:type="spellEnd"/>
                            <w:r w:rsidRPr="007B5CB9">
                              <w:rPr>
                                <w:sz w:val="18"/>
                                <w:lang w:val="en-GB"/>
                              </w:rPr>
                              <w:t xml:space="preserve"> 1), pp. 21-34.</w:t>
                            </w:r>
                          </w:p>
                          <w:p w:rsidR="008D2E0D" w:rsidRPr="00BA450C" w:rsidRDefault="008D2E0D" w:rsidP="00BA450C">
                            <w:pPr>
                              <w:pStyle w:val="HStandard"/>
                              <w:jc w:val="left"/>
                              <w:rPr>
                                <w:sz w:val="18"/>
                                <w:szCs w:val="18"/>
                              </w:rPr>
                            </w:pPr>
                            <w:r w:rsidRPr="007B5CB9">
                              <w:rPr>
                                <w:sz w:val="18"/>
                                <w:lang w:val="en-GB"/>
                              </w:rPr>
                              <w:t>Wilson-Grau, R. (2015) </w:t>
                            </w:r>
                            <w:r w:rsidRPr="007B5CB9">
                              <w:rPr>
                                <w:i/>
                                <w:sz w:val="18"/>
                                <w:lang w:val="en-GB"/>
                              </w:rPr>
                              <w:t>Outcome Harvesting</w:t>
                            </w:r>
                            <w:r w:rsidRPr="007B5CB9">
                              <w:rPr>
                                <w:sz w:val="18"/>
                                <w:lang w:val="en-GB"/>
                              </w:rPr>
                              <w:t xml:space="preserve">. </w:t>
                            </w:r>
                            <w:proofErr w:type="spellStart"/>
                            <w:r>
                              <w:rPr>
                                <w:sz w:val="18"/>
                              </w:rPr>
                              <w:t>Better</w:t>
                            </w:r>
                            <w:proofErr w:type="spellEnd"/>
                            <w:r>
                              <w:rPr>
                                <w:sz w:val="18"/>
                              </w:rPr>
                              <w:t xml:space="preserve"> </w:t>
                            </w:r>
                            <w:proofErr w:type="spellStart"/>
                            <w:r>
                              <w:rPr>
                                <w:sz w:val="18"/>
                              </w:rPr>
                              <w:t>Evaluation</w:t>
                            </w:r>
                            <w:proofErr w:type="spellEnd"/>
                            <w:r>
                              <w:rPr>
                                <w:sz w:val="18"/>
                              </w:rPr>
                              <w:t xml:space="preserve">. Extraído de </w:t>
                            </w:r>
                            <w:hyperlink r:id="rId96">
                              <w:r>
                                <w:rPr>
                                  <w:rStyle w:val="Hyperlink"/>
                                  <w:sz w:val="18"/>
                                </w:rPr>
                                <w:t>http://betterevaluation.org/plan/approach/outcome_harvesting</w:t>
                              </w:r>
                            </w:hyperlink>
                            <w:r>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25612" id="Rectangle: Diagonal Corners Rounded 582" o:spid="_x0000_s1059" style="position:absolute;left:0;text-align:left;margin-left:-4.5pt;margin-top:25.5pt;width:457.65pt;height:33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864,422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" adj="-11796480,,5400" path="m295868,l5811864,r,l5811864,3933232v,163403,-132465,295868,-295868,295868l,4229100r,l,295868c,132465,132465,,295868,xe" filled="f" strokecolor="#59638e" strokeweight="2pt">
                <v:stroke joinstyle="miter"/>
                <v:formulas/>
                <v:path arrowok="t" o:connecttype="custom" o:connectlocs="295868,0;5811864,0;5811864,0;5811864,3933232;5515996,4229100;0,4229100;0,4229100;0,295868;295868,0" o:connectangles="0,0,0,0,0,0,0,0,0" textboxrect="0,0,5811864,4229100"/>
                <v:textbox>
                  <w:txbxContent>
                    <w:p w:rsidR="008D2E0D" w:rsidRPr="00BA450C" w:rsidRDefault="008D2E0D" w:rsidP="00BA450C">
                      <w:pPr>
                        <w:pStyle w:val="HStandard"/>
                        <w:rPr>
                          <w:sz w:val="18"/>
                          <w:szCs w:val="18"/>
                        </w:rPr>
                      </w:pPr>
                      <w:r>
                        <w:rPr>
                          <w:noProof/>
                          <w:lang w:val="en-GB" w:eastAsia="en-GB" w:bidi="ar-SA"/>
                        </w:rPr>
                        <w:drawing>
                          <wp:inline distT="0" distB="0" distL="0" distR="0" wp14:anchorId="17D0022F" wp14:editId="21F086F0">
                            <wp:extent cx="360465" cy="360000"/>
                            <wp:effectExtent l="0" t="0" r="1905" b="2540"/>
                            <wp:docPr id="760"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r>
                        <w:rPr>
                          <w:sz w:val="18"/>
                        </w:rPr>
                        <w:t xml:space="preserve">Allen, I. E. y </w:t>
                      </w:r>
                      <w:proofErr w:type="spellStart"/>
                      <w:r>
                        <w:rPr>
                          <w:sz w:val="18"/>
                        </w:rPr>
                        <w:t>Seaman</w:t>
                      </w:r>
                      <w:proofErr w:type="spellEnd"/>
                      <w:r>
                        <w:rPr>
                          <w:sz w:val="18"/>
                        </w:rPr>
                        <w:t xml:space="preserve">, C. A. (2007). </w:t>
                      </w:r>
                      <w:hyperlink r:id="rId97">
                        <w:r>
                          <w:rPr>
                            <w:rStyle w:val="Hyperlink"/>
                            <w:sz w:val="18"/>
                          </w:rPr>
                          <w:t>Escalas de Likert y análisis de datos</w:t>
                        </w:r>
                      </w:hyperlink>
                      <w:r>
                        <w:t>.</w:t>
                      </w:r>
                      <w:r>
                        <w:rPr>
                          <w:sz w:val="18"/>
                        </w:rPr>
                        <w:t> Avance cualitativo, 40 (7), p. 64.</w:t>
                      </w:r>
                    </w:p>
                    <w:p w:rsidR="008D2E0D" w:rsidRPr="007B5CB9" w:rsidRDefault="008D2E0D" w:rsidP="00BA450C">
                      <w:pPr>
                        <w:pStyle w:val="HStandard"/>
                        <w:jc w:val="left"/>
                        <w:rPr>
                          <w:sz w:val="18"/>
                          <w:szCs w:val="18"/>
                          <w:lang w:val="en-GB"/>
                        </w:rPr>
                      </w:pPr>
                      <w:r w:rsidRPr="007B5CB9">
                        <w:rPr>
                          <w:sz w:val="18"/>
                          <w:lang w:val="en-GB"/>
                        </w:rPr>
                        <w:t>Collier, D., 2011. «</w:t>
                      </w:r>
                      <w:hyperlink r:id="rId98">
                        <w:r w:rsidRPr="007B5CB9">
                          <w:rPr>
                            <w:rStyle w:val="Hyperlink"/>
                            <w:sz w:val="18"/>
                            <w:lang w:val="en-GB"/>
                          </w:rPr>
                          <w:t>Understanding process tracing.</w:t>
                        </w:r>
                      </w:hyperlink>
                      <w:r w:rsidRPr="007B5CB9">
                        <w:rPr>
                          <w:lang w:val="en-GB"/>
                        </w:rPr>
                        <w:t>»</w:t>
                      </w:r>
                      <w:r w:rsidRPr="007B5CB9">
                        <w:rPr>
                          <w:sz w:val="18"/>
                          <w:lang w:val="en-GB"/>
                        </w:rPr>
                        <w:t> PS: Political Science &amp; Politics 44.04: 823-830.</w:t>
                      </w:r>
                    </w:p>
                    <w:p w:rsidR="008D2E0D" w:rsidRPr="00BA450C" w:rsidRDefault="008D2E0D" w:rsidP="00BA450C">
                      <w:pPr>
                        <w:pStyle w:val="HStandard"/>
                        <w:jc w:val="left"/>
                        <w:rPr>
                          <w:sz w:val="18"/>
                          <w:szCs w:val="18"/>
                        </w:rPr>
                      </w:pPr>
                      <w:proofErr w:type="spellStart"/>
                      <w:r w:rsidRPr="007B5CB9">
                        <w:rPr>
                          <w:sz w:val="18"/>
                          <w:lang w:val="en-GB"/>
                        </w:rPr>
                        <w:t>Douthwaite</w:t>
                      </w:r>
                      <w:proofErr w:type="spellEnd"/>
                      <w:r w:rsidRPr="007B5CB9">
                        <w:rPr>
                          <w:sz w:val="18"/>
                          <w:lang w:val="en-GB"/>
                        </w:rPr>
                        <w:t xml:space="preserve">, B. y Ashby, J., 2005. Innovation histories: a method from learning from experience. </w:t>
                      </w:r>
                      <w:proofErr w:type="spellStart"/>
                      <w:r>
                        <w:rPr>
                          <w:sz w:val="18"/>
                        </w:rPr>
                        <w:t>Institutional</w:t>
                      </w:r>
                      <w:proofErr w:type="spellEnd"/>
                      <w:r>
                        <w:rPr>
                          <w:sz w:val="18"/>
                        </w:rPr>
                        <w:t xml:space="preserve"> </w:t>
                      </w:r>
                      <w:proofErr w:type="spellStart"/>
                      <w:r>
                        <w:rPr>
                          <w:sz w:val="18"/>
                        </w:rPr>
                        <w:t>Learning</w:t>
                      </w:r>
                      <w:proofErr w:type="spellEnd"/>
                      <w:r>
                        <w:rPr>
                          <w:sz w:val="18"/>
                        </w:rPr>
                        <w:t xml:space="preserve"> and Change </w:t>
                      </w:r>
                      <w:proofErr w:type="spellStart"/>
                      <w:r>
                        <w:rPr>
                          <w:sz w:val="18"/>
                        </w:rPr>
                        <w:t>Initiative</w:t>
                      </w:r>
                      <w:proofErr w:type="spellEnd"/>
                      <w:r>
                        <w:rPr>
                          <w:sz w:val="18"/>
                        </w:rPr>
                        <w:t xml:space="preserve">. Consultado el 15 de mayo en la siguiente dirección: </w:t>
                      </w:r>
                      <w:hyperlink r:id="rId99">
                        <w:r>
                          <w:rPr>
                            <w:rStyle w:val="Hyperlink"/>
                            <w:sz w:val="18"/>
                          </w:rPr>
                          <w:t>http://ageconsearch.umn.edu/bitstream/52515/2/ILAC_Brief05_Histories.pdf</w:t>
                        </w:r>
                      </w:hyperlink>
                    </w:p>
                    <w:p w:rsidR="008D2E0D" w:rsidRPr="007B5CB9" w:rsidRDefault="008D2E0D" w:rsidP="00BA450C">
                      <w:pPr>
                        <w:pStyle w:val="HStandard"/>
                        <w:jc w:val="left"/>
                        <w:rPr>
                          <w:sz w:val="18"/>
                          <w:szCs w:val="18"/>
                          <w:lang w:val="en-GB"/>
                        </w:rPr>
                      </w:pPr>
                      <w:r w:rsidRPr="007B5CB9">
                        <w:rPr>
                          <w:sz w:val="18"/>
                          <w:lang w:val="en-GB"/>
                        </w:rPr>
                        <w:t>GAO (</w:t>
                      </w:r>
                      <w:proofErr w:type="spellStart"/>
                      <w:r w:rsidRPr="007B5CB9">
                        <w:rPr>
                          <w:sz w:val="18"/>
                          <w:lang w:val="en-GB"/>
                        </w:rPr>
                        <w:t>Oficina</w:t>
                      </w:r>
                      <w:proofErr w:type="spellEnd"/>
                      <w:r w:rsidRPr="007B5CB9">
                        <w:rPr>
                          <w:sz w:val="18"/>
                          <w:lang w:val="en-GB"/>
                        </w:rPr>
                        <w:t xml:space="preserve"> General de </w:t>
                      </w:r>
                      <w:proofErr w:type="spellStart"/>
                      <w:r w:rsidRPr="007B5CB9">
                        <w:rPr>
                          <w:sz w:val="18"/>
                          <w:lang w:val="en-GB"/>
                        </w:rPr>
                        <w:t>Cuentas</w:t>
                      </w:r>
                      <w:proofErr w:type="spellEnd"/>
                      <w:r w:rsidRPr="007B5CB9">
                        <w:rPr>
                          <w:sz w:val="18"/>
                          <w:lang w:val="en-GB"/>
                        </w:rPr>
                        <w:t xml:space="preserve">) (1987) </w:t>
                      </w:r>
                      <w:hyperlink r:id="rId100">
                        <w:r w:rsidRPr="007B5CB9">
                          <w:rPr>
                            <w:rStyle w:val="Hyperlink"/>
                            <w:sz w:val="18"/>
                            <w:lang w:val="en-GB"/>
                          </w:rPr>
                          <w:t>Case study evaluation. Program Evaluation and Methodology</w:t>
                        </w:r>
                      </w:hyperlink>
                      <w:r w:rsidRPr="007B5CB9">
                        <w:rPr>
                          <w:sz w:val="18"/>
                          <w:lang w:val="en-GB"/>
                        </w:rPr>
                        <w:t>. Division, Transfer Paper 9. Washington DC: GAO.</w:t>
                      </w:r>
                    </w:p>
                    <w:p w:rsidR="008D2E0D" w:rsidRPr="007B5CB9" w:rsidRDefault="008D2E0D" w:rsidP="00BA450C">
                      <w:pPr>
                        <w:pStyle w:val="HStandard"/>
                        <w:jc w:val="left"/>
                        <w:rPr>
                          <w:sz w:val="18"/>
                          <w:szCs w:val="18"/>
                          <w:lang w:val="en-GB"/>
                        </w:rPr>
                      </w:pPr>
                      <w:r w:rsidRPr="007B5CB9">
                        <w:rPr>
                          <w:sz w:val="18"/>
                          <w:lang w:val="en-GB"/>
                        </w:rPr>
                        <w:t xml:space="preserve">Hilton, D. J., 1996. </w:t>
                      </w:r>
                      <w:hyperlink r:id="rId101">
                        <w:r w:rsidRPr="007B5CB9">
                          <w:rPr>
                            <w:rStyle w:val="Hyperlink"/>
                            <w:sz w:val="18"/>
                            <w:lang w:val="en-GB"/>
                          </w:rPr>
                          <w:t>Mental models and causal explanation: Judgments of probable cause and explanatory relevance</w:t>
                        </w:r>
                      </w:hyperlink>
                      <w:r w:rsidRPr="007B5CB9">
                        <w:rPr>
                          <w:sz w:val="18"/>
                          <w:lang w:val="en-GB"/>
                        </w:rPr>
                        <w:t xml:space="preserve">. Thinking &amp; Reasoning, 2(4), </w:t>
                      </w:r>
                      <w:proofErr w:type="spellStart"/>
                      <w:r w:rsidRPr="007B5CB9">
                        <w:rPr>
                          <w:sz w:val="18"/>
                          <w:lang w:val="en-GB"/>
                        </w:rPr>
                        <w:t>pp.273</w:t>
                      </w:r>
                      <w:proofErr w:type="spellEnd"/>
                      <w:r w:rsidRPr="007B5CB9">
                        <w:rPr>
                          <w:sz w:val="18"/>
                          <w:lang w:val="en-GB"/>
                        </w:rPr>
                        <w:t>-308.</w:t>
                      </w:r>
                    </w:p>
                    <w:p w:rsidR="008D2E0D" w:rsidRPr="007B5CB9" w:rsidRDefault="008D2E0D" w:rsidP="00BA450C">
                      <w:pPr>
                        <w:pStyle w:val="HStandard"/>
                        <w:jc w:val="left"/>
                        <w:rPr>
                          <w:sz w:val="18"/>
                          <w:szCs w:val="18"/>
                          <w:lang w:val="en-GB"/>
                        </w:rPr>
                      </w:pPr>
                      <w:r w:rsidRPr="007B5CB9">
                        <w:rPr>
                          <w:sz w:val="18"/>
                          <w:lang w:val="en-GB"/>
                        </w:rPr>
                        <w:t xml:space="preserve">Mayne, J., 2012. </w:t>
                      </w:r>
                      <w:hyperlink r:id="rId102">
                        <w:r w:rsidRPr="007B5CB9">
                          <w:rPr>
                            <w:rStyle w:val="Hyperlink"/>
                            <w:sz w:val="18"/>
                            <w:lang w:val="en-GB"/>
                          </w:rPr>
                          <w:t>Contribution analysis: Coming of age?</w:t>
                        </w:r>
                      </w:hyperlink>
                      <w:r w:rsidRPr="007B5CB9">
                        <w:rPr>
                          <w:sz w:val="18"/>
                          <w:lang w:val="en-GB"/>
                        </w:rPr>
                        <w:t xml:space="preserve"> Evaluation 18.3 (2012): 270-280.</w:t>
                      </w:r>
                    </w:p>
                    <w:p w:rsidR="008D2E0D" w:rsidRPr="007B5CB9" w:rsidRDefault="008D2E0D" w:rsidP="00BA450C">
                      <w:pPr>
                        <w:pStyle w:val="HStandard"/>
                        <w:jc w:val="left"/>
                        <w:rPr>
                          <w:sz w:val="18"/>
                          <w:szCs w:val="18"/>
                          <w:lang w:val="en-GB"/>
                        </w:rPr>
                      </w:pPr>
                      <w:r w:rsidRPr="007B5CB9">
                        <w:rPr>
                          <w:sz w:val="18"/>
                          <w:lang w:val="en-GB"/>
                        </w:rPr>
                        <w:t xml:space="preserve">Pawson, R., Greenhalgh, T., Harvey, G. y Walshe, K., 2005. </w:t>
                      </w:r>
                      <w:hyperlink r:id="rId103">
                        <w:r w:rsidRPr="007B5CB9">
                          <w:rPr>
                            <w:rStyle w:val="Hyperlink"/>
                            <w:sz w:val="18"/>
                            <w:lang w:val="en-GB"/>
                          </w:rPr>
                          <w:t>Realist review–a new method of systematic review designed for complex policy interventions.</w:t>
                        </w:r>
                      </w:hyperlink>
                      <w:r w:rsidRPr="007B5CB9">
                        <w:rPr>
                          <w:sz w:val="18"/>
                          <w:lang w:val="en-GB"/>
                        </w:rPr>
                        <w:t> Journal of health services research &amp; policy, 10 (</w:t>
                      </w:r>
                      <w:proofErr w:type="spellStart"/>
                      <w:r w:rsidRPr="007B5CB9">
                        <w:rPr>
                          <w:sz w:val="18"/>
                          <w:lang w:val="en-GB"/>
                        </w:rPr>
                        <w:t>suppl</w:t>
                      </w:r>
                      <w:proofErr w:type="spellEnd"/>
                      <w:r w:rsidRPr="007B5CB9">
                        <w:rPr>
                          <w:sz w:val="18"/>
                          <w:lang w:val="en-GB"/>
                        </w:rPr>
                        <w:t xml:space="preserve"> 1), pp. 21-34.</w:t>
                      </w:r>
                    </w:p>
                    <w:p w:rsidR="008D2E0D" w:rsidRPr="00BA450C" w:rsidRDefault="008D2E0D" w:rsidP="00BA450C">
                      <w:pPr>
                        <w:pStyle w:val="HStandard"/>
                        <w:jc w:val="left"/>
                        <w:rPr>
                          <w:sz w:val="18"/>
                          <w:szCs w:val="18"/>
                        </w:rPr>
                      </w:pPr>
                      <w:r w:rsidRPr="007B5CB9">
                        <w:rPr>
                          <w:sz w:val="18"/>
                          <w:lang w:val="en-GB"/>
                        </w:rPr>
                        <w:t>Wilson-Grau, R. (2015) </w:t>
                      </w:r>
                      <w:r w:rsidRPr="007B5CB9">
                        <w:rPr>
                          <w:i/>
                          <w:sz w:val="18"/>
                          <w:lang w:val="en-GB"/>
                        </w:rPr>
                        <w:t>Outcome Harvesting</w:t>
                      </w:r>
                      <w:r w:rsidRPr="007B5CB9">
                        <w:rPr>
                          <w:sz w:val="18"/>
                          <w:lang w:val="en-GB"/>
                        </w:rPr>
                        <w:t xml:space="preserve">. </w:t>
                      </w:r>
                      <w:proofErr w:type="spellStart"/>
                      <w:r>
                        <w:rPr>
                          <w:sz w:val="18"/>
                        </w:rPr>
                        <w:t>Better</w:t>
                      </w:r>
                      <w:proofErr w:type="spellEnd"/>
                      <w:r>
                        <w:rPr>
                          <w:sz w:val="18"/>
                        </w:rPr>
                        <w:t xml:space="preserve"> </w:t>
                      </w:r>
                      <w:proofErr w:type="spellStart"/>
                      <w:r>
                        <w:rPr>
                          <w:sz w:val="18"/>
                        </w:rPr>
                        <w:t>Evaluation</w:t>
                      </w:r>
                      <w:proofErr w:type="spellEnd"/>
                      <w:r>
                        <w:rPr>
                          <w:sz w:val="18"/>
                        </w:rPr>
                        <w:t xml:space="preserve">. Extraído de </w:t>
                      </w:r>
                      <w:hyperlink r:id="rId104">
                        <w:r>
                          <w:rPr>
                            <w:rStyle w:val="Hyperlink"/>
                            <w:sz w:val="18"/>
                          </w:rPr>
                          <w:t>http://betterevaluation.org/plan/approach/outcome_harvesting</w:t>
                        </w:r>
                      </w:hyperlink>
                      <w:r>
                        <w:rPr>
                          <w:sz w:val="18"/>
                        </w:rPr>
                        <w:t>.</w:t>
                      </w:r>
                    </w:p>
                  </w:txbxContent>
                </v:textbox>
              </v:shape>
            </w:pict>
          </mc:Fallback>
        </mc:AlternateContent>
      </w:r>
      <w:r w:rsidRPr="009E6414">
        <w:rPr>
          <w:b/>
          <w:noProof/>
          <w:color w:val="57825E"/>
          <w:lang w:val="es-ES_tradnl"/>
        </w:rPr>
        <w:t>Bibliografía adicional</w:t>
      </w:r>
    </w:p>
    <w:p w:rsidR="00E05D08" w:rsidRPr="009E6414" w:rsidRDefault="00E05D08" w:rsidP="00E05D08">
      <w:pPr>
        <w:spacing w:after="120" w:line="280" w:lineRule="atLeast"/>
        <w:mirrorIndents/>
        <w:rPr>
          <w:rFonts w:eastAsia="Times New Roman" w:cs="Times New Roman"/>
          <w:noProof/>
          <w:szCs w:val="20"/>
          <w:lang w:val="es-ES_tradnl"/>
        </w:rPr>
      </w:pPr>
    </w:p>
    <w:p w:rsidR="000E0FE4" w:rsidRPr="009E6414" w:rsidRDefault="000E0FE4" w:rsidP="0025413B">
      <w:pPr>
        <w:pStyle w:val="HHeading1"/>
        <w:tabs>
          <w:tab w:val="clear" w:pos="567"/>
        </w:tabs>
        <w:rPr>
          <w:noProof/>
          <w:lang w:val="es-ES_tradnl"/>
        </w:rPr>
        <w:sectPr w:rsidR="000E0FE4" w:rsidRPr="009E6414" w:rsidSect="001F6F07">
          <w:type w:val="continuous"/>
          <w:pgSz w:w="11907" w:h="16840" w:code="9"/>
          <w:pgMar w:top="1440" w:right="1440" w:bottom="1134" w:left="1440" w:header="567" w:footer="1020" w:gutter="0"/>
          <w:cols w:space="708"/>
          <w:titlePg/>
          <w:docGrid w:linePitch="435"/>
        </w:sectPr>
      </w:pPr>
    </w:p>
    <w:p w:rsidR="00E05D08" w:rsidRPr="009E6414" w:rsidRDefault="00E05D08" w:rsidP="0025413B">
      <w:pPr>
        <w:pStyle w:val="HHeading1"/>
        <w:tabs>
          <w:tab w:val="clear" w:pos="567"/>
        </w:tabs>
        <w:rPr>
          <w:noProof/>
          <w:lang w:val="es-ES_tradnl"/>
        </w:rPr>
      </w:pPr>
      <w:bookmarkStart w:id="29" w:name="_Toc508707925"/>
      <w:r w:rsidRPr="009E6414">
        <w:rPr>
          <w:noProof/>
          <w:lang w:val="es-ES_tradnl"/>
        </w:rPr>
        <w:lastRenderedPageBreak/>
        <w:t>ANEXOS</w:t>
      </w:r>
      <w:bookmarkEnd w:id="29"/>
    </w:p>
    <w:p w:rsidR="00E05D08" w:rsidRPr="009E6414" w:rsidRDefault="00E05D08" w:rsidP="0025413B">
      <w:pPr>
        <w:pStyle w:val="HHeading2"/>
        <w:numPr>
          <w:ilvl w:val="1"/>
          <w:numId w:val="119"/>
        </w:numPr>
        <w:ind w:left="567" w:hanging="567"/>
        <w:rPr>
          <w:noProof/>
          <w:lang w:val="es-ES_tradnl"/>
        </w:rPr>
      </w:pPr>
      <w:bookmarkStart w:id="30" w:name="_Toc508707926"/>
      <w:r w:rsidRPr="009E6414">
        <w:rPr>
          <w:noProof/>
          <w:lang w:val="es-ES_tradnl"/>
        </w:rPr>
        <w:t>Glosario</w:t>
      </w:r>
      <w:bookmarkEnd w:id="30"/>
    </w:p>
    <w:p w:rsidR="0025413B" w:rsidRPr="009E6414" w:rsidRDefault="0025413B" w:rsidP="0025413B">
      <w:pPr>
        <w:rPr>
          <w:rFonts w:eastAsia="Arial" w:cs="Arial"/>
          <w:b/>
          <w:noProof/>
          <w:color w:val="57825E"/>
          <w:szCs w:val="20"/>
          <w:lang w:val="es-ES_tradnl"/>
        </w:rPr>
      </w:pPr>
      <w:r w:rsidRPr="009E6414">
        <w:rPr>
          <w:b/>
          <w:noProof/>
          <w:color w:val="57825E"/>
          <w:lang w:val="es-ES_tradnl"/>
        </w:rPr>
        <w:t>Grupo</w:t>
      </w:r>
    </w:p>
    <w:p w:rsidR="0025413B" w:rsidRPr="009E6414" w:rsidRDefault="0025413B" w:rsidP="0025413B">
      <w:pPr>
        <w:rPr>
          <w:rFonts w:cs="Arial"/>
          <w:noProof/>
          <w:color w:val="404040" w:themeColor="background1" w:themeShade="40"/>
          <w:szCs w:val="20"/>
          <w:lang w:val="es-ES_tradnl"/>
        </w:rPr>
      </w:pPr>
      <w:r w:rsidRPr="009E6414">
        <w:rPr>
          <w:noProof/>
          <w:color w:val="404040" w:themeColor="background1" w:themeShade="40"/>
          <w:lang w:val="es-ES_tradnl"/>
        </w:rPr>
        <w:t>Una agrupación constituida por empresas independientes, incluyendo nuevas empresas, pequeñas, medianas y grandes empresas, así como entidades de asesoramiento u organismos de investigación, cuyo objetivo es estimular actividades económicas/innovadoras mediante el fomento de interacciones intensas y de la práctica de compartir instalaciones, intercambiar conocimientos y saberes especializados, así como contribuir con eficacia a la transferencia de conocimiento, el trabajo en red y la divulgación de información entre las empresas integrantes del grupo.</w:t>
      </w:r>
    </w:p>
    <w:p w:rsidR="0025413B" w:rsidRPr="009E6414" w:rsidRDefault="0025413B" w:rsidP="0025413B">
      <w:pPr>
        <w:jc w:val="left"/>
        <w:rPr>
          <w:rFonts w:eastAsia="Times New Roman" w:cs="Arial"/>
          <w:i/>
          <w:noProof/>
          <w:color w:val="404040" w:themeColor="background1" w:themeShade="40"/>
          <w:sz w:val="16"/>
          <w:szCs w:val="16"/>
          <w:lang w:val="es-ES_tradnl"/>
        </w:rPr>
      </w:pPr>
      <w:r w:rsidRPr="009E6414">
        <w:rPr>
          <w:i/>
          <w:noProof/>
          <w:u w:val="single"/>
          <w:lang w:val="es-ES_tradnl"/>
        </w:rPr>
        <w:t>Referencia</w:t>
      </w:r>
      <w:r w:rsidRPr="009E6414">
        <w:rPr>
          <w:noProof/>
          <w:lang w:val="es-ES_tradnl"/>
        </w:rPr>
        <w:t>:</w:t>
      </w:r>
      <w:r w:rsidRPr="009E6414">
        <w:rPr>
          <w:i/>
          <w:noProof/>
          <w:color w:val="404040" w:themeColor="background1" w:themeShade="40"/>
          <w:sz w:val="16"/>
          <w:lang w:val="es-ES_tradnl"/>
        </w:rPr>
        <w:t xml:space="preserve"> Documento de orientación de la medida «Cooperación», noviembre de 2014: </w:t>
      </w:r>
      <w:hyperlink r:id="rId105">
        <w:r w:rsidRPr="009E6414">
          <w:rPr>
            <w:rStyle w:val="Hyperlink"/>
            <w:i/>
            <w:noProof/>
            <w:lang w:val="es-ES_tradnl"/>
          </w:rPr>
          <w:t>http://ec.europa.eu/eip/agriculture/sites/agri-eip/files/16_measure_fiche_art_35_co-operation.pdf</w:t>
        </w:r>
      </w:hyperlink>
    </w:p>
    <w:p w:rsidR="0025413B" w:rsidRPr="009E6414" w:rsidRDefault="0025413B" w:rsidP="0025413B">
      <w:pPr>
        <w:rPr>
          <w:rFonts w:eastAsia="Arial" w:cs="Arial"/>
          <w:b/>
          <w:noProof/>
          <w:color w:val="57825E"/>
          <w:szCs w:val="20"/>
          <w:lang w:val="es-ES_tradnl"/>
        </w:rPr>
      </w:pPr>
      <w:r w:rsidRPr="009E6414">
        <w:rPr>
          <w:b/>
          <w:noProof/>
          <w:color w:val="57825E"/>
          <w:lang w:val="es-ES_tradnl"/>
        </w:rPr>
        <w:t>Resultado propicio</w:t>
      </w:r>
    </w:p>
    <w:p w:rsidR="0025413B" w:rsidRPr="009E6414" w:rsidRDefault="0025413B" w:rsidP="0025413B">
      <w:pPr>
        <w:rPr>
          <w:rFonts w:cs="Arial"/>
          <w:noProof/>
          <w:color w:val="404040" w:themeColor="background1" w:themeShade="40"/>
          <w:szCs w:val="20"/>
          <w:lang w:val="es-ES_tradnl"/>
        </w:rPr>
      </w:pPr>
      <w:r w:rsidRPr="009E6414">
        <w:rPr>
          <w:noProof/>
          <w:color w:val="404040" w:themeColor="background1" w:themeShade="40"/>
          <w:lang w:val="es-ES_tradnl"/>
        </w:rPr>
        <w:t>Resultado vinculado a las tres vías de innovación, tales como: 1) identificar y fomentar potenciales ideas innovadoras; 2) reforzar la capacidad de innovar; y 3) crear un entorno propicio para la innovación. El resultado puede expresarse como cambios en el ritmo y la calidad de ideas innovadoras emergentes; cambios en la capacidad de innovar; y cambios en el entorno propicio.</w:t>
      </w:r>
    </w:p>
    <w:p w:rsidR="0025413B" w:rsidRPr="009E6414" w:rsidRDefault="0025413B" w:rsidP="0025413B">
      <w:pPr>
        <w:rPr>
          <w:rFonts w:cs="Arial"/>
          <w:i/>
          <w:noProof/>
          <w:color w:val="404040" w:themeColor="background1" w:themeShade="40"/>
          <w:sz w:val="16"/>
          <w:szCs w:val="16"/>
          <w:lang w:val="es-ES_tradnl"/>
        </w:rPr>
      </w:pPr>
      <w:r w:rsidRPr="009E6414">
        <w:rPr>
          <w:i/>
          <w:noProof/>
          <w:u w:val="single"/>
          <w:lang w:val="es-ES_tradnl"/>
        </w:rPr>
        <w:t>Referencia</w:t>
      </w:r>
      <w:r w:rsidRPr="009E6414">
        <w:rPr>
          <w:noProof/>
          <w:lang w:val="es-ES_tradnl"/>
        </w:rPr>
        <w:t>: GTT-4.</w:t>
      </w:r>
    </w:p>
    <w:p w:rsidR="0025413B" w:rsidRPr="009E6414" w:rsidRDefault="0025413B" w:rsidP="0025413B">
      <w:pPr>
        <w:rPr>
          <w:rFonts w:eastAsia="Arial" w:cs="Arial"/>
          <w:b/>
          <w:noProof/>
          <w:color w:val="57825E"/>
          <w:szCs w:val="20"/>
          <w:lang w:val="es-ES_tradnl"/>
        </w:rPr>
      </w:pPr>
      <w:r w:rsidRPr="009E6414">
        <w:rPr>
          <w:b/>
          <w:noProof/>
          <w:color w:val="57825E"/>
          <w:lang w:val="es-ES_tradnl"/>
        </w:rPr>
        <w:t>Asociación Europea para la Innovación</w:t>
      </w:r>
    </w:p>
    <w:p w:rsidR="0025413B" w:rsidRPr="009E6414" w:rsidRDefault="0025413B" w:rsidP="0025413B">
      <w:pPr>
        <w:rPr>
          <w:rFonts w:cs="Arial"/>
          <w:noProof/>
          <w:color w:val="404040" w:themeColor="background1" w:themeShade="40"/>
          <w:szCs w:val="20"/>
          <w:lang w:val="es-ES_tradnl"/>
        </w:rPr>
      </w:pPr>
      <w:r w:rsidRPr="009E6414">
        <w:rPr>
          <w:noProof/>
          <w:color w:val="404040" w:themeColor="background1" w:themeShade="40"/>
          <w:lang w:val="es-ES_tradnl"/>
        </w:rPr>
        <w:t>En el ámbito de la iniciativa emblemática «Unión por la innovación», se trata de un enfoque hacia la investigación y la innovación de la UE. Está impulsada por el desafío, repercute en toda la cadena de investigación e innovación, y racionaliza, simplifica y coordina mejor los instrumentos e iniciativas existentes.</w:t>
      </w:r>
    </w:p>
    <w:p w:rsidR="0025413B" w:rsidRPr="009E6414" w:rsidRDefault="0025413B" w:rsidP="0025413B">
      <w:pPr>
        <w:rPr>
          <w:rFonts w:eastAsia="Times New Roman" w:cs="Arial"/>
          <w:noProof/>
          <w:color w:val="404040" w:themeColor="background1" w:themeShade="40"/>
          <w:szCs w:val="20"/>
          <w:lang w:val="es-ES_tradnl"/>
        </w:rPr>
      </w:pPr>
      <w:r w:rsidRPr="009E6414">
        <w:rPr>
          <w:i/>
          <w:noProof/>
          <w:u w:val="single"/>
          <w:lang w:val="es-ES_tradnl"/>
        </w:rPr>
        <w:t>Referencia</w:t>
      </w:r>
      <w:r w:rsidRPr="009E6414">
        <w:rPr>
          <w:noProof/>
          <w:lang w:val="es-ES_tradnl"/>
        </w:rPr>
        <w:t>:</w:t>
      </w:r>
      <w:r w:rsidRPr="009E6414">
        <w:rPr>
          <w:i/>
          <w:noProof/>
          <w:color w:val="404040" w:themeColor="background1" w:themeShade="40"/>
          <w:sz w:val="16"/>
          <w:lang w:val="es-ES_tradnl"/>
        </w:rPr>
        <w:t xml:space="preserve"> </w:t>
      </w:r>
      <w:r w:rsidRPr="009E6414">
        <w:rPr>
          <w:noProof/>
          <w:lang w:val="es-ES_tradnl"/>
        </w:rPr>
        <w:t xml:space="preserve">Comunicación de la Comisión al Parlamento Europeo, al Consejo, al Comité Económico y Social Europeo y al Comité de las Regiones «Iniciativa emblemática de Europa 2020: Unión por la innovación» (2010) </w:t>
      </w:r>
      <w:hyperlink r:id="rId106">
        <w:r w:rsidRPr="009E6414">
          <w:rPr>
            <w:rStyle w:val="Hyperlink"/>
            <w:i/>
            <w:noProof/>
            <w:lang w:val="es-ES_tradnl"/>
          </w:rPr>
          <w:t>https://ec.europa.eu/research/innovation-union/pdf/innovation-union-communication_en.pdf</w:t>
        </w:r>
      </w:hyperlink>
    </w:p>
    <w:p w:rsidR="0025413B" w:rsidRPr="009E6414" w:rsidRDefault="0025413B" w:rsidP="000E0FE4">
      <w:pPr>
        <w:jc w:val="left"/>
        <w:rPr>
          <w:rFonts w:eastAsia="Arial" w:cs="Arial"/>
          <w:b/>
          <w:noProof/>
          <w:color w:val="57825E"/>
          <w:szCs w:val="20"/>
          <w:lang w:val="es-ES_tradnl"/>
        </w:rPr>
      </w:pPr>
      <w:r w:rsidRPr="009E6414">
        <w:rPr>
          <w:b/>
          <w:noProof/>
          <w:color w:val="57825E"/>
          <w:lang w:val="es-ES_tradnl"/>
        </w:rPr>
        <w:t>Asociación Europea para la Innovación en materia de Productividad y Sostenibilidad Agrícolas (AEI-AGRI)</w:t>
      </w:r>
    </w:p>
    <w:p w:rsidR="0025413B" w:rsidRPr="009E6414" w:rsidRDefault="0025413B" w:rsidP="0025413B">
      <w:pPr>
        <w:rPr>
          <w:rFonts w:cs="Arial"/>
          <w:noProof/>
          <w:szCs w:val="20"/>
          <w:lang w:val="es-ES_tradnl"/>
        </w:rPr>
      </w:pPr>
      <w:r w:rsidRPr="009E6414">
        <w:rPr>
          <w:noProof/>
          <w:lang w:val="es-ES_tradnl"/>
        </w:rPr>
        <w:t>Lanzada por la Comisión Europea en 2012, la AEI AGRI es la Asociación Europea para la Innovación centrada en los sectores de la agricultura y la silvicultura. La AEI AGRI reúne a agentes de la innovación y crea sinergias entre las políticas existentes. Su objetivo general es fomentar la competitividad y la sostenibilidad en dichos sectores, contribuyendo de este modo a garantizar un abastecimiento estable de alimentos, piensos y biomateriales, y a la gestión sostenible de los recursos naturales esenciales de los que dependen la agricultura y la silvicultura, trabajando en armonía con el medio ambiente.</w:t>
      </w:r>
    </w:p>
    <w:p w:rsidR="0025413B" w:rsidRPr="009E6414" w:rsidRDefault="0025413B" w:rsidP="0025413B">
      <w:pPr>
        <w:spacing w:after="120" w:line="280" w:lineRule="atLeast"/>
        <w:jc w:val="left"/>
        <w:rPr>
          <w:rFonts w:cs="Arial"/>
          <w:i/>
          <w:noProof/>
          <w:color w:val="404040" w:themeColor="background1" w:themeShade="40"/>
          <w:sz w:val="16"/>
          <w:szCs w:val="16"/>
          <w:lang w:val="es-ES_tradnl"/>
        </w:rPr>
      </w:pPr>
      <w:r w:rsidRPr="009E6414">
        <w:rPr>
          <w:i/>
          <w:noProof/>
          <w:u w:val="single"/>
          <w:lang w:val="es-ES_tradnl"/>
        </w:rPr>
        <w:t>Referencia</w:t>
      </w:r>
      <w:r w:rsidRPr="009E6414">
        <w:rPr>
          <w:noProof/>
          <w:lang w:val="es-ES_tradnl"/>
        </w:rPr>
        <w:t>:</w:t>
      </w:r>
      <w:r w:rsidRPr="009E6414">
        <w:rPr>
          <w:i/>
          <w:noProof/>
          <w:color w:val="404040" w:themeColor="background1" w:themeShade="40"/>
          <w:sz w:val="16"/>
          <w:lang w:val="es-ES_tradnl"/>
        </w:rPr>
        <w:t xml:space="preserve"> </w:t>
      </w:r>
      <w:r w:rsidRPr="009E6414">
        <w:rPr>
          <w:noProof/>
          <w:lang w:val="es-ES_tradnl"/>
        </w:rPr>
        <w:t xml:space="preserve">Estudio de evaluación de la implantación de la Asociación Europea para la Innovación en materia de Productividad y Sostenibilidad Agrícolas, </w:t>
      </w:r>
      <w:r w:rsidRPr="009E6414">
        <w:rPr>
          <w:i/>
          <w:noProof/>
          <w:color w:val="F07E31"/>
          <w:sz w:val="16"/>
          <w:u w:val="single"/>
          <w:lang w:val="es-ES_tradnl"/>
        </w:rPr>
        <w:t>https://ec.europa.eu/agriculture/external-studies/2016-eip_en</w:t>
      </w:r>
    </w:p>
    <w:p w:rsidR="0025413B" w:rsidRPr="009E6414" w:rsidRDefault="0025413B" w:rsidP="0025413B">
      <w:pPr>
        <w:jc w:val="left"/>
        <w:rPr>
          <w:rFonts w:eastAsia="Times New Roman" w:cs="Arial"/>
          <w:i/>
          <w:noProof/>
          <w:szCs w:val="20"/>
          <w:lang w:val="es-ES_tradnl"/>
        </w:rPr>
      </w:pPr>
      <w:r w:rsidRPr="009E6414">
        <w:rPr>
          <w:noProof/>
          <w:lang w:val="es-ES_tradnl"/>
        </w:rPr>
        <w:t xml:space="preserve">Comunicación de la Comisión al Parlamento Europeo y al Consejo sobre la Cooperación de innovación europea «Productividad y sostenibilidad agrícolas» (2012) </w:t>
      </w:r>
      <w:hyperlink r:id="rId107">
        <w:r w:rsidRPr="009E6414">
          <w:rPr>
            <w:rStyle w:val="Hyperlink"/>
            <w:i/>
            <w:noProof/>
            <w:lang w:val="es-ES_tradnl"/>
          </w:rPr>
          <w:t>https://ec.europa.eu/eip/agriculture/sites/agri-eip/files/communication_on_eip_-_en.pdf</w:t>
        </w:r>
      </w:hyperlink>
    </w:p>
    <w:p w:rsidR="0025413B" w:rsidRPr="009E6414" w:rsidRDefault="0025413B" w:rsidP="0025413B">
      <w:pPr>
        <w:rPr>
          <w:rFonts w:eastAsia="Arial" w:cs="Arial"/>
          <w:b/>
          <w:noProof/>
          <w:color w:val="57825E"/>
          <w:szCs w:val="20"/>
          <w:lang w:val="es-ES_tradnl"/>
        </w:rPr>
      </w:pPr>
      <w:r w:rsidRPr="009E6414">
        <w:rPr>
          <w:b/>
          <w:noProof/>
          <w:color w:val="57825E"/>
          <w:lang w:val="es-ES_tradnl"/>
        </w:rPr>
        <w:t>Capacidad de innovación</w:t>
      </w:r>
    </w:p>
    <w:p w:rsidR="0025413B" w:rsidRPr="009E6414" w:rsidRDefault="0025413B" w:rsidP="0025413B">
      <w:pPr>
        <w:rPr>
          <w:rFonts w:cs="Arial"/>
          <w:noProof/>
          <w:szCs w:val="20"/>
          <w:lang w:val="es-ES_tradnl"/>
        </w:rPr>
      </w:pPr>
      <w:r w:rsidRPr="009E6414">
        <w:rPr>
          <w:noProof/>
          <w:lang w:val="es-ES_tradnl"/>
        </w:rPr>
        <w:t>«La capacidad permanente para combinar y utilizar diferentes tipos de conocimiento».</w:t>
      </w:r>
    </w:p>
    <w:p w:rsidR="0025413B" w:rsidRPr="007B5CB9" w:rsidRDefault="0025413B" w:rsidP="0025413B">
      <w:pPr>
        <w:rPr>
          <w:rFonts w:cs="Arial"/>
          <w:i/>
          <w:noProof/>
          <w:color w:val="404040" w:themeColor="background1" w:themeShade="40"/>
          <w:sz w:val="16"/>
          <w:szCs w:val="16"/>
          <w:lang w:val="it-IT"/>
        </w:rPr>
      </w:pPr>
      <w:r w:rsidRPr="009E6414">
        <w:rPr>
          <w:i/>
          <w:noProof/>
          <w:u w:val="single"/>
          <w:lang w:val="es-ES_tradnl"/>
        </w:rPr>
        <w:t>Referencia</w:t>
      </w:r>
      <w:r w:rsidRPr="009E6414">
        <w:rPr>
          <w:noProof/>
          <w:lang w:val="es-ES_tradnl"/>
        </w:rPr>
        <w:t>:</w:t>
      </w:r>
      <w:r w:rsidRPr="009E6414">
        <w:rPr>
          <w:i/>
          <w:noProof/>
          <w:color w:val="404040" w:themeColor="background1" w:themeShade="40"/>
          <w:sz w:val="16"/>
          <w:lang w:val="es-ES_tradnl"/>
        </w:rPr>
        <w:t xml:space="preserve"> Chuluunbaatar, D. y LeGrand, S., 2015. </w:t>
      </w:r>
      <w:r w:rsidRPr="007B5CB9">
        <w:rPr>
          <w:i/>
          <w:noProof/>
          <w:color w:val="404040" w:themeColor="background1" w:themeShade="40"/>
          <w:sz w:val="16"/>
          <w:lang w:val="en-GB"/>
        </w:rPr>
        <w:t xml:space="preserve">Enabling the capacity to innovate with a system-wide assessment process. </w:t>
      </w:r>
      <w:r w:rsidRPr="007B5CB9">
        <w:rPr>
          <w:i/>
          <w:noProof/>
          <w:color w:val="404040" w:themeColor="background1" w:themeShade="40"/>
          <w:sz w:val="16"/>
          <w:lang w:val="it-IT"/>
        </w:rPr>
        <w:t xml:space="preserve">Occasional Papers in Innovation in Family Farming. FAO, Roma. </w:t>
      </w:r>
      <w:r w:rsidRPr="007B5CB9">
        <w:rPr>
          <w:rStyle w:val="Hyperlink"/>
          <w:i/>
          <w:noProof/>
          <w:lang w:val="it-IT"/>
        </w:rPr>
        <w:t>http://www.fao.org/3/a-i5097e.pdf</w:t>
      </w:r>
    </w:p>
    <w:p w:rsidR="0025413B" w:rsidRPr="007B5CB9" w:rsidRDefault="0025413B" w:rsidP="0025413B">
      <w:pPr>
        <w:rPr>
          <w:rFonts w:eastAsia="Arial" w:cs="Arial"/>
          <w:b/>
          <w:noProof/>
          <w:color w:val="57825E"/>
          <w:szCs w:val="20"/>
          <w:lang w:val="it-IT"/>
        </w:rPr>
      </w:pPr>
      <w:r w:rsidRPr="007B5CB9">
        <w:rPr>
          <w:b/>
          <w:noProof/>
          <w:color w:val="57825E"/>
          <w:lang w:val="it-IT"/>
        </w:rPr>
        <w:t xml:space="preserve">Resultado de la innovación </w:t>
      </w:r>
    </w:p>
    <w:p w:rsidR="0025413B" w:rsidRPr="009E6414" w:rsidRDefault="0025413B" w:rsidP="0025413B">
      <w:pPr>
        <w:rPr>
          <w:rFonts w:cs="Arial"/>
          <w:noProof/>
          <w:color w:val="404040" w:themeColor="background1" w:themeShade="40"/>
          <w:szCs w:val="20"/>
          <w:lang w:val="es-ES_tradnl"/>
        </w:rPr>
      </w:pPr>
      <w:r w:rsidRPr="009E6414">
        <w:rPr>
          <w:noProof/>
          <w:color w:val="404040" w:themeColor="background1" w:themeShade="40"/>
          <w:lang w:val="es-ES_tradnl"/>
        </w:rPr>
        <w:t>Los resultados de la innovación se derivan de los resultados favorables (por ejemplo, nuevas prácticas, mayores ingresos, adopción de prácticas agrícolas más sostenibles).</w:t>
      </w:r>
    </w:p>
    <w:p w:rsidR="0025413B" w:rsidRPr="009E6414" w:rsidRDefault="0025413B" w:rsidP="0025413B">
      <w:pPr>
        <w:rPr>
          <w:rFonts w:cs="Arial"/>
          <w:noProof/>
          <w:color w:val="404040" w:themeColor="background1" w:themeShade="40"/>
          <w:szCs w:val="20"/>
          <w:lang w:val="es-ES_tradnl"/>
        </w:rPr>
      </w:pPr>
      <w:r w:rsidRPr="009E6414">
        <w:rPr>
          <w:i/>
          <w:noProof/>
          <w:u w:val="single"/>
          <w:lang w:val="es-ES_tradnl"/>
        </w:rPr>
        <w:t>Referencia</w:t>
      </w:r>
      <w:r w:rsidRPr="009E6414">
        <w:rPr>
          <w:noProof/>
          <w:lang w:val="es-ES_tradnl"/>
        </w:rPr>
        <w:t>:</w:t>
      </w:r>
      <w:r w:rsidRPr="009E6414">
        <w:rPr>
          <w:i/>
          <w:noProof/>
          <w:color w:val="404040" w:themeColor="background1" w:themeShade="40"/>
          <w:sz w:val="16"/>
          <w:lang w:val="es-ES_tradnl"/>
        </w:rPr>
        <w:t xml:space="preserve"> GTT-4, página 11.</w:t>
      </w:r>
    </w:p>
    <w:p w:rsidR="0025413B" w:rsidRPr="009E6414" w:rsidRDefault="0025413B" w:rsidP="0025413B">
      <w:pPr>
        <w:rPr>
          <w:rFonts w:eastAsia="Arial" w:cs="Arial"/>
          <w:b/>
          <w:noProof/>
          <w:color w:val="57825E"/>
          <w:szCs w:val="20"/>
          <w:lang w:val="es-ES_tradnl"/>
        </w:rPr>
      </w:pPr>
      <w:r w:rsidRPr="009E6414">
        <w:rPr>
          <w:b/>
          <w:noProof/>
          <w:color w:val="57825E"/>
          <w:lang w:val="es-ES_tradnl"/>
        </w:rPr>
        <w:t>Servicios de apoyo a la innovación</w:t>
      </w:r>
    </w:p>
    <w:p w:rsidR="0025413B" w:rsidRPr="009E6414" w:rsidRDefault="0025413B" w:rsidP="0025413B">
      <w:pPr>
        <w:rPr>
          <w:rFonts w:cs="Arial"/>
          <w:noProof/>
          <w:color w:val="404040" w:themeColor="background1" w:themeShade="40"/>
          <w:szCs w:val="20"/>
          <w:lang w:val="es-ES_tradnl"/>
        </w:rPr>
      </w:pPr>
      <w:r w:rsidRPr="009E6414">
        <w:rPr>
          <w:noProof/>
          <w:color w:val="404040" w:themeColor="background1" w:themeShade="40"/>
          <w:lang w:val="es-ES_tradnl"/>
        </w:rPr>
        <w:t>Los servicios de apoyo a la innovación trabajan utilizando modelos adaptados a las condiciones locales y pueden desempeñar una importante función en la captación de las personas adecuadas para los proyectos, poniendo en contacto a agricultores y asesores con investigadores y ayudando a identificar la financiación.</w:t>
      </w:r>
    </w:p>
    <w:p w:rsidR="0025413B" w:rsidRPr="009E6414" w:rsidRDefault="0025413B" w:rsidP="0025413B">
      <w:pPr>
        <w:rPr>
          <w:rFonts w:cs="Arial"/>
          <w:noProof/>
          <w:color w:val="404040" w:themeColor="background1" w:themeShade="40"/>
          <w:szCs w:val="20"/>
          <w:lang w:val="es-ES_tradnl"/>
        </w:rPr>
      </w:pPr>
      <w:r w:rsidRPr="009E6414">
        <w:rPr>
          <w:i/>
          <w:noProof/>
          <w:u w:val="single"/>
          <w:lang w:val="es-ES_tradnl"/>
        </w:rPr>
        <w:lastRenderedPageBreak/>
        <w:t>Referencia</w:t>
      </w:r>
      <w:r w:rsidRPr="009E6414">
        <w:rPr>
          <w:noProof/>
          <w:lang w:val="es-ES_tradnl"/>
        </w:rPr>
        <w:t>:</w:t>
      </w:r>
      <w:r w:rsidRPr="009E6414">
        <w:rPr>
          <w:i/>
          <w:noProof/>
          <w:color w:val="404040" w:themeColor="background1" w:themeShade="40"/>
          <w:sz w:val="16"/>
          <w:lang w:val="es-ES_tradnl"/>
        </w:rPr>
        <w:t xml:space="preserve"> Folleto de la AEI-AGRI sobre servicios de apoyo a la innovación: </w:t>
      </w:r>
      <w:hyperlink r:id="rId108">
        <w:r w:rsidRPr="009E6414">
          <w:rPr>
            <w:rStyle w:val="Hyperlink"/>
            <w:i/>
            <w:noProof/>
            <w:lang w:val="es-ES_tradnl"/>
          </w:rPr>
          <w:t>https://ec.europa.eu/eip/agriculture/en/content/innovation-support-services</w:t>
        </w:r>
      </w:hyperlink>
      <w:r w:rsidRPr="009E6414">
        <w:rPr>
          <w:i/>
          <w:noProof/>
          <w:color w:val="404040" w:themeColor="background1" w:themeShade="40"/>
          <w:sz w:val="16"/>
          <w:lang w:val="es-ES_tradnl"/>
        </w:rPr>
        <w:t>.</w:t>
      </w:r>
    </w:p>
    <w:p w:rsidR="0025413B" w:rsidRPr="009E6414" w:rsidRDefault="0025413B" w:rsidP="0025413B">
      <w:pPr>
        <w:rPr>
          <w:rFonts w:eastAsia="Arial" w:cs="Arial"/>
          <w:b/>
          <w:noProof/>
          <w:color w:val="57825E"/>
          <w:szCs w:val="20"/>
          <w:lang w:val="es-ES_tradnl"/>
        </w:rPr>
      </w:pPr>
      <w:r w:rsidRPr="009E6414">
        <w:rPr>
          <w:b/>
          <w:noProof/>
          <w:color w:val="57825E"/>
          <w:lang w:val="es-ES_tradnl"/>
        </w:rPr>
        <w:t>Sistema de innovación</w:t>
      </w:r>
    </w:p>
    <w:p w:rsidR="0025413B" w:rsidRPr="009E6414" w:rsidRDefault="0025413B" w:rsidP="0025413B">
      <w:pPr>
        <w:rPr>
          <w:rFonts w:cs="Arial"/>
          <w:noProof/>
          <w:color w:val="404040" w:themeColor="background1" w:themeShade="40"/>
          <w:szCs w:val="20"/>
          <w:lang w:val="es-ES_tradnl"/>
        </w:rPr>
      </w:pPr>
      <w:r w:rsidRPr="009E6414">
        <w:rPr>
          <w:noProof/>
          <w:color w:val="404040" w:themeColor="background1" w:themeShade="40"/>
          <w:lang w:val="es-ES_tradnl"/>
        </w:rPr>
        <w:t>«Los grupos de organizaciones e individuos implicados en la generación, divulgación, adaptación y uso de conocimientos de importancia socioeconómica así como el contexto institucional que regula la forma en que se producen estas interacciones y procesos».</w:t>
      </w:r>
    </w:p>
    <w:p w:rsidR="0025413B" w:rsidRPr="009E6414" w:rsidRDefault="0025413B" w:rsidP="0025413B">
      <w:pPr>
        <w:rPr>
          <w:rFonts w:cs="Arial"/>
          <w:noProof/>
          <w:color w:val="404040" w:themeColor="background1" w:themeShade="40"/>
          <w:szCs w:val="20"/>
          <w:lang w:val="es-ES_tradnl"/>
        </w:rPr>
      </w:pPr>
      <w:r w:rsidRPr="009E6414">
        <w:rPr>
          <w:i/>
          <w:noProof/>
          <w:u w:val="single"/>
          <w:lang w:val="es-ES_tradnl"/>
        </w:rPr>
        <w:t>Referencia</w:t>
      </w:r>
      <w:r w:rsidRPr="009E6414">
        <w:rPr>
          <w:noProof/>
          <w:lang w:val="es-ES_tradnl"/>
        </w:rPr>
        <w:t>:</w:t>
      </w:r>
      <w:r w:rsidRPr="009E6414">
        <w:rPr>
          <w:i/>
          <w:noProof/>
          <w:color w:val="404040" w:themeColor="background1" w:themeShade="40"/>
          <w:sz w:val="16"/>
          <w:lang w:val="es-ES_tradnl"/>
        </w:rPr>
        <w:t xml:space="preserve"> Hall, A., S. Rasheed, N. Clark, y B. Yoganand. </w:t>
      </w:r>
      <w:r w:rsidRPr="007B5CB9">
        <w:rPr>
          <w:i/>
          <w:noProof/>
          <w:color w:val="404040" w:themeColor="background1" w:themeShade="40"/>
          <w:sz w:val="16"/>
          <w:lang w:val="en-GB"/>
        </w:rPr>
        <w:t xml:space="preserve">2003. From measuring impact to learning institutional lessons: an innovation system’s perspective on improving the management of international agricultural research. </w:t>
      </w:r>
      <w:r w:rsidRPr="009E6414">
        <w:rPr>
          <w:i/>
          <w:noProof/>
          <w:color w:val="404040" w:themeColor="background1" w:themeShade="40"/>
          <w:sz w:val="16"/>
          <w:lang w:val="es-ES_tradnl"/>
        </w:rPr>
        <w:t>Agricultural Systems 78: 213-241.</w:t>
      </w:r>
    </w:p>
    <w:p w:rsidR="0025413B" w:rsidRPr="009E6414" w:rsidRDefault="0025413B" w:rsidP="0025413B">
      <w:pPr>
        <w:rPr>
          <w:rFonts w:eastAsia="Arial" w:cs="Arial"/>
          <w:b/>
          <w:noProof/>
          <w:color w:val="57825E"/>
          <w:szCs w:val="20"/>
          <w:lang w:val="es-ES_tradnl"/>
        </w:rPr>
      </w:pPr>
      <w:r w:rsidRPr="009E6414">
        <w:rPr>
          <w:b/>
          <w:noProof/>
          <w:color w:val="57825E"/>
          <w:lang w:val="es-ES_tradnl"/>
        </w:rPr>
        <w:t>Vía de innovación</w:t>
      </w:r>
    </w:p>
    <w:p w:rsidR="0025413B" w:rsidRPr="009E6414" w:rsidRDefault="0025413B" w:rsidP="0025413B">
      <w:pPr>
        <w:rPr>
          <w:rFonts w:cs="Arial"/>
          <w:noProof/>
          <w:color w:val="404040" w:themeColor="background1" w:themeShade="40"/>
          <w:szCs w:val="20"/>
          <w:lang w:val="es-ES_tradnl"/>
        </w:rPr>
      </w:pPr>
      <w:r w:rsidRPr="009E6414">
        <w:rPr>
          <w:noProof/>
          <w:color w:val="404040" w:themeColor="background1" w:themeShade="40"/>
          <w:lang w:val="es-ES_tradnl"/>
        </w:rPr>
        <w:t>Un proceso a través del cual las actividades del PDR dan lugar a realizaciones, resultados e impactos que contribuyen a la consecución de los objetivos del PDR, a la vez que influyen y se ven influidos por el sistema de innovación en el que esto ocurre.</w:t>
      </w:r>
    </w:p>
    <w:p w:rsidR="0025413B" w:rsidRPr="009E6414" w:rsidRDefault="0025413B" w:rsidP="0025413B">
      <w:pPr>
        <w:rPr>
          <w:rFonts w:eastAsia="Arial" w:cs="Arial"/>
          <w:noProof/>
          <w:color w:val="404040" w:themeColor="background1" w:themeShade="40"/>
          <w:szCs w:val="20"/>
          <w:lang w:val="es-ES_tradnl"/>
        </w:rPr>
      </w:pPr>
      <w:r w:rsidRPr="009E6414">
        <w:rPr>
          <w:i/>
          <w:noProof/>
          <w:u w:val="single"/>
          <w:lang w:val="es-ES_tradnl"/>
        </w:rPr>
        <w:t>Referencia</w:t>
      </w:r>
      <w:r w:rsidRPr="009E6414">
        <w:rPr>
          <w:noProof/>
          <w:lang w:val="es-ES_tradnl"/>
        </w:rPr>
        <w:t>:</w:t>
      </w:r>
      <w:r w:rsidRPr="009E6414">
        <w:rPr>
          <w:i/>
          <w:noProof/>
          <w:color w:val="404040" w:themeColor="background1" w:themeShade="40"/>
          <w:sz w:val="16"/>
          <w:lang w:val="es-ES_tradnl"/>
        </w:rPr>
        <w:t xml:space="preserve"> GTT-4, página 5.</w:t>
      </w:r>
    </w:p>
    <w:p w:rsidR="0025413B" w:rsidRPr="009E6414" w:rsidRDefault="0025413B" w:rsidP="0025413B">
      <w:pPr>
        <w:rPr>
          <w:rFonts w:eastAsia="Arial" w:cs="Arial"/>
          <w:b/>
          <w:noProof/>
          <w:color w:val="57825E"/>
          <w:szCs w:val="20"/>
          <w:lang w:val="es-ES_tradnl"/>
        </w:rPr>
      </w:pPr>
      <w:r w:rsidRPr="009E6414">
        <w:rPr>
          <w:b/>
          <w:noProof/>
          <w:color w:val="57825E"/>
          <w:lang w:val="es-ES_tradnl"/>
        </w:rPr>
        <w:t>Innovación interactiva</w:t>
      </w:r>
    </w:p>
    <w:p w:rsidR="0025413B" w:rsidRPr="009E6414" w:rsidRDefault="0025413B" w:rsidP="0025413B">
      <w:pPr>
        <w:rPr>
          <w:rFonts w:cs="Arial"/>
          <w:noProof/>
          <w:color w:val="404040" w:themeColor="background1" w:themeShade="40"/>
          <w:szCs w:val="20"/>
          <w:lang w:val="es-ES_tradnl"/>
        </w:rPr>
      </w:pPr>
      <w:r w:rsidRPr="009E6414">
        <w:rPr>
          <w:noProof/>
          <w:color w:val="404040" w:themeColor="background1" w:themeShade="40"/>
          <w:lang w:val="es-ES_tradnl"/>
        </w:rPr>
        <w:t>En la innovación interactiva (del sistema), los elementos constitutivos de las innovaciones deben proceder de la ciencia, pero también de la práctica y de los intermediarios, incluidos agricultores, servicios de asesoramiento, ONG, investigadores, etc., como agentes en un proceso de carácter ascendente. La innovación interactiva incluye el conocimiento existente (a veces tácito) que no siempre es puramente científico.</w:t>
      </w:r>
    </w:p>
    <w:p w:rsidR="0025413B" w:rsidRPr="009E6414" w:rsidRDefault="0025413B" w:rsidP="0025413B">
      <w:pPr>
        <w:jc w:val="left"/>
        <w:rPr>
          <w:rFonts w:eastAsia="Times New Roman" w:cs="Arial"/>
          <w:noProof/>
          <w:color w:val="404040" w:themeColor="background1" w:themeShade="40"/>
          <w:szCs w:val="20"/>
          <w:lang w:val="es-ES_tradnl"/>
        </w:rPr>
      </w:pPr>
      <w:r w:rsidRPr="009E6414">
        <w:rPr>
          <w:i/>
          <w:noProof/>
          <w:u w:val="single"/>
          <w:lang w:val="es-ES_tradnl"/>
        </w:rPr>
        <w:t>Referencia</w:t>
      </w:r>
      <w:r w:rsidRPr="009E6414">
        <w:rPr>
          <w:noProof/>
          <w:lang w:val="es-ES_tradnl"/>
        </w:rPr>
        <w:t>:</w:t>
      </w:r>
      <w:r w:rsidRPr="009E6414">
        <w:rPr>
          <w:i/>
          <w:noProof/>
          <w:color w:val="404040" w:themeColor="background1" w:themeShade="40"/>
          <w:sz w:val="16"/>
          <w:lang w:val="es-ES_tradnl"/>
        </w:rPr>
        <w:t xml:space="preserve"> Orientaciones sobre la programación para la innovación y la aplicación de la AEI en la productividad y sostenibilidad agrícolas </w:t>
      </w:r>
      <w:hyperlink r:id="rId109">
        <w:r w:rsidRPr="009E6414">
          <w:rPr>
            <w:rStyle w:val="Hyperlink"/>
            <w:i/>
            <w:noProof/>
            <w:lang w:val="es-ES_tradnl"/>
          </w:rPr>
          <w:t>http://ec.europa.eu/eip/agriculture/sites/agri-eip/files/eip-guidelines-july-2014_en.pdf</w:t>
        </w:r>
      </w:hyperlink>
      <w:r w:rsidRPr="009E6414">
        <w:rPr>
          <w:i/>
          <w:noProof/>
          <w:color w:val="404040" w:themeColor="background1" w:themeShade="40"/>
          <w:sz w:val="16"/>
          <w:lang w:val="es-ES_tradnl"/>
        </w:rPr>
        <w:t>.</w:t>
      </w:r>
    </w:p>
    <w:p w:rsidR="0025413B" w:rsidRPr="009E6414" w:rsidRDefault="0025413B" w:rsidP="0025413B">
      <w:pPr>
        <w:rPr>
          <w:rFonts w:eastAsia="Arial" w:cs="Arial"/>
          <w:b/>
          <w:noProof/>
          <w:color w:val="57825E"/>
          <w:szCs w:val="20"/>
          <w:lang w:val="es-ES_tradnl"/>
        </w:rPr>
      </w:pPr>
      <w:r w:rsidRPr="009E6414">
        <w:rPr>
          <w:b/>
          <w:noProof/>
          <w:color w:val="57825E"/>
          <w:lang w:val="es-ES_tradnl"/>
        </w:rPr>
        <w:t>Grupos operativos</w:t>
      </w:r>
    </w:p>
    <w:p w:rsidR="0025413B" w:rsidRPr="009E6414" w:rsidRDefault="0025413B" w:rsidP="0025413B">
      <w:pPr>
        <w:rPr>
          <w:rFonts w:cs="Arial"/>
          <w:noProof/>
          <w:color w:val="404040" w:themeColor="background1" w:themeShade="40"/>
          <w:szCs w:val="20"/>
          <w:lang w:val="es-ES_tradnl"/>
        </w:rPr>
      </w:pPr>
      <w:r w:rsidRPr="009E6414">
        <w:rPr>
          <w:noProof/>
          <w:color w:val="404040" w:themeColor="background1" w:themeShade="40"/>
          <w:lang w:val="es-ES_tradnl"/>
        </w:rPr>
        <w:t>Grupos de personas (agricultores, investigadores, asesores, etc.) que colaboran en un proyecto de innovación práctico con objetivos concretos.</w:t>
      </w:r>
    </w:p>
    <w:p w:rsidR="0025413B" w:rsidRPr="009E6414" w:rsidRDefault="0025413B" w:rsidP="0025413B">
      <w:pPr>
        <w:rPr>
          <w:rFonts w:eastAsia="Times New Roman" w:cs="Arial"/>
          <w:noProof/>
          <w:color w:val="404040" w:themeColor="background1" w:themeShade="40"/>
          <w:szCs w:val="20"/>
          <w:lang w:val="es-ES_tradnl"/>
        </w:rPr>
      </w:pPr>
      <w:r w:rsidRPr="009E6414">
        <w:rPr>
          <w:i/>
          <w:noProof/>
          <w:u w:val="single"/>
          <w:lang w:val="es-ES_tradnl"/>
        </w:rPr>
        <w:t>Referencia</w:t>
      </w:r>
      <w:r w:rsidRPr="009E6414">
        <w:rPr>
          <w:noProof/>
          <w:lang w:val="es-ES_tradnl"/>
        </w:rPr>
        <w:t>:</w:t>
      </w:r>
      <w:r w:rsidRPr="009E6414">
        <w:rPr>
          <w:i/>
          <w:noProof/>
          <w:color w:val="404040" w:themeColor="background1" w:themeShade="40"/>
          <w:sz w:val="16"/>
          <w:lang w:val="es-ES_tradnl"/>
        </w:rPr>
        <w:t xml:space="preserve"> Folleto de la AEI-AGRI sobre servicios de apoyo a la innovación: </w:t>
      </w:r>
      <w:hyperlink r:id="rId110">
        <w:r w:rsidRPr="009E6414">
          <w:rPr>
            <w:rStyle w:val="Hyperlink"/>
            <w:i/>
            <w:noProof/>
            <w:lang w:val="es-ES_tradnl"/>
          </w:rPr>
          <w:t>https://ec.europa.eu/eip/agriculture/en/content/innovation-support-services</w:t>
        </w:r>
      </w:hyperlink>
    </w:p>
    <w:p w:rsidR="0025413B" w:rsidRPr="009E6414" w:rsidRDefault="0025413B" w:rsidP="0025413B">
      <w:pPr>
        <w:rPr>
          <w:rFonts w:eastAsia="Arial" w:cs="Arial"/>
          <w:b/>
          <w:noProof/>
          <w:color w:val="57825E"/>
          <w:szCs w:val="20"/>
          <w:lang w:val="es-ES_tradnl"/>
        </w:rPr>
      </w:pPr>
      <w:r w:rsidRPr="009E6414">
        <w:rPr>
          <w:b/>
          <w:noProof/>
          <w:color w:val="57825E"/>
          <w:lang w:val="es-ES_tradnl"/>
        </w:rPr>
        <w:t xml:space="preserve">Potencial de innovación del PDR </w:t>
      </w:r>
    </w:p>
    <w:p w:rsidR="0025413B" w:rsidRPr="009E6414" w:rsidRDefault="0025413B" w:rsidP="0025413B">
      <w:pPr>
        <w:rPr>
          <w:rFonts w:cs="Arial"/>
          <w:noProof/>
          <w:color w:val="404040" w:themeColor="background1" w:themeShade="40"/>
          <w:szCs w:val="20"/>
          <w:lang w:val="es-ES_tradnl"/>
        </w:rPr>
      </w:pPr>
      <w:r w:rsidRPr="009E6414">
        <w:rPr>
          <w:noProof/>
          <w:color w:val="404040" w:themeColor="background1" w:themeShade="40"/>
          <w:lang w:val="es-ES_tradnl"/>
        </w:rPr>
        <w:t xml:space="preserve">El potencial de innovación del PDR es la medida en que el planteamiento específco del PDR concebido en aras de la innovación puede potenciar la innovación y lograr los objetivos políticos en las zonas rurales dentro de un determinado sistema o contexto de innovación. </w:t>
      </w:r>
    </w:p>
    <w:p w:rsidR="0025413B" w:rsidRPr="009E6414" w:rsidRDefault="0025413B" w:rsidP="0025413B">
      <w:pPr>
        <w:rPr>
          <w:rFonts w:eastAsia="Arial" w:cs="Arial"/>
          <w:noProof/>
          <w:color w:val="404040" w:themeColor="background1" w:themeShade="40"/>
          <w:szCs w:val="20"/>
          <w:lang w:val="es-ES_tradnl"/>
        </w:rPr>
      </w:pPr>
      <w:r w:rsidRPr="009E6414">
        <w:rPr>
          <w:i/>
          <w:noProof/>
          <w:u w:val="single"/>
          <w:lang w:val="es-ES_tradnl"/>
        </w:rPr>
        <w:t>Referencia</w:t>
      </w:r>
      <w:r w:rsidRPr="009E6414">
        <w:rPr>
          <w:noProof/>
          <w:lang w:val="es-ES_tradnl"/>
        </w:rPr>
        <w:t>: GTT-4.</w:t>
      </w:r>
    </w:p>
    <w:p w:rsidR="0025413B" w:rsidRPr="009E6414" w:rsidRDefault="0025413B" w:rsidP="0025413B">
      <w:pPr>
        <w:rPr>
          <w:rFonts w:eastAsia="Arial" w:cs="Arial"/>
          <w:b/>
          <w:noProof/>
          <w:color w:val="57825E"/>
          <w:szCs w:val="20"/>
          <w:lang w:val="es-ES_tradnl"/>
        </w:rPr>
      </w:pPr>
      <w:r w:rsidRPr="009E6414">
        <w:rPr>
          <w:b/>
          <w:noProof/>
          <w:color w:val="57825E"/>
          <w:lang w:val="es-ES_tradnl"/>
        </w:rPr>
        <w:t>Innovación social</w:t>
      </w:r>
    </w:p>
    <w:p w:rsidR="0025413B" w:rsidRPr="009E6414" w:rsidRDefault="0025413B" w:rsidP="0025413B">
      <w:pPr>
        <w:rPr>
          <w:rFonts w:cs="Arial"/>
          <w:noProof/>
          <w:color w:val="404040" w:themeColor="background1" w:themeShade="40"/>
          <w:szCs w:val="20"/>
          <w:lang w:val="es-ES_tradnl"/>
        </w:rPr>
      </w:pPr>
      <w:r w:rsidRPr="009E6414">
        <w:rPr>
          <w:noProof/>
          <w:color w:val="404040" w:themeColor="background1" w:themeShade="40"/>
          <w:lang w:val="es-ES_tradnl"/>
        </w:rPr>
        <w:t>La innovación social puede definirse como el desarrollo y la puesta en práctica de nuevas ideas (productos, servicios y modelos) para satisfacer necesidades sociales y generar nuevas colaboraciones o relaciones sociales.</w:t>
      </w:r>
    </w:p>
    <w:p w:rsidR="0025413B" w:rsidRPr="009E6414" w:rsidRDefault="0025413B" w:rsidP="0025413B">
      <w:pPr>
        <w:rPr>
          <w:rFonts w:eastAsia="Arial" w:cs="Arial"/>
          <w:noProof/>
          <w:color w:val="404040" w:themeColor="background1" w:themeShade="40"/>
          <w:szCs w:val="20"/>
          <w:lang w:val="es-ES_tradnl"/>
        </w:rPr>
      </w:pPr>
      <w:r w:rsidRPr="009E6414">
        <w:rPr>
          <w:i/>
          <w:noProof/>
          <w:u w:val="single"/>
          <w:lang w:val="es-ES_tradnl"/>
        </w:rPr>
        <w:t>Referencia</w:t>
      </w:r>
      <w:r w:rsidRPr="009E6414">
        <w:rPr>
          <w:noProof/>
          <w:lang w:val="es-ES_tradnl"/>
        </w:rPr>
        <w:t>:</w:t>
      </w:r>
      <w:r w:rsidRPr="009E6414">
        <w:rPr>
          <w:i/>
          <w:noProof/>
          <w:color w:val="404040" w:themeColor="background1" w:themeShade="40"/>
          <w:sz w:val="16"/>
          <w:lang w:val="es-ES_tradnl"/>
        </w:rPr>
        <w:t xml:space="preserve"> DG REGIO, DG EMPL, DG AGRI, etc. (2013) Guía para la innovación social.</w:t>
      </w:r>
    </w:p>
    <w:p w:rsidR="0025413B" w:rsidRPr="009E6414" w:rsidRDefault="0025413B" w:rsidP="0025413B">
      <w:pPr>
        <w:rPr>
          <w:rFonts w:eastAsia="Arial" w:cs="Arial"/>
          <w:b/>
          <w:noProof/>
          <w:color w:val="57825E"/>
          <w:szCs w:val="20"/>
          <w:lang w:val="es-ES_tradnl"/>
        </w:rPr>
      </w:pPr>
      <w:r w:rsidRPr="009E6414">
        <w:rPr>
          <w:b/>
          <w:noProof/>
          <w:color w:val="57825E"/>
          <w:lang w:val="es-ES_tradnl"/>
        </w:rPr>
        <w:t>Intercambios temáticos y analíticos</w:t>
      </w:r>
    </w:p>
    <w:p w:rsidR="0025413B" w:rsidRPr="009E6414" w:rsidRDefault="0025413B" w:rsidP="0025413B">
      <w:pPr>
        <w:rPr>
          <w:rFonts w:cs="Arial"/>
          <w:noProof/>
          <w:color w:val="404040" w:themeColor="background1" w:themeShade="40"/>
          <w:szCs w:val="20"/>
          <w:lang w:val="es-ES_tradnl"/>
        </w:rPr>
      </w:pPr>
      <w:r w:rsidRPr="009E6414">
        <w:rPr>
          <w:noProof/>
          <w:color w:val="404040" w:themeColor="background1" w:themeShade="40"/>
          <w:lang w:val="es-ES_tradnl"/>
        </w:rPr>
        <w:t xml:space="preserve">Las RRN pueden promover los intercambios de diferentes formas. La forma más común de intercambios temáticos desarrollada por las RRN ha sido la creación de grupos de trabajo temáticos (GTT) permanentes o </w:t>
      </w:r>
      <w:r w:rsidRPr="009E6414">
        <w:rPr>
          <w:i/>
          <w:noProof/>
          <w:color w:val="404040" w:themeColor="background1" w:themeShade="40"/>
          <w:lang w:val="es-ES_tradnl"/>
        </w:rPr>
        <w:t>ad hoc</w:t>
      </w:r>
      <w:r w:rsidRPr="009E6414">
        <w:rPr>
          <w:noProof/>
          <w:color w:val="404040" w:themeColor="background1" w:themeShade="40"/>
          <w:lang w:val="es-ES_tradnl"/>
        </w:rPr>
        <w:t>. Los GTT de las RRN reúnen a varias partes interesadas para debatir, analizar y compartir información sobre cuestiones comunes, lo que a menudo ha dado lugar a recomendaciones relacionadas con la ejecución y la programación del PDR.</w:t>
      </w:r>
    </w:p>
    <w:p w:rsidR="0025413B" w:rsidRPr="009E6414" w:rsidRDefault="0025413B" w:rsidP="0025413B">
      <w:pPr>
        <w:jc w:val="left"/>
        <w:rPr>
          <w:rFonts w:eastAsia="Arial" w:cs="Arial"/>
          <w:noProof/>
          <w:color w:val="404040" w:themeColor="background1" w:themeShade="40"/>
          <w:szCs w:val="20"/>
          <w:lang w:val="es-ES_tradnl"/>
        </w:rPr>
      </w:pPr>
      <w:r w:rsidRPr="009E6414">
        <w:rPr>
          <w:i/>
          <w:noProof/>
          <w:color w:val="404040" w:themeColor="background1" w:themeShade="40"/>
          <w:sz w:val="16"/>
          <w:u w:val="single"/>
          <w:lang w:val="es-ES_tradnl"/>
        </w:rPr>
        <w:t xml:space="preserve"> </w:t>
      </w:r>
      <w:r w:rsidRPr="009E6414">
        <w:rPr>
          <w:i/>
          <w:noProof/>
          <w:u w:val="single"/>
          <w:lang w:val="es-ES_tradnl"/>
        </w:rPr>
        <w:t>Referencia</w:t>
      </w:r>
      <w:r w:rsidRPr="009E6414">
        <w:rPr>
          <w:noProof/>
          <w:lang w:val="es-ES_tradnl"/>
        </w:rPr>
        <w:t>:</w:t>
      </w:r>
      <w:r w:rsidRPr="009E6414">
        <w:rPr>
          <w:i/>
          <w:noProof/>
          <w:color w:val="404040" w:themeColor="background1" w:themeShade="40"/>
          <w:sz w:val="16"/>
          <w:lang w:val="es-ES_tradnl"/>
        </w:rPr>
        <w:t xml:space="preserve"> Guía de la RRN: </w:t>
      </w:r>
      <w:hyperlink r:id="rId111">
        <w:r w:rsidRPr="009E6414">
          <w:rPr>
            <w:rStyle w:val="Hyperlink"/>
            <w:i/>
            <w:noProof/>
            <w:lang w:val="es-ES_tradnl"/>
          </w:rPr>
          <w:t>http://enrd.ec.europa.eu/enrd-static/app_templates/enrd_assets/pdf/guidebook/nrn_handbook_webversion.pdf</w:t>
        </w:r>
      </w:hyperlink>
    </w:p>
    <w:p w:rsidR="0025413B" w:rsidRPr="009E6414" w:rsidRDefault="0025413B" w:rsidP="0025413B">
      <w:pPr>
        <w:rPr>
          <w:rFonts w:cs="Arial"/>
          <w:noProof/>
          <w:color w:val="404040" w:themeColor="background1" w:themeShade="40"/>
          <w:szCs w:val="20"/>
          <w:lang w:val="es-ES_tradnl"/>
        </w:rPr>
        <w:sectPr w:rsidR="0025413B" w:rsidRPr="009E6414" w:rsidSect="001F6F07">
          <w:type w:val="continuous"/>
          <w:pgSz w:w="11907" w:h="16840" w:code="9"/>
          <w:pgMar w:top="1440" w:right="1440" w:bottom="1134" w:left="1440" w:header="567" w:footer="1020" w:gutter="0"/>
          <w:cols w:num="2" w:space="708"/>
          <w:titlePg/>
          <w:docGrid w:linePitch="435"/>
        </w:sectPr>
      </w:pPr>
    </w:p>
    <w:p w:rsidR="0025413B" w:rsidRPr="009E6414" w:rsidRDefault="0025413B" w:rsidP="001319A0">
      <w:pPr>
        <w:pStyle w:val="HStandard"/>
        <w:rPr>
          <w:noProof/>
          <w:lang w:val="es-ES_tradnl"/>
        </w:rPr>
      </w:pPr>
    </w:p>
    <w:p w:rsidR="00E05D08" w:rsidRPr="009E6414" w:rsidRDefault="00E05D08" w:rsidP="00E05D08">
      <w:pPr>
        <w:spacing w:before="60" w:after="140" w:line="220" w:lineRule="atLeast"/>
        <w:rPr>
          <w:rFonts w:eastAsia="Times New Roman" w:cs="Times New Roman"/>
          <w:noProof/>
          <w:sz w:val="18"/>
          <w:szCs w:val="24"/>
          <w:lang w:val="es-ES_tradnl"/>
        </w:rPr>
        <w:sectPr w:rsidR="00E05D08" w:rsidRPr="009E6414" w:rsidSect="00400064">
          <w:endnotePr>
            <w:numFmt w:val="decimal"/>
          </w:endnotePr>
          <w:type w:val="continuous"/>
          <w:pgSz w:w="11907" w:h="16840" w:code="9"/>
          <w:pgMar w:top="1440" w:right="1440" w:bottom="1134" w:left="1440" w:header="567" w:footer="709" w:gutter="0"/>
          <w:cols w:space="708"/>
          <w:noEndnote/>
          <w:titlePg/>
          <w:docGrid w:linePitch="360"/>
        </w:sectPr>
      </w:pPr>
    </w:p>
    <w:p w:rsidR="00E05D08" w:rsidRPr="009E6414" w:rsidRDefault="00E05D08" w:rsidP="0025413B">
      <w:pPr>
        <w:pStyle w:val="HHeading2"/>
        <w:numPr>
          <w:ilvl w:val="1"/>
          <w:numId w:val="119"/>
        </w:numPr>
        <w:ind w:left="567" w:hanging="567"/>
        <w:rPr>
          <w:noProof/>
          <w:lang w:val="es-ES_tradnl"/>
        </w:rPr>
      </w:pPr>
      <w:bookmarkStart w:id="31" w:name="_Toc508707927"/>
      <w:r w:rsidRPr="009E6414">
        <w:rPr>
          <w:noProof/>
          <w:lang w:val="es-ES_tradnl"/>
        </w:rPr>
        <w:lastRenderedPageBreak/>
        <w:t>Fases para identificar el potencial de innovación del PDR</w:t>
      </w:r>
      <w:bookmarkEnd w:id="31"/>
    </w:p>
    <w:tbl>
      <w:tblPr>
        <w:tblStyle w:val="TableGrid3"/>
        <w:tblW w:w="1487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980"/>
        <w:gridCol w:w="3127"/>
        <w:gridCol w:w="2401"/>
        <w:gridCol w:w="2999"/>
        <w:gridCol w:w="2160"/>
        <w:gridCol w:w="2212"/>
      </w:tblGrid>
      <w:tr w:rsidR="00E05D08" w:rsidRPr="009E6414" w:rsidTr="00447B72">
        <w:trPr>
          <w:trHeight w:val="294"/>
        </w:trPr>
        <w:tc>
          <w:tcPr>
            <w:tcW w:w="1980" w:type="dxa"/>
            <w:shd w:val="clear" w:color="auto" w:fill="F07E31"/>
          </w:tcPr>
          <w:p w:rsidR="00E05D08" w:rsidRPr="009E6414" w:rsidRDefault="00E05D08" w:rsidP="00E05D08">
            <w:pPr>
              <w:tabs>
                <w:tab w:val="right" w:pos="2885"/>
              </w:tabs>
              <w:spacing w:before="120" w:after="120" w:line="280" w:lineRule="atLeast"/>
              <w:jc w:val="center"/>
              <w:rPr>
                <w:rFonts w:cs="Arial"/>
                <w:b/>
                <w:noProof/>
                <w:color w:val="FFFFFF"/>
                <w:sz w:val="18"/>
                <w:szCs w:val="18"/>
                <w:lang w:val="es-ES_tradnl"/>
              </w:rPr>
            </w:pPr>
            <w:r w:rsidRPr="009E6414">
              <w:rPr>
                <w:b/>
                <w:noProof/>
                <w:color w:val="FFFFFF"/>
                <w:sz w:val="18"/>
                <w:lang w:val="es-ES_tradnl"/>
              </w:rPr>
              <w:t>Fases</w:t>
            </w:r>
          </w:p>
        </w:tc>
        <w:tc>
          <w:tcPr>
            <w:tcW w:w="3127" w:type="dxa"/>
            <w:shd w:val="clear" w:color="auto" w:fill="F07E31"/>
          </w:tcPr>
          <w:p w:rsidR="00E05D08" w:rsidRPr="009E6414" w:rsidRDefault="00E05D08" w:rsidP="00E05D08">
            <w:pPr>
              <w:spacing w:before="120" w:after="120" w:line="280" w:lineRule="atLeast"/>
              <w:jc w:val="center"/>
              <w:rPr>
                <w:rFonts w:cs="Arial"/>
                <w:b/>
                <w:noProof/>
                <w:color w:val="FFFFFF"/>
                <w:sz w:val="18"/>
                <w:szCs w:val="18"/>
                <w:lang w:val="es-ES_tradnl"/>
              </w:rPr>
            </w:pPr>
            <w:r w:rsidRPr="009E6414">
              <w:rPr>
                <w:b/>
                <w:noProof/>
                <w:color w:val="FFFFFF"/>
                <w:sz w:val="18"/>
                <w:lang w:val="es-ES_tradnl"/>
              </w:rPr>
              <w:t xml:space="preserve">Pregunta fundamental que debe responderse </w:t>
            </w:r>
          </w:p>
        </w:tc>
        <w:tc>
          <w:tcPr>
            <w:tcW w:w="2401" w:type="dxa"/>
            <w:shd w:val="clear" w:color="auto" w:fill="F07E31"/>
          </w:tcPr>
          <w:p w:rsidR="00E05D08" w:rsidRPr="009E6414" w:rsidRDefault="00E05D08" w:rsidP="00E05D08">
            <w:pPr>
              <w:spacing w:before="120" w:after="120" w:line="280" w:lineRule="atLeast"/>
              <w:jc w:val="center"/>
              <w:rPr>
                <w:rFonts w:cs="Arial"/>
                <w:b/>
                <w:noProof/>
                <w:color w:val="FFFFFF"/>
                <w:sz w:val="18"/>
                <w:szCs w:val="18"/>
                <w:lang w:val="es-ES_tradnl"/>
              </w:rPr>
            </w:pPr>
            <w:r w:rsidRPr="009E6414">
              <w:rPr>
                <w:b/>
                <w:noProof/>
                <w:color w:val="FFFFFF"/>
                <w:sz w:val="18"/>
                <w:lang w:val="es-ES_tradnl"/>
              </w:rPr>
              <w:t>¿En qué punto en el PDR?</w:t>
            </w:r>
          </w:p>
        </w:tc>
        <w:tc>
          <w:tcPr>
            <w:tcW w:w="2999" w:type="dxa"/>
            <w:shd w:val="clear" w:color="auto" w:fill="F07E31"/>
          </w:tcPr>
          <w:p w:rsidR="00E05D08" w:rsidRPr="009E6414" w:rsidRDefault="00E05D08" w:rsidP="00E05D08">
            <w:pPr>
              <w:spacing w:before="120" w:after="120" w:line="280" w:lineRule="atLeast"/>
              <w:jc w:val="center"/>
              <w:rPr>
                <w:rFonts w:cs="Arial"/>
                <w:b/>
                <w:noProof/>
                <w:color w:val="FFFFFF"/>
                <w:sz w:val="18"/>
                <w:szCs w:val="18"/>
                <w:lang w:val="es-ES_tradnl"/>
              </w:rPr>
            </w:pPr>
            <w:r w:rsidRPr="009E6414">
              <w:rPr>
                <w:b/>
                <w:noProof/>
                <w:color w:val="FFFFFF"/>
                <w:sz w:val="18"/>
                <w:lang w:val="es-ES_tradnl"/>
              </w:rPr>
              <w:t>Ejemplos</w:t>
            </w:r>
          </w:p>
        </w:tc>
        <w:tc>
          <w:tcPr>
            <w:tcW w:w="2160" w:type="dxa"/>
            <w:shd w:val="clear" w:color="auto" w:fill="F07E31"/>
          </w:tcPr>
          <w:p w:rsidR="00E05D08" w:rsidRPr="009E6414" w:rsidRDefault="00E05D08" w:rsidP="00E05D08">
            <w:pPr>
              <w:spacing w:before="120" w:after="120" w:line="280" w:lineRule="atLeast"/>
              <w:jc w:val="center"/>
              <w:rPr>
                <w:rFonts w:cs="Arial"/>
                <w:b/>
                <w:noProof/>
                <w:color w:val="FFFFFF"/>
                <w:sz w:val="18"/>
                <w:szCs w:val="18"/>
                <w:lang w:val="es-ES_tradnl"/>
              </w:rPr>
            </w:pPr>
            <w:r w:rsidRPr="009E6414">
              <w:rPr>
                <w:b/>
                <w:noProof/>
                <w:color w:val="FFFFFF"/>
                <w:sz w:val="18"/>
                <w:lang w:val="es-ES_tradnl"/>
              </w:rPr>
              <w:t>Riesgos vinculados a esta fase</w:t>
            </w:r>
          </w:p>
        </w:tc>
        <w:tc>
          <w:tcPr>
            <w:tcW w:w="2212" w:type="dxa"/>
            <w:shd w:val="clear" w:color="auto" w:fill="F07E31"/>
          </w:tcPr>
          <w:p w:rsidR="00E05D08" w:rsidRPr="009E6414" w:rsidRDefault="00E05D08" w:rsidP="00E05D08">
            <w:pPr>
              <w:spacing w:before="120" w:after="120" w:line="280" w:lineRule="atLeast"/>
              <w:jc w:val="center"/>
              <w:rPr>
                <w:rFonts w:cs="Arial"/>
                <w:b/>
                <w:noProof/>
                <w:color w:val="FFFFFF"/>
                <w:sz w:val="18"/>
                <w:szCs w:val="18"/>
                <w:lang w:val="es-ES_tradnl"/>
              </w:rPr>
            </w:pPr>
            <w:r w:rsidRPr="009E6414">
              <w:rPr>
                <w:b/>
                <w:noProof/>
                <w:color w:val="FFFFFF"/>
                <w:sz w:val="18"/>
                <w:lang w:val="es-ES_tradnl"/>
              </w:rPr>
              <w:t>Soluciones</w:t>
            </w:r>
          </w:p>
        </w:tc>
      </w:tr>
      <w:tr w:rsidR="00E05D08" w:rsidRPr="009E6414" w:rsidTr="00447B72">
        <w:tc>
          <w:tcPr>
            <w:tcW w:w="1980" w:type="dxa"/>
          </w:tcPr>
          <w:p w:rsidR="00E05D08" w:rsidRPr="009E6414" w:rsidRDefault="00E05D08" w:rsidP="00F31494">
            <w:pPr>
              <w:jc w:val="left"/>
              <w:rPr>
                <w:rFonts w:cs="Arial"/>
                <w:noProof/>
                <w:color w:val="F07E31"/>
                <w:sz w:val="18"/>
                <w:szCs w:val="18"/>
                <w:lang w:val="es-ES_tradnl"/>
              </w:rPr>
            </w:pPr>
            <w:r w:rsidRPr="009E6414">
              <w:rPr>
                <w:noProof/>
                <w:color w:val="F07E31"/>
                <w:sz w:val="18"/>
                <w:lang w:val="es-ES_tradnl"/>
              </w:rPr>
              <w:t xml:space="preserve">FASE 1: Identificar los vínculos entre las necesidades relacionadas con la innovación y la medida/submedida </w:t>
            </w:r>
          </w:p>
        </w:tc>
        <w:tc>
          <w:tcPr>
            <w:tcW w:w="3127" w:type="dxa"/>
          </w:tcPr>
          <w:p w:rsidR="00E05D08" w:rsidRPr="009E6414" w:rsidRDefault="00AA5817" w:rsidP="00F31494">
            <w:pPr>
              <w:spacing w:after="120"/>
              <w:jc w:val="left"/>
              <w:rPr>
                <w:rFonts w:cs="Arial"/>
                <w:noProof/>
                <w:sz w:val="16"/>
                <w:szCs w:val="16"/>
                <w:lang w:val="es-ES_tradnl"/>
              </w:rPr>
            </w:pPr>
            <w:r w:rsidRPr="009E6414">
              <w:rPr>
                <w:noProof/>
                <w:sz w:val="16"/>
                <w:lang w:val="es-ES_tradnl"/>
              </w:rPr>
              <w:t>¿Cuáles son las necesidades relacionadas con la innovación identificadas en la evaluación de necesidades en relación con la medida/submedida?</w:t>
            </w:r>
          </w:p>
          <w:p w:rsidR="00E05D08" w:rsidRPr="009E6414" w:rsidRDefault="00E05D08" w:rsidP="00F31494">
            <w:pPr>
              <w:spacing w:after="120"/>
              <w:jc w:val="left"/>
              <w:rPr>
                <w:rFonts w:cs="Arial"/>
                <w:noProof/>
                <w:sz w:val="16"/>
                <w:szCs w:val="16"/>
                <w:lang w:val="es-ES_tradnl"/>
              </w:rPr>
            </w:pPr>
            <w:r w:rsidRPr="009E6414">
              <w:rPr>
                <w:noProof/>
                <w:sz w:val="16"/>
                <w:lang w:val="es-ES_tradnl"/>
              </w:rPr>
              <w:t>¿Cómo aborda estas necesidades la medida/submedida, teniendo en cuenta las tres vías?</w:t>
            </w:r>
          </w:p>
        </w:tc>
        <w:tc>
          <w:tcPr>
            <w:tcW w:w="2401" w:type="dxa"/>
          </w:tcPr>
          <w:p w:rsidR="00E05D08" w:rsidRPr="009E6414" w:rsidRDefault="00E05D08" w:rsidP="00F31494">
            <w:pPr>
              <w:jc w:val="left"/>
              <w:rPr>
                <w:rFonts w:cs="Arial"/>
                <w:noProof/>
                <w:sz w:val="16"/>
                <w:szCs w:val="16"/>
                <w:lang w:val="es-ES_tradnl"/>
              </w:rPr>
            </w:pPr>
            <w:r w:rsidRPr="009E6414">
              <w:rPr>
                <w:noProof/>
                <w:sz w:val="16"/>
                <w:lang w:val="es-ES_tradnl"/>
              </w:rPr>
              <w:t>Sección 4 - Análisis DAFO y análisis de las necesidades</w:t>
            </w:r>
          </w:p>
          <w:p w:rsidR="00E05D08" w:rsidRPr="009E6414" w:rsidRDefault="00E05D08" w:rsidP="00F31494">
            <w:pPr>
              <w:jc w:val="left"/>
              <w:rPr>
                <w:rFonts w:cs="Arial"/>
                <w:noProof/>
                <w:sz w:val="16"/>
                <w:szCs w:val="16"/>
                <w:lang w:val="es-ES_tradnl"/>
              </w:rPr>
            </w:pPr>
            <w:r w:rsidRPr="009E6414">
              <w:rPr>
                <w:noProof/>
                <w:sz w:val="16"/>
                <w:lang w:val="es-ES_tradnl"/>
              </w:rPr>
              <w:t>Sección 5 – Descripción de la estrategia</w:t>
            </w:r>
          </w:p>
          <w:p w:rsidR="00E05D08" w:rsidRPr="009E6414" w:rsidRDefault="00E05D08" w:rsidP="00F31494">
            <w:pPr>
              <w:jc w:val="left"/>
              <w:rPr>
                <w:rFonts w:cs="Arial"/>
                <w:noProof/>
                <w:sz w:val="16"/>
                <w:szCs w:val="16"/>
                <w:lang w:val="es-ES_tradnl"/>
              </w:rPr>
            </w:pPr>
            <w:r w:rsidRPr="009E6414">
              <w:rPr>
                <w:noProof/>
                <w:sz w:val="16"/>
                <w:lang w:val="es-ES_tradnl"/>
              </w:rPr>
              <w:t>Sección 8 – Descripción de las medidas y submedidas</w:t>
            </w:r>
          </w:p>
        </w:tc>
        <w:tc>
          <w:tcPr>
            <w:tcW w:w="2999" w:type="dxa"/>
          </w:tcPr>
          <w:p w:rsidR="00E05D08" w:rsidRPr="009E6414" w:rsidRDefault="00E05D08" w:rsidP="00F31494">
            <w:pPr>
              <w:jc w:val="left"/>
              <w:rPr>
                <w:rFonts w:cs="Arial"/>
                <w:noProof/>
                <w:sz w:val="16"/>
                <w:szCs w:val="16"/>
                <w:lang w:val="es-ES_tradnl"/>
              </w:rPr>
            </w:pPr>
            <w:r w:rsidRPr="009E6414">
              <w:rPr>
                <w:noProof/>
                <w:sz w:val="16"/>
                <w:lang w:val="es-ES_tradnl"/>
              </w:rPr>
              <w:t>Necesidad de mejorar el sistema de I+D+i; necesidad de mejorar los mecanismos de transferencia de conocimientos; necesidad de promover la cultura de la innovación entre los actores en el sector agroalimentario.</w:t>
            </w:r>
          </w:p>
        </w:tc>
        <w:tc>
          <w:tcPr>
            <w:tcW w:w="2160" w:type="dxa"/>
          </w:tcPr>
          <w:p w:rsidR="00E05D08" w:rsidRPr="009E6414" w:rsidRDefault="00AA5817" w:rsidP="00963A81">
            <w:pPr>
              <w:jc w:val="left"/>
              <w:rPr>
                <w:rFonts w:cs="Arial"/>
                <w:noProof/>
                <w:sz w:val="16"/>
                <w:szCs w:val="16"/>
                <w:lang w:val="es-ES_tradnl"/>
              </w:rPr>
            </w:pPr>
            <w:r w:rsidRPr="009E6414">
              <w:rPr>
                <w:noProof/>
                <w:sz w:val="16"/>
                <w:lang w:val="es-ES_tradnl"/>
              </w:rPr>
              <w:t xml:space="preserve">Las necesidades relacionadas con la innovación no han sido claramente enunciadas en el análisis DAFO ni en la evaluación de necesidades. </w:t>
            </w:r>
          </w:p>
        </w:tc>
        <w:tc>
          <w:tcPr>
            <w:tcW w:w="2212" w:type="dxa"/>
          </w:tcPr>
          <w:p w:rsidR="00E05D08" w:rsidRPr="009E6414" w:rsidRDefault="00E05D08" w:rsidP="00F31494">
            <w:pPr>
              <w:jc w:val="left"/>
              <w:rPr>
                <w:rFonts w:cs="Arial"/>
                <w:noProof/>
                <w:sz w:val="16"/>
                <w:szCs w:val="16"/>
                <w:lang w:val="es-ES_tradnl"/>
              </w:rPr>
            </w:pPr>
            <w:r w:rsidRPr="009E6414">
              <w:rPr>
                <w:noProof/>
                <w:sz w:val="16"/>
                <w:lang w:val="es-ES_tradnl"/>
              </w:rPr>
              <w:t>Revisar el análisis DAFO y la evaluación de las necesidades desde la perspectiva de las necesidades relacionadas con la innovación.</w:t>
            </w:r>
          </w:p>
        </w:tc>
      </w:tr>
      <w:tr w:rsidR="00E05D08" w:rsidRPr="009E6414" w:rsidTr="00447B72">
        <w:tc>
          <w:tcPr>
            <w:tcW w:w="1980" w:type="dxa"/>
          </w:tcPr>
          <w:p w:rsidR="00E05D08" w:rsidRPr="009E6414" w:rsidRDefault="00AA5817" w:rsidP="00F31494">
            <w:pPr>
              <w:spacing w:after="120"/>
              <w:jc w:val="left"/>
              <w:rPr>
                <w:rFonts w:cs="Arial"/>
                <w:noProof/>
                <w:color w:val="F07E31"/>
                <w:sz w:val="18"/>
                <w:szCs w:val="18"/>
                <w:lang w:val="es-ES_tradnl"/>
              </w:rPr>
            </w:pPr>
            <w:r w:rsidRPr="009E6414">
              <w:rPr>
                <w:noProof/>
                <w:color w:val="F07E31"/>
                <w:sz w:val="18"/>
                <w:lang w:val="es-ES_tradnl"/>
              </w:rPr>
              <w:t>FASE 2: Identificar las partes relacionadas con la innovación de los objetivos de la medida/submedida</w:t>
            </w:r>
          </w:p>
        </w:tc>
        <w:tc>
          <w:tcPr>
            <w:tcW w:w="3127" w:type="dxa"/>
          </w:tcPr>
          <w:p w:rsidR="00E05D08" w:rsidRPr="009E6414" w:rsidRDefault="00E05D08" w:rsidP="00F31494">
            <w:pPr>
              <w:spacing w:after="120"/>
              <w:jc w:val="left"/>
              <w:rPr>
                <w:rFonts w:cs="Arial"/>
                <w:noProof/>
                <w:sz w:val="16"/>
                <w:szCs w:val="16"/>
                <w:lang w:val="es-ES_tradnl"/>
              </w:rPr>
            </w:pPr>
            <w:r w:rsidRPr="009E6414">
              <w:rPr>
                <w:noProof/>
                <w:sz w:val="16"/>
                <w:lang w:val="es-ES_tradnl"/>
              </w:rPr>
              <w:t>¿En qué medida los objetivos de la medida/submedida abordan las necesidades relacionadas con la innovación?</w:t>
            </w:r>
          </w:p>
          <w:p w:rsidR="00E05D08" w:rsidRPr="009E6414" w:rsidRDefault="00E05D08" w:rsidP="00F31494">
            <w:pPr>
              <w:spacing w:after="120"/>
              <w:jc w:val="left"/>
              <w:rPr>
                <w:rFonts w:cs="Arial"/>
                <w:noProof/>
                <w:sz w:val="16"/>
                <w:szCs w:val="16"/>
                <w:lang w:val="es-ES_tradnl"/>
              </w:rPr>
            </w:pPr>
            <w:r w:rsidRPr="009E6414">
              <w:rPr>
                <w:noProof/>
                <w:sz w:val="16"/>
                <w:lang w:val="es-ES_tradnl"/>
              </w:rPr>
              <w:t>¿Cómo están formulados el objetivo o los objetivos en relación con la innovación?</w:t>
            </w:r>
          </w:p>
        </w:tc>
        <w:tc>
          <w:tcPr>
            <w:tcW w:w="2401" w:type="dxa"/>
          </w:tcPr>
          <w:p w:rsidR="00E05D08" w:rsidRPr="009E6414" w:rsidRDefault="00E05D08" w:rsidP="00F31494">
            <w:pPr>
              <w:jc w:val="left"/>
              <w:rPr>
                <w:rFonts w:cs="Arial"/>
                <w:noProof/>
                <w:sz w:val="16"/>
                <w:szCs w:val="16"/>
                <w:lang w:val="es-ES_tradnl"/>
              </w:rPr>
            </w:pPr>
            <w:r w:rsidRPr="009E6414">
              <w:rPr>
                <w:noProof/>
                <w:sz w:val="16"/>
                <w:lang w:val="es-ES_tradnl"/>
              </w:rPr>
              <w:t>Sección 5 – Descripción de la estrategia</w:t>
            </w:r>
          </w:p>
          <w:p w:rsidR="00E05D08" w:rsidRPr="009E6414" w:rsidRDefault="00E05D08" w:rsidP="00F31494">
            <w:pPr>
              <w:jc w:val="left"/>
              <w:rPr>
                <w:rFonts w:cs="Arial"/>
                <w:noProof/>
                <w:sz w:val="16"/>
                <w:szCs w:val="16"/>
                <w:lang w:val="es-ES_tradnl"/>
              </w:rPr>
            </w:pPr>
            <w:r w:rsidRPr="009E6414">
              <w:rPr>
                <w:noProof/>
                <w:sz w:val="16"/>
                <w:lang w:val="es-ES_tradnl"/>
              </w:rPr>
              <w:t>Sección 8 – Descripción de las medidas y submedidas</w:t>
            </w:r>
          </w:p>
        </w:tc>
        <w:tc>
          <w:tcPr>
            <w:tcW w:w="2999" w:type="dxa"/>
          </w:tcPr>
          <w:p w:rsidR="00E05D08" w:rsidRPr="009E6414" w:rsidRDefault="00E05D08" w:rsidP="00F31494">
            <w:pPr>
              <w:jc w:val="left"/>
              <w:rPr>
                <w:rFonts w:cs="Arial"/>
                <w:noProof/>
                <w:sz w:val="16"/>
                <w:szCs w:val="16"/>
                <w:lang w:val="es-ES_tradnl"/>
              </w:rPr>
            </w:pPr>
            <w:r w:rsidRPr="009E6414">
              <w:rPr>
                <w:noProof/>
                <w:sz w:val="16"/>
                <w:lang w:val="es-ES_tradnl"/>
              </w:rPr>
              <w:t>Promover nuevas tecnologías en sistemas de regadío; introducir nuevos conocimientos en el ámbito de la protección y la transformación de las cosechas; mejorar los resultados económicos de las empresas rurales a través de la innovación.</w:t>
            </w:r>
          </w:p>
        </w:tc>
        <w:tc>
          <w:tcPr>
            <w:tcW w:w="2160" w:type="dxa"/>
          </w:tcPr>
          <w:p w:rsidR="00E05D08" w:rsidRPr="009E6414" w:rsidRDefault="00AA5817" w:rsidP="00F31494">
            <w:pPr>
              <w:jc w:val="left"/>
              <w:rPr>
                <w:rFonts w:cs="Arial"/>
                <w:noProof/>
                <w:sz w:val="16"/>
                <w:szCs w:val="16"/>
                <w:lang w:val="es-ES_tradnl"/>
              </w:rPr>
            </w:pPr>
            <w:r w:rsidRPr="009E6414">
              <w:rPr>
                <w:noProof/>
                <w:sz w:val="16"/>
                <w:lang w:val="es-ES_tradnl"/>
              </w:rPr>
              <w:t>Los objetivos relacionados con la innovación no son evidentes en la descripción general de la medida y de las submedidas.</w:t>
            </w:r>
          </w:p>
        </w:tc>
        <w:tc>
          <w:tcPr>
            <w:tcW w:w="2212" w:type="dxa"/>
          </w:tcPr>
          <w:p w:rsidR="00E05D08" w:rsidRPr="009E6414" w:rsidRDefault="00E05D08" w:rsidP="00F31494">
            <w:pPr>
              <w:jc w:val="left"/>
              <w:rPr>
                <w:rFonts w:cs="Arial"/>
                <w:noProof/>
                <w:sz w:val="16"/>
                <w:szCs w:val="16"/>
                <w:lang w:val="es-ES_tradnl"/>
              </w:rPr>
            </w:pPr>
            <w:r w:rsidRPr="009E6414">
              <w:rPr>
                <w:noProof/>
                <w:sz w:val="16"/>
                <w:lang w:val="es-ES_tradnl"/>
              </w:rPr>
              <w:t>Revisar todas las submedidas y sus objetivos respectivos para identificar cualquier objetivo relacionado con la innovación.</w:t>
            </w:r>
          </w:p>
        </w:tc>
      </w:tr>
      <w:tr w:rsidR="00E05D08" w:rsidRPr="009E6414" w:rsidTr="00447B72">
        <w:tc>
          <w:tcPr>
            <w:tcW w:w="1980" w:type="dxa"/>
          </w:tcPr>
          <w:p w:rsidR="00E05D08" w:rsidRPr="009E6414" w:rsidRDefault="00AA5817" w:rsidP="00F31494">
            <w:pPr>
              <w:jc w:val="left"/>
              <w:rPr>
                <w:rFonts w:cs="Arial"/>
                <w:noProof/>
                <w:color w:val="F07E31"/>
                <w:sz w:val="18"/>
                <w:szCs w:val="18"/>
                <w:lang w:val="es-ES_tradnl"/>
              </w:rPr>
            </w:pPr>
            <w:r w:rsidRPr="009E6414">
              <w:rPr>
                <w:noProof/>
                <w:color w:val="F07E31"/>
                <w:sz w:val="18"/>
                <w:lang w:val="es-ES_tradnl"/>
              </w:rPr>
              <w:t>FASE 3: Identificar los criterios de selección relacionados con la innovación de la medida/submedida</w:t>
            </w:r>
          </w:p>
        </w:tc>
        <w:tc>
          <w:tcPr>
            <w:tcW w:w="3127" w:type="dxa"/>
          </w:tcPr>
          <w:p w:rsidR="00E05D08" w:rsidRPr="009E6414" w:rsidRDefault="00E05D08" w:rsidP="00F31494">
            <w:pPr>
              <w:spacing w:after="120"/>
              <w:jc w:val="left"/>
              <w:rPr>
                <w:rFonts w:cs="Arial"/>
                <w:noProof/>
                <w:sz w:val="16"/>
                <w:szCs w:val="16"/>
                <w:lang w:val="es-ES_tradnl"/>
              </w:rPr>
            </w:pPr>
            <w:r w:rsidRPr="009E6414">
              <w:rPr>
                <w:noProof/>
                <w:sz w:val="16"/>
                <w:lang w:val="es-ES_tradnl"/>
              </w:rPr>
              <w:t xml:space="preserve">¿En qué medida los criterios de selección de proyectos de la medida/submedida promueven la potenciación de la innovación teniendo en consideración las tres vías? </w:t>
            </w:r>
          </w:p>
          <w:p w:rsidR="00E05D08" w:rsidRPr="009E6414" w:rsidRDefault="00E05D08" w:rsidP="00F31494">
            <w:pPr>
              <w:spacing w:after="120"/>
              <w:jc w:val="left"/>
              <w:rPr>
                <w:rFonts w:cs="Arial"/>
                <w:noProof/>
                <w:sz w:val="16"/>
                <w:szCs w:val="16"/>
                <w:lang w:val="es-ES_tradnl"/>
              </w:rPr>
            </w:pPr>
            <w:r w:rsidRPr="009E6414">
              <w:rPr>
                <w:noProof/>
                <w:sz w:val="16"/>
                <w:lang w:val="es-ES_tradnl"/>
              </w:rPr>
              <w:t>¿Qué criterios de selección concretos promueven los proyectos que potencian la innovación?</w:t>
            </w:r>
          </w:p>
        </w:tc>
        <w:tc>
          <w:tcPr>
            <w:tcW w:w="2401" w:type="dxa"/>
          </w:tcPr>
          <w:p w:rsidR="00E05D08" w:rsidRPr="009E6414" w:rsidRDefault="00E05D08" w:rsidP="00F31494">
            <w:pPr>
              <w:jc w:val="left"/>
              <w:rPr>
                <w:rFonts w:cs="Arial"/>
                <w:noProof/>
                <w:sz w:val="16"/>
                <w:szCs w:val="16"/>
                <w:lang w:val="es-ES_tradnl"/>
              </w:rPr>
            </w:pPr>
            <w:r w:rsidRPr="009E6414">
              <w:rPr>
                <w:noProof/>
                <w:sz w:val="16"/>
                <w:lang w:val="es-ES_tradnl"/>
              </w:rPr>
              <w:t>Sección 8 – Descripción de las medidas y submedidas</w:t>
            </w:r>
          </w:p>
          <w:p w:rsidR="00E05D08" w:rsidRPr="009E6414" w:rsidRDefault="00E05D08" w:rsidP="00F31494">
            <w:pPr>
              <w:jc w:val="left"/>
              <w:rPr>
                <w:rFonts w:cs="Arial"/>
                <w:noProof/>
                <w:sz w:val="16"/>
                <w:szCs w:val="16"/>
                <w:lang w:val="es-ES_tradnl"/>
              </w:rPr>
            </w:pPr>
            <w:r w:rsidRPr="009E6414">
              <w:rPr>
                <w:noProof/>
                <w:sz w:val="16"/>
                <w:lang w:val="es-ES_tradnl"/>
              </w:rPr>
              <w:t>Criterios de selección elaborados durante la ejecución (fuente: sitio web del programa, AG)</w:t>
            </w:r>
          </w:p>
        </w:tc>
        <w:tc>
          <w:tcPr>
            <w:tcW w:w="2999" w:type="dxa"/>
          </w:tcPr>
          <w:p w:rsidR="00E05D08" w:rsidRPr="009E6414" w:rsidRDefault="00E05D08" w:rsidP="00F31494">
            <w:pPr>
              <w:jc w:val="left"/>
              <w:rPr>
                <w:rFonts w:cs="Arial"/>
                <w:noProof/>
                <w:sz w:val="16"/>
                <w:szCs w:val="16"/>
                <w:lang w:val="es-ES_tradnl"/>
              </w:rPr>
            </w:pPr>
            <w:r w:rsidRPr="009E6414">
              <w:rPr>
                <w:noProof/>
                <w:sz w:val="16"/>
                <w:lang w:val="es-ES_tradnl"/>
              </w:rPr>
              <w:t>Priorización de agentes con experiencia en la innovación; priorización de operaciones que asocian investigación y práctica; énfasis en la composición de las asociaciones (en operaciones de cooperación).</w:t>
            </w:r>
          </w:p>
        </w:tc>
        <w:tc>
          <w:tcPr>
            <w:tcW w:w="2160" w:type="dxa"/>
          </w:tcPr>
          <w:p w:rsidR="00E05D08" w:rsidRPr="009E6414" w:rsidRDefault="00E05D08" w:rsidP="00F31494">
            <w:pPr>
              <w:jc w:val="left"/>
              <w:rPr>
                <w:rFonts w:cs="Arial"/>
                <w:noProof/>
                <w:sz w:val="16"/>
                <w:szCs w:val="16"/>
                <w:lang w:val="es-ES_tradnl"/>
              </w:rPr>
            </w:pPr>
            <w:r w:rsidRPr="009E6414">
              <w:rPr>
                <w:noProof/>
                <w:sz w:val="16"/>
                <w:lang w:val="es-ES_tradnl"/>
              </w:rPr>
              <w:t xml:space="preserve">La descripción de las medidas no especifica los criterios de selección de proyectos relacionados con la innovación, o solo aplica una formulación general, por ejemplo, «los proyectos seleccionados son innovadores». </w:t>
            </w:r>
          </w:p>
        </w:tc>
        <w:tc>
          <w:tcPr>
            <w:tcW w:w="2212" w:type="dxa"/>
          </w:tcPr>
          <w:p w:rsidR="00E05D08" w:rsidRPr="009E6414" w:rsidRDefault="00E05D08" w:rsidP="00F31494">
            <w:pPr>
              <w:jc w:val="left"/>
              <w:rPr>
                <w:rFonts w:cs="Arial"/>
                <w:noProof/>
                <w:sz w:val="16"/>
                <w:szCs w:val="16"/>
                <w:lang w:val="es-ES_tradnl"/>
              </w:rPr>
            </w:pPr>
            <w:r w:rsidRPr="009E6414">
              <w:rPr>
                <w:noProof/>
                <w:sz w:val="16"/>
                <w:lang w:val="es-ES_tradnl"/>
              </w:rPr>
              <w:t>Proponer criterios operativos que especifiquen en qué condiciones el proyecto es seleccionado por su carácter innovador.</w:t>
            </w:r>
          </w:p>
        </w:tc>
      </w:tr>
      <w:tr w:rsidR="00E05D08" w:rsidRPr="009E6414" w:rsidTr="00447B72">
        <w:tc>
          <w:tcPr>
            <w:tcW w:w="1980" w:type="dxa"/>
          </w:tcPr>
          <w:p w:rsidR="00E05D08" w:rsidRPr="009E6414" w:rsidRDefault="00E05D08" w:rsidP="00F31494">
            <w:pPr>
              <w:spacing w:after="120"/>
              <w:jc w:val="left"/>
              <w:rPr>
                <w:rFonts w:cs="Arial"/>
                <w:noProof/>
                <w:color w:val="F07E31"/>
                <w:sz w:val="18"/>
                <w:szCs w:val="18"/>
                <w:lang w:val="es-ES_tradnl"/>
              </w:rPr>
            </w:pPr>
            <w:r w:rsidRPr="009E6414">
              <w:rPr>
                <w:noProof/>
                <w:color w:val="F07E31"/>
                <w:sz w:val="18"/>
                <w:lang w:val="es-ES_tradnl"/>
              </w:rPr>
              <w:t>FASE 4: Identificar a las partes interesadas en la innovación en la descripción de la medida/submedida</w:t>
            </w:r>
          </w:p>
        </w:tc>
        <w:tc>
          <w:tcPr>
            <w:tcW w:w="3127" w:type="dxa"/>
          </w:tcPr>
          <w:p w:rsidR="00E05D08" w:rsidRPr="009E6414" w:rsidRDefault="00E05D08" w:rsidP="00F31494">
            <w:pPr>
              <w:spacing w:after="120"/>
              <w:jc w:val="left"/>
              <w:rPr>
                <w:rFonts w:cs="Arial"/>
                <w:noProof/>
                <w:sz w:val="16"/>
                <w:szCs w:val="16"/>
                <w:lang w:val="es-ES_tradnl"/>
              </w:rPr>
            </w:pPr>
            <w:r w:rsidRPr="009E6414">
              <w:rPr>
                <w:noProof/>
                <w:sz w:val="16"/>
                <w:lang w:val="es-ES_tradnl"/>
              </w:rPr>
              <w:t>¿Quiénes son los beneficiarios potenciales previstos para fomentar la innovación a través de las tres vías?</w:t>
            </w:r>
          </w:p>
          <w:p w:rsidR="00E05D08" w:rsidRPr="009E6414" w:rsidRDefault="00E05D08" w:rsidP="00F31494">
            <w:pPr>
              <w:spacing w:after="120"/>
              <w:jc w:val="left"/>
              <w:rPr>
                <w:rFonts w:cs="Arial"/>
                <w:noProof/>
                <w:sz w:val="16"/>
                <w:szCs w:val="16"/>
                <w:lang w:val="es-ES_tradnl"/>
              </w:rPr>
            </w:pPr>
            <w:r w:rsidRPr="009E6414">
              <w:rPr>
                <w:noProof/>
                <w:sz w:val="16"/>
                <w:lang w:val="es-ES_tradnl"/>
              </w:rPr>
              <w:t>¿Qué otras partes interesadas en la innovación participan en la ejecución de la medida?</w:t>
            </w:r>
          </w:p>
        </w:tc>
        <w:tc>
          <w:tcPr>
            <w:tcW w:w="2401" w:type="dxa"/>
          </w:tcPr>
          <w:p w:rsidR="00E05D08" w:rsidRPr="009E6414" w:rsidRDefault="00E05D08" w:rsidP="00F31494">
            <w:pPr>
              <w:jc w:val="left"/>
              <w:rPr>
                <w:rFonts w:cs="Arial"/>
                <w:noProof/>
                <w:sz w:val="16"/>
                <w:szCs w:val="16"/>
                <w:lang w:val="es-ES_tradnl"/>
              </w:rPr>
            </w:pPr>
            <w:r w:rsidRPr="009E6414">
              <w:rPr>
                <w:noProof/>
                <w:sz w:val="16"/>
                <w:lang w:val="es-ES_tradnl"/>
              </w:rPr>
              <w:t>Sección 8 – Descripción de las medidas y submedidas</w:t>
            </w:r>
          </w:p>
        </w:tc>
        <w:tc>
          <w:tcPr>
            <w:tcW w:w="2999" w:type="dxa"/>
          </w:tcPr>
          <w:p w:rsidR="00E05D08" w:rsidRPr="007B5CB9" w:rsidRDefault="00E05D08" w:rsidP="00F31494">
            <w:pPr>
              <w:jc w:val="left"/>
              <w:rPr>
                <w:rFonts w:cs="Arial"/>
                <w:noProof/>
                <w:sz w:val="16"/>
                <w:szCs w:val="16"/>
                <w:lang w:val="pt-PT"/>
              </w:rPr>
            </w:pPr>
            <w:r w:rsidRPr="007B5CB9">
              <w:rPr>
                <w:noProof/>
                <w:sz w:val="16"/>
                <w:lang w:val="pt-PT"/>
              </w:rPr>
              <w:t>Centros de I+D</w:t>
            </w:r>
          </w:p>
          <w:p w:rsidR="00E05D08" w:rsidRPr="007B5CB9" w:rsidRDefault="00E05D08" w:rsidP="00F31494">
            <w:pPr>
              <w:jc w:val="left"/>
              <w:rPr>
                <w:rFonts w:cs="Arial"/>
                <w:noProof/>
                <w:sz w:val="16"/>
                <w:szCs w:val="16"/>
                <w:lang w:val="pt-PT"/>
              </w:rPr>
            </w:pPr>
            <w:r w:rsidRPr="007B5CB9">
              <w:rPr>
                <w:noProof/>
                <w:sz w:val="16"/>
                <w:lang w:val="pt-PT"/>
              </w:rPr>
              <w:t>Institutos tecnológicos</w:t>
            </w:r>
          </w:p>
          <w:p w:rsidR="00E05D08" w:rsidRPr="009E6414" w:rsidRDefault="00E05D08" w:rsidP="00F31494">
            <w:pPr>
              <w:jc w:val="left"/>
              <w:rPr>
                <w:rFonts w:cs="Arial"/>
                <w:noProof/>
                <w:sz w:val="16"/>
                <w:szCs w:val="16"/>
                <w:lang w:val="es-ES_tradnl"/>
              </w:rPr>
            </w:pPr>
            <w:r w:rsidRPr="009E6414">
              <w:rPr>
                <w:noProof/>
                <w:sz w:val="16"/>
                <w:lang w:val="es-ES_tradnl"/>
              </w:rPr>
              <w:t>Departamentos de innovación de las instituciones públicas</w:t>
            </w:r>
          </w:p>
          <w:p w:rsidR="00E05D08" w:rsidRPr="009E6414" w:rsidRDefault="00E05D08" w:rsidP="00F31494">
            <w:pPr>
              <w:jc w:val="left"/>
              <w:rPr>
                <w:rFonts w:cs="Arial"/>
                <w:noProof/>
                <w:sz w:val="16"/>
                <w:szCs w:val="16"/>
                <w:lang w:val="es-ES_tradnl"/>
              </w:rPr>
            </w:pPr>
          </w:p>
          <w:p w:rsidR="00E05D08" w:rsidRPr="009E6414" w:rsidRDefault="00E05D08" w:rsidP="00F31494">
            <w:pPr>
              <w:jc w:val="left"/>
              <w:rPr>
                <w:rFonts w:cs="Arial"/>
                <w:noProof/>
                <w:sz w:val="16"/>
                <w:szCs w:val="16"/>
                <w:lang w:val="es-ES_tradnl"/>
              </w:rPr>
            </w:pPr>
          </w:p>
        </w:tc>
        <w:tc>
          <w:tcPr>
            <w:tcW w:w="2160" w:type="dxa"/>
          </w:tcPr>
          <w:p w:rsidR="00E05D08" w:rsidRPr="009E6414" w:rsidRDefault="00AA5817" w:rsidP="00F31494">
            <w:pPr>
              <w:jc w:val="left"/>
              <w:rPr>
                <w:rFonts w:cs="Arial"/>
                <w:noProof/>
                <w:sz w:val="16"/>
                <w:szCs w:val="16"/>
                <w:lang w:val="es-ES_tradnl"/>
              </w:rPr>
            </w:pPr>
            <w:r w:rsidRPr="009E6414">
              <w:rPr>
                <w:noProof/>
                <w:sz w:val="16"/>
                <w:lang w:val="es-ES_tradnl"/>
              </w:rPr>
              <w:t>Las partes interesadas relacionadas con la innovación pueden no estar definidas en la concepción de la medida.</w:t>
            </w:r>
          </w:p>
        </w:tc>
        <w:tc>
          <w:tcPr>
            <w:tcW w:w="2212" w:type="dxa"/>
          </w:tcPr>
          <w:p w:rsidR="00E05D08" w:rsidRPr="009E6414" w:rsidRDefault="00E05D08" w:rsidP="00F31494">
            <w:pPr>
              <w:jc w:val="left"/>
              <w:rPr>
                <w:rFonts w:cs="Arial"/>
                <w:noProof/>
                <w:sz w:val="16"/>
                <w:szCs w:val="16"/>
                <w:lang w:val="es-ES_tradnl"/>
              </w:rPr>
            </w:pPr>
            <w:r w:rsidRPr="009E6414">
              <w:rPr>
                <w:noProof/>
                <w:sz w:val="16"/>
                <w:lang w:val="es-ES_tradnl"/>
              </w:rPr>
              <w:t xml:space="preserve">El evaluador debe revisar si las partes interesadas relacionadas con la innovación han participado en la ejecución de la medida y de las submedidas. </w:t>
            </w:r>
          </w:p>
        </w:tc>
      </w:tr>
      <w:tr w:rsidR="00E05D08" w:rsidRPr="009E6414" w:rsidTr="00447B72">
        <w:tc>
          <w:tcPr>
            <w:tcW w:w="1980" w:type="dxa"/>
          </w:tcPr>
          <w:p w:rsidR="00E05D08" w:rsidRPr="009E6414" w:rsidRDefault="00AA5817" w:rsidP="00F31494">
            <w:pPr>
              <w:spacing w:after="120"/>
              <w:jc w:val="left"/>
              <w:rPr>
                <w:rFonts w:cs="Arial"/>
                <w:noProof/>
                <w:color w:val="F07E31"/>
                <w:sz w:val="18"/>
                <w:szCs w:val="18"/>
                <w:lang w:val="es-ES_tradnl"/>
              </w:rPr>
            </w:pPr>
            <w:r w:rsidRPr="009E6414">
              <w:rPr>
                <w:noProof/>
                <w:color w:val="F07E31"/>
                <w:sz w:val="18"/>
                <w:lang w:val="es-ES_tradnl"/>
              </w:rPr>
              <w:t xml:space="preserve">FASE 5: Identificar las acciones, costes y presupuestos relacionados con la innovación en la descripción de la </w:t>
            </w:r>
            <w:r w:rsidRPr="009E6414">
              <w:rPr>
                <w:noProof/>
                <w:color w:val="F07E31"/>
                <w:sz w:val="18"/>
                <w:lang w:val="es-ES_tradnl"/>
              </w:rPr>
              <w:lastRenderedPageBreak/>
              <w:t>medida/submedida</w:t>
            </w:r>
          </w:p>
        </w:tc>
        <w:tc>
          <w:tcPr>
            <w:tcW w:w="3127" w:type="dxa"/>
          </w:tcPr>
          <w:p w:rsidR="00E05D08" w:rsidRPr="009E6414" w:rsidRDefault="00E05D08" w:rsidP="00F31494">
            <w:pPr>
              <w:spacing w:after="120"/>
              <w:jc w:val="left"/>
              <w:rPr>
                <w:rFonts w:cs="Arial"/>
                <w:noProof/>
                <w:sz w:val="16"/>
                <w:szCs w:val="16"/>
                <w:lang w:val="es-ES_tradnl"/>
              </w:rPr>
            </w:pPr>
            <w:r w:rsidRPr="009E6414">
              <w:rPr>
                <w:noProof/>
                <w:sz w:val="16"/>
                <w:lang w:val="es-ES_tradnl"/>
              </w:rPr>
              <w:lastRenderedPageBreak/>
              <w:t xml:space="preserve">¿Qué acciones y costes subvencionables apoyarán la innovación? </w:t>
            </w:r>
          </w:p>
          <w:p w:rsidR="00E05D08" w:rsidRPr="009E6414" w:rsidRDefault="00E05D08" w:rsidP="00963A81">
            <w:pPr>
              <w:spacing w:after="120"/>
              <w:jc w:val="left"/>
              <w:rPr>
                <w:rFonts w:cs="Arial"/>
                <w:noProof/>
                <w:sz w:val="16"/>
                <w:szCs w:val="16"/>
                <w:lang w:val="es-ES_tradnl"/>
              </w:rPr>
            </w:pPr>
            <w:r w:rsidRPr="009E6414">
              <w:rPr>
                <w:noProof/>
                <w:sz w:val="16"/>
                <w:lang w:val="es-ES_tradnl"/>
              </w:rPr>
              <w:t>¿Cuál es el presupuesto de las acciones, los costes de apoyo a la innovación?</w:t>
            </w:r>
          </w:p>
        </w:tc>
        <w:tc>
          <w:tcPr>
            <w:tcW w:w="2401" w:type="dxa"/>
          </w:tcPr>
          <w:p w:rsidR="00E05D08" w:rsidRPr="009E6414" w:rsidRDefault="00E05D08" w:rsidP="00F31494">
            <w:pPr>
              <w:jc w:val="left"/>
              <w:rPr>
                <w:rFonts w:cs="Arial"/>
                <w:noProof/>
                <w:sz w:val="16"/>
                <w:szCs w:val="16"/>
                <w:lang w:val="es-ES_tradnl"/>
              </w:rPr>
            </w:pPr>
            <w:r w:rsidRPr="009E6414">
              <w:rPr>
                <w:noProof/>
                <w:sz w:val="16"/>
                <w:lang w:val="es-ES_tradnl"/>
              </w:rPr>
              <w:t>Sección 8 – Descripción de las medidas y submedidas</w:t>
            </w:r>
          </w:p>
          <w:p w:rsidR="00E05D08" w:rsidRPr="009E6414" w:rsidRDefault="00E05D08" w:rsidP="00F31494">
            <w:pPr>
              <w:jc w:val="left"/>
              <w:rPr>
                <w:rFonts w:cs="Arial"/>
                <w:noProof/>
                <w:sz w:val="16"/>
                <w:szCs w:val="16"/>
                <w:lang w:val="es-ES_tradnl"/>
              </w:rPr>
            </w:pPr>
            <w:r w:rsidRPr="009E6414">
              <w:rPr>
                <w:noProof/>
                <w:sz w:val="16"/>
                <w:lang w:val="es-ES_tradnl"/>
              </w:rPr>
              <w:t>Sistemas de entrega desarrollados durante la ejecución (fuentes: sitio web del programa, AG)</w:t>
            </w:r>
          </w:p>
          <w:p w:rsidR="00E05D08" w:rsidRPr="009E6414" w:rsidRDefault="00E05D08" w:rsidP="00F31494">
            <w:pPr>
              <w:jc w:val="left"/>
              <w:rPr>
                <w:rFonts w:cs="Arial"/>
                <w:noProof/>
                <w:sz w:val="16"/>
                <w:szCs w:val="16"/>
                <w:lang w:val="es-ES_tradnl"/>
              </w:rPr>
            </w:pPr>
          </w:p>
          <w:p w:rsidR="00E05D08" w:rsidRPr="009E6414" w:rsidRDefault="00E05D08" w:rsidP="00F31494">
            <w:pPr>
              <w:jc w:val="left"/>
              <w:rPr>
                <w:rFonts w:cs="Arial"/>
                <w:noProof/>
                <w:sz w:val="16"/>
                <w:szCs w:val="16"/>
                <w:lang w:val="es-ES_tradnl"/>
              </w:rPr>
            </w:pPr>
            <w:r w:rsidRPr="009E6414">
              <w:rPr>
                <w:noProof/>
                <w:sz w:val="16"/>
                <w:lang w:val="es-ES_tradnl"/>
              </w:rPr>
              <w:lastRenderedPageBreak/>
              <w:t xml:space="preserve">Sección 10 – Plan financiero – presupuesto por medida </w:t>
            </w:r>
          </w:p>
        </w:tc>
        <w:tc>
          <w:tcPr>
            <w:tcW w:w="2999" w:type="dxa"/>
          </w:tcPr>
          <w:p w:rsidR="00E05D08" w:rsidRPr="009E6414" w:rsidRDefault="00E05D08" w:rsidP="00F31494">
            <w:pPr>
              <w:jc w:val="left"/>
              <w:rPr>
                <w:rFonts w:cs="Arial"/>
                <w:noProof/>
                <w:sz w:val="16"/>
                <w:szCs w:val="16"/>
                <w:lang w:val="es-ES_tradnl"/>
              </w:rPr>
            </w:pPr>
            <w:r w:rsidRPr="009E6414">
              <w:rPr>
                <w:noProof/>
                <w:sz w:val="16"/>
                <w:lang w:val="es-ES_tradnl"/>
              </w:rPr>
              <w:lastRenderedPageBreak/>
              <w:t xml:space="preserve">Empleo de mediadores para la innovación para la creación de grupos operativos; creación de grupos directores para supervisar la innovación; cuestiones administrativas en intervenciones que propicien la innovación; eventos de sensibilización </w:t>
            </w:r>
            <w:r w:rsidRPr="009E6414">
              <w:rPr>
                <w:noProof/>
                <w:sz w:val="16"/>
                <w:lang w:val="es-ES_tradnl"/>
              </w:rPr>
              <w:lastRenderedPageBreak/>
              <w:t xml:space="preserve">sobre la innovación. </w:t>
            </w:r>
          </w:p>
        </w:tc>
        <w:tc>
          <w:tcPr>
            <w:tcW w:w="2160" w:type="dxa"/>
          </w:tcPr>
          <w:p w:rsidR="00E05D08" w:rsidRPr="009E6414" w:rsidRDefault="00E05D08" w:rsidP="00F31494">
            <w:pPr>
              <w:jc w:val="left"/>
              <w:rPr>
                <w:rFonts w:cs="Arial"/>
                <w:noProof/>
                <w:sz w:val="16"/>
                <w:szCs w:val="16"/>
                <w:lang w:val="es-ES_tradnl"/>
              </w:rPr>
            </w:pPr>
            <w:r w:rsidRPr="009E6414">
              <w:rPr>
                <w:noProof/>
                <w:sz w:val="16"/>
                <w:lang w:val="es-ES_tradnl"/>
              </w:rPr>
              <w:lastRenderedPageBreak/>
              <w:t>Ausencia de cualquier evidencia sobre instrumentos y apoyo relacionados con la innovación.</w:t>
            </w:r>
          </w:p>
        </w:tc>
        <w:tc>
          <w:tcPr>
            <w:tcW w:w="2212" w:type="dxa"/>
          </w:tcPr>
          <w:p w:rsidR="00E05D08" w:rsidRPr="009E6414" w:rsidRDefault="00E05D08" w:rsidP="00F31494">
            <w:pPr>
              <w:jc w:val="left"/>
              <w:rPr>
                <w:rFonts w:cs="Arial"/>
                <w:noProof/>
                <w:sz w:val="16"/>
                <w:szCs w:val="16"/>
                <w:lang w:val="es-ES_tradnl"/>
              </w:rPr>
            </w:pPr>
            <w:r w:rsidRPr="009E6414">
              <w:rPr>
                <w:noProof/>
                <w:sz w:val="16"/>
                <w:lang w:val="es-ES_tradnl"/>
              </w:rPr>
              <w:t>Analizar información complementaria sobre la ejecución de la medida y las submedidas facilitada por los IAE o la AG.</w:t>
            </w:r>
          </w:p>
        </w:tc>
      </w:tr>
    </w:tbl>
    <w:p w:rsidR="00863DB0" w:rsidRPr="009E6414" w:rsidRDefault="00863DB0" w:rsidP="00E05D08">
      <w:pPr>
        <w:spacing w:before="120" w:after="120" w:line="280" w:lineRule="atLeast"/>
        <w:mirrorIndents/>
        <w:rPr>
          <w:rFonts w:eastAsia="Times New Roman" w:cs="Times New Roman"/>
          <w:noProof/>
          <w:szCs w:val="20"/>
          <w:lang w:val="es-ES_tradnl"/>
        </w:rPr>
        <w:sectPr w:rsidR="00863DB0" w:rsidRPr="009E6414" w:rsidSect="001F6F07">
          <w:endnotePr>
            <w:numFmt w:val="decimal"/>
          </w:endnotePr>
          <w:pgSz w:w="16840" w:h="11907" w:orient="landscape" w:code="9"/>
          <w:pgMar w:top="1440" w:right="1440" w:bottom="1440" w:left="1134" w:header="567" w:footer="1020" w:gutter="0"/>
          <w:cols w:space="708"/>
          <w:noEndnote/>
          <w:titlePg/>
          <w:docGrid w:linePitch="435"/>
        </w:sectPr>
      </w:pPr>
    </w:p>
    <w:p w:rsidR="003F6AF1" w:rsidRPr="009E6414" w:rsidRDefault="003F6AF1">
      <w:pPr>
        <w:jc w:val="left"/>
        <w:rPr>
          <w:rFonts w:eastAsia="Times New Roman" w:cs="Times New Roman"/>
          <w:noProof/>
          <w:szCs w:val="20"/>
          <w:lang w:val="es-ES_tradnl"/>
        </w:rPr>
      </w:pPr>
    </w:p>
    <w:p w:rsidR="00E05D08" w:rsidRPr="009E6414" w:rsidRDefault="00E05D08" w:rsidP="00690E70">
      <w:pPr>
        <w:spacing w:after="0" w:line="240" w:lineRule="auto"/>
        <w:jc w:val="left"/>
        <w:rPr>
          <w:rFonts w:eastAsia="Times New Roman" w:cs="Times New Roman"/>
          <w:noProof/>
          <w:szCs w:val="20"/>
          <w:lang w:val="es-ES_tradnl"/>
        </w:rPr>
      </w:pPr>
    </w:p>
    <w:p w:rsidR="00E16522" w:rsidRPr="009E6414" w:rsidRDefault="00E16522">
      <w:pPr>
        <w:rPr>
          <w:noProof/>
          <w:lang w:val="es-ES_tradnl"/>
        </w:rPr>
      </w:pPr>
    </w:p>
    <w:sectPr w:rsidR="00E16522" w:rsidRPr="009E6414" w:rsidSect="00055039">
      <w:headerReference w:type="default" r:id="rId112"/>
      <w:endnotePr>
        <w:numFmt w:val="decimal"/>
      </w:endnotePr>
      <w:pgSz w:w="11906" w:h="16838" w:code="9"/>
      <w:pgMar w:top="1440" w:right="1440" w:bottom="1134" w:left="1440" w:header="567" w:footer="1021"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3B62" w:rsidRDefault="00373B62" w:rsidP="00E05D08">
      <w:pPr>
        <w:spacing w:after="0" w:line="240" w:lineRule="auto"/>
      </w:pPr>
      <w:r>
        <w:separator/>
      </w:r>
    </w:p>
  </w:endnote>
  <w:endnote w:type="continuationSeparator" w:id="0">
    <w:p w:rsidR="00373B62" w:rsidRDefault="00373B62" w:rsidP="00E05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LT Pro">
    <w:altName w:val="Segoe Script"/>
    <w:charset w:val="00"/>
    <w:family w:val="swiss"/>
    <w:pitch w:val="variable"/>
    <w:sig w:usb0="00000001" w:usb1="5000204A" w:usb2="00000000" w:usb3="00000000" w:csb0="00000097"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E0D" w:rsidRDefault="008D2E0D">
    <w:pPr>
      <w:pStyle w:val="Footer"/>
    </w:pPr>
    <w:r>
      <w:t xml:space="preserve">página </w:t>
    </w:r>
    <w:r w:rsidRPr="00E05D08">
      <w:rPr>
        <w:rStyle w:val="PageNumber"/>
      </w:rPr>
      <w:fldChar w:fldCharType="begin"/>
    </w:r>
    <w:r w:rsidRPr="00E05D08">
      <w:rPr>
        <w:rStyle w:val="PageNumber"/>
      </w:rPr>
      <w:instrText xml:space="preserve"> PAGE </w:instrText>
    </w:r>
    <w:r w:rsidRPr="00E05D08">
      <w:rPr>
        <w:rStyle w:val="PageNumber"/>
      </w:rPr>
      <w:fldChar w:fldCharType="separate"/>
    </w:r>
    <w:r w:rsidRPr="00E05D08">
      <w:rPr>
        <w:rStyle w:val="PageNumber"/>
        <w:noProof/>
      </w:rPr>
      <w:t>4</w:t>
    </w:r>
    <w:r w:rsidRPr="00E05D08">
      <w:rPr>
        <w:rStyle w:val="PageNumber"/>
      </w:rPr>
      <w:fldChar w:fldCharType="end"/>
    </w:r>
    <w:r>
      <w:tab/>
    </w:r>
    <w:r>
      <w:rPr>
        <w:noProof/>
        <w:lang w:val="en-GB" w:eastAsia="en-GB" w:bidi="ar-SA"/>
      </w:rPr>
      <w:drawing>
        <wp:inline distT="0" distB="0" distL="0" distR="0" wp14:anchorId="3CC71241" wp14:editId="3C142859">
          <wp:extent cx="971550" cy="247650"/>
          <wp:effectExtent l="19050" t="0" r="0" b="0"/>
          <wp:docPr id="33"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E0D" w:rsidRPr="00611706" w:rsidRDefault="008D2E0D" w:rsidP="00E16522">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5226613"/>
      <w:docPartObj>
        <w:docPartGallery w:val="Page Numbers (Bottom of Page)"/>
        <w:docPartUnique/>
      </w:docPartObj>
    </w:sdtPr>
    <w:sdtEndPr>
      <w:rPr>
        <w:noProof/>
        <w:sz w:val="18"/>
        <w:szCs w:val="18"/>
      </w:rPr>
    </w:sdtEndPr>
    <w:sdtContent>
      <w:p w:rsidR="008D2E0D" w:rsidRPr="00611706" w:rsidRDefault="008D2E0D">
        <w:pPr>
          <w:pStyle w:val="Footer"/>
          <w:rPr>
            <w:sz w:val="18"/>
            <w:szCs w:val="18"/>
          </w:rPr>
        </w:pPr>
      </w:p>
    </w:sdtContent>
  </w:sdt>
  <w:p w:rsidR="008D2E0D" w:rsidRPr="006D33F1" w:rsidRDefault="008D2E0D" w:rsidP="00E165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E0D" w:rsidRPr="00431FF5" w:rsidRDefault="008D2E0D" w:rsidP="00431FF5">
    <w:pPr>
      <w:pStyle w:val="Footer"/>
      <w:spacing w:before="240"/>
      <w:rPr>
        <w:rStyle w:val="PageNumber"/>
        <w:rFonts w:eastAsiaTheme="majorEastAsia"/>
        <w:noProof/>
        <w:color w:val="373737"/>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E0D" w:rsidRPr="00150D5B" w:rsidRDefault="008D2E0D" w:rsidP="00E165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222601"/>
      <w:docPartObj>
        <w:docPartGallery w:val="Page Numbers (Bottom of Page)"/>
        <w:docPartUnique/>
      </w:docPartObj>
    </w:sdtPr>
    <w:sdtEndPr>
      <w:rPr>
        <w:rStyle w:val="PageNumber"/>
        <w:rFonts w:eastAsiaTheme="majorEastAsia"/>
        <w:color w:val="808080"/>
        <w:sz w:val="18"/>
        <w:szCs w:val="18"/>
      </w:rPr>
    </w:sdtEndPr>
    <w:sdtContent>
      <w:p w:rsidR="008D2E0D" w:rsidRPr="00431FF5" w:rsidRDefault="008D2E0D" w:rsidP="00431FF5">
        <w:pPr>
          <w:pStyle w:val="Footer"/>
          <w:spacing w:before="240"/>
          <w:rPr>
            <w:rStyle w:val="PageNumber"/>
            <w:rFonts w:eastAsiaTheme="majorEastAsia"/>
            <w:noProof/>
            <w:color w:val="373737"/>
            <w:szCs w:val="18"/>
          </w:rPr>
        </w:pPr>
        <w:r w:rsidRPr="00431FF5">
          <w:rPr>
            <w:rStyle w:val="PageNumber"/>
            <w:rFonts w:eastAsiaTheme="majorEastAsia"/>
            <w:noProof/>
            <w:color w:val="373737"/>
            <w:szCs w:val="18"/>
          </w:rPr>
          <w:fldChar w:fldCharType="begin"/>
        </w:r>
        <w:r w:rsidRPr="00431FF5">
          <w:rPr>
            <w:rStyle w:val="PageNumber"/>
            <w:rFonts w:eastAsiaTheme="majorEastAsia"/>
            <w:noProof/>
            <w:color w:val="373737"/>
            <w:szCs w:val="18"/>
          </w:rPr>
          <w:instrText xml:space="preserve"> PAGE   \* MERGEFORMAT </w:instrText>
        </w:r>
        <w:r w:rsidRPr="00431FF5">
          <w:rPr>
            <w:rStyle w:val="PageNumber"/>
            <w:rFonts w:eastAsiaTheme="majorEastAsia"/>
            <w:noProof/>
            <w:color w:val="373737"/>
            <w:szCs w:val="18"/>
          </w:rPr>
          <w:fldChar w:fldCharType="separate"/>
        </w:r>
        <w:r w:rsidR="00F631AE">
          <w:rPr>
            <w:rStyle w:val="PageNumber"/>
            <w:rFonts w:eastAsiaTheme="majorEastAsia"/>
            <w:noProof/>
            <w:color w:val="373737"/>
            <w:szCs w:val="18"/>
          </w:rPr>
          <w:t>13</w:t>
        </w:r>
        <w:r w:rsidRPr="00431FF5">
          <w:rPr>
            <w:rStyle w:val="PageNumber"/>
            <w:rFonts w:eastAsiaTheme="majorEastAsia"/>
            <w:color w:val="373737"/>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E0D" w:rsidRDefault="008D2E0D">
    <w:pPr>
      <w:pStyle w:val="Footer"/>
    </w:pPr>
    <w:r>
      <w:t xml:space="preserve">página </w:t>
    </w: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noProof/>
      </w:rPr>
      <w:t>4</w:t>
    </w:r>
    <w:r>
      <w:rPr>
        <w:rStyle w:val="PageNumber"/>
        <w:rFonts w:eastAsiaTheme="majorEastAsia"/>
      </w:rPr>
      <w:fldChar w:fldCharType="end"/>
    </w:r>
    <w:r>
      <w:tab/>
    </w:r>
    <w:r>
      <w:rPr>
        <w:noProof/>
        <w:lang w:val="en-GB" w:eastAsia="en-GB" w:bidi="ar-SA"/>
      </w:rPr>
      <w:drawing>
        <wp:inline distT="0" distB="0" distL="0" distR="0" wp14:anchorId="6C5CA4E9" wp14:editId="392F82E5">
          <wp:extent cx="971550" cy="247650"/>
          <wp:effectExtent l="19050" t="0" r="0" b="0"/>
          <wp:docPr id="708"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E0D" w:rsidRPr="00611706" w:rsidRDefault="008D2E0D" w:rsidP="00485923">
    <w:pPr>
      <w:pStyle w:val="Footer"/>
      <w:spacing w:before="240"/>
      <w:rPr>
        <w:sz w:val="18"/>
        <w:szCs w:val="18"/>
      </w:rPr>
    </w:pPr>
    <w:r w:rsidRPr="00611706">
      <w:rPr>
        <w:rStyle w:val="PageNumber"/>
        <w:rFonts w:eastAsiaTheme="majorEastAsia"/>
        <w:color w:val="373737"/>
        <w:szCs w:val="18"/>
      </w:rPr>
      <w:fldChar w:fldCharType="begin"/>
    </w:r>
    <w:r w:rsidRPr="00611706">
      <w:rPr>
        <w:rStyle w:val="PageNumber"/>
        <w:rFonts w:eastAsiaTheme="majorEastAsia"/>
        <w:color w:val="373737"/>
        <w:szCs w:val="18"/>
      </w:rPr>
      <w:instrText xml:space="preserve"> PAGE </w:instrText>
    </w:r>
    <w:r w:rsidRPr="00611706">
      <w:rPr>
        <w:rStyle w:val="PageNumber"/>
        <w:rFonts w:eastAsiaTheme="majorEastAsia"/>
        <w:color w:val="373737"/>
        <w:szCs w:val="18"/>
      </w:rPr>
      <w:fldChar w:fldCharType="separate"/>
    </w:r>
    <w:r w:rsidR="00F631AE">
      <w:rPr>
        <w:rStyle w:val="PageNumber"/>
        <w:rFonts w:eastAsiaTheme="majorEastAsia"/>
        <w:noProof/>
        <w:color w:val="373737"/>
        <w:szCs w:val="18"/>
      </w:rPr>
      <w:t>20</w:t>
    </w:r>
    <w:r w:rsidRPr="00611706">
      <w:rPr>
        <w:rStyle w:val="PageNumber"/>
        <w:rFonts w:eastAsiaTheme="majorEastAsia"/>
        <w:color w:val="373737"/>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653537"/>
      <w:docPartObj>
        <w:docPartGallery w:val="Page Numbers (Bottom of Page)"/>
        <w:docPartUnique/>
      </w:docPartObj>
    </w:sdtPr>
    <w:sdtEndPr>
      <w:rPr>
        <w:noProof/>
        <w:sz w:val="18"/>
        <w:szCs w:val="18"/>
      </w:rPr>
    </w:sdtEndPr>
    <w:sdtContent>
      <w:p w:rsidR="008D2E0D" w:rsidRPr="001F6F07" w:rsidRDefault="008D2E0D" w:rsidP="001F6F07">
        <w:pPr>
          <w:pStyle w:val="Footer"/>
          <w:rPr>
            <w:sz w:val="18"/>
            <w:szCs w:val="18"/>
          </w:rPr>
        </w:pPr>
        <w:r w:rsidRPr="00611706">
          <w:rPr>
            <w:sz w:val="18"/>
            <w:szCs w:val="18"/>
          </w:rPr>
          <w:fldChar w:fldCharType="begin"/>
        </w:r>
        <w:r w:rsidRPr="00611706">
          <w:rPr>
            <w:sz w:val="18"/>
            <w:szCs w:val="18"/>
          </w:rPr>
          <w:instrText xml:space="preserve"> PAGE   \* MERGEFORMAT </w:instrText>
        </w:r>
        <w:r w:rsidRPr="00611706">
          <w:rPr>
            <w:sz w:val="18"/>
            <w:szCs w:val="18"/>
          </w:rPr>
          <w:fldChar w:fldCharType="separate"/>
        </w:r>
        <w:r w:rsidR="00F631AE">
          <w:rPr>
            <w:noProof/>
            <w:sz w:val="18"/>
            <w:szCs w:val="18"/>
          </w:rPr>
          <w:t>60</w:t>
        </w:r>
        <w:r w:rsidRPr="00611706">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3B62" w:rsidRPr="00CE2990" w:rsidRDefault="00373B62" w:rsidP="00E05D08">
      <w:pPr>
        <w:spacing w:after="0" w:line="240" w:lineRule="auto"/>
        <w:rPr>
          <w:color w:val="F07E31"/>
        </w:rPr>
      </w:pPr>
      <w:r>
        <w:rPr>
          <w:color w:val="F07E31"/>
        </w:rPr>
        <w:separator/>
      </w:r>
    </w:p>
  </w:footnote>
  <w:footnote w:type="continuationSeparator" w:id="0">
    <w:p w:rsidR="00373B62" w:rsidRDefault="00373B62" w:rsidP="00E05D08">
      <w:pPr>
        <w:spacing w:after="0" w:line="240" w:lineRule="auto"/>
      </w:pPr>
      <w:r>
        <w:continuationSeparator/>
      </w:r>
    </w:p>
  </w:footnote>
  <w:footnote w:id="1">
    <w:p w:rsidR="008D2E0D" w:rsidRPr="00194986" w:rsidRDefault="008D2E0D" w:rsidP="00E05D08">
      <w:pPr>
        <w:pStyle w:val="FootnoteText"/>
      </w:pPr>
      <w:r>
        <w:rPr>
          <w:rStyle w:val="FootnoteReference"/>
        </w:rPr>
        <w:footnoteRef/>
      </w:r>
      <w:r>
        <w:t xml:space="preserve">Los otros dos objetivos transversales son el medio ambiente y la mitigación del cambio climático y la adaptación al mismo. </w:t>
      </w:r>
    </w:p>
  </w:footnote>
  <w:footnote w:id="2">
    <w:p w:rsidR="008D2E0D" w:rsidRPr="00194986" w:rsidRDefault="008D2E0D" w:rsidP="00E05D08">
      <w:pPr>
        <w:pStyle w:val="FootnoteText"/>
        <w:rPr>
          <w:lang w:val="sk-SK"/>
        </w:rPr>
      </w:pPr>
      <w:r>
        <w:rPr>
          <w:rStyle w:val="FootnoteReference"/>
        </w:rPr>
        <w:footnoteRef/>
      </w:r>
      <w:r>
        <w:t xml:space="preserve"> Artículo 8, apartado 1, letra c), inciso v), del Reglamento (UE) n.º 1305/2013 y anexo I, parte 1, apartado 5, letra c), del Reglamento (UE) n.º 808/2014.</w:t>
      </w:r>
    </w:p>
  </w:footnote>
  <w:footnote w:id="3">
    <w:p w:rsidR="008D2E0D" w:rsidRPr="00B97B27" w:rsidRDefault="008D2E0D" w:rsidP="00E05D08">
      <w:pPr>
        <w:pStyle w:val="FootnoteText"/>
        <w:rPr>
          <w:lang w:val="sk-SK"/>
        </w:rPr>
      </w:pPr>
      <w:r>
        <w:rPr>
          <w:rStyle w:val="FootnoteReference"/>
        </w:rPr>
        <w:footnoteRef/>
      </w:r>
      <w:r>
        <w:t xml:space="preserve"> Artículo 68 del Reglamento (UE) n.º 1305/2013</w:t>
      </w:r>
    </w:p>
  </w:footnote>
  <w:footnote w:id="4">
    <w:p w:rsidR="008D2E0D" w:rsidRDefault="008D2E0D" w:rsidP="000E1D4B">
      <w:pPr>
        <w:pStyle w:val="FootnoteText"/>
      </w:pPr>
      <w:r>
        <w:rPr>
          <w:rStyle w:val="FootnoteReference"/>
          <w:sz w:val="12"/>
        </w:rPr>
        <w:footnoteRef/>
      </w:r>
      <w:r>
        <w:t xml:space="preserve"> Orientaciones sobre la programación para la innovación y la aplicación de la </w:t>
      </w:r>
      <w:proofErr w:type="spellStart"/>
      <w:r>
        <w:t>AEI</w:t>
      </w:r>
      <w:proofErr w:type="spellEnd"/>
      <w:r>
        <w:t xml:space="preserve"> en la productividad y sostenibilidad agrícolas</w:t>
      </w:r>
      <w:r>
        <w:cr/>
      </w:r>
      <w:r>
        <w:rPr>
          <w:rStyle w:val="Hyperlink"/>
        </w:rPr>
        <w:t>https://ec.europa.eu/eip/agriculture/sites/agri-eip/files/pb_guidelines_eip_implementation_2014_en.pdf</w:t>
      </w:r>
    </w:p>
  </w:footnote>
  <w:footnote w:id="5">
    <w:p w:rsidR="008D2E0D" w:rsidRPr="00DC008D" w:rsidRDefault="008D2E0D" w:rsidP="00F74459">
      <w:pPr>
        <w:pStyle w:val="FootnoteText"/>
        <w:rPr>
          <w:rFonts w:eastAsia="Calibri"/>
        </w:rPr>
      </w:pPr>
      <w:r>
        <w:rPr>
          <w:rStyle w:val="FootnoteReference"/>
        </w:rPr>
        <w:footnoteRef/>
      </w:r>
      <w:r>
        <w:t xml:space="preserve"> Orientaciones sobre la programación para la innovación y la aplicación de la </w:t>
      </w:r>
      <w:proofErr w:type="spellStart"/>
      <w:r>
        <w:t>AEI</w:t>
      </w:r>
      <w:proofErr w:type="spellEnd"/>
      <w:r>
        <w:t xml:space="preserve"> en la productividad y sostenibilidad agrícolas </w:t>
      </w:r>
      <w:hyperlink r:id="rId1">
        <w:r>
          <w:rPr>
            <w:rStyle w:val="Hyperlink"/>
          </w:rPr>
          <w:t>https://ec.europa.eu/eip/agriculture/sites/agri-eip/files/pb_guidelines_eip_implementation_2014_en.pdf</w:t>
        </w:r>
      </w:hyperlink>
    </w:p>
  </w:footnote>
  <w:footnote w:id="6">
    <w:p w:rsidR="008D2E0D" w:rsidRPr="008F676D" w:rsidRDefault="008D2E0D" w:rsidP="00F74459">
      <w:pPr>
        <w:pStyle w:val="FootnoteText"/>
      </w:pPr>
      <w:r>
        <w:rPr>
          <w:rStyle w:val="FootnoteReference"/>
        </w:rPr>
        <w:footnoteRef/>
      </w:r>
      <w:r>
        <w:t xml:space="preserve"> Horizonte 2020 apoya decididamente el concepto de enfoque </w:t>
      </w:r>
      <w:proofErr w:type="spellStart"/>
      <w:r>
        <w:t>multiactor</w:t>
      </w:r>
      <w:proofErr w:type="spellEnd"/>
      <w:r>
        <w:t xml:space="preserve"> para la investigación, el cual posibilita que agricultores, asesores y otros profesionales en colaboración con investigadores creen soluciones o desarrollen oportunidades innovadoras con el fin de enfocar la investigación y las innovaciones en las necesidades de la práctica agrícola, véase </w:t>
      </w:r>
      <w:proofErr w:type="spellStart"/>
      <w:r>
        <w:t>H2020</w:t>
      </w:r>
      <w:proofErr w:type="spellEnd"/>
      <w:r>
        <w:t xml:space="preserve"> programa de trabajo 2018-2020, páginas 8-9 para los requisitos de los proyectos </w:t>
      </w:r>
      <w:proofErr w:type="spellStart"/>
      <w:r>
        <w:t>multiactor</w:t>
      </w:r>
      <w:proofErr w:type="spellEnd"/>
      <w:r>
        <w:t xml:space="preserve"> (</w:t>
      </w:r>
      <w:hyperlink r:id="rId2">
        <w:r>
          <w:rPr>
            <w:rStyle w:val="Hyperlink"/>
          </w:rPr>
          <w:t>http://ec.europa.eu/research/participants/data/ref/h2020/wp/2018-2020/main/h2020-wp1820-food_en.pdf</w:t>
        </w:r>
      </w:hyperlink>
      <w:r>
        <w:t xml:space="preserve">) y el folleto de la </w:t>
      </w:r>
      <w:proofErr w:type="spellStart"/>
      <w:r>
        <w:t>AEI</w:t>
      </w:r>
      <w:proofErr w:type="spellEnd"/>
      <w:r>
        <w:t xml:space="preserve"> relativo al enfoque </w:t>
      </w:r>
      <w:proofErr w:type="spellStart"/>
      <w:r>
        <w:t>multiactor</w:t>
      </w:r>
      <w:proofErr w:type="spellEnd"/>
      <w:r>
        <w:t xml:space="preserve"> (</w:t>
      </w:r>
      <w:hyperlink r:id="rId3">
        <w:r>
          <w:rPr>
            <w:rStyle w:val="Hyperlink"/>
          </w:rPr>
          <w:t>https://ec.europa.eu/eip/agriculture/sites/agri-eip/files/eip-agri_brochure_multi-actor_projects_2017_en_web.pdf</w:t>
        </w:r>
      </w:hyperlink>
      <w:r>
        <w:t>)</w:t>
      </w:r>
    </w:p>
  </w:footnote>
  <w:footnote w:id="7">
    <w:p w:rsidR="008D2E0D" w:rsidRDefault="008D2E0D" w:rsidP="00F74459">
      <w:pPr>
        <w:pStyle w:val="FootnoteText"/>
      </w:pPr>
      <w:r>
        <w:rPr>
          <w:rStyle w:val="FootnoteReference"/>
        </w:rPr>
        <w:footnoteRef/>
      </w:r>
      <w:r>
        <w:t xml:space="preserve"> Informes del grupo de trabajo estratégico (GTE) del Comité permanente de investigación agrícola (</w:t>
      </w:r>
      <w:proofErr w:type="spellStart"/>
      <w:r>
        <w:t>CPIA</w:t>
      </w:r>
      <w:proofErr w:type="spellEnd"/>
      <w:r>
        <w:t>) sobre sistemas de conocimiento e innovación agrícolas:</w:t>
      </w:r>
    </w:p>
    <w:p w:rsidR="008D2E0D" w:rsidRDefault="008D2E0D" w:rsidP="00F74459">
      <w:pPr>
        <w:pStyle w:val="FootnoteText"/>
      </w:pPr>
      <w:r>
        <w:t xml:space="preserve">- Sistemas de conocimiento e innovación agrícolas en 2020 - Documento de orientación sobre la vinculación de la innovación y la investigación </w:t>
      </w:r>
      <w:hyperlink r:id="rId4">
        <w:r>
          <w:rPr>
            <w:rStyle w:val="Hyperlink"/>
          </w:rPr>
          <w:t xml:space="preserve">http://www.gppq.fct.pt/h2020/_docs/brochuras/bioeco/agricultural-knowledge-innovation-systems-towards-2020_en.pdf </w:t>
        </w:r>
      </w:hyperlink>
      <w:r>
        <w:t xml:space="preserve"> (sobre la construcción del enfoque </w:t>
      </w:r>
      <w:proofErr w:type="spellStart"/>
      <w:r>
        <w:t>multiactor</w:t>
      </w:r>
      <w:proofErr w:type="spellEnd"/>
      <w:r>
        <w:t>)</w:t>
      </w:r>
    </w:p>
    <w:p w:rsidR="008D2E0D" w:rsidRPr="009C39EE" w:rsidRDefault="008D2E0D" w:rsidP="00F74459">
      <w:pPr>
        <w:pStyle w:val="FootnoteText"/>
      </w:pPr>
      <w:r>
        <w:t xml:space="preserve">- Sistemas de conocimiento e innovación agrícolas en el futuro - Documento prospectivo </w:t>
      </w:r>
      <w:hyperlink r:id="rId5" w:anchor="view=fit&amp;amp;pagemode=none">
        <w:r>
          <w:rPr>
            <w:rStyle w:val="Hyperlink"/>
          </w:rPr>
          <w:t>https://ec.europa.eu/research/scar/pdf/akis-3_end_report.pdf#view=fit&amp;pagemode=none</w:t>
        </w:r>
      </w:hyperlink>
      <w:r>
        <w:rPr>
          <w:rStyle w:val="Hyperlink"/>
        </w:rPr>
        <w:t xml:space="preserve"> </w:t>
      </w:r>
    </w:p>
  </w:footnote>
  <w:footnote w:id="8">
    <w:p w:rsidR="008D2E0D" w:rsidRPr="00B13D00" w:rsidRDefault="008D2E0D" w:rsidP="00F74459">
      <w:pPr>
        <w:pStyle w:val="FootnoteText"/>
      </w:pPr>
      <w:r>
        <w:rPr>
          <w:rStyle w:val="FootnoteReference"/>
          <w:color w:val="373737"/>
        </w:rPr>
        <w:footnoteRef/>
      </w:r>
      <w:r>
        <w:t xml:space="preserve"> </w:t>
      </w:r>
      <w:proofErr w:type="spellStart"/>
      <w:r>
        <w:t>Schot</w:t>
      </w:r>
      <w:proofErr w:type="spellEnd"/>
      <w:r>
        <w:t xml:space="preserve"> y </w:t>
      </w:r>
      <w:proofErr w:type="spellStart"/>
      <w:r>
        <w:t>Geels</w:t>
      </w:r>
      <w:proofErr w:type="spellEnd"/>
      <w:r>
        <w:t xml:space="preserve"> (2008) para más información sobre nichos </w:t>
      </w:r>
      <w:proofErr w:type="spellStart"/>
      <w:r>
        <w:t>sociotécnicos</w:t>
      </w:r>
      <w:proofErr w:type="spellEnd"/>
      <w:r>
        <w:t xml:space="preserve">. </w:t>
      </w:r>
    </w:p>
  </w:footnote>
  <w:footnote w:id="9">
    <w:p w:rsidR="008D2E0D" w:rsidRPr="007B5CB9" w:rsidRDefault="008D2E0D" w:rsidP="00F74459">
      <w:pPr>
        <w:pStyle w:val="FootnoteText"/>
      </w:pPr>
      <w:r>
        <w:rPr>
          <w:vertAlign w:val="superscript"/>
        </w:rPr>
        <w:footnoteRef/>
      </w:r>
      <w:r>
        <w:t xml:space="preserve"> </w:t>
      </w:r>
      <w:proofErr w:type="spellStart"/>
      <w:r>
        <w:t>REDR</w:t>
      </w:r>
      <w:proofErr w:type="spellEnd"/>
      <w:r>
        <w:t xml:space="preserve"> (2013). Hacia una exitosa mediación para la innovación: Perspectivas para los programas de desarrollo rural 2007-2013 y </w:t>
      </w:r>
      <w:proofErr w:type="spellStart"/>
      <w:r>
        <w:t>Leeuwis</w:t>
      </w:r>
      <w:proofErr w:type="spellEnd"/>
      <w:r>
        <w:t xml:space="preserve"> C, </w:t>
      </w:r>
      <w:proofErr w:type="spellStart"/>
      <w:r>
        <w:t>Schut</w:t>
      </w:r>
      <w:proofErr w:type="spellEnd"/>
      <w:r>
        <w:t xml:space="preserve"> M, Waters-Bayer A, </w:t>
      </w:r>
      <w:proofErr w:type="spellStart"/>
      <w:r>
        <w:t>Mur</w:t>
      </w:r>
      <w:proofErr w:type="spellEnd"/>
      <w:r>
        <w:t xml:space="preserve"> R, </w:t>
      </w:r>
      <w:proofErr w:type="spellStart"/>
      <w:r>
        <w:t>Atta-Krah</w:t>
      </w:r>
      <w:proofErr w:type="spellEnd"/>
      <w:r>
        <w:t xml:space="preserve"> K y </w:t>
      </w:r>
      <w:proofErr w:type="spellStart"/>
      <w:r>
        <w:t>Douthwaite</w:t>
      </w:r>
      <w:proofErr w:type="spellEnd"/>
      <w:r>
        <w:t xml:space="preserve"> B. 2014. Capacidad para innovar desde una perspectiva del programa de investigación del sistema del </w:t>
      </w:r>
      <w:proofErr w:type="spellStart"/>
      <w:r>
        <w:t>GCIAI</w:t>
      </w:r>
      <w:proofErr w:type="spellEnd"/>
      <w:r>
        <w:t xml:space="preserve">. </w:t>
      </w:r>
      <w:proofErr w:type="spellStart"/>
      <w:r>
        <w:t>Penang</w:t>
      </w:r>
      <w:proofErr w:type="spellEnd"/>
      <w:r>
        <w:t xml:space="preserve">, Malasia: Programa de investigación del </w:t>
      </w:r>
      <w:proofErr w:type="spellStart"/>
      <w:r>
        <w:t>GCIAI</w:t>
      </w:r>
      <w:proofErr w:type="spellEnd"/>
      <w:r>
        <w:t xml:space="preserve"> sobre sistemas agrícolas acuáticos. Programa </w:t>
      </w:r>
      <w:proofErr w:type="spellStart"/>
      <w:r>
        <w:t>Brief</w:t>
      </w:r>
      <w:proofErr w:type="spellEnd"/>
      <w:r>
        <w:t>: AAS-2014-29.</w:t>
      </w:r>
    </w:p>
  </w:footnote>
  <w:footnote w:id="10">
    <w:p w:rsidR="008D2E0D" w:rsidRPr="007B5CB9" w:rsidRDefault="008D2E0D" w:rsidP="00F74459">
      <w:pPr>
        <w:pStyle w:val="FootnoteText"/>
      </w:pPr>
      <w:r>
        <w:rPr>
          <w:vertAlign w:val="superscript"/>
        </w:rPr>
        <w:footnoteRef/>
      </w:r>
      <w:r>
        <w:t xml:space="preserve"> La </w:t>
      </w:r>
      <w:proofErr w:type="spellStart"/>
      <w:r>
        <w:t>REDR</w:t>
      </w:r>
      <w:proofErr w:type="spellEnd"/>
      <w:r>
        <w:t xml:space="preserve"> (2013) identifica la mediación para la innovación como una de las principales capacidades del sistema, a saber, la presencia (y la actividad) de los agentes que están comprometidos con el cambio, y que son creativos, proactivos, motivados, imparciales, transparentes y sensibles al contexto de la innovación.</w:t>
      </w:r>
    </w:p>
  </w:footnote>
  <w:footnote w:id="11">
    <w:p w:rsidR="008D2E0D" w:rsidRDefault="008D2E0D" w:rsidP="00F74459">
      <w:pPr>
        <w:pStyle w:val="FootnoteText"/>
      </w:pPr>
      <w:r>
        <w:rPr>
          <w:vertAlign w:val="superscript"/>
        </w:rPr>
        <w:footnoteRef/>
      </w:r>
      <w:r>
        <w:t xml:space="preserve"> </w:t>
      </w:r>
      <w:proofErr w:type="spellStart"/>
      <w:r>
        <w:t>Douthwaite</w:t>
      </w:r>
      <w:proofErr w:type="spellEnd"/>
      <w:r>
        <w:t xml:space="preserve"> y </w:t>
      </w:r>
      <w:proofErr w:type="spellStart"/>
      <w:r>
        <w:t>Hoffecker</w:t>
      </w:r>
      <w:proofErr w:type="spellEnd"/>
      <w:r>
        <w:t xml:space="preserve"> (de próxima publicación) y Nemes y </w:t>
      </w:r>
      <w:proofErr w:type="spellStart"/>
      <w:r>
        <w:t>Augustyn</w:t>
      </w:r>
      <w:proofErr w:type="spellEnd"/>
      <w:r>
        <w:t xml:space="preserve"> (2017).</w:t>
      </w:r>
    </w:p>
  </w:footnote>
  <w:footnote w:id="12">
    <w:p w:rsidR="008D2E0D" w:rsidRPr="00B13D00" w:rsidRDefault="008D2E0D" w:rsidP="00E05D08">
      <w:pPr>
        <w:pStyle w:val="FootnoteText"/>
        <w:rPr>
          <w:lang w:val="sk-SK"/>
        </w:rPr>
      </w:pPr>
      <w:r>
        <w:rPr>
          <w:vertAlign w:val="superscript"/>
        </w:rPr>
        <w:footnoteRef/>
      </w:r>
      <w:r>
        <w:t xml:space="preserve"> </w:t>
      </w:r>
      <w:proofErr w:type="spellStart"/>
      <w:r>
        <w:t>REDR</w:t>
      </w:r>
      <w:proofErr w:type="spellEnd"/>
      <w:r>
        <w:t xml:space="preserve"> (2013). Hacia una exitosa mediación para la innovación: Perspectivas para los programas de desarrollo rural 2007-2013</w:t>
      </w:r>
    </w:p>
  </w:footnote>
  <w:footnote w:id="13">
    <w:p w:rsidR="008D2E0D" w:rsidRPr="00690E70" w:rsidRDefault="008D2E0D" w:rsidP="004508D0">
      <w:pPr>
        <w:pStyle w:val="FootnoteText"/>
        <w:rPr>
          <w:rStyle w:val="Hyperlink"/>
          <w:lang w:val="sk-SK"/>
        </w:rPr>
      </w:pPr>
      <w:r>
        <w:rPr>
          <w:rStyle w:val="FootnoteReference"/>
        </w:rPr>
        <w:footnoteRef/>
      </w:r>
      <w:r>
        <w:t xml:space="preserve"> </w:t>
      </w:r>
      <w:proofErr w:type="spellStart"/>
      <w:r>
        <w:t>AEI</w:t>
      </w:r>
      <w:proofErr w:type="spellEnd"/>
      <w:r>
        <w:t xml:space="preserve">-AGRI (2016) Taller sobre las ciudades y la alimentación: conectando a los consumidores y los productores. Disponible en: </w:t>
      </w:r>
      <w:hyperlink r:id="rId6">
        <w:r>
          <w:rPr>
            <w:rStyle w:val="Hyperlink"/>
          </w:rPr>
          <w:t>https://ec.europa.eu/eip/agriculture/sites/agri-eip/files/eip-agri_factsheet_cities_and_food_en_web.pdf</w:t>
        </w:r>
      </w:hyperlink>
    </w:p>
  </w:footnote>
  <w:footnote w:id="14">
    <w:p w:rsidR="008D2E0D" w:rsidRPr="00B13D00" w:rsidRDefault="008D2E0D" w:rsidP="00E05D08">
      <w:pPr>
        <w:pStyle w:val="FootnoteText"/>
      </w:pPr>
      <w:r>
        <w:rPr>
          <w:rStyle w:val="FootnoteReference"/>
        </w:rPr>
        <w:footnoteRef/>
      </w:r>
      <w:r>
        <w:t xml:space="preserve"> Senge, P. M. y </w:t>
      </w:r>
      <w:proofErr w:type="spellStart"/>
      <w:r>
        <w:t>Sterman</w:t>
      </w:r>
      <w:proofErr w:type="spellEnd"/>
      <w:r>
        <w:t>, J. D. (1992). Sistemas de pensamiento y aprendizaje organizativo: Actuar a escala local y pensar a escala mundial en la organización del futuro. Revista europea de investigación operativa, 59(1), 137-150.</w:t>
      </w:r>
    </w:p>
  </w:footnote>
  <w:footnote w:id="15">
    <w:p w:rsidR="008D2E0D" w:rsidRPr="00554BBB" w:rsidRDefault="008D2E0D" w:rsidP="00E05D08">
      <w:pPr>
        <w:pStyle w:val="FootnoteText"/>
      </w:pPr>
      <w:r>
        <w:rPr>
          <w:rStyle w:val="FootnoteReference"/>
        </w:rPr>
        <w:footnoteRef/>
      </w:r>
      <w:r>
        <w:rPr>
          <w:rFonts w:asciiTheme="minorHAnsi" w:eastAsiaTheme="minorHAnsi" w:hAnsiTheme="minorHAnsi" w:cstheme="minorBidi"/>
          <w:color w:val="auto"/>
          <w:sz w:val="22"/>
        </w:rPr>
        <w:t xml:space="preserve"> </w:t>
      </w:r>
      <w:proofErr w:type="spellStart"/>
      <w:r>
        <w:t>Pawson</w:t>
      </w:r>
      <w:proofErr w:type="spellEnd"/>
      <w:r>
        <w:t xml:space="preserve">, R. (2013). </w:t>
      </w:r>
      <w:r>
        <w:rPr>
          <w:i/>
        </w:rPr>
        <w:t>La ciencia de la evaluación: Un manifiesto realista</w:t>
      </w:r>
      <w:r>
        <w:t xml:space="preserve">. Londres, Reino Unido: Sage </w:t>
      </w:r>
      <w:proofErr w:type="spellStart"/>
      <w:r>
        <w:t>Publications</w:t>
      </w:r>
      <w:proofErr w:type="spellEnd"/>
      <w:r>
        <w:t>.</w:t>
      </w:r>
    </w:p>
  </w:footnote>
  <w:footnote w:id="16">
    <w:p w:rsidR="008D2E0D" w:rsidRPr="00B13D00" w:rsidRDefault="008D2E0D" w:rsidP="00E05D08">
      <w:pPr>
        <w:pStyle w:val="FootnoteText"/>
      </w:pPr>
      <w:r>
        <w:rPr>
          <w:rStyle w:val="FootnoteReference"/>
        </w:rPr>
        <w:footnoteRef/>
      </w:r>
      <w:r>
        <w:t xml:space="preserve"> Horizonte 2020 es el mayor programa de investigación e innovación de la UE destinado a conectar la investigación y la innovación en todos los sectores, incluidas la agricultura y la silvicultura, como un medio para alcanzar un crecimiento inteligente, sostenible e integrador y crear empleo. Muchas otras políticas de la UE que abordan la innovación y el desarrollo de capacidades también pueden contribuir a la investigación y la innovación agrícolas (política de cohesión, COSME, ERASMUS, </w:t>
      </w:r>
      <w:proofErr w:type="spellStart"/>
      <w:r>
        <w:t>LIFE</w:t>
      </w:r>
      <w:proofErr w:type="spellEnd"/>
      <w:r>
        <w:t>+).</w:t>
      </w:r>
    </w:p>
  </w:footnote>
  <w:footnote w:id="17">
    <w:p w:rsidR="008D2E0D" w:rsidRPr="00B13D00" w:rsidRDefault="008D2E0D" w:rsidP="00E05D08">
      <w:pPr>
        <w:pStyle w:val="FootnoteText"/>
      </w:pPr>
      <w:r>
        <w:rPr>
          <w:rStyle w:val="FootnoteReference"/>
        </w:rPr>
        <w:footnoteRef/>
      </w:r>
      <w:r>
        <w:t xml:space="preserve"> Su objetivo es afrontar los principales retos de la sociedad, como el cambio climático y la eficiencia de los recursos, y reforzar los vínculos en la cadena de innovación (</w:t>
      </w:r>
      <w:hyperlink r:id="rId7">
        <w:r>
          <w:rPr>
            <w:rStyle w:val="Hyperlink"/>
          </w:rPr>
          <w:t>http://ec.europa.eu/europe2020/europe-2020-in-a-nutshell/flagship-initiatives/index_en.htm</w:t>
        </w:r>
      </w:hyperlink>
      <w:r>
        <w:t xml:space="preserve">). </w:t>
      </w:r>
    </w:p>
  </w:footnote>
  <w:footnote w:id="18">
    <w:p w:rsidR="008D2E0D" w:rsidRPr="00275EE5" w:rsidRDefault="008D2E0D" w:rsidP="00E05D08">
      <w:pPr>
        <w:pStyle w:val="FootnoteText"/>
      </w:pPr>
      <w:r>
        <w:rPr>
          <w:rStyle w:val="FootnoteReference"/>
        </w:rPr>
        <w:footnoteRef/>
      </w:r>
      <w:r>
        <w:t xml:space="preserve"> </w:t>
      </w:r>
      <w:hyperlink r:id="rId8">
        <w:r>
          <w:rPr>
            <w:rStyle w:val="Hyperlink"/>
          </w:rPr>
          <w:t>http://ec.europa.eu/europe2020/europe-2020-in-a-nutshell/targets/index_en.htm</w:t>
        </w:r>
      </w:hyperlink>
      <w:r>
        <w:t xml:space="preserve"> </w:t>
      </w:r>
    </w:p>
  </w:footnote>
  <w:footnote w:id="19">
    <w:p w:rsidR="008D2E0D" w:rsidRPr="00B13D00" w:rsidRDefault="008D2E0D" w:rsidP="00E05D08">
      <w:pPr>
        <w:pStyle w:val="FootnoteText"/>
      </w:pPr>
      <w:r>
        <w:rPr>
          <w:rStyle w:val="FootnoteReference"/>
        </w:rPr>
        <w:footnoteRef/>
      </w:r>
      <w:r>
        <w:t xml:space="preserve"> Artículo 5 del Reglamento (UE) n.º 1305/2013</w:t>
      </w:r>
    </w:p>
  </w:footnote>
  <w:footnote w:id="20">
    <w:p w:rsidR="008D2E0D" w:rsidRPr="00171202" w:rsidRDefault="008D2E0D" w:rsidP="00E05D08">
      <w:pPr>
        <w:pStyle w:val="FootnoteText"/>
      </w:pPr>
      <w:r>
        <w:rPr>
          <w:rStyle w:val="FootnoteReference"/>
        </w:rPr>
        <w:footnoteRef/>
      </w:r>
      <w:r>
        <w:t xml:space="preserve"> Artículo 8, apartado 1, letra c), inciso v), del Reglamento (UE) n.º 1305/2013.</w:t>
      </w:r>
    </w:p>
  </w:footnote>
  <w:footnote w:id="21">
    <w:p w:rsidR="008D2E0D" w:rsidRPr="00171202" w:rsidRDefault="008D2E0D" w:rsidP="00E05D08">
      <w:pPr>
        <w:pStyle w:val="FootnoteText"/>
      </w:pPr>
      <w:r>
        <w:rPr>
          <w:rStyle w:val="FootnoteReference"/>
          <w:i/>
        </w:rPr>
        <w:footnoteRef/>
      </w:r>
      <w:r>
        <w:t xml:space="preserve"> Artículo 8, apartado 1, letra b) del Reglamento (UE) n.º 1305/2013.</w:t>
      </w:r>
    </w:p>
  </w:footnote>
  <w:footnote w:id="22">
    <w:p w:rsidR="008D2E0D" w:rsidRPr="00171202" w:rsidRDefault="008D2E0D" w:rsidP="00E05D08">
      <w:pPr>
        <w:pStyle w:val="FootnoteText"/>
      </w:pPr>
      <w:r>
        <w:rPr>
          <w:rStyle w:val="FootnoteReference"/>
          <w:i/>
        </w:rPr>
        <w:footnoteRef/>
      </w:r>
      <w:r>
        <w:t xml:space="preserve"> Artículo 5 del Reglamento (UE) n.º 1305/2013.</w:t>
      </w:r>
    </w:p>
  </w:footnote>
  <w:footnote w:id="23">
    <w:p w:rsidR="008D2E0D" w:rsidRPr="00D461AB" w:rsidRDefault="008D2E0D" w:rsidP="00D461AB">
      <w:pPr>
        <w:pStyle w:val="FootnoteText"/>
      </w:pPr>
      <w:r>
        <w:rPr>
          <w:rStyle w:val="FootnoteReference"/>
        </w:rPr>
        <w:footnoteRef/>
      </w:r>
      <w:r>
        <w:t xml:space="preserve"> Orientaciones sobre la programación para la innovación y la aplicación de la </w:t>
      </w:r>
      <w:proofErr w:type="spellStart"/>
      <w:r>
        <w:t>AEI</w:t>
      </w:r>
      <w:proofErr w:type="spellEnd"/>
      <w:r>
        <w:t xml:space="preserve"> en la productividad y sostenibilidad agrícolas, sección 8.2, página 13.</w:t>
      </w:r>
    </w:p>
  </w:footnote>
  <w:footnote w:id="24">
    <w:p w:rsidR="008D2E0D" w:rsidRPr="00171202" w:rsidRDefault="008D2E0D" w:rsidP="00E05D08">
      <w:pPr>
        <w:pStyle w:val="FootnoteText"/>
      </w:pPr>
      <w:r>
        <w:rPr>
          <w:rStyle w:val="FootnoteReference"/>
        </w:rPr>
        <w:footnoteRef/>
      </w:r>
      <w:r>
        <w:t xml:space="preserve"> Reglamento (UE) n.º 1303/2013, anexo 1, parte 5, del Reglamento (UE) n.º 808/2014, y Orientaciones sobre la programación para la innovación y la aplicación de la </w:t>
      </w:r>
      <w:proofErr w:type="spellStart"/>
      <w:r>
        <w:t>AEI</w:t>
      </w:r>
      <w:proofErr w:type="spellEnd"/>
      <w:r>
        <w:t xml:space="preserve"> en la productividad y sostenibilidad agrícolas (2014, p. 10).</w:t>
      </w:r>
    </w:p>
  </w:footnote>
  <w:footnote w:id="25">
    <w:p w:rsidR="008D2E0D" w:rsidRPr="00171202" w:rsidRDefault="008D2E0D" w:rsidP="00E05D08">
      <w:pPr>
        <w:pStyle w:val="FootnoteText"/>
      </w:pPr>
      <w:r>
        <w:rPr>
          <w:rStyle w:val="FootnoteReference"/>
        </w:rPr>
        <w:footnoteRef/>
      </w:r>
      <w:r>
        <w:t xml:space="preserve"> Artículo 27 del Reglamento (UE) n.º 1303/2013 y anexo 1, parte 5, del Reglamento (UE) n.º 808/2014.</w:t>
      </w:r>
    </w:p>
  </w:footnote>
  <w:footnote w:id="26">
    <w:p w:rsidR="008D2E0D" w:rsidRPr="00171202" w:rsidRDefault="008D2E0D" w:rsidP="00E05D08">
      <w:pPr>
        <w:pStyle w:val="FootnoteText"/>
      </w:pPr>
      <w:r>
        <w:rPr>
          <w:rStyle w:val="FootnoteReference"/>
        </w:rPr>
        <w:footnoteRef/>
      </w:r>
      <w:r>
        <w:t xml:space="preserve"> Artículos 32-34 del Reglamento (UE) n.º 1303/2013 y anexo 1, parte 5, del Reglamento (UE) n.º 808/2014.</w:t>
      </w:r>
    </w:p>
  </w:footnote>
  <w:footnote w:id="27">
    <w:p w:rsidR="008D2E0D" w:rsidRPr="00171202" w:rsidRDefault="008D2E0D" w:rsidP="00E05D08">
      <w:pPr>
        <w:pStyle w:val="FootnoteText"/>
      </w:pPr>
      <w:r>
        <w:rPr>
          <w:rStyle w:val="FootnoteReference"/>
        </w:rPr>
        <w:footnoteRef/>
      </w:r>
      <w:r>
        <w:t xml:space="preserve"> Artículo 53 del Reglamento (UE) n.º 1305/2013</w:t>
      </w:r>
    </w:p>
  </w:footnote>
  <w:footnote w:id="28">
    <w:p w:rsidR="008D2E0D" w:rsidRPr="00171202" w:rsidRDefault="008D2E0D" w:rsidP="00E05D08">
      <w:pPr>
        <w:pStyle w:val="FootnoteText"/>
      </w:pPr>
      <w:r>
        <w:rPr>
          <w:rStyle w:val="FootnoteReference"/>
        </w:rPr>
        <w:footnoteRef/>
      </w:r>
      <w:r>
        <w:t xml:space="preserve"> Artículo 54, apartado 2, letra d), del Reglamento (UE) n.º 1305/2013.</w:t>
      </w:r>
    </w:p>
  </w:footnote>
  <w:footnote w:id="29">
    <w:p w:rsidR="008D2E0D" w:rsidRPr="00171202" w:rsidRDefault="008D2E0D" w:rsidP="00E05D08">
      <w:pPr>
        <w:pStyle w:val="FootnoteText"/>
      </w:pPr>
      <w:r>
        <w:rPr>
          <w:rStyle w:val="FootnoteReference"/>
        </w:rPr>
        <w:footnoteRef/>
      </w:r>
      <w:r>
        <w:t xml:space="preserve"> Orientaciones sobre la programación para la innovación y la aplicación de la </w:t>
      </w:r>
      <w:proofErr w:type="spellStart"/>
      <w:r>
        <w:t>AEI</w:t>
      </w:r>
      <w:proofErr w:type="spellEnd"/>
      <w:r>
        <w:t xml:space="preserve"> en la productividad y sostenibilidad agrícolas (2014, p. 13).</w:t>
      </w:r>
    </w:p>
  </w:footnote>
  <w:footnote w:id="30">
    <w:p w:rsidR="008D2E0D" w:rsidRPr="00171202" w:rsidRDefault="008D2E0D" w:rsidP="00E05D08">
      <w:pPr>
        <w:pStyle w:val="FootnoteText"/>
      </w:pPr>
      <w:r>
        <w:rPr>
          <w:rStyle w:val="FootnoteReference"/>
        </w:rPr>
        <w:footnoteRef/>
      </w:r>
      <w:r>
        <w:t xml:space="preserve"> Artículo 54, apartado 3, letra b), inciso iv), del Reglamento (UE) n.º 1305/2013.</w:t>
      </w:r>
    </w:p>
  </w:footnote>
  <w:footnote w:id="31">
    <w:p w:rsidR="008D2E0D" w:rsidRPr="00171202" w:rsidRDefault="008D2E0D" w:rsidP="00E05D08">
      <w:pPr>
        <w:pStyle w:val="FootnoteText"/>
      </w:pPr>
      <w:r>
        <w:rPr>
          <w:rStyle w:val="FootnoteReference"/>
        </w:rPr>
        <w:footnoteRef/>
      </w:r>
      <w:r>
        <w:t xml:space="preserve"> Anexo I, parte 1, punto 9, apartado 3, letra a), del Reglamento (UE) n.º 808/2014.</w:t>
      </w:r>
    </w:p>
  </w:footnote>
  <w:footnote w:id="32">
    <w:p w:rsidR="008D2E0D" w:rsidRPr="00171202" w:rsidRDefault="008D2E0D" w:rsidP="00E05D08">
      <w:pPr>
        <w:pStyle w:val="FootnoteText"/>
      </w:pPr>
      <w:r>
        <w:rPr>
          <w:rStyle w:val="FootnoteReference"/>
        </w:rPr>
        <w:footnoteRef/>
      </w:r>
      <w:r>
        <w:t xml:space="preserve"> Anexo VII, punto 2, del Reglamento (UE) n.º 808/2014.</w:t>
      </w:r>
    </w:p>
  </w:footnote>
  <w:footnote w:id="33">
    <w:p w:rsidR="008D2E0D" w:rsidRPr="005F1B3E" w:rsidRDefault="008D2E0D" w:rsidP="00E05D08">
      <w:pPr>
        <w:pStyle w:val="FootnoteText"/>
      </w:pPr>
      <w:r>
        <w:rPr>
          <w:rStyle w:val="FootnoteReference"/>
        </w:rPr>
        <w:footnoteRef/>
      </w:r>
      <w:r>
        <w:t xml:space="preserve"> Anexo IV del Reglamento (UE) n.º 808/2014.</w:t>
      </w:r>
    </w:p>
  </w:footnote>
  <w:footnote w:id="34">
    <w:p w:rsidR="008D2E0D" w:rsidRPr="00E14E11" w:rsidRDefault="008D2E0D" w:rsidP="00E05D08">
      <w:pPr>
        <w:pStyle w:val="FootnoteText"/>
      </w:pPr>
      <w:r>
        <w:rPr>
          <w:rStyle w:val="FootnoteReference"/>
        </w:rPr>
        <w:footnoteRef/>
      </w:r>
      <w:r>
        <w:t xml:space="preserve">Véase el seminario de la </w:t>
      </w:r>
      <w:proofErr w:type="spellStart"/>
      <w:r>
        <w:t>AEI</w:t>
      </w:r>
      <w:proofErr w:type="spellEnd"/>
      <w:r>
        <w:t xml:space="preserve"> sobre sistemas de conocimiento e innovación interactiva:</w:t>
      </w:r>
      <w:r>
        <w:rPr>
          <w:rStyle w:val="Hyperlink"/>
        </w:rPr>
        <w:t xml:space="preserve"> </w:t>
      </w:r>
      <w:hyperlink r:id="rId9">
        <w:r>
          <w:rPr>
            <w:rStyle w:val="Hyperlink"/>
          </w:rPr>
          <w:t>https://ec.europa.eu/eip/agriculture/sites/agri-eip/files/field_event_attachments/sem-knowledge-20151203-pres02-inge_van_oost.pdf</w:t>
        </w:r>
      </w:hyperlink>
    </w:p>
  </w:footnote>
  <w:footnote w:id="35">
    <w:p w:rsidR="008D2E0D" w:rsidRPr="008F676D" w:rsidRDefault="008D2E0D" w:rsidP="00E05D08">
      <w:pPr>
        <w:pStyle w:val="FootnoteText"/>
        <w:rPr>
          <w:lang w:val="sk-SK"/>
        </w:rPr>
      </w:pPr>
      <w:r>
        <w:rPr>
          <w:rStyle w:val="FootnoteReference"/>
        </w:rPr>
        <w:footnoteRef/>
      </w:r>
      <w:r>
        <w:t xml:space="preserve"> Se ofrece más información en las directrices: Evaluación de los resultados del </w:t>
      </w:r>
      <w:proofErr w:type="spellStart"/>
      <w:r>
        <w:t>PDR</w:t>
      </w:r>
      <w:proofErr w:type="spellEnd"/>
      <w:r>
        <w:t xml:space="preserve">: cómo preparar la presentación de informes sobre las conclusiones de la evaluación en 2017, </w:t>
      </w:r>
      <w:hyperlink r:id="rId10">
        <w:r>
          <w:rPr>
            <w:rStyle w:val="Hyperlink"/>
          </w:rPr>
          <w:t>https://enrd.ec.europa.eu/evaluation/publications/guidelines-assessment-rdp-results-how-prepare-reporting-evaluation-2017_en</w:t>
        </w:r>
      </w:hyperlink>
    </w:p>
  </w:footnote>
  <w:footnote w:id="36">
    <w:p w:rsidR="008D2E0D" w:rsidRPr="00401F29" w:rsidRDefault="008D2E0D" w:rsidP="00E05D08">
      <w:pPr>
        <w:pStyle w:val="FootnoteText"/>
      </w:pPr>
      <w:r>
        <w:rPr>
          <w:rStyle w:val="FootnoteReference"/>
        </w:rPr>
        <w:footnoteRef/>
      </w:r>
      <w:r>
        <w:t xml:space="preserve"> Artículo 66 del Reglamento (UE) n.º 1305/2013 y artículo 15 y anexo VII del Reglamento (UE) n.º 808/2014.</w:t>
      </w:r>
    </w:p>
  </w:footnote>
  <w:footnote w:id="37">
    <w:p w:rsidR="008D2E0D" w:rsidRPr="00576A73" w:rsidRDefault="008D2E0D" w:rsidP="00804433">
      <w:pPr>
        <w:pStyle w:val="FootnoteText"/>
        <w:rPr>
          <w:lang w:val="sk-SK"/>
        </w:rPr>
      </w:pPr>
      <w:r>
        <w:rPr>
          <w:rStyle w:val="FootnoteReference"/>
        </w:rPr>
        <w:footnoteRef/>
      </w:r>
      <w:r>
        <w:t xml:space="preserve"> Véanse las Directrices «Evaluación de los resultados del </w:t>
      </w:r>
      <w:proofErr w:type="spellStart"/>
      <w:r>
        <w:t>PDR</w:t>
      </w:r>
      <w:proofErr w:type="spellEnd"/>
      <w:r>
        <w:t xml:space="preserve">: Cómo elaborar los informes sobre evaluación en 2017», Servicio de asistencia de evaluación, septiembre de 2016, </w:t>
      </w:r>
      <w:hyperlink r:id="rId11">
        <w:r>
          <w:rPr>
            <w:rStyle w:val="Hyperlink"/>
          </w:rPr>
          <w:t>https://enrd.ec.europa.eu/evaluation/publications/guidelines-assessment-rdp-results-how-prepare-reporting-evaluation-2017_en</w:t>
        </w:r>
      </w:hyperlink>
      <w:r>
        <w:t>.</w:t>
      </w:r>
    </w:p>
  </w:footnote>
  <w:footnote w:id="38">
    <w:p w:rsidR="008D2E0D" w:rsidRPr="00626C0C" w:rsidRDefault="008D2E0D" w:rsidP="00130B60">
      <w:pPr>
        <w:pStyle w:val="FootnoteText"/>
      </w:pPr>
      <w:r>
        <w:rPr>
          <w:rStyle w:val="FootnoteReference"/>
        </w:rPr>
        <w:footnoteRef/>
      </w:r>
      <w:r>
        <w:t xml:space="preserve"> Enlace al secretariado de evaluación sueco: </w:t>
      </w:r>
      <w:hyperlink r:id="rId12">
        <w:r>
          <w:rPr>
            <w:rStyle w:val="Hyperlink"/>
          </w:rPr>
          <w:t>https://www.jordbruksverket.se/utvardering</w:t>
        </w:r>
      </w:hyperlink>
    </w:p>
  </w:footnote>
  <w:footnote w:id="39">
    <w:p w:rsidR="008D2E0D" w:rsidRPr="00171202" w:rsidRDefault="008D2E0D" w:rsidP="00804433">
      <w:pPr>
        <w:pStyle w:val="FootnoteText"/>
      </w:pPr>
      <w:r>
        <w:rPr>
          <w:rStyle w:val="FootnoteReference"/>
        </w:rPr>
        <w:footnoteRef/>
      </w:r>
      <w:r>
        <w:t xml:space="preserve"> Anexo VII, punto 7, del Reglamento (UE) n.º 808/2014.</w:t>
      </w:r>
    </w:p>
  </w:footnote>
  <w:footnote w:id="40">
    <w:p w:rsidR="008D2E0D" w:rsidRPr="00171202" w:rsidRDefault="008D2E0D" w:rsidP="00804433">
      <w:pPr>
        <w:pStyle w:val="FootnoteText"/>
      </w:pPr>
      <w:r>
        <w:rPr>
          <w:rStyle w:val="FootnoteReference"/>
        </w:rPr>
        <w:footnoteRef/>
      </w:r>
      <w:r>
        <w:t xml:space="preserve"> Anexo IV, puntos 2, 3 y 4, del Reglamento (UE) n.º 808/2014.</w:t>
      </w:r>
    </w:p>
  </w:footnote>
  <w:footnote w:id="41">
    <w:p w:rsidR="008D2E0D" w:rsidRPr="00171202" w:rsidRDefault="008D2E0D" w:rsidP="00E05D08">
      <w:pPr>
        <w:pStyle w:val="FootnoteText"/>
      </w:pPr>
      <w:r>
        <w:rPr>
          <w:rStyle w:val="FootnoteReference"/>
        </w:rPr>
        <w:footnoteRef/>
      </w:r>
      <w:r>
        <w:t xml:space="preserve"> Criterios de valoración que figuran en el documento de trabajo: Preguntas comunes de evaluación para los programas de desarrollo rural 2014-2020, </w:t>
      </w:r>
      <w:hyperlink r:id="rId13">
        <w:r>
          <w:rPr>
            <w:rStyle w:val="Hyperlink"/>
          </w:rPr>
          <w:t>https://enrd.ec.europa.eu/evaluation/publications/working-document-common-evaluation-questions-rural-development-programmes_en</w:t>
        </w:r>
      </w:hyperlink>
    </w:p>
  </w:footnote>
  <w:footnote w:id="42">
    <w:p w:rsidR="008D2E0D" w:rsidRPr="00171202" w:rsidRDefault="008D2E0D" w:rsidP="00E05D08">
      <w:pPr>
        <w:pStyle w:val="FootnoteText"/>
      </w:pPr>
      <w:r>
        <w:rPr>
          <w:rStyle w:val="FootnoteReference"/>
        </w:rPr>
        <w:footnoteRef/>
      </w:r>
      <w:r>
        <w:t xml:space="preserve"> Anexo IV del Reglamento (UE) n.º 808/2014.</w:t>
      </w:r>
    </w:p>
  </w:footnote>
  <w:footnote w:id="43">
    <w:p w:rsidR="008D2E0D" w:rsidRPr="00091F73" w:rsidRDefault="008D2E0D" w:rsidP="00E05D08">
      <w:pPr>
        <w:pStyle w:val="FootnoteText"/>
      </w:pPr>
      <w:r>
        <w:rPr>
          <w:rStyle w:val="FootnoteReference"/>
        </w:rPr>
        <w:footnoteRef/>
      </w:r>
      <w:r>
        <w:t xml:space="preserve"> Además de los criterios especificados en el documento de trabajo: Preguntas comunes de evaluación para los programas de desarrollo rural 2014-2020, en los Estados miembros se elaboran criterios de valoración complementarios. </w:t>
      </w:r>
    </w:p>
  </w:footnote>
  <w:footnote w:id="44">
    <w:p w:rsidR="008D2E0D" w:rsidRPr="00091F73" w:rsidRDefault="008D2E0D" w:rsidP="00F74459">
      <w:pPr>
        <w:pStyle w:val="FootnoteText"/>
        <w:rPr>
          <w:lang w:val="sk-SK"/>
        </w:rPr>
      </w:pPr>
      <w:r>
        <w:rPr>
          <w:rStyle w:val="FootnoteReference"/>
        </w:rPr>
        <w:footnoteRef/>
      </w:r>
      <w:r>
        <w:t xml:space="preserve"> Los indicadores complementarios son los elaborados por los Estados miembros para completar los indicadores comunes si estos no son suficientes para responder a las preguntas de evaluación, tal como se especifica en los criterios de valoración. Se ofrece más información en las directrices: Evaluación de los resultados del </w:t>
      </w:r>
      <w:proofErr w:type="spellStart"/>
      <w:r>
        <w:t>PDR</w:t>
      </w:r>
      <w:proofErr w:type="spellEnd"/>
      <w:r>
        <w:t xml:space="preserve">: cómo preparar la presentación de informes sobre las conclusiones de la evaluación en 2017, </w:t>
      </w:r>
      <w:hyperlink r:id="rId14">
        <w:r>
          <w:rPr>
            <w:rStyle w:val="Hyperlink"/>
          </w:rPr>
          <w:t>https://enrd.ec.europa.eu/evaluation/publications/guidelines-assessment-rdp-results-how-prepare-reporting-evaluation-2017_en</w:t>
        </w:r>
      </w:hyperlink>
    </w:p>
  </w:footnote>
  <w:footnote w:id="45">
    <w:p w:rsidR="008D2E0D" w:rsidRPr="00576A73" w:rsidRDefault="008D2E0D">
      <w:pPr>
        <w:pStyle w:val="FootnoteText"/>
        <w:rPr>
          <w:sz w:val="12"/>
          <w:szCs w:val="12"/>
        </w:rPr>
      </w:pPr>
      <w:r>
        <w:rPr>
          <w:rStyle w:val="FootnoteReference"/>
        </w:rPr>
        <w:footnoteRef/>
      </w:r>
      <w:r>
        <w:rPr>
          <w:sz w:val="12"/>
        </w:rPr>
        <w:t xml:space="preserve"> </w:t>
      </w:r>
      <w:r>
        <w:t>Artículo 15, apartado 4, letras a) a g).</w:t>
      </w:r>
    </w:p>
  </w:footnote>
  <w:footnote w:id="46">
    <w:p w:rsidR="008D2E0D" w:rsidRPr="00401F29" w:rsidRDefault="008D2E0D" w:rsidP="00E05D08">
      <w:pPr>
        <w:pStyle w:val="FootnoteText"/>
        <w:rPr>
          <w:rStyle w:val="Hyperlink"/>
        </w:rPr>
      </w:pPr>
      <w:r>
        <w:rPr>
          <w:rStyle w:val="FootnoteReference"/>
        </w:rPr>
        <w:footnoteRef/>
      </w:r>
      <w:r>
        <w:t xml:space="preserve"> Véase:</w:t>
      </w:r>
      <w:r>
        <w:rPr>
          <w:rStyle w:val="Hyperlink"/>
        </w:rPr>
        <w:t xml:space="preserve"> </w:t>
      </w:r>
      <w:hyperlink r:id="rId15">
        <w:r>
          <w:rPr>
            <w:rStyle w:val="Hyperlink"/>
          </w:rPr>
          <w:t>http://ec.europa.eu/europe2020/targets/eu-targets/index_es.htm</w:t>
        </w:r>
      </w:hyperlink>
    </w:p>
  </w:footnote>
  <w:footnote w:id="47">
    <w:p w:rsidR="008D2E0D" w:rsidRPr="00401F29" w:rsidRDefault="008D2E0D" w:rsidP="00C3092C">
      <w:pPr>
        <w:pStyle w:val="FootnoteText"/>
      </w:pPr>
      <w:r>
        <w:rPr>
          <w:vertAlign w:val="superscript"/>
        </w:rPr>
        <w:footnoteRef/>
      </w:r>
      <w:r>
        <w:t xml:space="preserve"> Documento de trabajo: Preguntas comunes de evaluación para los </w:t>
      </w:r>
      <w:proofErr w:type="spellStart"/>
      <w:r>
        <w:t>PDR</w:t>
      </w:r>
      <w:proofErr w:type="spellEnd"/>
      <w:r>
        <w:t xml:space="preserve"> 2014-2020, </w:t>
      </w:r>
      <w:hyperlink r:id="rId16">
        <w:r>
          <w:rPr>
            <w:rStyle w:val="Hyperlink"/>
          </w:rPr>
          <w:t>http://enrd.ec.europa.eu/evaluation/publications/working-document-common-evaluation-questions-rural-development-programmes_en</w:t>
        </w:r>
      </w:hyperlink>
    </w:p>
  </w:footnote>
  <w:footnote w:id="48">
    <w:p w:rsidR="008D2E0D" w:rsidRPr="00401F29" w:rsidRDefault="008D2E0D" w:rsidP="00E05D08">
      <w:pPr>
        <w:pStyle w:val="FootnoteText"/>
      </w:pPr>
      <w:r>
        <w:rPr>
          <w:rStyle w:val="FootnoteReference"/>
        </w:rPr>
        <w:footnoteRef/>
      </w:r>
      <w:r>
        <w:t xml:space="preserve"> Estos artículos figuran en el Reglamento (UE) n.º 1305/2013.</w:t>
      </w:r>
    </w:p>
  </w:footnote>
  <w:footnote w:id="49">
    <w:p w:rsidR="008D2E0D" w:rsidRPr="00401F29" w:rsidRDefault="008D2E0D" w:rsidP="00E05D08">
      <w:pPr>
        <w:pStyle w:val="FootnoteText"/>
      </w:pPr>
      <w:r>
        <w:rPr>
          <w:rStyle w:val="FootnoteReference"/>
        </w:rPr>
        <w:footnoteRef/>
      </w:r>
      <w:r>
        <w:t xml:space="preserve"> Artículo 15, apartado 4, letra c), del Reglamento (UE) n.º 1305/2013.</w:t>
      </w:r>
    </w:p>
  </w:footnote>
  <w:footnote w:id="50">
    <w:p w:rsidR="008D2E0D" w:rsidRPr="00401F29" w:rsidRDefault="008D2E0D" w:rsidP="00E05D08">
      <w:pPr>
        <w:pStyle w:val="FootnoteText"/>
      </w:pPr>
      <w:r>
        <w:rPr>
          <w:rStyle w:val="FootnoteReference"/>
        </w:rPr>
        <w:footnoteRef/>
      </w:r>
      <w:r>
        <w:t xml:space="preserve"> Artículo 32 del Reglamento (UE) n.º 1303/2013.</w:t>
      </w:r>
    </w:p>
  </w:footnote>
  <w:footnote w:id="51">
    <w:p w:rsidR="008D2E0D" w:rsidRPr="00C3092C" w:rsidRDefault="008D2E0D" w:rsidP="00C3092C">
      <w:pPr>
        <w:pStyle w:val="FootnoteText"/>
      </w:pPr>
      <w:r>
        <w:rPr>
          <w:rStyle w:val="FootnoteReference"/>
        </w:rPr>
        <w:footnoteRef/>
      </w:r>
      <w:r>
        <w:t xml:space="preserve"> Artículo 35, apartado 2, letra b), del Reglamento (UE) n.º 1305/2013.</w:t>
      </w:r>
    </w:p>
  </w:footnote>
  <w:footnote w:id="52">
    <w:p w:rsidR="008D2E0D" w:rsidRPr="0026694F" w:rsidRDefault="008D2E0D" w:rsidP="00E05D08">
      <w:pPr>
        <w:pStyle w:val="FootnoteText"/>
        <w:rPr>
          <w:color w:val="373737"/>
        </w:rPr>
      </w:pPr>
      <w:r>
        <w:rPr>
          <w:rStyle w:val="FootnoteReference"/>
        </w:rPr>
        <w:footnoteRef/>
      </w:r>
      <w:r>
        <w:t xml:space="preserve"> Artículo 35 del Reglamento (UE) n.º 1305/2013. En el anexo I del documento de orientación «Medida “Cooperación”» (versión de noviembre de 2014) figura la lista completa de </w:t>
      </w:r>
      <w:proofErr w:type="spellStart"/>
      <w:r>
        <w:t>submedidas</w:t>
      </w:r>
      <w:proofErr w:type="spellEnd"/>
      <w:r>
        <w:t xml:space="preserve"> de la medida cooperación,</w:t>
      </w:r>
      <w:r>
        <w:rPr>
          <w:color w:val="373737"/>
        </w:rPr>
        <w:t xml:space="preserve"> </w:t>
      </w:r>
      <w:hyperlink r:id="rId17">
        <w:r>
          <w:rPr>
            <w:rStyle w:val="Hyperlink"/>
          </w:rPr>
          <w:t>https://ec.europa.eu/eip/agriculture/sites/agri-eip/files/16_measure_fiche_art_35_co-operation.pdf</w:t>
        </w:r>
      </w:hyperlink>
    </w:p>
  </w:footnote>
  <w:footnote w:id="53">
    <w:p w:rsidR="008D2E0D" w:rsidRPr="00401F29" w:rsidRDefault="008D2E0D" w:rsidP="00E05D08">
      <w:pPr>
        <w:pStyle w:val="FootnoteText"/>
      </w:pPr>
      <w:r>
        <w:rPr>
          <w:rStyle w:val="FootnoteReference"/>
        </w:rPr>
        <w:footnoteRef/>
      </w:r>
      <w:r>
        <w:t xml:space="preserve"> Artículo 35, apartado 1, del Reglamento (UE) n.º 1305/2013.</w:t>
      </w:r>
    </w:p>
  </w:footnote>
  <w:footnote w:id="54">
    <w:p w:rsidR="009C6BCC" w:rsidRPr="00AB16BB" w:rsidRDefault="009C6BCC" w:rsidP="009C6BCC">
      <w:pPr>
        <w:pStyle w:val="FootnoteText"/>
        <w:rPr>
          <w:sz w:val="12"/>
          <w:szCs w:val="12"/>
        </w:rPr>
      </w:pPr>
      <w:r>
        <w:rPr>
          <w:rStyle w:val="FootnoteReference"/>
        </w:rPr>
        <w:footnoteRef/>
      </w:r>
      <w:r>
        <w:t xml:space="preserve">Presentación de ejemplos de programación vinculados a las prioridades </w:t>
      </w:r>
      <w:proofErr w:type="spellStart"/>
      <w:r>
        <w:t>P4</w:t>
      </w:r>
      <w:proofErr w:type="spellEnd"/>
      <w:r>
        <w:t xml:space="preserve"> y </w:t>
      </w:r>
      <w:proofErr w:type="spellStart"/>
      <w:r>
        <w:t>P5</w:t>
      </w:r>
      <w:proofErr w:type="spellEnd"/>
      <w:r>
        <w:t xml:space="preserve"> del </w:t>
      </w:r>
      <w:proofErr w:type="spellStart"/>
      <w:r>
        <w:t>Feader</w:t>
      </w:r>
      <w:proofErr w:type="spellEnd"/>
      <w:r>
        <w:t xml:space="preserve">. Disponible en: </w:t>
      </w:r>
      <w:hyperlink r:id="rId18">
        <w:r>
          <w:rPr>
            <w:rStyle w:val="Hyperlink"/>
          </w:rPr>
          <w:t>http://enrd.ec.europa.eu/sites/enrd/files/w10_m16_finland_karlsson.pdf</w:t>
        </w:r>
      </w:hyperlink>
      <w:r>
        <w:rPr>
          <w:sz w:val="12"/>
        </w:rPr>
        <w:t xml:space="preserve"> </w:t>
      </w:r>
    </w:p>
  </w:footnote>
  <w:footnote w:id="55">
    <w:p w:rsidR="009C6BCC" w:rsidRPr="00A45935" w:rsidRDefault="009C6BCC" w:rsidP="009C6BCC">
      <w:pPr>
        <w:pStyle w:val="FootnoteText"/>
        <w:rPr>
          <w:szCs w:val="16"/>
        </w:rPr>
      </w:pPr>
      <w:r>
        <w:rPr>
          <w:rStyle w:val="FootnoteReference"/>
        </w:rPr>
        <w:footnoteRef/>
      </w:r>
      <w:r>
        <w:rPr>
          <w:rStyle w:val="Hyperlink"/>
        </w:rPr>
        <w:t xml:space="preserve"> </w:t>
      </w:r>
      <w:hyperlink r:id="rId19">
        <w:r>
          <w:rPr>
            <w:rStyle w:val="Hyperlink"/>
          </w:rPr>
          <w:t>https://ec.europa.eu/eip/agriculture/en/content/innovative-stable-reducing-ammonia-emissions</w:t>
        </w:r>
      </w:hyperlink>
    </w:p>
  </w:footnote>
  <w:footnote w:id="56">
    <w:p w:rsidR="009C6BCC" w:rsidRDefault="009C6BCC" w:rsidP="009C6BCC">
      <w:pPr>
        <w:pStyle w:val="FootnoteText"/>
      </w:pPr>
      <w:r>
        <w:rPr>
          <w:rStyle w:val="FootnoteReference"/>
        </w:rPr>
        <w:footnoteRef/>
      </w:r>
      <w:r>
        <w:t xml:space="preserve"> Presentación de ejemplos de programación vinculados a las prioridades </w:t>
      </w:r>
      <w:proofErr w:type="spellStart"/>
      <w:r>
        <w:t>P4</w:t>
      </w:r>
      <w:proofErr w:type="spellEnd"/>
      <w:r>
        <w:t xml:space="preserve"> y </w:t>
      </w:r>
      <w:proofErr w:type="spellStart"/>
      <w:r>
        <w:t>P5</w:t>
      </w:r>
      <w:proofErr w:type="spellEnd"/>
      <w:r>
        <w:t xml:space="preserve"> del </w:t>
      </w:r>
      <w:proofErr w:type="spellStart"/>
      <w:r>
        <w:t>Feader</w:t>
      </w:r>
      <w:proofErr w:type="spellEnd"/>
      <w:r>
        <w:t xml:space="preserve">. Disponible en: </w:t>
      </w:r>
      <w:hyperlink r:id="rId20">
        <w:r>
          <w:rPr>
            <w:rStyle w:val="Hyperlink"/>
          </w:rPr>
          <w:t>http://enrd.ec.europa.eu/sites/enrd/files/w10_m16.5_hesse_de_vonkutzleben.pdf</w:t>
        </w:r>
      </w:hyperlink>
    </w:p>
  </w:footnote>
  <w:footnote w:id="57">
    <w:p w:rsidR="008D2E0D" w:rsidRPr="00401F29" w:rsidRDefault="008D2E0D" w:rsidP="00E05D08">
      <w:pPr>
        <w:pStyle w:val="FootnoteText"/>
      </w:pPr>
      <w:r>
        <w:rPr>
          <w:rStyle w:val="FootnoteReference"/>
        </w:rPr>
        <w:footnoteRef/>
      </w:r>
      <w:r>
        <w:t xml:space="preserve"> Artículo 54, apartado 2, del Reglamento (UE) n.º 1305/2013.</w:t>
      </w:r>
    </w:p>
  </w:footnote>
  <w:footnote w:id="58">
    <w:p w:rsidR="008D2E0D" w:rsidRPr="002D11C3" w:rsidRDefault="008D2E0D" w:rsidP="00E05D08">
      <w:pPr>
        <w:pStyle w:val="FootnoteText"/>
        <w:rPr>
          <w:lang w:val="sk-SK"/>
        </w:rPr>
      </w:pPr>
      <w:r>
        <w:rPr>
          <w:rStyle w:val="FootnoteReference"/>
        </w:rPr>
        <w:footnoteRef/>
      </w:r>
      <w:r>
        <w:t xml:space="preserve"> Las orientaciones sobre cómo responder a la PCE n.º 21 también figuran en las </w:t>
      </w:r>
      <w:proofErr w:type="spellStart"/>
      <w:r>
        <w:t>Directirces</w:t>
      </w:r>
      <w:proofErr w:type="spellEnd"/>
      <w:r>
        <w:t xml:space="preserve"> «Evaluación de los resultados del </w:t>
      </w:r>
      <w:proofErr w:type="spellStart"/>
      <w:r>
        <w:t>PDR</w:t>
      </w:r>
      <w:proofErr w:type="spellEnd"/>
      <w:r>
        <w:t xml:space="preserve">: cómo preparar la presentación de informes sobre las conclusiones de la evaluación en 2017», anexo 11, en las que todos los objetivos relacionados con la </w:t>
      </w:r>
      <w:proofErr w:type="spellStart"/>
      <w:r>
        <w:t>RRN</w:t>
      </w:r>
      <w:proofErr w:type="spellEnd"/>
      <w:r>
        <w:t xml:space="preserve"> se han tomado en consideración en relación con la respuesta a la PCE, </w:t>
      </w:r>
      <w:hyperlink r:id="rId21">
        <w:r>
          <w:rPr>
            <w:rStyle w:val="Hyperlink"/>
          </w:rPr>
          <w:t>https://enrd.ec.europa.eu/evaluation/publications/guidelines-assessment-rdp-results-how-prepare-reporting-evaluation-2017_en</w:t>
        </w:r>
      </w:hyperlink>
    </w:p>
  </w:footnote>
  <w:footnote w:id="59">
    <w:p w:rsidR="008D2E0D" w:rsidRPr="00401F29" w:rsidRDefault="008D2E0D" w:rsidP="00E05D08">
      <w:pPr>
        <w:pStyle w:val="FootnoteText"/>
      </w:pPr>
      <w:r>
        <w:rPr>
          <w:rStyle w:val="FootnoteReference"/>
        </w:rPr>
        <w:footnoteRef/>
      </w:r>
      <w:r>
        <w:t xml:space="preserve"> Artículo 54 del Reglamento (UE) n.º 1305/2013.</w:t>
      </w:r>
    </w:p>
  </w:footnote>
  <w:footnote w:id="60">
    <w:p w:rsidR="008D2E0D" w:rsidRPr="00401F29" w:rsidRDefault="008D2E0D" w:rsidP="00E05D08">
      <w:pPr>
        <w:pStyle w:val="FootnoteText"/>
      </w:pPr>
      <w:r>
        <w:rPr>
          <w:rStyle w:val="FootnoteReference"/>
        </w:rPr>
        <w:footnoteRef/>
      </w:r>
      <w:r>
        <w:t xml:space="preserve"> Artículo 54, apartado 3, letra b), del Reglamento (UE) n.º 1305/2013.</w:t>
      </w:r>
    </w:p>
  </w:footnote>
  <w:footnote w:id="61">
    <w:p w:rsidR="008D2E0D" w:rsidRPr="00401F29" w:rsidRDefault="008D2E0D" w:rsidP="00E05D08">
      <w:pPr>
        <w:pStyle w:val="FootnoteText"/>
      </w:pPr>
      <w:r>
        <w:rPr>
          <w:rStyle w:val="FootnoteReference"/>
        </w:rPr>
        <w:footnoteRef/>
      </w:r>
      <w:r>
        <w:t xml:space="preserve"> Artículo 8, apartado 1, letra c), inciso v), del Reglamento (UE) n.º 1305/2013 y anexo I, parte 1, punto 5, letras c) y </w:t>
      </w:r>
      <w:proofErr w:type="spellStart"/>
      <w:r>
        <w:t>e</w:t>
      </w:r>
      <w:proofErr w:type="spellEnd"/>
      <w:r>
        <w:t>), del Reglamento (UE) n.º 808/2014.</w:t>
      </w:r>
    </w:p>
  </w:footnote>
  <w:footnote w:id="62">
    <w:p w:rsidR="008D2E0D" w:rsidRPr="00401F29" w:rsidRDefault="008D2E0D" w:rsidP="00E05D08">
      <w:pPr>
        <w:pStyle w:val="FootnoteText"/>
      </w:pPr>
      <w:r>
        <w:rPr>
          <w:rStyle w:val="FootnoteReference"/>
        </w:rPr>
        <w:footnoteRef/>
      </w:r>
      <w:r>
        <w:t xml:space="preserve"> Artículo 54 del Reglamento (UE) n.º 1305/2013.</w:t>
      </w:r>
    </w:p>
  </w:footnote>
  <w:footnote w:id="63">
    <w:p w:rsidR="008D2E0D" w:rsidRPr="00401F29" w:rsidRDefault="008D2E0D" w:rsidP="00E05D08">
      <w:pPr>
        <w:pStyle w:val="FootnoteText"/>
        <w:rPr>
          <w:rStyle w:val="Hyperlink"/>
        </w:rPr>
      </w:pPr>
      <w:r>
        <w:rPr>
          <w:rStyle w:val="FootnoteReference"/>
        </w:rPr>
        <w:footnoteRef/>
      </w:r>
      <w:r>
        <w:t xml:space="preserve"> Servicio de asistencia de evaluación, Documento de trabajo: Preguntas comunes de evaluación para los </w:t>
      </w:r>
      <w:proofErr w:type="spellStart"/>
      <w:r>
        <w:t>PDR</w:t>
      </w:r>
      <w:proofErr w:type="spellEnd"/>
      <w:r>
        <w:t xml:space="preserve"> 2014-2020, disponible en </w:t>
      </w:r>
      <w:hyperlink r:id="rId22">
        <w:r>
          <w:rPr>
            <w:rStyle w:val="Hyperlink"/>
          </w:rPr>
          <w:t>http://enrd.ec.europa.eu/evaluation/publications/working-document-common-evaluation-questions-rural-development-programmes_en</w:t>
        </w:r>
      </w:hyperlink>
      <w:r>
        <w:t>.</w:t>
      </w:r>
    </w:p>
  </w:footnote>
  <w:footnote w:id="64">
    <w:p w:rsidR="008D2E0D" w:rsidRPr="00401F29" w:rsidRDefault="008D2E0D" w:rsidP="00E05D08">
      <w:pPr>
        <w:pStyle w:val="FootnoteText"/>
      </w:pPr>
      <w:r>
        <w:rPr>
          <w:rStyle w:val="FootnoteReference"/>
        </w:rPr>
        <w:footnoteRef/>
      </w:r>
      <w:r>
        <w:t xml:space="preserve"> Ídem</w:t>
      </w:r>
    </w:p>
  </w:footnote>
  <w:footnote w:id="65">
    <w:p w:rsidR="008D2E0D" w:rsidRPr="00401F29" w:rsidRDefault="008D2E0D" w:rsidP="00E05D08">
      <w:pPr>
        <w:pStyle w:val="FootnoteText"/>
      </w:pPr>
      <w:r>
        <w:rPr>
          <w:rStyle w:val="FootnoteReference"/>
        </w:rPr>
        <w:footnoteRef/>
      </w:r>
      <w:r>
        <w:t xml:space="preserve"> Allen y </w:t>
      </w:r>
      <w:proofErr w:type="spellStart"/>
      <w:r>
        <w:t>Seaman</w:t>
      </w:r>
      <w:proofErr w:type="spellEnd"/>
      <w:r>
        <w:t xml:space="preserve"> (2007).</w:t>
      </w:r>
    </w:p>
  </w:footnote>
  <w:footnote w:id="66">
    <w:p w:rsidR="008D2E0D" w:rsidRPr="00401F29" w:rsidRDefault="008D2E0D" w:rsidP="00E05D08">
      <w:pPr>
        <w:pStyle w:val="FootnoteText"/>
      </w:pPr>
      <w:r>
        <w:rPr>
          <w:rStyle w:val="FootnoteReference"/>
        </w:rPr>
        <w:footnoteRef/>
      </w:r>
      <w:r>
        <w:t xml:space="preserve"> Servicio de asistencia de evaluación, Directrices para la evaluación de las </w:t>
      </w:r>
      <w:proofErr w:type="spellStart"/>
      <w:r>
        <w:t>RRN</w:t>
      </w:r>
      <w:proofErr w:type="spellEnd"/>
      <w:r>
        <w:t xml:space="preserve"> 2014-2020, 2016, Capítulo 3.1.3 y parte III. </w:t>
      </w:r>
      <w:r>
        <w:rPr>
          <w:rStyle w:val="Hyperlink"/>
        </w:rPr>
        <w:t>https://enrd.ec.europa.eu/evaluation/publications/guidelines-evaluation-national-rural-networks-</w:t>
      </w:r>
      <w:hyperlink r:id="rId23">
        <w:r>
          <w:rPr>
            <w:rStyle w:val="Hyperlink"/>
          </w:rPr>
          <w:t>2014</w:t>
        </w:r>
      </w:hyperlink>
      <w:r>
        <w:rPr>
          <w:rStyle w:val="Hyperlink"/>
        </w:rPr>
        <w:t>-</w:t>
      </w:r>
      <w:hyperlink r:id="rId24">
        <w:r>
          <w:rPr>
            <w:rStyle w:val="Hyperlink"/>
          </w:rPr>
          <w:t>2020</w:t>
        </w:r>
      </w:hyperlink>
      <w:r>
        <w:rPr>
          <w:rStyle w:val="Hyperlink"/>
        </w:rPr>
        <w:t>_en</w:t>
      </w:r>
    </w:p>
  </w:footnote>
  <w:footnote w:id="67">
    <w:p w:rsidR="008D2E0D" w:rsidRPr="00E1641B" w:rsidRDefault="008D2E0D" w:rsidP="00F74459">
      <w:pPr>
        <w:pStyle w:val="FootnoteText"/>
        <w:rPr>
          <w:color w:val="F07E31"/>
          <w:u w:val="single"/>
        </w:rPr>
      </w:pPr>
      <w:r>
        <w:rPr>
          <w:rStyle w:val="FootnoteReference"/>
        </w:rPr>
        <w:footnoteRef/>
      </w:r>
      <w:r>
        <w:t xml:space="preserve"> Ejemplo de </w:t>
      </w:r>
      <w:proofErr w:type="spellStart"/>
      <w:r>
        <w:t>RRN</w:t>
      </w:r>
      <w:proofErr w:type="spellEnd"/>
      <w:r>
        <w:t xml:space="preserve"> italiana. </w:t>
      </w:r>
      <w:hyperlink r:id="rId25">
        <w:r>
          <w:rPr>
            <w:rStyle w:val="Hyperlink"/>
          </w:rPr>
          <w:t>http://www.reterurale.it/flex/cm/pages/ServeBLOB.php/L/IT/IDPagina/16281</w:t>
        </w:r>
      </w:hyperlink>
    </w:p>
  </w:footnote>
  <w:footnote w:id="68">
    <w:p w:rsidR="008D2E0D" w:rsidRPr="00CE37B0" w:rsidRDefault="008D2E0D" w:rsidP="00E05D08">
      <w:pPr>
        <w:pStyle w:val="FootnoteText"/>
        <w:rPr>
          <w:lang w:val="sk-SK"/>
        </w:rPr>
      </w:pPr>
      <w:r>
        <w:rPr>
          <w:rStyle w:val="FootnoteReference"/>
        </w:rPr>
        <w:footnoteRef/>
      </w:r>
      <w:r>
        <w:t xml:space="preserve"> EUROPA 2020: Una estrategia para un crecimiento inteligente, sostenible e integrador </w:t>
      </w:r>
      <w:hyperlink r:id="rId26">
        <w:r>
          <w:rPr>
            <w:rStyle w:val="Hyperlink"/>
          </w:rPr>
          <w:t>http://eur-lex.europa.eu/legal-content/en/ALL/?uri=CELEX%3A52010DC2020</w:t>
        </w:r>
      </w:hyperlink>
    </w:p>
  </w:footnote>
  <w:footnote w:id="69">
    <w:p w:rsidR="008D2E0D" w:rsidRPr="0026694F" w:rsidRDefault="008D2E0D" w:rsidP="00E05D08">
      <w:pPr>
        <w:pStyle w:val="FootnoteText"/>
        <w:rPr>
          <w:rFonts w:cs="Helvetica"/>
          <w:color w:val="373737"/>
          <w:szCs w:val="18"/>
          <w:lang w:val="sk-SK"/>
        </w:rPr>
      </w:pPr>
      <w:r>
        <w:rPr>
          <w:rStyle w:val="FootnoteReference"/>
        </w:rPr>
        <w:footnoteRef/>
      </w:r>
      <w:r w:rsidRPr="007B5CB9">
        <w:rPr>
          <w:color w:val="373737"/>
          <w:lang w:val="sk-SK"/>
        </w:rPr>
        <w:t xml:space="preserve"> </w:t>
      </w:r>
      <w:hyperlink r:id="rId27">
        <w:r w:rsidRPr="007B5CB9">
          <w:rPr>
            <w:rStyle w:val="Hyperlink"/>
            <w:lang w:val="sk-SK"/>
          </w:rPr>
          <w:t>http://ec.europa.eu/europe2020/targets/eu-targets/index_es.htm</w:t>
        </w:r>
      </w:hyperlink>
    </w:p>
  </w:footnote>
  <w:footnote w:id="70">
    <w:p w:rsidR="008D2E0D" w:rsidRPr="008F676D" w:rsidRDefault="008D2E0D" w:rsidP="00E05D08">
      <w:pPr>
        <w:pStyle w:val="FootnoteText"/>
        <w:rPr>
          <w:lang w:val="sk-SK"/>
        </w:rPr>
      </w:pPr>
      <w:r>
        <w:rPr>
          <w:rStyle w:val="FootnoteReference"/>
        </w:rPr>
        <w:footnoteRef/>
      </w:r>
      <w:r w:rsidRPr="007B5CB9">
        <w:rPr>
          <w:lang w:val="sk-SK"/>
        </w:rPr>
        <w:t xml:space="preserve"> </w:t>
      </w:r>
      <w:hyperlink r:id="rId28">
        <w:r w:rsidRPr="007B5CB9">
          <w:rPr>
            <w:rStyle w:val="Hyperlink"/>
            <w:lang w:val="sk-SK"/>
          </w:rPr>
          <w:t>http://ec.europa.eu/eurostat/statistics-explained/index.php/R_%26_D_expenditure</w:t>
        </w:r>
      </w:hyperlink>
    </w:p>
  </w:footnote>
  <w:footnote w:id="71">
    <w:p w:rsidR="008D2E0D" w:rsidRPr="0026694F" w:rsidRDefault="008D2E0D" w:rsidP="00E05D08">
      <w:pPr>
        <w:pStyle w:val="FootnoteText"/>
        <w:rPr>
          <w:rFonts w:cs="Helvetica"/>
          <w:color w:val="373737"/>
          <w:szCs w:val="18"/>
          <w:lang w:val="sk-SK"/>
        </w:rPr>
      </w:pPr>
      <w:r>
        <w:rPr>
          <w:rStyle w:val="FootnoteReference"/>
        </w:rPr>
        <w:footnoteRef/>
      </w:r>
      <w:r w:rsidRPr="007B5CB9">
        <w:rPr>
          <w:color w:val="373737"/>
          <w:lang w:val="sk-SK"/>
        </w:rPr>
        <w:t xml:space="preserve"> </w:t>
      </w:r>
      <w:hyperlink r:id="rId29">
        <w:r w:rsidRPr="007B5CB9">
          <w:rPr>
            <w:rStyle w:val="Hyperlink"/>
            <w:lang w:val="sk-SK"/>
          </w:rPr>
          <w:t>http://www.oecd.org/publications/frascati-manual-2015-9789264239012-en.htm</w:t>
        </w:r>
      </w:hyperlink>
    </w:p>
  </w:footnote>
  <w:footnote w:id="72">
    <w:p w:rsidR="008D2E0D" w:rsidRPr="00401F29" w:rsidRDefault="008D2E0D" w:rsidP="00E05D08">
      <w:pPr>
        <w:pStyle w:val="FootnoteText"/>
      </w:pPr>
      <w:r>
        <w:rPr>
          <w:rStyle w:val="FootnoteReference"/>
        </w:rPr>
        <w:footnoteRef/>
      </w:r>
      <w:r>
        <w:rPr>
          <w:color w:val="373737"/>
        </w:rPr>
        <w:t xml:space="preserve"> </w:t>
      </w:r>
      <w:r>
        <w:t>Decisión 1608/2003/CE del Parlamento Europeo y del Consejo, Reglamento (CE) n.º 753/2004 y Reglamento (UE) n.º 995/2012.</w:t>
      </w:r>
    </w:p>
  </w:footnote>
  <w:footnote w:id="73">
    <w:p w:rsidR="008D2E0D" w:rsidRPr="008F676D" w:rsidRDefault="008D2E0D" w:rsidP="00E05D08">
      <w:pPr>
        <w:pStyle w:val="FootnoteText"/>
        <w:rPr>
          <w:lang w:val="sk-SK"/>
        </w:rPr>
      </w:pPr>
      <w:r>
        <w:rPr>
          <w:rStyle w:val="FootnoteReference"/>
        </w:rPr>
        <w:footnoteRef/>
      </w:r>
      <w:r>
        <w:t xml:space="preserve"> </w:t>
      </w:r>
      <w:hyperlink r:id="rId30">
        <w:r>
          <w:rPr>
            <w:rStyle w:val="Hyperlink"/>
          </w:rPr>
          <w:t>http://ec.europa.eu/eurostat/statistics-explained/index.php/Glossary:Gross_domestic_expenditure_on_R_%26_D_(GERD)</w:t>
        </w:r>
      </w:hyperlink>
    </w:p>
  </w:footnote>
  <w:footnote w:id="74">
    <w:p w:rsidR="008D2E0D" w:rsidRPr="00E05D08" w:rsidRDefault="008D2E0D" w:rsidP="00F74459">
      <w:pPr>
        <w:pStyle w:val="FootnoteText"/>
        <w:rPr>
          <w:rFonts w:ascii="Calibri" w:hAnsi="Calibri"/>
          <w:lang w:val="sk-SK"/>
        </w:rPr>
      </w:pPr>
      <w:r>
        <w:rPr>
          <w:rStyle w:val="FootnoteReference"/>
        </w:rPr>
        <w:footnoteRef/>
      </w:r>
      <w:r>
        <w:rPr>
          <w:rFonts w:ascii="Helvetica" w:hAnsi="Helvetica"/>
        </w:rPr>
        <w:t xml:space="preserve"> En Alemania, un estudio sobre las evaluaciones </w:t>
      </w:r>
      <w:r>
        <w:rPr>
          <w:rFonts w:ascii="Helvetica" w:hAnsi="Helvetica"/>
          <w:i/>
        </w:rPr>
        <w:t>ex ante</w:t>
      </w:r>
      <w:r>
        <w:rPr>
          <w:rFonts w:ascii="Helvetica" w:hAnsi="Helvetica"/>
        </w:rPr>
        <w:t xml:space="preserve">, que (entre otras cosas) examinó la pertinencia de los </w:t>
      </w:r>
      <w:proofErr w:type="spellStart"/>
      <w:r>
        <w:rPr>
          <w:rFonts w:ascii="Helvetica" w:hAnsi="Helvetica"/>
        </w:rPr>
        <w:t>PDR</w:t>
      </w:r>
      <w:proofErr w:type="spellEnd"/>
      <w:r>
        <w:rPr>
          <w:rFonts w:ascii="Helvetica" w:hAnsi="Helvetica"/>
        </w:rPr>
        <w:t xml:space="preserve"> para alcanzar los objetivos de la Estrategia Europa 2020, puso de manifiesto que la contribución de los </w:t>
      </w:r>
      <w:proofErr w:type="spellStart"/>
      <w:r>
        <w:rPr>
          <w:rFonts w:ascii="Helvetica" w:hAnsi="Helvetica"/>
        </w:rPr>
        <w:t>PDR</w:t>
      </w:r>
      <w:proofErr w:type="spellEnd"/>
      <w:r>
        <w:rPr>
          <w:rFonts w:ascii="Helvetica" w:hAnsi="Helvetica"/>
        </w:rPr>
        <w:t xml:space="preserve"> al objetivo principal del 3 % se consideraba muy baja. Los gastos solo tendrán una contribución menor al gasto en </w:t>
      </w:r>
      <w:proofErr w:type="spellStart"/>
      <w:r>
        <w:rPr>
          <w:rFonts w:ascii="Helvetica" w:hAnsi="Helvetica"/>
        </w:rPr>
        <w:t>I+D</w:t>
      </w:r>
      <w:proofErr w:type="spellEnd"/>
      <w:r>
        <w:rPr>
          <w:rFonts w:ascii="Helvetica" w:hAnsi="Helvetica"/>
        </w:rPr>
        <w:t xml:space="preserve"> en varios Estados federados.</w:t>
      </w:r>
    </w:p>
  </w:footnote>
  <w:footnote w:id="75">
    <w:p w:rsidR="008D2E0D" w:rsidRPr="0026694F" w:rsidRDefault="008D2E0D" w:rsidP="00E05D08">
      <w:pPr>
        <w:pStyle w:val="FootnoteText"/>
        <w:rPr>
          <w:rFonts w:cs="Helvetica"/>
          <w:color w:val="373737"/>
          <w:lang w:val="sk-SK"/>
        </w:rPr>
      </w:pPr>
      <w:r>
        <w:rPr>
          <w:rStyle w:val="FootnoteReference"/>
        </w:rPr>
        <w:footnoteRef/>
      </w:r>
      <w:r>
        <w:t xml:space="preserve"> Documento de trabajo Preguntas comunes de evaluación para los </w:t>
      </w:r>
      <w:proofErr w:type="spellStart"/>
      <w:r>
        <w:t>PDR</w:t>
      </w:r>
      <w:proofErr w:type="spellEnd"/>
      <w:r>
        <w:t xml:space="preserve"> 2014-2020, </w:t>
      </w:r>
      <w:hyperlink r:id="rId31">
        <w:r>
          <w:rPr>
            <w:rStyle w:val="Hyperlink"/>
          </w:rPr>
          <w:t>http://enrd.ec.europa.eu/evaluation/publications/working-document-common-evaluation-questions-rural-development-programmes_en</w:t>
        </w:r>
      </w:hyperlink>
    </w:p>
  </w:footnote>
  <w:footnote w:id="76">
    <w:p w:rsidR="008D2E0D" w:rsidRPr="00014A2E" w:rsidRDefault="008D2E0D" w:rsidP="00E05D08">
      <w:pPr>
        <w:pStyle w:val="FootnoteText"/>
        <w:rPr>
          <w:lang w:val="sk-SK"/>
        </w:rPr>
      </w:pPr>
      <w:r>
        <w:rPr>
          <w:rStyle w:val="FootnoteReference"/>
        </w:rPr>
        <w:footnoteRef/>
      </w:r>
      <w:r>
        <w:t xml:space="preserve"> Artículo 8, apartado 1, letra c), inciso v), del Reglamento (UE) n.º 1305/2013 y anexo I, parte I, punto 5, letras c) y </w:t>
      </w:r>
      <w:proofErr w:type="spellStart"/>
      <w:r>
        <w:t>e</w:t>
      </w:r>
      <w:proofErr w:type="spellEnd"/>
      <w:r>
        <w:t>), del Reglamento (UE) n.º 808/2014.</w:t>
      </w:r>
    </w:p>
  </w:footnote>
  <w:footnote w:id="77">
    <w:p w:rsidR="008D2E0D" w:rsidRPr="001D68A9" w:rsidRDefault="008D2E0D" w:rsidP="00E05D08">
      <w:pPr>
        <w:pStyle w:val="FootnoteText"/>
        <w:rPr>
          <w:lang w:val="sk-SK"/>
        </w:rPr>
      </w:pPr>
      <w:r>
        <w:rPr>
          <w:rStyle w:val="FootnoteReference"/>
        </w:rPr>
        <w:footnoteRef/>
      </w:r>
      <w:r w:rsidRPr="007B5CB9">
        <w:rPr>
          <w:lang w:val="sk-SK"/>
        </w:rPr>
        <w:t xml:space="preserve"> </w:t>
      </w:r>
      <w:hyperlink r:id="rId32">
        <w:r w:rsidRPr="007B5CB9">
          <w:rPr>
            <w:rStyle w:val="Hyperlink"/>
            <w:lang w:val="sk-SK"/>
          </w:rPr>
          <w:t>http://www.analytictech.com/networks/whatis.htm</w:t>
        </w:r>
      </w:hyperlink>
    </w:p>
  </w:footnote>
  <w:footnote w:id="78">
    <w:p w:rsidR="008D2E0D" w:rsidRPr="00401F29" w:rsidRDefault="008D2E0D" w:rsidP="00E05D08">
      <w:pPr>
        <w:pStyle w:val="FootnoteText"/>
      </w:pPr>
      <w:r>
        <w:rPr>
          <w:rStyle w:val="FootnoteReference"/>
        </w:rPr>
        <w:footnoteRef/>
      </w:r>
      <w:r>
        <w:t xml:space="preserve"> Wilson-Grau, 2015. </w:t>
      </w:r>
    </w:p>
  </w:footnote>
  <w:footnote w:id="79">
    <w:p w:rsidR="008D2E0D" w:rsidRPr="00401F29" w:rsidRDefault="008D2E0D" w:rsidP="00E05D08">
      <w:pPr>
        <w:pStyle w:val="FootnoteText"/>
      </w:pPr>
      <w:r>
        <w:rPr>
          <w:rStyle w:val="FootnoteReference"/>
        </w:rPr>
        <w:footnoteRef/>
      </w:r>
      <w:r>
        <w:t xml:space="preserve"> «Un estudio de caso es un método de aprendizaje sobre un asunto complejo, basado en una comprensión global de dicho asunto obtenida a través de una descripción y análisis exhaustivos de dicho asunto tomado como un todo y en su contexto» (</w:t>
      </w:r>
      <w:proofErr w:type="spellStart"/>
      <w:r>
        <w:t>GAO</w:t>
      </w:r>
      <w:proofErr w:type="spellEnd"/>
      <w:r>
        <w:t>, 1990, p. 15).</w:t>
      </w:r>
    </w:p>
  </w:footnote>
  <w:footnote w:id="80">
    <w:p w:rsidR="008D2E0D" w:rsidRPr="00401F29" w:rsidRDefault="008D2E0D" w:rsidP="00E05D08">
      <w:pPr>
        <w:pStyle w:val="FootnoteText"/>
      </w:pPr>
      <w:r>
        <w:rPr>
          <w:rStyle w:val="FootnoteReference"/>
        </w:rPr>
        <w:footnoteRef/>
      </w:r>
      <w:r>
        <w:rPr>
          <w:rStyle w:val="FootnoteReference"/>
        </w:rPr>
        <w:t xml:space="preserve"> </w:t>
      </w:r>
      <w:r>
        <w:t xml:space="preserve">El rastreo del proceso es un enfoque de la inferencia causal basado en casos que se centra en la utilización de indicios en un caso (observaciones del proceso causal) para decidir entre posibles explicaciones alternativas; más información en </w:t>
      </w:r>
      <w:hyperlink r:id="rId33">
        <w:r>
          <w:rPr>
            <w:rStyle w:val="Hyperlink"/>
            <w:shd w:val="clear" w:color="auto" w:fill="FFFFFF"/>
          </w:rPr>
          <w:t>http://www.betterevaluation.org/en/evaluation-options/processtracing</w:t>
        </w:r>
      </w:hyperlink>
      <w:r>
        <w:t xml:space="preserve">, léase también </w:t>
      </w:r>
      <w:proofErr w:type="spellStart"/>
      <w:r>
        <w:t>Collier</w:t>
      </w:r>
      <w:proofErr w:type="spellEnd"/>
      <w:r>
        <w:t xml:space="preserve"> 2011, véase la bibliografía.</w:t>
      </w:r>
    </w:p>
  </w:footnote>
  <w:footnote w:id="81">
    <w:p w:rsidR="008D2E0D" w:rsidRPr="00401F29" w:rsidRDefault="008D2E0D" w:rsidP="00E05D08">
      <w:pPr>
        <w:pStyle w:val="FootnoteText"/>
      </w:pPr>
      <w:r>
        <w:rPr>
          <w:rStyle w:val="FootnoteReference"/>
        </w:rPr>
        <w:footnoteRef/>
      </w:r>
      <w:r>
        <w:t xml:space="preserve"> «La elaboración de una "historia de innovación" es un método que permite registrar un proceso de innovación y reflexionar sobre él. Las personas que han estado implicadas en la innovación construyen conjuntamente un relato escrito detallado (a veces denominado "historia de aprendizaje") basándose en sus recuerdos y en documentos disponibles.» Más información </w:t>
      </w:r>
      <w:hyperlink r:id="rId34">
        <w:r>
          <w:rPr>
            <w:rStyle w:val="Hyperlink"/>
          </w:rPr>
          <w:t>http://www.betterevaluation.org/en/resources/tools/innovation_history/innovation_timeline</w:t>
        </w:r>
      </w:hyperlink>
      <w:r>
        <w:t xml:space="preserve">, y </w:t>
      </w:r>
      <w:proofErr w:type="spellStart"/>
      <w:r>
        <w:t>Douthwaite</w:t>
      </w:r>
      <w:proofErr w:type="spellEnd"/>
      <w:r>
        <w:t xml:space="preserve"> y Ashby, 2005, véase la bibliografía. </w:t>
      </w:r>
    </w:p>
  </w:footnote>
  <w:footnote w:id="82">
    <w:p w:rsidR="00683332" w:rsidRPr="00A847F8" w:rsidRDefault="00683332" w:rsidP="00683332">
      <w:pPr>
        <w:pStyle w:val="FootnoteText"/>
      </w:pPr>
      <w:r>
        <w:rPr>
          <w:rStyle w:val="FootnoteReference"/>
        </w:rPr>
        <w:footnoteRef/>
      </w:r>
      <w:r>
        <w:t xml:space="preserve"> </w:t>
      </w:r>
      <w:proofErr w:type="spellStart"/>
      <w:r>
        <w:t>Mayne</w:t>
      </w:r>
      <w:proofErr w:type="spellEnd"/>
      <w:r>
        <w:t>, 2012, véase la bibliografía.</w:t>
      </w:r>
    </w:p>
  </w:footnote>
  <w:footnote w:id="83">
    <w:p w:rsidR="00683332" w:rsidRPr="00A847F8" w:rsidRDefault="00683332" w:rsidP="00683332">
      <w:pPr>
        <w:pStyle w:val="FootnoteText"/>
      </w:pPr>
      <w:r>
        <w:rPr>
          <w:rStyle w:val="FootnoteReference"/>
        </w:rPr>
        <w:footnoteRef/>
      </w:r>
      <w:r>
        <w:t xml:space="preserve"> Hilton, 1996, véase la bibliografía.</w:t>
      </w:r>
    </w:p>
  </w:footnote>
  <w:footnote w:id="84">
    <w:p w:rsidR="00ED3278" w:rsidRDefault="00ED3278" w:rsidP="00ED3278">
      <w:pPr>
        <w:pStyle w:val="FootnoteText"/>
      </w:pPr>
      <w:r>
        <w:rPr>
          <w:rStyle w:val="FootnoteReference"/>
        </w:rPr>
        <w:footnoteRef/>
      </w:r>
      <w:r>
        <w:t xml:space="preserve"> </w:t>
      </w:r>
      <w:proofErr w:type="spellStart"/>
      <w:r>
        <w:t>Pawson</w:t>
      </w:r>
      <w:proofErr w:type="spellEnd"/>
      <w:r>
        <w:t xml:space="preserve"> y otros, 2005, véase la bibliografía.</w:t>
      </w:r>
    </w:p>
  </w:footnote>
  <w:footnote w:id="85">
    <w:p w:rsidR="004A3EE9" w:rsidRDefault="004A3EE9" w:rsidP="004A3EE9">
      <w:pPr>
        <w:pStyle w:val="FootnoteText"/>
      </w:pPr>
      <w:r>
        <w:rPr>
          <w:rStyle w:val="FootnoteReference"/>
        </w:rPr>
        <w:footnoteRef/>
      </w:r>
      <w:r>
        <w:t xml:space="preserve"> </w:t>
      </w:r>
      <w:hyperlink r:id="rId35">
        <w:r>
          <w:rPr>
            <w:rStyle w:val="Hyperlink"/>
          </w:rPr>
          <w:t>http://www.socialresearchmethods.net/kb/scallik.php</w:t>
        </w:r>
      </w:hyperlink>
      <w:r>
        <w:rPr>
          <w:color w:val="373737"/>
        </w:rPr>
        <w:t xml:space="preserve">, </w:t>
      </w:r>
      <w:r>
        <w:t xml:space="preserve">y Allen y </w:t>
      </w:r>
      <w:proofErr w:type="spellStart"/>
      <w:r>
        <w:t>Seaman</w:t>
      </w:r>
      <w:proofErr w:type="spellEnd"/>
      <w:r>
        <w:t xml:space="preserve"> (2007</w:t>
      </w:r>
      <w:r>
        <w:rPr>
          <w:color w:val="373737"/>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E0D" w:rsidRDefault="008D2E0D" w:rsidP="00400064">
    <w:pPr>
      <w:pStyle w:val="Header"/>
      <w:tabs>
        <w:tab w:val="clear" w:pos="4513"/>
        <w:tab w:val="clear" w:pos="9026"/>
      </w:tabs>
      <w:jc w:val="right"/>
    </w:pPr>
    <w:r>
      <w:t>Directrices: Evaluación de la innovación en los programas de desarrollo rural</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E0D" w:rsidRPr="00400064" w:rsidRDefault="008D2E0D" w:rsidP="0025413B">
    <w:pPr>
      <w:jc w:val="right"/>
      <w:rPr>
        <w:color w:val="F07E31"/>
        <w:sz w:val="18"/>
        <w:szCs w:val="18"/>
      </w:rPr>
    </w:pPr>
    <w:r>
      <w:rPr>
        <w:color w:val="F07E31"/>
        <w:sz w:val="18"/>
      </w:rPr>
      <w:t>Directrices: Evaluación de la innovación en los programas de desarrollo rural</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E0D" w:rsidRPr="00400064" w:rsidRDefault="008D2E0D" w:rsidP="00400064">
    <w:pPr>
      <w:jc w:val="right"/>
      <w:rPr>
        <w:color w:val="F07E31"/>
        <w:sz w:val="18"/>
        <w:szCs w:val="18"/>
      </w:rPr>
    </w:pPr>
    <w:r>
      <w:rPr>
        <w:color w:val="F07E31"/>
        <w:sz w:val="18"/>
      </w:rPr>
      <w:t>Directrices: Evaluación de la innovación en los programas de desarrollo rural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E0D" w:rsidRDefault="008D2E0D" w:rsidP="00E1652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E0D" w:rsidRPr="00E4509B" w:rsidRDefault="008D2E0D" w:rsidP="00D50EF0">
    <w:pPr>
      <w:pStyle w:val="Header"/>
      <w:tabs>
        <w:tab w:val="clear" w:pos="4513"/>
      </w:tabs>
    </w:pPr>
    <w:r>
      <w:tab/>
      <w:t>Directrices: Evaluación de la innovación en los programas de desarrollo rural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E0D" w:rsidRPr="00400064" w:rsidRDefault="008D2E0D" w:rsidP="00400064">
    <w:pPr>
      <w:jc w:val="right"/>
      <w:rPr>
        <w:color w:val="F07E31"/>
        <w:sz w:val="18"/>
        <w:szCs w:val="18"/>
      </w:rPr>
    </w:pPr>
    <w:r>
      <w:rPr>
        <w:color w:val="F07E31"/>
        <w:sz w:val="18"/>
      </w:rPr>
      <w:t>Directrices: Evaluación de la innovación en los programas de desarrollo rural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E0D" w:rsidRPr="00C947BA" w:rsidRDefault="008D2E0D" w:rsidP="00C947BA">
    <w:pPr>
      <w:jc w:val="right"/>
      <w:rPr>
        <w:color w:val="F07E31"/>
        <w:sz w:val="18"/>
        <w:szCs w:val="18"/>
      </w:rPr>
    </w:pPr>
    <w:r>
      <w:rPr>
        <w:color w:val="F07E31"/>
        <w:sz w:val="18"/>
      </w:rPr>
      <w:t>Directrices: Evaluación de la innovación en los programas de desarrollo rural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E0D" w:rsidRDefault="008D2E0D" w:rsidP="00E165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E0D" w:rsidRPr="0052778E" w:rsidRDefault="008D2E0D" w:rsidP="00E16522">
    <w:pPr>
      <w:pStyle w:val="Header"/>
      <w:rPr>
        <w:sz w:val="24"/>
      </w:rPr>
    </w:pPr>
    <w:r>
      <w:tab/>
    </w:r>
  </w:p>
  <w:p w:rsidR="008D2E0D" w:rsidRPr="0047590C" w:rsidRDefault="008D2E0D" w:rsidP="00E16522">
    <w:pPr>
      <w:pStyle w:val="Header"/>
      <w:rPr>
        <w:color w:val="6F6F6F"/>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E0D" w:rsidRDefault="008D2E0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E0D" w:rsidRPr="00656719" w:rsidRDefault="008D2E0D" w:rsidP="00E16522">
    <w:pPr>
      <w:pStyle w:val="Header"/>
    </w:pPr>
    <w:r>
      <w:tab/>
      <w:t>Documento de referencia: Evaluación de la innovación en los programas de desarrollo rural</w:t>
    </w:r>
  </w:p>
  <w:p w:rsidR="008D2E0D" w:rsidRPr="00822076" w:rsidRDefault="008D2E0D" w:rsidP="00E16522">
    <w:pPr>
      <w:pStyle w:val="Header"/>
      <w:rPr>
        <w:sz w:val="24"/>
      </w:rPr>
    </w:pPr>
  </w:p>
  <w:p w:rsidR="008D2E0D" w:rsidRPr="0047590C" w:rsidRDefault="008D2E0D" w:rsidP="00E16522">
    <w:pPr>
      <w:pStyle w:val="Header"/>
      <w:rPr>
        <w:color w:val="6F6F6F"/>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366AC"/>
    <w:multiLevelType w:val="multilevel"/>
    <w:tmpl w:val="2068AE4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434EAD"/>
    <w:multiLevelType w:val="multilevel"/>
    <w:tmpl w:val="9998C6BA"/>
    <w:lvl w:ilvl="0">
      <w:start w:val="1"/>
      <w:numFmt w:val="decimal"/>
      <w:pStyle w:val="HHeading1"/>
      <w:lvlText w:val="%1."/>
      <w:lvlJc w:val="left"/>
      <w:pPr>
        <w:ind w:left="720" w:hanging="360"/>
      </w:pPr>
      <w:rPr>
        <w:rFonts w:ascii="Arial" w:hAnsi="Arial" w:hint="default"/>
        <w:color w:val="F07E31"/>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0B5324"/>
    <w:multiLevelType w:val="hybridMultilevel"/>
    <w:tmpl w:val="BDD4FD1A"/>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A066D"/>
    <w:multiLevelType w:val="hybridMultilevel"/>
    <w:tmpl w:val="67F0D85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35275F"/>
    <w:multiLevelType w:val="multilevel"/>
    <w:tmpl w:val="080C0025"/>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4722D3A"/>
    <w:multiLevelType w:val="multilevel"/>
    <w:tmpl w:val="A5CAE128"/>
    <w:lvl w:ilvl="0">
      <w:start w:val="1"/>
      <w:numFmt w:val="decimal"/>
      <w:lvlText w:val="%1"/>
      <w:lvlJc w:val="left"/>
      <w:pPr>
        <w:ind w:left="444" w:hanging="444"/>
      </w:pPr>
      <w:rPr>
        <w:rFonts w:hint="default"/>
        <w:color w:val="F07E31"/>
      </w:rPr>
    </w:lvl>
    <w:lvl w:ilvl="1">
      <w:start w:val="2"/>
      <w:numFmt w:val="decimal"/>
      <w:lvlText w:val="%1.%2"/>
      <w:lvlJc w:val="left"/>
      <w:pPr>
        <w:ind w:left="444" w:hanging="444"/>
      </w:pPr>
      <w:rPr>
        <w:rFonts w:hint="default"/>
        <w:color w:val="F07E31"/>
      </w:rPr>
    </w:lvl>
    <w:lvl w:ilvl="2">
      <w:start w:val="2"/>
      <w:numFmt w:val="decimal"/>
      <w:lvlText w:val="%1.%2.%3"/>
      <w:lvlJc w:val="left"/>
      <w:pPr>
        <w:ind w:left="720" w:hanging="720"/>
      </w:pPr>
      <w:rPr>
        <w:rFonts w:hint="default"/>
        <w:color w:val="F07E31"/>
      </w:rPr>
    </w:lvl>
    <w:lvl w:ilvl="3">
      <w:start w:val="1"/>
      <w:numFmt w:val="decimal"/>
      <w:lvlText w:val="%1.%2.%3.%4"/>
      <w:lvlJc w:val="left"/>
      <w:pPr>
        <w:ind w:left="720" w:hanging="720"/>
      </w:pPr>
      <w:rPr>
        <w:rFonts w:hint="default"/>
        <w:color w:val="F07E31"/>
      </w:rPr>
    </w:lvl>
    <w:lvl w:ilvl="4">
      <w:start w:val="1"/>
      <w:numFmt w:val="decimal"/>
      <w:lvlText w:val="%1.%2.%3.%4.%5"/>
      <w:lvlJc w:val="left"/>
      <w:pPr>
        <w:ind w:left="1080" w:hanging="1080"/>
      </w:pPr>
      <w:rPr>
        <w:rFonts w:hint="default"/>
        <w:color w:val="F07E31"/>
      </w:rPr>
    </w:lvl>
    <w:lvl w:ilvl="5">
      <w:start w:val="1"/>
      <w:numFmt w:val="decimal"/>
      <w:lvlText w:val="%1.%2.%3.%4.%5.%6"/>
      <w:lvlJc w:val="left"/>
      <w:pPr>
        <w:ind w:left="1080" w:hanging="1080"/>
      </w:pPr>
      <w:rPr>
        <w:rFonts w:hint="default"/>
        <w:color w:val="F07E31"/>
      </w:rPr>
    </w:lvl>
    <w:lvl w:ilvl="6">
      <w:start w:val="1"/>
      <w:numFmt w:val="decimal"/>
      <w:lvlText w:val="%1.%2.%3.%4.%5.%6.%7"/>
      <w:lvlJc w:val="left"/>
      <w:pPr>
        <w:ind w:left="1440" w:hanging="1440"/>
      </w:pPr>
      <w:rPr>
        <w:rFonts w:hint="default"/>
        <w:color w:val="F07E31"/>
      </w:rPr>
    </w:lvl>
    <w:lvl w:ilvl="7">
      <w:start w:val="1"/>
      <w:numFmt w:val="decimal"/>
      <w:lvlText w:val="%1.%2.%3.%4.%5.%6.%7.%8"/>
      <w:lvlJc w:val="left"/>
      <w:pPr>
        <w:ind w:left="1440" w:hanging="1440"/>
      </w:pPr>
      <w:rPr>
        <w:rFonts w:hint="default"/>
        <w:color w:val="F07E31"/>
      </w:rPr>
    </w:lvl>
    <w:lvl w:ilvl="8">
      <w:start w:val="1"/>
      <w:numFmt w:val="decimal"/>
      <w:lvlText w:val="%1.%2.%3.%4.%5.%6.%7.%8.%9"/>
      <w:lvlJc w:val="left"/>
      <w:pPr>
        <w:ind w:left="1800" w:hanging="1800"/>
      </w:pPr>
      <w:rPr>
        <w:rFonts w:hint="default"/>
        <w:color w:val="F07E31"/>
      </w:rPr>
    </w:lvl>
  </w:abstractNum>
  <w:abstractNum w:abstractNumId="7" w15:restartNumberingAfterBreak="0">
    <w:nsid w:val="06257611"/>
    <w:multiLevelType w:val="hybridMultilevel"/>
    <w:tmpl w:val="58EEF89A"/>
    <w:lvl w:ilvl="0" w:tplc="19F88068">
      <w:start w:val="1"/>
      <w:numFmt w:val="bullet"/>
      <w:lvlText w:val=""/>
      <w:lvlJc w:val="left"/>
      <w:pPr>
        <w:ind w:left="720" w:hanging="360"/>
      </w:pPr>
      <w:rPr>
        <w:rFonts w:ascii="Symbol" w:hAnsi="Symbol" w:hint="default"/>
        <w:b w:val="0"/>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EB648B"/>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9787D25"/>
    <w:multiLevelType w:val="hybridMultilevel"/>
    <w:tmpl w:val="7DB4D96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B544734"/>
    <w:multiLevelType w:val="hybridMultilevel"/>
    <w:tmpl w:val="B426A1C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754C06"/>
    <w:multiLevelType w:val="multilevel"/>
    <w:tmpl w:val="21E6DD94"/>
    <w:lvl w:ilvl="0">
      <w:start w:val="1"/>
      <w:numFmt w:val="decimal"/>
      <w:lvlText w:val="%1"/>
      <w:lvlJc w:val="left"/>
      <w:pPr>
        <w:ind w:left="432" w:hanging="432"/>
      </w:pPr>
      <w:rPr>
        <w:rFonts w:hint="default"/>
        <w:color w:val="F07E31"/>
        <w:sz w:val="24"/>
      </w:r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E422253"/>
    <w:multiLevelType w:val="hybridMultilevel"/>
    <w:tmpl w:val="26AE3D9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577D94"/>
    <w:multiLevelType w:val="multilevel"/>
    <w:tmpl w:val="B8C4BBDE"/>
    <w:lvl w:ilvl="0">
      <w:start w:val="1"/>
      <w:numFmt w:val="decimal"/>
      <w:lvlText w:val="%1."/>
      <w:lvlJc w:val="left"/>
      <w:pPr>
        <w:ind w:left="720" w:hanging="360"/>
      </w:pPr>
    </w:lvl>
    <w:lvl w:ilvl="1">
      <w:start w:val="1"/>
      <w:numFmt w:val="decimal"/>
      <w:isLgl/>
      <w:lvlText w:val="%1.%2"/>
      <w:lvlJc w:val="left"/>
      <w:pPr>
        <w:ind w:left="720" w:hanging="360"/>
      </w:pPr>
      <w:rPr>
        <w:rFonts w:ascii="Helvetica" w:hAnsi="Helvetica" w:cs="Times New Roman" w:hint="default"/>
      </w:rPr>
    </w:lvl>
    <w:lvl w:ilvl="2">
      <w:start w:val="1"/>
      <w:numFmt w:val="decimal"/>
      <w:isLgl/>
      <w:lvlText w:val="%1.%2.%3"/>
      <w:lvlJc w:val="left"/>
      <w:pPr>
        <w:ind w:left="1080" w:hanging="720"/>
      </w:pPr>
      <w:rPr>
        <w:rFonts w:ascii="Helvetica" w:hAnsi="Helvetica" w:cs="Times New Roman" w:hint="default"/>
      </w:rPr>
    </w:lvl>
    <w:lvl w:ilvl="3">
      <w:start w:val="1"/>
      <w:numFmt w:val="decimal"/>
      <w:isLgl/>
      <w:lvlText w:val="%1.%2.%3.%4"/>
      <w:lvlJc w:val="left"/>
      <w:pPr>
        <w:ind w:left="1080" w:hanging="720"/>
      </w:pPr>
      <w:rPr>
        <w:rFonts w:ascii="Helvetica" w:hAnsi="Helvetica" w:cs="Times New Roman" w:hint="default"/>
      </w:rPr>
    </w:lvl>
    <w:lvl w:ilvl="4">
      <w:start w:val="1"/>
      <w:numFmt w:val="decimal"/>
      <w:isLgl/>
      <w:lvlText w:val="%1.%2.%3.%4.%5"/>
      <w:lvlJc w:val="left"/>
      <w:pPr>
        <w:ind w:left="1440" w:hanging="1080"/>
      </w:pPr>
      <w:rPr>
        <w:rFonts w:ascii="Helvetica" w:hAnsi="Helvetica" w:cs="Times New Roman" w:hint="default"/>
      </w:rPr>
    </w:lvl>
    <w:lvl w:ilvl="5">
      <w:start w:val="1"/>
      <w:numFmt w:val="decimal"/>
      <w:isLgl/>
      <w:lvlText w:val="%1.%2.%3.%4.%5.%6"/>
      <w:lvlJc w:val="left"/>
      <w:pPr>
        <w:ind w:left="1440" w:hanging="1080"/>
      </w:pPr>
      <w:rPr>
        <w:rFonts w:ascii="Helvetica" w:hAnsi="Helvetica" w:cs="Times New Roman" w:hint="default"/>
      </w:rPr>
    </w:lvl>
    <w:lvl w:ilvl="6">
      <w:start w:val="1"/>
      <w:numFmt w:val="decimal"/>
      <w:isLgl/>
      <w:lvlText w:val="%1.%2.%3.%4.%5.%6.%7"/>
      <w:lvlJc w:val="left"/>
      <w:pPr>
        <w:ind w:left="1800" w:hanging="1440"/>
      </w:pPr>
      <w:rPr>
        <w:rFonts w:ascii="Helvetica" w:hAnsi="Helvetica" w:cs="Times New Roman" w:hint="default"/>
      </w:rPr>
    </w:lvl>
    <w:lvl w:ilvl="7">
      <w:start w:val="1"/>
      <w:numFmt w:val="decimal"/>
      <w:isLgl/>
      <w:lvlText w:val="%1.%2.%3.%4.%5.%6.%7.%8"/>
      <w:lvlJc w:val="left"/>
      <w:pPr>
        <w:ind w:left="1800" w:hanging="1440"/>
      </w:pPr>
      <w:rPr>
        <w:rFonts w:ascii="Helvetica" w:hAnsi="Helvetica" w:cs="Times New Roman" w:hint="default"/>
      </w:rPr>
    </w:lvl>
    <w:lvl w:ilvl="8">
      <w:start w:val="1"/>
      <w:numFmt w:val="decimal"/>
      <w:isLgl/>
      <w:lvlText w:val="%1.%2.%3.%4.%5.%6.%7.%8.%9"/>
      <w:lvlJc w:val="left"/>
      <w:pPr>
        <w:ind w:left="2160" w:hanging="1800"/>
      </w:pPr>
      <w:rPr>
        <w:rFonts w:ascii="Helvetica" w:hAnsi="Helvetica" w:cs="Times New Roman" w:hint="default"/>
      </w:rPr>
    </w:lvl>
  </w:abstractNum>
  <w:abstractNum w:abstractNumId="15" w15:restartNumberingAfterBreak="0">
    <w:nsid w:val="1133744B"/>
    <w:multiLevelType w:val="hybridMultilevel"/>
    <w:tmpl w:val="6438561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731114"/>
    <w:multiLevelType w:val="hybridMultilevel"/>
    <w:tmpl w:val="B4FCCAE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FF6F19"/>
    <w:multiLevelType w:val="multilevel"/>
    <w:tmpl w:val="F96673BE"/>
    <w:lvl w:ilvl="0">
      <w:start w:val="1"/>
      <w:numFmt w:val="decimal"/>
      <w:lvlText w:val="%1."/>
      <w:lvlJc w:val="left"/>
      <w:pPr>
        <w:ind w:left="720" w:hanging="360"/>
      </w:pPr>
      <w:rPr>
        <w:rFonts w:hint="default"/>
      </w:rPr>
    </w:lvl>
    <w:lvl w:ilvl="1">
      <w:start w:val="4"/>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144314C7"/>
    <w:multiLevelType w:val="hybridMultilevel"/>
    <w:tmpl w:val="B2E2356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967DD2"/>
    <w:multiLevelType w:val="hybridMultilevel"/>
    <w:tmpl w:val="1586027E"/>
    <w:lvl w:ilvl="0" w:tplc="E96ED2EA">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22" w15:restartNumberingAfterBreak="0">
    <w:nsid w:val="167A77B0"/>
    <w:multiLevelType w:val="hybridMultilevel"/>
    <w:tmpl w:val="0D8AA23A"/>
    <w:lvl w:ilvl="0" w:tplc="19F88068">
      <w:start w:val="1"/>
      <w:numFmt w:val="bullet"/>
      <w:lvlText w:val=""/>
      <w:lvlJc w:val="left"/>
      <w:pPr>
        <w:ind w:left="720" w:hanging="360"/>
      </w:pPr>
      <w:rPr>
        <w:rFonts w:ascii="Symbol" w:hAnsi="Symbol" w:hint="default"/>
        <w:b w:val="0"/>
        <w:color w:val="57825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84C4892"/>
    <w:multiLevelType w:val="hybridMultilevel"/>
    <w:tmpl w:val="BBF06EE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89956A0"/>
    <w:multiLevelType w:val="hybridMultilevel"/>
    <w:tmpl w:val="075CAC38"/>
    <w:lvl w:ilvl="0" w:tplc="19F88068">
      <w:start w:val="1"/>
      <w:numFmt w:val="bullet"/>
      <w:lvlText w:val=""/>
      <w:lvlJc w:val="left"/>
      <w:pPr>
        <w:ind w:left="720" w:hanging="360"/>
      </w:pPr>
      <w:rPr>
        <w:rFonts w:ascii="Symbol" w:hAnsi="Symbol" w:hint="default"/>
        <w:b w:val="0"/>
        <w:color w:val="57825E"/>
      </w:rPr>
    </w:lvl>
    <w:lvl w:ilvl="1" w:tplc="815C4ED2">
      <w:start w:val="1"/>
      <w:numFmt w:val="bullet"/>
      <w:lvlText w:val="o"/>
      <w:lvlJc w:val="left"/>
      <w:pPr>
        <w:ind w:left="1069" w:hanging="360"/>
      </w:pPr>
      <w:rPr>
        <w:rFonts w:ascii="Courier New" w:hAnsi="Courier New" w:cs="Courier New" w:hint="default"/>
        <w:color w:val="F07E31"/>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9A46A7C"/>
    <w:multiLevelType w:val="hybridMultilevel"/>
    <w:tmpl w:val="D2F8EEE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49295C"/>
    <w:multiLevelType w:val="hybridMultilevel"/>
    <w:tmpl w:val="586CBF1C"/>
    <w:lvl w:ilvl="0" w:tplc="1756B346">
      <w:start w:val="1"/>
      <w:numFmt w:val="lowerLetter"/>
      <w:lvlText w:val="%1)"/>
      <w:lvlJc w:val="left"/>
      <w:pPr>
        <w:ind w:left="720" w:hanging="360"/>
      </w:pPr>
      <w:rPr>
        <w:rFonts w:ascii="Arial" w:hAnsi="Arial" w:cs="Aria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1BC16E8F"/>
    <w:multiLevelType w:val="hybridMultilevel"/>
    <w:tmpl w:val="50BCC1DE"/>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1C122640"/>
    <w:multiLevelType w:val="hybridMultilevel"/>
    <w:tmpl w:val="D8061F8E"/>
    <w:lvl w:ilvl="0" w:tplc="D676FD1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FFC000"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1DFC7981"/>
    <w:multiLevelType w:val="multilevel"/>
    <w:tmpl w:val="6DB8B70A"/>
    <w:lvl w:ilvl="0">
      <w:start w:val="1"/>
      <w:numFmt w:val="decimal"/>
      <w:lvlText w:val="%1"/>
      <w:lvlJc w:val="left"/>
      <w:pPr>
        <w:ind w:left="432" w:hanging="432"/>
      </w:p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209659D1"/>
    <w:multiLevelType w:val="hybridMultilevel"/>
    <w:tmpl w:val="065A176A"/>
    <w:styleLink w:val="MaListe11"/>
    <w:lvl w:ilvl="0" w:tplc="3CF4E314">
      <w:numFmt w:val="bullet"/>
      <w:lvlText w:val="-"/>
      <w:lvlJc w:val="left"/>
      <w:pPr>
        <w:ind w:left="360" w:hanging="360"/>
      </w:pPr>
      <w:rPr>
        <w:rFonts w:ascii="Arial" w:eastAsia="Times New Roman" w:hAnsi="Arial" w:cs="Arial" w:hint="default"/>
        <w:color w:val="373737"/>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253E7F11"/>
    <w:multiLevelType w:val="hybridMultilevel"/>
    <w:tmpl w:val="B5588146"/>
    <w:lvl w:ilvl="0" w:tplc="32DC940A">
      <w:start w:val="1"/>
      <w:numFmt w:val="upp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3" w15:restartNumberingAfterBreak="0">
    <w:nsid w:val="25BB2DAE"/>
    <w:multiLevelType w:val="hybridMultilevel"/>
    <w:tmpl w:val="2E5E2F7C"/>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6624918"/>
    <w:multiLevelType w:val="hybridMultilevel"/>
    <w:tmpl w:val="28CC8C46"/>
    <w:lvl w:ilvl="0" w:tplc="D682C35C">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704C1E"/>
    <w:multiLevelType w:val="hybridMultilevel"/>
    <w:tmpl w:val="DD103524"/>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000000"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7465188"/>
    <w:multiLevelType w:val="hybridMultilevel"/>
    <w:tmpl w:val="FFAE6D38"/>
    <w:styleLink w:val="MaListe2"/>
    <w:lvl w:ilvl="0" w:tplc="EC10AAAC">
      <w:start w:val="1"/>
      <w:numFmt w:val="bullet"/>
      <w:lvlText w:val=""/>
      <w:lvlJc w:val="left"/>
      <w:pPr>
        <w:ind w:left="360" w:hanging="360"/>
      </w:pPr>
      <w:rPr>
        <w:rFonts w:ascii="Symbol" w:hAnsi="Symbol"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86A11E0"/>
    <w:multiLevelType w:val="hybridMultilevel"/>
    <w:tmpl w:val="A516C7C8"/>
    <w:lvl w:ilvl="0" w:tplc="19F88068">
      <w:start w:val="1"/>
      <w:numFmt w:val="bullet"/>
      <w:lvlText w:val=""/>
      <w:lvlJc w:val="left"/>
      <w:pPr>
        <w:ind w:left="928" w:hanging="360"/>
      </w:pPr>
      <w:rPr>
        <w:rFonts w:ascii="Symbol" w:hAnsi="Symbol" w:hint="default"/>
        <w:b w:val="0"/>
        <w:color w:val="57825E"/>
      </w:rPr>
    </w:lvl>
    <w:lvl w:ilvl="1" w:tplc="041B0003" w:tentative="1">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40" w15:restartNumberingAfterBreak="0">
    <w:nsid w:val="2894707C"/>
    <w:multiLevelType w:val="hybridMultilevel"/>
    <w:tmpl w:val="376ED63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B3D77C8"/>
    <w:multiLevelType w:val="hybridMultilevel"/>
    <w:tmpl w:val="5D5AC50E"/>
    <w:lvl w:ilvl="0" w:tplc="451CA430">
      <w:start w:val="1"/>
      <w:numFmt w:val="bullet"/>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2E1F1718"/>
    <w:multiLevelType w:val="multilevel"/>
    <w:tmpl w:val="9E6E523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2F837949"/>
    <w:multiLevelType w:val="hybridMultilevel"/>
    <w:tmpl w:val="7A5EC86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08C2F18"/>
    <w:multiLevelType w:val="hybridMultilevel"/>
    <w:tmpl w:val="5D4A425A"/>
    <w:lvl w:ilvl="0" w:tplc="FC4A4DC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10547BD"/>
    <w:multiLevelType w:val="hybridMultilevel"/>
    <w:tmpl w:val="7446076C"/>
    <w:styleLink w:val="MaListe1"/>
    <w:lvl w:ilvl="0" w:tplc="0D56F77A">
      <w:start w:val="1"/>
      <w:numFmt w:val="decimal"/>
      <w:pStyle w:val="HHeadingfigures"/>
      <w:lvlText w:val="Figure %1."/>
      <w:lvlJc w:val="left"/>
      <w:pPr>
        <w:tabs>
          <w:tab w:val="num" w:pos="964"/>
        </w:tabs>
        <w:ind w:left="964" w:hanging="964"/>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31AA784A"/>
    <w:multiLevelType w:val="hybridMultilevel"/>
    <w:tmpl w:val="73A0446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1ED1ACE"/>
    <w:multiLevelType w:val="hybridMultilevel"/>
    <w:tmpl w:val="CD6645CA"/>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38D68EF"/>
    <w:multiLevelType w:val="hybridMultilevel"/>
    <w:tmpl w:val="D58C00F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39508B9"/>
    <w:multiLevelType w:val="hybridMultilevel"/>
    <w:tmpl w:val="93EC56A0"/>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3E063E2"/>
    <w:multiLevelType w:val="hybridMultilevel"/>
    <w:tmpl w:val="353CA438"/>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4864613"/>
    <w:multiLevelType w:val="hybridMultilevel"/>
    <w:tmpl w:val="2ABCF642"/>
    <w:lvl w:ilvl="0" w:tplc="D242DF38">
      <w:start w:val="1"/>
      <w:numFmt w:val="decimal"/>
      <w:pStyle w:val="Subtitle"/>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2" w15:restartNumberingAfterBreak="0">
    <w:nsid w:val="35820841"/>
    <w:multiLevelType w:val="hybridMultilevel"/>
    <w:tmpl w:val="57B299EE"/>
    <w:lvl w:ilvl="0" w:tplc="041B0015">
      <w:start w:val="1"/>
      <w:numFmt w:val="upp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35B17A51"/>
    <w:multiLevelType w:val="hybridMultilevel"/>
    <w:tmpl w:val="B5260C7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B97E50"/>
    <w:multiLevelType w:val="hybridMultilevel"/>
    <w:tmpl w:val="B53AFBD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38F839AF"/>
    <w:multiLevelType w:val="hybridMultilevel"/>
    <w:tmpl w:val="93325672"/>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3B9D32B5"/>
    <w:multiLevelType w:val="hybridMultilevel"/>
    <w:tmpl w:val="55D2D8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1018AE8C">
      <w:start w:val="1"/>
      <w:numFmt w:val="bullet"/>
      <w:lvlText w:val="o"/>
      <w:lvlJc w:val="left"/>
      <w:pPr>
        <w:ind w:left="1211" w:hanging="360"/>
      </w:pPr>
      <w:rPr>
        <w:rFonts w:ascii="Courier New" w:hAnsi="Courier New" w:hint="default"/>
        <w:b w:val="0"/>
        <w:color w:val="6F6F6F"/>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BBC6932"/>
    <w:multiLevelType w:val="hybridMultilevel"/>
    <w:tmpl w:val="A32A14BE"/>
    <w:lvl w:ilvl="0" w:tplc="58228422">
      <w:start w:val="1"/>
      <w:numFmt w:val="bullet"/>
      <w:pStyle w:val="Hlist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E4069F6"/>
    <w:multiLevelType w:val="hybridMultilevel"/>
    <w:tmpl w:val="9A58CBF8"/>
    <w:lvl w:ilvl="0" w:tplc="080C000F">
      <w:start w:val="1"/>
      <w:numFmt w:val="decimal"/>
      <w:lvlText w:val="%1."/>
      <w:lvlJc w:val="left"/>
      <w:pPr>
        <w:tabs>
          <w:tab w:val="num" w:pos="644"/>
        </w:tabs>
        <w:ind w:left="567"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E8777F1"/>
    <w:multiLevelType w:val="hybridMultilevel"/>
    <w:tmpl w:val="7B8418E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FE60C9C"/>
    <w:multiLevelType w:val="hybridMultilevel"/>
    <w:tmpl w:val="C614772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0DB5C2A"/>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41133071"/>
    <w:multiLevelType w:val="hybridMultilevel"/>
    <w:tmpl w:val="8AA2E132"/>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42A74F4C"/>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43A72027"/>
    <w:multiLevelType w:val="hybridMultilevel"/>
    <w:tmpl w:val="A9E442BA"/>
    <w:lvl w:ilvl="0" w:tplc="29E0E80C">
      <w:start w:val="1"/>
      <w:numFmt w:val="decimal"/>
      <w:pStyle w:val="HHeadingtables"/>
      <w:lvlText w:val="Cuadro %1."/>
      <w:lvlJc w:val="left"/>
      <w:pPr>
        <w:ind w:left="360" w:hanging="360"/>
      </w:pPr>
      <w:rPr>
        <w:rFonts w:ascii="Arial" w:hAnsi="Arial" w:cs="Times New Roman" w:hint="default"/>
        <w:b/>
        <w:bCs w:val="0"/>
        <w:i w:val="0"/>
        <w:iCs w:val="0"/>
        <w:caps w:val="0"/>
        <w:smallCaps w:val="0"/>
        <w:strike w:val="0"/>
        <w:dstrike w:val="0"/>
        <w:outline w:val="0"/>
        <w:shadow w:val="0"/>
        <w:emboss w:val="0"/>
        <w:imprint w:val="0"/>
        <w:noProof w:val="0"/>
        <w:vanish w:val="0"/>
        <w:color w:val="6F6F6F"/>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440E0359"/>
    <w:multiLevelType w:val="hybridMultilevel"/>
    <w:tmpl w:val="5AD0635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46D44EA"/>
    <w:multiLevelType w:val="hybridMultilevel"/>
    <w:tmpl w:val="C306574C"/>
    <w:lvl w:ilvl="0" w:tplc="9ACAE082">
      <w:start w:val="1"/>
      <w:numFmt w:val="bullet"/>
      <w:lvlText w:val=""/>
      <w:lvlJc w:val="left"/>
      <w:pPr>
        <w:ind w:left="720" w:hanging="360"/>
      </w:pPr>
      <w:rPr>
        <w:rFonts w:ascii="Symbol" w:hAnsi="Symbol" w:hint="default"/>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45C7219B"/>
    <w:multiLevelType w:val="hybridMultilevel"/>
    <w:tmpl w:val="056C6044"/>
    <w:lvl w:ilvl="0" w:tplc="19F88068">
      <w:start w:val="1"/>
      <w:numFmt w:val="bullet"/>
      <w:lvlText w:val=""/>
      <w:lvlJc w:val="left"/>
      <w:pPr>
        <w:ind w:left="233" w:hanging="360"/>
      </w:pPr>
      <w:rPr>
        <w:rFonts w:ascii="Symbol" w:hAnsi="Symbol" w:hint="default"/>
        <w:b w:val="0"/>
        <w:color w:val="57825E"/>
      </w:rPr>
    </w:lvl>
    <w:lvl w:ilvl="1" w:tplc="0C0A0003">
      <w:start w:val="1"/>
      <w:numFmt w:val="bullet"/>
      <w:lvlText w:val="o"/>
      <w:lvlJc w:val="left"/>
      <w:pPr>
        <w:ind w:left="1029" w:hanging="360"/>
      </w:pPr>
      <w:rPr>
        <w:rFonts w:ascii="Courier New" w:hAnsi="Courier New" w:cs="Courier New" w:hint="default"/>
      </w:rPr>
    </w:lvl>
    <w:lvl w:ilvl="2" w:tplc="0C0A0005" w:tentative="1">
      <w:start w:val="1"/>
      <w:numFmt w:val="bullet"/>
      <w:lvlText w:val=""/>
      <w:lvlJc w:val="left"/>
      <w:pPr>
        <w:ind w:left="1749" w:hanging="360"/>
      </w:pPr>
      <w:rPr>
        <w:rFonts w:ascii="Wingdings" w:hAnsi="Wingdings" w:hint="default"/>
      </w:rPr>
    </w:lvl>
    <w:lvl w:ilvl="3" w:tplc="0C0A0001" w:tentative="1">
      <w:start w:val="1"/>
      <w:numFmt w:val="bullet"/>
      <w:lvlText w:val=""/>
      <w:lvlJc w:val="left"/>
      <w:pPr>
        <w:ind w:left="2469" w:hanging="360"/>
      </w:pPr>
      <w:rPr>
        <w:rFonts w:ascii="Symbol" w:hAnsi="Symbol" w:hint="default"/>
      </w:rPr>
    </w:lvl>
    <w:lvl w:ilvl="4" w:tplc="0C0A0003" w:tentative="1">
      <w:start w:val="1"/>
      <w:numFmt w:val="bullet"/>
      <w:lvlText w:val="o"/>
      <w:lvlJc w:val="left"/>
      <w:pPr>
        <w:ind w:left="3189" w:hanging="360"/>
      </w:pPr>
      <w:rPr>
        <w:rFonts w:ascii="Courier New" w:hAnsi="Courier New" w:cs="Courier New" w:hint="default"/>
      </w:rPr>
    </w:lvl>
    <w:lvl w:ilvl="5" w:tplc="0C0A0005" w:tentative="1">
      <w:start w:val="1"/>
      <w:numFmt w:val="bullet"/>
      <w:lvlText w:val=""/>
      <w:lvlJc w:val="left"/>
      <w:pPr>
        <w:ind w:left="3909" w:hanging="360"/>
      </w:pPr>
      <w:rPr>
        <w:rFonts w:ascii="Wingdings" w:hAnsi="Wingdings" w:hint="default"/>
      </w:rPr>
    </w:lvl>
    <w:lvl w:ilvl="6" w:tplc="0C0A0001" w:tentative="1">
      <w:start w:val="1"/>
      <w:numFmt w:val="bullet"/>
      <w:lvlText w:val=""/>
      <w:lvlJc w:val="left"/>
      <w:pPr>
        <w:ind w:left="4629" w:hanging="360"/>
      </w:pPr>
      <w:rPr>
        <w:rFonts w:ascii="Symbol" w:hAnsi="Symbol" w:hint="default"/>
      </w:rPr>
    </w:lvl>
    <w:lvl w:ilvl="7" w:tplc="0C0A0003" w:tentative="1">
      <w:start w:val="1"/>
      <w:numFmt w:val="bullet"/>
      <w:lvlText w:val="o"/>
      <w:lvlJc w:val="left"/>
      <w:pPr>
        <w:ind w:left="5349" w:hanging="360"/>
      </w:pPr>
      <w:rPr>
        <w:rFonts w:ascii="Courier New" w:hAnsi="Courier New" w:cs="Courier New" w:hint="default"/>
      </w:rPr>
    </w:lvl>
    <w:lvl w:ilvl="8" w:tplc="0C0A0005" w:tentative="1">
      <w:start w:val="1"/>
      <w:numFmt w:val="bullet"/>
      <w:lvlText w:val=""/>
      <w:lvlJc w:val="left"/>
      <w:pPr>
        <w:ind w:left="6069" w:hanging="360"/>
      </w:pPr>
      <w:rPr>
        <w:rFonts w:ascii="Wingdings" w:hAnsi="Wingdings" w:hint="default"/>
      </w:rPr>
    </w:lvl>
  </w:abstractNum>
  <w:abstractNum w:abstractNumId="68" w15:restartNumberingAfterBreak="0">
    <w:nsid w:val="47321CEC"/>
    <w:multiLevelType w:val="hybridMultilevel"/>
    <w:tmpl w:val="67A48DD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7486776"/>
    <w:multiLevelType w:val="hybridMultilevel"/>
    <w:tmpl w:val="E6D404F4"/>
    <w:styleLink w:val="1111111"/>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7F8294A"/>
    <w:multiLevelType w:val="hybridMultilevel"/>
    <w:tmpl w:val="C256F138"/>
    <w:lvl w:ilvl="0" w:tplc="080C000F">
      <w:start w:val="1"/>
      <w:numFmt w:val="decimal"/>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49224E69"/>
    <w:multiLevelType w:val="hybridMultilevel"/>
    <w:tmpl w:val="6998647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4A990DBB"/>
    <w:multiLevelType w:val="hybridMultilevel"/>
    <w:tmpl w:val="2BACE0C6"/>
    <w:lvl w:ilvl="0" w:tplc="8B1EA1A2">
      <w:start w:val="2"/>
      <w:numFmt w:val="decimal"/>
      <w:lvlText w:val="Figure %1"/>
      <w:lvlJc w:val="left"/>
      <w:pPr>
        <w:ind w:left="360"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73" w15:restartNumberingAfterBreak="0">
    <w:nsid w:val="4C06418D"/>
    <w:multiLevelType w:val="hybridMultilevel"/>
    <w:tmpl w:val="092C4B7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C663347"/>
    <w:multiLevelType w:val="hybridMultilevel"/>
    <w:tmpl w:val="35F8E64E"/>
    <w:lvl w:ilvl="0" w:tplc="9FF4DBA8">
      <w:start w:val="1"/>
      <w:numFmt w:val="bullet"/>
      <w:pStyle w:val="Hlistbullet2"/>
      <w:lvlText w:val="o"/>
      <w:lvlJc w:val="left"/>
      <w:pPr>
        <w:ind w:left="927" w:hanging="360"/>
      </w:pPr>
      <w:rPr>
        <w:rFonts w:ascii="Courier New" w:hAnsi="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E666CB3"/>
    <w:multiLevelType w:val="hybridMultilevel"/>
    <w:tmpl w:val="C88642F4"/>
    <w:lvl w:ilvl="0" w:tplc="04F8FAD0">
      <w:start w:val="1"/>
      <w:numFmt w:val="bullet"/>
      <w:lvlText w:val=""/>
      <w:lvlJc w:val="left"/>
      <w:pPr>
        <w:ind w:left="720" w:hanging="360"/>
      </w:pPr>
      <w:rPr>
        <w:rFonts w:ascii="Symbol" w:hAnsi="Symbol" w:hint="default"/>
        <w:color w:val="57825E"/>
      </w:rPr>
    </w:lvl>
    <w:lvl w:ilvl="1" w:tplc="1BBC3D0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3B45F1E"/>
    <w:multiLevelType w:val="hybridMultilevel"/>
    <w:tmpl w:val="7496236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3B9325D"/>
    <w:multiLevelType w:val="hybridMultilevel"/>
    <w:tmpl w:val="3F7CF02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49766DA"/>
    <w:multiLevelType w:val="hybridMultilevel"/>
    <w:tmpl w:val="2BD858C0"/>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15:restartNumberingAfterBreak="0">
    <w:nsid w:val="54A9135C"/>
    <w:multiLevelType w:val="hybridMultilevel"/>
    <w:tmpl w:val="FC12F41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4BD0BEC"/>
    <w:multiLevelType w:val="singleLevel"/>
    <w:tmpl w:val="72D6F376"/>
    <w:lvl w:ilvl="0">
      <w:numFmt w:val="decimal"/>
      <w:lvlText w:val=""/>
      <w:lvlJc w:val="left"/>
    </w:lvl>
  </w:abstractNum>
  <w:abstractNum w:abstractNumId="81" w15:restartNumberingAfterBreak="0">
    <w:nsid w:val="54E945CD"/>
    <w:multiLevelType w:val="hybridMultilevel"/>
    <w:tmpl w:val="1D92E8BE"/>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502047D"/>
    <w:multiLevelType w:val="hybridMultilevel"/>
    <w:tmpl w:val="AEC89BBC"/>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54873BA"/>
    <w:multiLevelType w:val="hybridMultilevel"/>
    <w:tmpl w:val="C9D69012"/>
    <w:lvl w:ilvl="0" w:tplc="D370F804">
      <w:start w:val="1"/>
      <w:numFmt w:val="bullet"/>
      <w:lvlText w:val=""/>
      <w:lvlJc w:val="left"/>
      <w:pPr>
        <w:ind w:left="786"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70E03BF"/>
    <w:multiLevelType w:val="hybridMultilevel"/>
    <w:tmpl w:val="D428C23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800382B"/>
    <w:multiLevelType w:val="hybridMultilevel"/>
    <w:tmpl w:val="10D8A58A"/>
    <w:lvl w:ilvl="0" w:tplc="9DFAE80C">
      <w:start w:val="1"/>
      <w:numFmt w:val="decimal"/>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86" w15:restartNumberingAfterBreak="0">
    <w:nsid w:val="58B972A6"/>
    <w:multiLevelType w:val="multilevel"/>
    <w:tmpl w:val="97A0497A"/>
    <w:lvl w:ilvl="0">
      <w:start w:val="1"/>
      <w:numFmt w:val="decimal"/>
      <w:lvlText w:val="%1"/>
      <w:lvlJc w:val="left"/>
      <w:pPr>
        <w:tabs>
          <w:tab w:val="num" w:pos="474"/>
        </w:tabs>
        <w:ind w:left="262" w:hanging="148"/>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7" w15:restartNumberingAfterBreak="0">
    <w:nsid w:val="596C4FB4"/>
    <w:multiLevelType w:val="hybridMultilevel"/>
    <w:tmpl w:val="0E006A16"/>
    <w:lvl w:ilvl="0" w:tplc="3DC41A04">
      <w:start w:val="1"/>
      <w:numFmt w:val="bullet"/>
      <w:lvlText w:val="o"/>
      <w:lvlJc w:val="left"/>
      <w:pPr>
        <w:ind w:left="1346" w:hanging="360"/>
      </w:pPr>
      <w:rPr>
        <w:rFonts w:ascii="Courier New" w:hAnsi="Courier New" w:hint="default"/>
        <w:color w:val="6F6F6F"/>
      </w:rPr>
    </w:lvl>
    <w:lvl w:ilvl="1" w:tplc="041B0003" w:tentative="1">
      <w:start w:val="1"/>
      <w:numFmt w:val="bullet"/>
      <w:lvlText w:val="o"/>
      <w:lvlJc w:val="left"/>
      <w:pPr>
        <w:ind w:left="2066" w:hanging="360"/>
      </w:pPr>
      <w:rPr>
        <w:rFonts w:ascii="Courier New" w:hAnsi="Courier New" w:cs="Courier New" w:hint="default"/>
      </w:rPr>
    </w:lvl>
    <w:lvl w:ilvl="2" w:tplc="041B0005" w:tentative="1">
      <w:start w:val="1"/>
      <w:numFmt w:val="bullet"/>
      <w:lvlText w:val=""/>
      <w:lvlJc w:val="left"/>
      <w:pPr>
        <w:ind w:left="2786" w:hanging="360"/>
      </w:pPr>
      <w:rPr>
        <w:rFonts w:ascii="Wingdings" w:hAnsi="Wingdings" w:hint="default"/>
      </w:rPr>
    </w:lvl>
    <w:lvl w:ilvl="3" w:tplc="041B0001" w:tentative="1">
      <w:start w:val="1"/>
      <w:numFmt w:val="bullet"/>
      <w:lvlText w:val=""/>
      <w:lvlJc w:val="left"/>
      <w:pPr>
        <w:ind w:left="3506" w:hanging="360"/>
      </w:pPr>
      <w:rPr>
        <w:rFonts w:ascii="Symbol" w:hAnsi="Symbol" w:hint="default"/>
      </w:rPr>
    </w:lvl>
    <w:lvl w:ilvl="4" w:tplc="041B0003" w:tentative="1">
      <w:start w:val="1"/>
      <w:numFmt w:val="bullet"/>
      <w:lvlText w:val="o"/>
      <w:lvlJc w:val="left"/>
      <w:pPr>
        <w:ind w:left="4226" w:hanging="360"/>
      </w:pPr>
      <w:rPr>
        <w:rFonts w:ascii="Courier New" w:hAnsi="Courier New" w:cs="Courier New" w:hint="default"/>
      </w:rPr>
    </w:lvl>
    <w:lvl w:ilvl="5" w:tplc="041B0005" w:tentative="1">
      <w:start w:val="1"/>
      <w:numFmt w:val="bullet"/>
      <w:lvlText w:val=""/>
      <w:lvlJc w:val="left"/>
      <w:pPr>
        <w:ind w:left="4946" w:hanging="360"/>
      </w:pPr>
      <w:rPr>
        <w:rFonts w:ascii="Wingdings" w:hAnsi="Wingdings" w:hint="default"/>
      </w:rPr>
    </w:lvl>
    <w:lvl w:ilvl="6" w:tplc="041B0001" w:tentative="1">
      <w:start w:val="1"/>
      <w:numFmt w:val="bullet"/>
      <w:lvlText w:val=""/>
      <w:lvlJc w:val="left"/>
      <w:pPr>
        <w:ind w:left="5666" w:hanging="360"/>
      </w:pPr>
      <w:rPr>
        <w:rFonts w:ascii="Symbol" w:hAnsi="Symbol" w:hint="default"/>
      </w:rPr>
    </w:lvl>
    <w:lvl w:ilvl="7" w:tplc="041B0003" w:tentative="1">
      <w:start w:val="1"/>
      <w:numFmt w:val="bullet"/>
      <w:lvlText w:val="o"/>
      <w:lvlJc w:val="left"/>
      <w:pPr>
        <w:ind w:left="6386" w:hanging="360"/>
      </w:pPr>
      <w:rPr>
        <w:rFonts w:ascii="Courier New" w:hAnsi="Courier New" w:cs="Courier New" w:hint="default"/>
      </w:rPr>
    </w:lvl>
    <w:lvl w:ilvl="8" w:tplc="041B0005" w:tentative="1">
      <w:start w:val="1"/>
      <w:numFmt w:val="bullet"/>
      <w:lvlText w:val=""/>
      <w:lvlJc w:val="left"/>
      <w:pPr>
        <w:ind w:left="7106" w:hanging="360"/>
      </w:pPr>
      <w:rPr>
        <w:rFonts w:ascii="Wingdings" w:hAnsi="Wingdings" w:hint="default"/>
      </w:rPr>
    </w:lvl>
  </w:abstractNum>
  <w:abstractNum w:abstractNumId="88" w15:restartNumberingAfterBreak="0">
    <w:nsid w:val="5B534780"/>
    <w:multiLevelType w:val="hybridMultilevel"/>
    <w:tmpl w:val="6B143708"/>
    <w:lvl w:ilvl="0" w:tplc="856277F8">
      <w:start w:val="1"/>
      <w:numFmt w:val="bullet"/>
      <w:lvlText w:val=""/>
      <w:lvlJc w:val="left"/>
      <w:pPr>
        <w:ind w:left="720" w:hanging="360"/>
      </w:pPr>
      <w:rPr>
        <w:rFonts w:ascii="Symbol" w:hAnsi="Symbol" w:hint="default"/>
        <w:color w:val="57825E"/>
        <w:sz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5B94771E"/>
    <w:multiLevelType w:val="hybridMultilevel"/>
    <w:tmpl w:val="F4A049B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BB74C2B"/>
    <w:multiLevelType w:val="hybridMultilevel"/>
    <w:tmpl w:val="972E6AD0"/>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D7E6AE3"/>
    <w:multiLevelType w:val="hybridMultilevel"/>
    <w:tmpl w:val="A1164C12"/>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F79730C"/>
    <w:multiLevelType w:val="hybridMultilevel"/>
    <w:tmpl w:val="F9D6390A"/>
    <w:lvl w:ilvl="0" w:tplc="0E4CE200">
      <w:start w:val="1"/>
      <w:numFmt w:val="decimal"/>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15:restartNumberingAfterBreak="0">
    <w:nsid w:val="60D46F84"/>
    <w:multiLevelType w:val="hybridMultilevel"/>
    <w:tmpl w:val="FA229D98"/>
    <w:lvl w:ilvl="0" w:tplc="19F88068">
      <w:start w:val="1"/>
      <w:numFmt w:val="bullet"/>
      <w:lvlText w:val=""/>
      <w:lvlJc w:val="left"/>
      <w:pPr>
        <w:ind w:left="720" w:hanging="360"/>
      </w:pPr>
      <w:rPr>
        <w:rFonts w:ascii="Symbol" w:hAnsi="Symbol" w:hint="default"/>
        <w:b w:val="0"/>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60E6226F"/>
    <w:multiLevelType w:val="hybridMultilevel"/>
    <w:tmpl w:val="12D03418"/>
    <w:lvl w:ilvl="0" w:tplc="D370F804">
      <w:start w:val="1"/>
      <w:numFmt w:val="bullet"/>
      <w:lvlText w:val=""/>
      <w:lvlJc w:val="left"/>
      <w:pPr>
        <w:ind w:left="720" w:hanging="360"/>
      </w:pPr>
      <w:rPr>
        <w:rFonts w:ascii="Symbol" w:hAnsi="Symbol" w:hint="default"/>
        <w:color w:val="57825E"/>
      </w:rPr>
    </w:lvl>
    <w:lvl w:ilvl="1" w:tplc="8E2A8284">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0E86B2F"/>
    <w:multiLevelType w:val="hybridMultilevel"/>
    <w:tmpl w:val="4DC62D2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0F5675E"/>
    <w:multiLevelType w:val="hybridMultilevel"/>
    <w:tmpl w:val="CE2AA926"/>
    <w:lvl w:ilvl="0" w:tplc="9620B144">
      <w:start w:val="1"/>
      <w:numFmt w:val="decimal"/>
      <w:lvlText w:val="Figure %1."/>
      <w:lvlJc w:val="left"/>
      <w:pPr>
        <w:ind w:left="720" w:hanging="720"/>
      </w:pPr>
      <w:rPr>
        <w:rFonts w:ascii="Arial" w:hAnsi="Arial" w:cs="Arial" w:hint="default"/>
        <w:sz w:val="18"/>
        <w:szCs w:val="1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7" w15:restartNumberingAfterBreak="0">
    <w:nsid w:val="614B4869"/>
    <w:multiLevelType w:val="hybridMultilevel"/>
    <w:tmpl w:val="94D06336"/>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5C0517A"/>
    <w:multiLevelType w:val="hybridMultilevel"/>
    <w:tmpl w:val="DFE01904"/>
    <w:lvl w:ilvl="0" w:tplc="856277F8">
      <w:start w:val="1"/>
      <w:numFmt w:val="bullet"/>
      <w:lvlText w:val=""/>
      <w:lvlJc w:val="left"/>
      <w:pPr>
        <w:ind w:left="720" w:hanging="360"/>
      </w:pPr>
      <w:rPr>
        <w:rFonts w:ascii="Symbol" w:hAnsi="Symbol" w:hint="default"/>
        <w:b w:val="0"/>
        <w:color w:val="57825E"/>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5E42A7E"/>
    <w:multiLevelType w:val="hybridMultilevel"/>
    <w:tmpl w:val="9E92BDA6"/>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5E71B08"/>
    <w:multiLevelType w:val="hybridMultilevel"/>
    <w:tmpl w:val="500EB49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85A06D6"/>
    <w:multiLevelType w:val="hybridMultilevel"/>
    <w:tmpl w:val="74C2C470"/>
    <w:lvl w:ilvl="0" w:tplc="8F4488EC">
      <w:start w:val="1"/>
      <w:numFmt w:val="decimal"/>
      <w:lvlText w:val="3.1.%1."/>
      <w:lvlJc w:val="left"/>
      <w:pPr>
        <w:ind w:left="-351" w:hanging="360"/>
      </w:pPr>
      <w:rPr>
        <w:rFonts w:hint="default"/>
      </w:rPr>
    </w:lvl>
    <w:lvl w:ilvl="1" w:tplc="040C0019" w:tentative="1">
      <w:start w:val="1"/>
      <w:numFmt w:val="lowerLetter"/>
      <w:lvlText w:val="%2."/>
      <w:lvlJc w:val="left"/>
      <w:pPr>
        <w:ind w:left="369" w:hanging="360"/>
      </w:pPr>
    </w:lvl>
    <w:lvl w:ilvl="2" w:tplc="040C001B" w:tentative="1">
      <w:start w:val="1"/>
      <w:numFmt w:val="lowerRoman"/>
      <w:lvlText w:val="%3."/>
      <w:lvlJc w:val="right"/>
      <w:pPr>
        <w:ind w:left="1089" w:hanging="180"/>
      </w:pPr>
    </w:lvl>
    <w:lvl w:ilvl="3" w:tplc="040C000F" w:tentative="1">
      <w:start w:val="1"/>
      <w:numFmt w:val="decimal"/>
      <w:lvlText w:val="%4."/>
      <w:lvlJc w:val="left"/>
      <w:pPr>
        <w:ind w:left="1809" w:hanging="360"/>
      </w:pPr>
    </w:lvl>
    <w:lvl w:ilvl="4" w:tplc="040C0019" w:tentative="1">
      <w:start w:val="1"/>
      <w:numFmt w:val="lowerLetter"/>
      <w:lvlText w:val="%5."/>
      <w:lvlJc w:val="left"/>
      <w:pPr>
        <w:ind w:left="2529" w:hanging="360"/>
      </w:pPr>
    </w:lvl>
    <w:lvl w:ilvl="5" w:tplc="040C001B" w:tentative="1">
      <w:start w:val="1"/>
      <w:numFmt w:val="lowerRoman"/>
      <w:lvlText w:val="%6."/>
      <w:lvlJc w:val="right"/>
      <w:pPr>
        <w:ind w:left="3249" w:hanging="180"/>
      </w:pPr>
    </w:lvl>
    <w:lvl w:ilvl="6" w:tplc="040C000F" w:tentative="1">
      <w:start w:val="1"/>
      <w:numFmt w:val="decimal"/>
      <w:lvlText w:val="%7."/>
      <w:lvlJc w:val="left"/>
      <w:pPr>
        <w:ind w:left="3969" w:hanging="360"/>
      </w:pPr>
    </w:lvl>
    <w:lvl w:ilvl="7" w:tplc="040C0019" w:tentative="1">
      <w:start w:val="1"/>
      <w:numFmt w:val="lowerLetter"/>
      <w:lvlText w:val="%8."/>
      <w:lvlJc w:val="left"/>
      <w:pPr>
        <w:ind w:left="4689" w:hanging="360"/>
      </w:pPr>
    </w:lvl>
    <w:lvl w:ilvl="8" w:tplc="040C001B" w:tentative="1">
      <w:start w:val="1"/>
      <w:numFmt w:val="lowerRoman"/>
      <w:lvlText w:val="%9."/>
      <w:lvlJc w:val="right"/>
      <w:pPr>
        <w:ind w:left="5409" w:hanging="180"/>
      </w:pPr>
    </w:lvl>
  </w:abstractNum>
  <w:abstractNum w:abstractNumId="102"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3" w15:restartNumberingAfterBreak="0">
    <w:nsid w:val="6A8414DE"/>
    <w:multiLevelType w:val="hybridMultilevel"/>
    <w:tmpl w:val="42EA82F8"/>
    <w:lvl w:ilvl="0" w:tplc="04F8FAD0">
      <w:start w:val="1"/>
      <w:numFmt w:val="bullet"/>
      <w:lvlText w:val=""/>
      <w:lvlJc w:val="left"/>
      <w:pPr>
        <w:ind w:left="720" w:hanging="360"/>
      </w:pPr>
      <w:rPr>
        <w:rFonts w:ascii="Symbol" w:hAnsi="Symbol" w:hint="default"/>
        <w:color w:val="57825E"/>
      </w:rPr>
    </w:lvl>
    <w:lvl w:ilvl="1" w:tplc="C6727AD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AF80D1A"/>
    <w:multiLevelType w:val="hybridMultilevel"/>
    <w:tmpl w:val="C3063384"/>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6B8649F6"/>
    <w:multiLevelType w:val="hybridMultilevel"/>
    <w:tmpl w:val="3DA2C9EA"/>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EB7292D"/>
    <w:multiLevelType w:val="hybridMultilevel"/>
    <w:tmpl w:val="40EAC38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70400FB1"/>
    <w:multiLevelType w:val="hybridMultilevel"/>
    <w:tmpl w:val="221E570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10476E0"/>
    <w:multiLevelType w:val="hybridMultilevel"/>
    <w:tmpl w:val="E078F38C"/>
    <w:lvl w:ilvl="0" w:tplc="056C506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15049D7"/>
    <w:multiLevelType w:val="hybridMultilevel"/>
    <w:tmpl w:val="E11C8244"/>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3E31B34"/>
    <w:multiLevelType w:val="hybridMultilevel"/>
    <w:tmpl w:val="BAEA5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19F88068">
      <w:start w:val="1"/>
      <w:numFmt w:val="bullet"/>
      <w:lvlText w:val=""/>
      <w:lvlJc w:val="left"/>
      <w:pPr>
        <w:ind w:left="644" w:hanging="360"/>
      </w:pPr>
      <w:rPr>
        <w:rFonts w:ascii="Symbol" w:hAnsi="Symbol" w:hint="default"/>
        <w:b w:val="0"/>
        <w:color w:val="57825E"/>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4DA29D5"/>
    <w:multiLevelType w:val="hybridMultilevel"/>
    <w:tmpl w:val="363622A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54F2AD8"/>
    <w:multiLevelType w:val="hybridMultilevel"/>
    <w:tmpl w:val="C14AB89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5B27B66"/>
    <w:multiLevelType w:val="hybridMultilevel"/>
    <w:tmpl w:val="A7FC041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73A35E5"/>
    <w:multiLevelType w:val="hybridMultilevel"/>
    <w:tmpl w:val="81725234"/>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95D33D3"/>
    <w:multiLevelType w:val="multilevel"/>
    <w:tmpl w:val="4C5A8196"/>
    <w:lvl w:ilvl="0">
      <w:start w:val="1"/>
      <w:numFmt w:val="decimal"/>
      <w:lvlText w:val="%1"/>
      <w:lvlJc w:val="left"/>
      <w:pPr>
        <w:tabs>
          <w:tab w:val="num" w:pos="474"/>
        </w:tabs>
        <w:ind w:left="262" w:hanging="148"/>
      </w:pPr>
      <w:rPr>
        <w:rFonts w:hint="default"/>
      </w:rPr>
    </w:lvl>
    <w:lvl w:ilvl="1">
      <w:start w:val="1"/>
      <w:numFmt w:val="decimal"/>
      <w:pStyle w:val="HHeading2"/>
      <w:lvlText w:val="%1.%2"/>
      <w:lvlJc w:val="left"/>
      <w:pPr>
        <w:tabs>
          <w:tab w:val="num" w:pos="567"/>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116" w15:restartNumberingAfterBreak="0">
    <w:nsid w:val="7B803FCC"/>
    <w:multiLevelType w:val="hybridMultilevel"/>
    <w:tmpl w:val="5156C62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C257008"/>
    <w:multiLevelType w:val="hybridMultilevel"/>
    <w:tmpl w:val="5B1A4896"/>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C3303CD"/>
    <w:multiLevelType w:val="hybridMultilevel"/>
    <w:tmpl w:val="DBC83430"/>
    <w:lvl w:ilvl="0" w:tplc="19F88068">
      <w:start w:val="1"/>
      <w:numFmt w:val="bullet"/>
      <w:lvlText w:val=""/>
      <w:lvlJc w:val="left"/>
      <w:pPr>
        <w:ind w:left="720" w:hanging="360"/>
      </w:pPr>
      <w:rPr>
        <w:rFonts w:ascii="Symbol" w:hAnsi="Symbol" w:hint="default"/>
        <w:b w:val="0"/>
        <w:color w:val="57825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E752836"/>
    <w:multiLevelType w:val="hybridMultilevel"/>
    <w:tmpl w:val="0FC8E3A2"/>
    <w:lvl w:ilvl="0" w:tplc="7A1AAC92">
      <w:start w:val="1"/>
      <w:numFmt w:val="bullet"/>
      <w:pStyle w:val="Htablebullet"/>
      <w:lvlText w:val=""/>
      <w:lvlJc w:val="left"/>
      <w:pPr>
        <w:ind w:left="360" w:hanging="360"/>
      </w:pPr>
      <w:rPr>
        <w:rFonts w:ascii="Symbol" w:hAnsi="Symbol" w:hint="default"/>
        <w:color w:val="57825E"/>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57"/>
  </w:num>
  <w:num w:numId="3">
    <w:abstractNumId w:val="70"/>
  </w:num>
  <w:num w:numId="4">
    <w:abstractNumId w:val="36"/>
  </w:num>
  <w:num w:numId="5">
    <w:abstractNumId w:val="119"/>
  </w:num>
  <w:num w:numId="6">
    <w:abstractNumId w:val="115"/>
  </w:num>
  <w:num w:numId="7">
    <w:abstractNumId w:val="64"/>
  </w:num>
  <w:num w:numId="8">
    <w:abstractNumId w:val="45"/>
    <w:lvlOverride w:ilvl="0">
      <w:lvl w:ilvl="0" w:tplc="0D56F77A">
        <w:start w:val="1"/>
        <w:numFmt w:val="decimal"/>
        <w:pStyle w:val="HHeadingfigures"/>
        <w:lvlText w:val="Figura %1."/>
        <w:lvlJc w:val="left"/>
        <w:pPr>
          <w:ind w:left="964" w:hanging="36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tplc="04070019" w:tentative="1">
        <w:start w:val="1"/>
        <w:numFmt w:val="lowerLetter"/>
        <w:lvlText w:val="%2."/>
        <w:lvlJc w:val="left"/>
        <w:pPr>
          <w:ind w:left="1440" w:hanging="360"/>
        </w:pPr>
      </w:lvl>
    </w:lvlOverride>
    <w:lvlOverride w:ilvl="2">
      <w:lvl w:ilvl="2" w:tplc="0407001B" w:tentative="1">
        <w:start w:val="1"/>
        <w:numFmt w:val="lowerRoman"/>
        <w:lvlText w:val="%3."/>
        <w:lvlJc w:val="right"/>
        <w:pPr>
          <w:ind w:left="2160" w:hanging="180"/>
        </w:pPr>
      </w:lvl>
    </w:lvlOverride>
    <w:lvlOverride w:ilvl="3">
      <w:lvl w:ilvl="3" w:tplc="0407000F" w:tentative="1">
        <w:start w:val="1"/>
        <w:numFmt w:val="decimal"/>
        <w:lvlText w:val="%4."/>
        <w:lvlJc w:val="left"/>
        <w:pPr>
          <w:ind w:left="2880" w:hanging="360"/>
        </w:pPr>
      </w:lvl>
    </w:lvlOverride>
    <w:lvlOverride w:ilvl="4">
      <w:lvl w:ilvl="4" w:tplc="04070019" w:tentative="1">
        <w:start w:val="1"/>
        <w:numFmt w:val="lowerLetter"/>
        <w:lvlText w:val="%5."/>
        <w:lvlJc w:val="left"/>
        <w:pPr>
          <w:ind w:left="3600" w:hanging="360"/>
        </w:pPr>
      </w:lvl>
    </w:lvlOverride>
    <w:lvlOverride w:ilvl="5">
      <w:lvl w:ilvl="5" w:tplc="0407001B" w:tentative="1">
        <w:start w:val="1"/>
        <w:numFmt w:val="lowerRoman"/>
        <w:lvlText w:val="%6."/>
        <w:lvlJc w:val="right"/>
        <w:pPr>
          <w:ind w:left="4320" w:hanging="180"/>
        </w:pPr>
      </w:lvl>
    </w:lvlOverride>
    <w:lvlOverride w:ilvl="6">
      <w:lvl w:ilvl="6" w:tplc="0407000F" w:tentative="1">
        <w:start w:val="1"/>
        <w:numFmt w:val="decimal"/>
        <w:lvlText w:val="%7."/>
        <w:lvlJc w:val="left"/>
        <w:pPr>
          <w:ind w:left="5040" w:hanging="360"/>
        </w:pPr>
      </w:lvl>
    </w:lvlOverride>
    <w:lvlOverride w:ilvl="7">
      <w:lvl w:ilvl="7" w:tplc="04070019" w:tentative="1">
        <w:start w:val="1"/>
        <w:numFmt w:val="lowerLetter"/>
        <w:lvlText w:val="%8."/>
        <w:lvlJc w:val="left"/>
        <w:pPr>
          <w:ind w:left="5760" w:hanging="360"/>
        </w:pPr>
      </w:lvl>
    </w:lvlOverride>
    <w:lvlOverride w:ilvl="8">
      <w:lvl w:ilvl="8" w:tplc="0407001B" w:tentative="1">
        <w:start w:val="1"/>
        <w:numFmt w:val="lowerRoman"/>
        <w:lvlText w:val="%9."/>
        <w:lvlJc w:val="right"/>
        <w:pPr>
          <w:ind w:left="6480" w:hanging="180"/>
        </w:pPr>
      </w:lvl>
    </w:lvlOverride>
  </w:num>
  <w:num w:numId="9">
    <w:abstractNumId w:val="10"/>
  </w:num>
  <w:num w:numId="10">
    <w:abstractNumId w:val="0"/>
  </w:num>
  <w:num w:numId="11">
    <w:abstractNumId w:val="29"/>
  </w:num>
  <w:num w:numId="12">
    <w:abstractNumId w:val="74"/>
  </w:num>
  <w:num w:numId="13">
    <w:abstractNumId w:val="37"/>
  </w:num>
  <w:num w:numId="14">
    <w:abstractNumId w:val="41"/>
  </w:num>
  <w:num w:numId="15">
    <w:abstractNumId w:val="38"/>
  </w:num>
  <w:num w:numId="16">
    <w:abstractNumId w:val="67"/>
  </w:num>
  <w:num w:numId="17">
    <w:abstractNumId w:val="55"/>
  </w:num>
  <w:num w:numId="18">
    <w:abstractNumId w:val="98"/>
  </w:num>
  <w:num w:numId="19">
    <w:abstractNumId w:val="106"/>
  </w:num>
  <w:num w:numId="20">
    <w:abstractNumId w:val="22"/>
  </w:num>
  <w:num w:numId="21">
    <w:abstractNumId w:val="24"/>
  </w:num>
  <w:num w:numId="22">
    <w:abstractNumId w:val="97"/>
  </w:num>
  <w:num w:numId="23">
    <w:abstractNumId w:val="69"/>
  </w:num>
  <w:num w:numId="24">
    <w:abstractNumId w:val="39"/>
  </w:num>
  <w:num w:numId="25">
    <w:abstractNumId w:val="42"/>
  </w:num>
  <w:num w:numId="26">
    <w:abstractNumId w:val="62"/>
  </w:num>
  <w:num w:numId="27">
    <w:abstractNumId w:val="14"/>
  </w:num>
  <w:num w:numId="28">
    <w:abstractNumId w:val="50"/>
  </w:num>
  <w:num w:numId="29">
    <w:abstractNumId w:val="118"/>
  </w:num>
  <w:num w:numId="30">
    <w:abstractNumId w:val="18"/>
  </w:num>
  <w:num w:numId="31">
    <w:abstractNumId w:val="80"/>
  </w:num>
  <w:num w:numId="32">
    <w:abstractNumId w:val="72"/>
  </w:num>
  <w:num w:numId="33">
    <w:abstractNumId w:val="51"/>
  </w:num>
  <w:num w:numId="34">
    <w:abstractNumId w:val="43"/>
  </w:num>
  <w:num w:numId="35">
    <w:abstractNumId w:val="92"/>
  </w:num>
  <w:num w:numId="36">
    <w:abstractNumId w:val="26"/>
  </w:num>
  <w:num w:numId="37">
    <w:abstractNumId w:val="102"/>
  </w:num>
  <w:num w:numId="38">
    <w:abstractNumId w:val="96"/>
  </w:num>
  <w:num w:numId="39">
    <w:abstractNumId w:val="85"/>
  </w:num>
  <w:num w:numId="40">
    <w:abstractNumId w:val="93"/>
  </w:num>
  <w:num w:numId="41">
    <w:abstractNumId w:val="52"/>
  </w:num>
  <w:num w:numId="42">
    <w:abstractNumId w:val="101"/>
  </w:num>
  <w:num w:numId="43">
    <w:abstractNumId w:val="110"/>
  </w:num>
  <w:num w:numId="44">
    <w:abstractNumId w:val="56"/>
  </w:num>
  <w:num w:numId="45">
    <w:abstractNumId w:val="32"/>
  </w:num>
  <w:num w:numId="46">
    <w:abstractNumId w:val="71"/>
  </w:num>
  <w:num w:numId="47">
    <w:abstractNumId w:val="31"/>
  </w:num>
  <w:num w:numId="48">
    <w:abstractNumId w:val="87"/>
  </w:num>
  <w:num w:numId="49">
    <w:abstractNumId w:val="66"/>
  </w:num>
  <w:num w:numId="50">
    <w:abstractNumId w:val="109"/>
  </w:num>
  <w:num w:numId="51">
    <w:abstractNumId w:val="28"/>
  </w:num>
  <w:num w:numId="52">
    <w:abstractNumId w:val="17"/>
  </w:num>
  <w:num w:numId="53">
    <w:abstractNumId w:val="54"/>
  </w:num>
  <w:num w:numId="54">
    <w:abstractNumId w:val="104"/>
  </w:num>
  <w:num w:numId="55">
    <w:abstractNumId w:val="84"/>
  </w:num>
  <w:num w:numId="56">
    <w:abstractNumId w:val="47"/>
  </w:num>
  <w:num w:numId="57">
    <w:abstractNumId w:val="78"/>
  </w:num>
  <w:num w:numId="58">
    <w:abstractNumId w:val="27"/>
  </w:num>
  <w:num w:numId="59">
    <w:abstractNumId w:val="99"/>
  </w:num>
  <w:num w:numId="60">
    <w:abstractNumId w:val="23"/>
  </w:num>
  <w:num w:numId="61">
    <w:abstractNumId w:val="77"/>
  </w:num>
  <w:num w:numId="62">
    <w:abstractNumId w:val="79"/>
  </w:num>
  <w:num w:numId="63">
    <w:abstractNumId w:val="88"/>
  </w:num>
  <w:num w:numId="64">
    <w:abstractNumId w:val="46"/>
  </w:num>
  <w:num w:numId="65">
    <w:abstractNumId w:val="35"/>
  </w:num>
  <w:num w:numId="66">
    <w:abstractNumId w:val="117"/>
  </w:num>
  <w:num w:numId="67">
    <w:abstractNumId w:val="116"/>
  </w:num>
  <w:num w:numId="68">
    <w:abstractNumId w:val="107"/>
  </w:num>
  <w:num w:numId="69">
    <w:abstractNumId w:val="65"/>
  </w:num>
  <w:num w:numId="70">
    <w:abstractNumId w:val="112"/>
  </w:num>
  <w:num w:numId="71">
    <w:abstractNumId w:val="33"/>
  </w:num>
  <w:num w:numId="72">
    <w:abstractNumId w:val="94"/>
  </w:num>
  <w:num w:numId="73">
    <w:abstractNumId w:val="68"/>
  </w:num>
  <w:num w:numId="74">
    <w:abstractNumId w:val="25"/>
  </w:num>
  <w:num w:numId="75">
    <w:abstractNumId w:val="111"/>
  </w:num>
  <w:num w:numId="76">
    <w:abstractNumId w:val="60"/>
  </w:num>
  <w:num w:numId="77">
    <w:abstractNumId w:val="83"/>
  </w:num>
  <w:num w:numId="78">
    <w:abstractNumId w:val="89"/>
  </w:num>
  <w:num w:numId="79">
    <w:abstractNumId w:val="105"/>
  </w:num>
  <w:num w:numId="80">
    <w:abstractNumId w:val="76"/>
  </w:num>
  <w:num w:numId="81">
    <w:abstractNumId w:val="100"/>
  </w:num>
  <w:num w:numId="82">
    <w:abstractNumId w:val="40"/>
  </w:num>
  <w:num w:numId="83">
    <w:abstractNumId w:val="90"/>
  </w:num>
  <w:num w:numId="84">
    <w:abstractNumId w:val="4"/>
  </w:num>
  <w:num w:numId="85">
    <w:abstractNumId w:val="91"/>
  </w:num>
  <w:num w:numId="86">
    <w:abstractNumId w:val="48"/>
  </w:num>
  <w:num w:numId="87">
    <w:abstractNumId w:val="59"/>
  </w:num>
  <w:num w:numId="88">
    <w:abstractNumId w:val="103"/>
  </w:num>
  <w:num w:numId="89">
    <w:abstractNumId w:val="13"/>
  </w:num>
  <w:num w:numId="90">
    <w:abstractNumId w:val="114"/>
  </w:num>
  <w:num w:numId="91">
    <w:abstractNumId w:val="9"/>
  </w:num>
  <w:num w:numId="92">
    <w:abstractNumId w:val="49"/>
  </w:num>
  <w:num w:numId="93">
    <w:abstractNumId w:val="16"/>
  </w:num>
  <w:num w:numId="94">
    <w:abstractNumId w:val="82"/>
  </w:num>
  <w:num w:numId="95">
    <w:abstractNumId w:val="113"/>
  </w:num>
  <w:num w:numId="96">
    <w:abstractNumId w:val="11"/>
  </w:num>
  <w:num w:numId="97">
    <w:abstractNumId w:val="73"/>
  </w:num>
  <w:num w:numId="98">
    <w:abstractNumId w:val="81"/>
  </w:num>
  <w:num w:numId="99">
    <w:abstractNumId w:val="75"/>
  </w:num>
  <w:num w:numId="100">
    <w:abstractNumId w:val="15"/>
  </w:num>
  <w:num w:numId="101">
    <w:abstractNumId w:val="53"/>
  </w:num>
  <w:num w:numId="102">
    <w:abstractNumId w:val="19"/>
  </w:num>
  <w:num w:numId="103">
    <w:abstractNumId w:val="95"/>
  </w:num>
  <w:num w:numId="104">
    <w:abstractNumId w:val="108"/>
  </w:num>
  <w:num w:numId="105">
    <w:abstractNumId w:val="34"/>
  </w:num>
  <w:num w:numId="106">
    <w:abstractNumId w:val="44"/>
  </w:num>
  <w:num w:numId="107">
    <w:abstractNumId w:val="20"/>
  </w:num>
  <w:num w:numId="108">
    <w:abstractNumId w:val="3"/>
  </w:num>
  <w:num w:numId="109">
    <w:abstractNumId w:val="45"/>
  </w:num>
  <w:num w:numId="110">
    <w:abstractNumId w:val="7"/>
  </w:num>
  <w:num w:numId="111">
    <w:abstractNumId w:val="5"/>
  </w:num>
  <w:num w:numId="112">
    <w:abstractNumId w:val="6"/>
  </w:num>
  <w:num w:numId="113">
    <w:abstractNumId w:val="12"/>
  </w:num>
  <w:num w:numId="114">
    <w:abstractNumId w:val="1"/>
  </w:num>
  <w:num w:numId="115">
    <w:abstractNumId w:val="30"/>
  </w:num>
  <w:num w:numId="116">
    <w:abstractNumId w:val="61"/>
  </w:num>
  <w:num w:numId="117">
    <w:abstractNumId w:val="8"/>
  </w:num>
  <w:num w:numId="118">
    <w:abstractNumId w:val="63"/>
  </w:num>
  <w:num w:numId="119">
    <w:abstractNumId w:val="2"/>
  </w:num>
  <w:num w:numId="120">
    <w:abstractNumId w:val="86"/>
  </w:num>
  <w:num w:numId="12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8"/>
  </w:num>
  <w:num w:numId="124">
    <w:abstractNumId w:val="2"/>
    <w:lvlOverride w:ilvl="0">
      <w:startOverride w:val="2"/>
    </w:lvlOverride>
    <w:lvlOverride w:ilvl="1">
      <w:startOverride w:val="4"/>
    </w:lvlOverride>
    <w:lvlOverride w:ilvl="2">
      <w:startOverride w:val="4"/>
    </w:lvlOverride>
  </w:num>
  <w:num w:numId="125">
    <w:abstractNumId w:val="2"/>
    <w:lvlOverride w:ilvl="0">
      <w:startOverride w:val="2"/>
    </w:lvlOverride>
    <w:lvlOverride w:ilvl="1">
      <w:startOverride w:val="4"/>
    </w:lvlOverride>
    <w:lvlOverride w:ilvl="2">
      <w:startOverride w:val="5"/>
    </w:lvlOverride>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E05D08"/>
    <w:rsid w:val="000026C6"/>
    <w:rsid w:val="00015AA7"/>
    <w:rsid w:val="00021844"/>
    <w:rsid w:val="00021A55"/>
    <w:rsid w:val="00022CA7"/>
    <w:rsid w:val="00027AF3"/>
    <w:rsid w:val="000324A5"/>
    <w:rsid w:val="00036912"/>
    <w:rsid w:val="00037CA6"/>
    <w:rsid w:val="000520DE"/>
    <w:rsid w:val="00053109"/>
    <w:rsid w:val="00055039"/>
    <w:rsid w:val="000828C6"/>
    <w:rsid w:val="000A1399"/>
    <w:rsid w:val="000A14B3"/>
    <w:rsid w:val="000A250D"/>
    <w:rsid w:val="000A307F"/>
    <w:rsid w:val="000A43B7"/>
    <w:rsid w:val="000A718F"/>
    <w:rsid w:val="000B1654"/>
    <w:rsid w:val="000B6304"/>
    <w:rsid w:val="000D7245"/>
    <w:rsid w:val="000E0645"/>
    <w:rsid w:val="000E0FE4"/>
    <w:rsid w:val="000E1023"/>
    <w:rsid w:val="000E1D4B"/>
    <w:rsid w:val="000E3675"/>
    <w:rsid w:val="000E5544"/>
    <w:rsid w:val="000F0497"/>
    <w:rsid w:val="000F0841"/>
    <w:rsid w:val="000F23A8"/>
    <w:rsid w:val="001049AB"/>
    <w:rsid w:val="00110179"/>
    <w:rsid w:val="00111ADE"/>
    <w:rsid w:val="001120E4"/>
    <w:rsid w:val="001126AE"/>
    <w:rsid w:val="00116EF8"/>
    <w:rsid w:val="001244F9"/>
    <w:rsid w:val="00125266"/>
    <w:rsid w:val="001275FF"/>
    <w:rsid w:val="00130B60"/>
    <w:rsid w:val="00130EA0"/>
    <w:rsid w:val="001319A0"/>
    <w:rsid w:val="001322D2"/>
    <w:rsid w:val="001327F5"/>
    <w:rsid w:val="0013321C"/>
    <w:rsid w:val="0013661C"/>
    <w:rsid w:val="001427A5"/>
    <w:rsid w:val="00142A64"/>
    <w:rsid w:val="00151D94"/>
    <w:rsid w:val="001524F5"/>
    <w:rsid w:val="00155E3F"/>
    <w:rsid w:val="00161D7E"/>
    <w:rsid w:val="00164489"/>
    <w:rsid w:val="00165BF1"/>
    <w:rsid w:val="001744D0"/>
    <w:rsid w:val="00177C4F"/>
    <w:rsid w:val="00183E9B"/>
    <w:rsid w:val="001865CA"/>
    <w:rsid w:val="0018705F"/>
    <w:rsid w:val="00187C15"/>
    <w:rsid w:val="001954EB"/>
    <w:rsid w:val="001A12C3"/>
    <w:rsid w:val="001A184E"/>
    <w:rsid w:val="001A2952"/>
    <w:rsid w:val="001A2A93"/>
    <w:rsid w:val="001A2DEC"/>
    <w:rsid w:val="001A6C7C"/>
    <w:rsid w:val="001A7B15"/>
    <w:rsid w:val="001B58A1"/>
    <w:rsid w:val="001C039D"/>
    <w:rsid w:val="001C03A3"/>
    <w:rsid w:val="001C546D"/>
    <w:rsid w:val="001E1B68"/>
    <w:rsid w:val="001E4AE1"/>
    <w:rsid w:val="001F6140"/>
    <w:rsid w:val="001F626E"/>
    <w:rsid w:val="001F6F07"/>
    <w:rsid w:val="001F7296"/>
    <w:rsid w:val="0020060A"/>
    <w:rsid w:val="0021105B"/>
    <w:rsid w:val="002126B4"/>
    <w:rsid w:val="002271D9"/>
    <w:rsid w:val="00230C31"/>
    <w:rsid w:val="00232CF1"/>
    <w:rsid w:val="00235D46"/>
    <w:rsid w:val="00237EDF"/>
    <w:rsid w:val="002403DE"/>
    <w:rsid w:val="00241663"/>
    <w:rsid w:val="00253803"/>
    <w:rsid w:val="0025413B"/>
    <w:rsid w:val="00260B97"/>
    <w:rsid w:val="002803D8"/>
    <w:rsid w:val="00282948"/>
    <w:rsid w:val="00283811"/>
    <w:rsid w:val="002964ED"/>
    <w:rsid w:val="002A6F90"/>
    <w:rsid w:val="002B4923"/>
    <w:rsid w:val="002B590B"/>
    <w:rsid w:val="002C2419"/>
    <w:rsid w:val="002C2C15"/>
    <w:rsid w:val="002C3A1C"/>
    <w:rsid w:val="002C4556"/>
    <w:rsid w:val="002D1C8F"/>
    <w:rsid w:val="002D399D"/>
    <w:rsid w:val="002E1723"/>
    <w:rsid w:val="002F0ABF"/>
    <w:rsid w:val="002F11D9"/>
    <w:rsid w:val="002F520A"/>
    <w:rsid w:val="00300AA0"/>
    <w:rsid w:val="0030377F"/>
    <w:rsid w:val="00304961"/>
    <w:rsid w:val="00310F20"/>
    <w:rsid w:val="00310FA9"/>
    <w:rsid w:val="00311624"/>
    <w:rsid w:val="00320AA0"/>
    <w:rsid w:val="00320B7D"/>
    <w:rsid w:val="003224A2"/>
    <w:rsid w:val="00324C42"/>
    <w:rsid w:val="00330136"/>
    <w:rsid w:val="00331223"/>
    <w:rsid w:val="003340BA"/>
    <w:rsid w:val="0034028A"/>
    <w:rsid w:val="003411D5"/>
    <w:rsid w:val="0034160A"/>
    <w:rsid w:val="00347A2C"/>
    <w:rsid w:val="00350B30"/>
    <w:rsid w:val="00364255"/>
    <w:rsid w:val="003737FE"/>
    <w:rsid w:val="00373B62"/>
    <w:rsid w:val="00374290"/>
    <w:rsid w:val="003766ED"/>
    <w:rsid w:val="00382BE4"/>
    <w:rsid w:val="00385368"/>
    <w:rsid w:val="00387226"/>
    <w:rsid w:val="003A1316"/>
    <w:rsid w:val="003A5A53"/>
    <w:rsid w:val="003B44A9"/>
    <w:rsid w:val="003B7EB7"/>
    <w:rsid w:val="003C170B"/>
    <w:rsid w:val="003C6103"/>
    <w:rsid w:val="003D242C"/>
    <w:rsid w:val="003D5EED"/>
    <w:rsid w:val="003E2CE0"/>
    <w:rsid w:val="003E55F2"/>
    <w:rsid w:val="003F416E"/>
    <w:rsid w:val="003F6478"/>
    <w:rsid w:val="003F6AF1"/>
    <w:rsid w:val="00400064"/>
    <w:rsid w:val="00405B0B"/>
    <w:rsid w:val="00406C98"/>
    <w:rsid w:val="00412D26"/>
    <w:rsid w:val="00415EB8"/>
    <w:rsid w:val="0042403E"/>
    <w:rsid w:val="00426618"/>
    <w:rsid w:val="0042786E"/>
    <w:rsid w:val="00431FF5"/>
    <w:rsid w:val="00447906"/>
    <w:rsid w:val="00447B72"/>
    <w:rsid w:val="004508D0"/>
    <w:rsid w:val="00451BFA"/>
    <w:rsid w:val="00452B13"/>
    <w:rsid w:val="00471221"/>
    <w:rsid w:val="00472162"/>
    <w:rsid w:val="00485923"/>
    <w:rsid w:val="0048755C"/>
    <w:rsid w:val="00490F5A"/>
    <w:rsid w:val="00497AC7"/>
    <w:rsid w:val="004A2B05"/>
    <w:rsid w:val="004A3EE9"/>
    <w:rsid w:val="004B5B60"/>
    <w:rsid w:val="004C17C9"/>
    <w:rsid w:val="004C2BB4"/>
    <w:rsid w:val="004C32F7"/>
    <w:rsid w:val="004C7474"/>
    <w:rsid w:val="004D352C"/>
    <w:rsid w:val="004E272E"/>
    <w:rsid w:val="004E38AA"/>
    <w:rsid w:val="004E3DD3"/>
    <w:rsid w:val="004F014E"/>
    <w:rsid w:val="004F414C"/>
    <w:rsid w:val="00500604"/>
    <w:rsid w:val="00500D52"/>
    <w:rsid w:val="00501827"/>
    <w:rsid w:val="0050721E"/>
    <w:rsid w:val="0051038D"/>
    <w:rsid w:val="0051700B"/>
    <w:rsid w:val="00526777"/>
    <w:rsid w:val="00530DA6"/>
    <w:rsid w:val="00533971"/>
    <w:rsid w:val="00535A54"/>
    <w:rsid w:val="005411F9"/>
    <w:rsid w:val="00541A7D"/>
    <w:rsid w:val="00544F2D"/>
    <w:rsid w:val="00545C6C"/>
    <w:rsid w:val="00547012"/>
    <w:rsid w:val="005474FA"/>
    <w:rsid w:val="005520BA"/>
    <w:rsid w:val="00554723"/>
    <w:rsid w:val="00556FC4"/>
    <w:rsid w:val="00560E46"/>
    <w:rsid w:val="005626E0"/>
    <w:rsid w:val="00567027"/>
    <w:rsid w:val="005671F4"/>
    <w:rsid w:val="00570507"/>
    <w:rsid w:val="00576A73"/>
    <w:rsid w:val="00580A51"/>
    <w:rsid w:val="00582F60"/>
    <w:rsid w:val="00583AC8"/>
    <w:rsid w:val="00591CB3"/>
    <w:rsid w:val="0059228D"/>
    <w:rsid w:val="0059311F"/>
    <w:rsid w:val="00595D16"/>
    <w:rsid w:val="00596A5B"/>
    <w:rsid w:val="00597107"/>
    <w:rsid w:val="005A0605"/>
    <w:rsid w:val="005A0DA2"/>
    <w:rsid w:val="005A5457"/>
    <w:rsid w:val="005B3685"/>
    <w:rsid w:val="005D0347"/>
    <w:rsid w:val="005E1D93"/>
    <w:rsid w:val="005F09BC"/>
    <w:rsid w:val="00600BE3"/>
    <w:rsid w:val="0060261A"/>
    <w:rsid w:val="00604B7A"/>
    <w:rsid w:val="00612B75"/>
    <w:rsid w:val="00612D54"/>
    <w:rsid w:val="00615785"/>
    <w:rsid w:val="006172D0"/>
    <w:rsid w:val="00617D7B"/>
    <w:rsid w:val="00620DA3"/>
    <w:rsid w:val="00623618"/>
    <w:rsid w:val="006239C7"/>
    <w:rsid w:val="00624393"/>
    <w:rsid w:val="00626C0C"/>
    <w:rsid w:val="006418CA"/>
    <w:rsid w:val="00642394"/>
    <w:rsid w:val="00643DF6"/>
    <w:rsid w:val="00644398"/>
    <w:rsid w:val="006450B6"/>
    <w:rsid w:val="0064682B"/>
    <w:rsid w:val="00647766"/>
    <w:rsid w:val="006501D4"/>
    <w:rsid w:val="00651F1C"/>
    <w:rsid w:val="00653B72"/>
    <w:rsid w:val="00654F10"/>
    <w:rsid w:val="0066160E"/>
    <w:rsid w:val="00665417"/>
    <w:rsid w:val="00673E3D"/>
    <w:rsid w:val="00674A4B"/>
    <w:rsid w:val="00676750"/>
    <w:rsid w:val="00676B41"/>
    <w:rsid w:val="006803A8"/>
    <w:rsid w:val="00682C8C"/>
    <w:rsid w:val="00683332"/>
    <w:rsid w:val="006871D2"/>
    <w:rsid w:val="00690E70"/>
    <w:rsid w:val="00695A11"/>
    <w:rsid w:val="00697455"/>
    <w:rsid w:val="006A092E"/>
    <w:rsid w:val="006A32EF"/>
    <w:rsid w:val="006A4AEC"/>
    <w:rsid w:val="006B72BF"/>
    <w:rsid w:val="006C085A"/>
    <w:rsid w:val="006C63CD"/>
    <w:rsid w:val="006D0B02"/>
    <w:rsid w:val="006D209F"/>
    <w:rsid w:val="006E0E48"/>
    <w:rsid w:val="006E2A31"/>
    <w:rsid w:val="006E592C"/>
    <w:rsid w:val="006E597D"/>
    <w:rsid w:val="006F0B79"/>
    <w:rsid w:val="006F1601"/>
    <w:rsid w:val="006F3FC1"/>
    <w:rsid w:val="006F63C5"/>
    <w:rsid w:val="00703AD9"/>
    <w:rsid w:val="00710753"/>
    <w:rsid w:val="0071141A"/>
    <w:rsid w:val="00712357"/>
    <w:rsid w:val="0071609A"/>
    <w:rsid w:val="00717885"/>
    <w:rsid w:val="00725801"/>
    <w:rsid w:val="00734B11"/>
    <w:rsid w:val="007372CD"/>
    <w:rsid w:val="007441E3"/>
    <w:rsid w:val="007547C2"/>
    <w:rsid w:val="00757688"/>
    <w:rsid w:val="007603A8"/>
    <w:rsid w:val="00764D33"/>
    <w:rsid w:val="00767F5C"/>
    <w:rsid w:val="007707EC"/>
    <w:rsid w:val="0078182B"/>
    <w:rsid w:val="00782C87"/>
    <w:rsid w:val="00785DD0"/>
    <w:rsid w:val="0079071D"/>
    <w:rsid w:val="007A450E"/>
    <w:rsid w:val="007B0E8B"/>
    <w:rsid w:val="007B323F"/>
    <w:rsid w:val="007B4A6D"/>
    <w:rsid w:val="007B4D84"/>
    <w:rsid w:val="007B5CB9"/>
    <w:rsid w:val="007B6E2F"/>
    <w:rsid w:val="007C2C6A"/>
    <w:rsid w:val="007C69CD"/>
    <w:rsid w:val="007C7A64"/>
    <w:rsid w:val="007D2A0C"/>
    <w:rsid w:val="007D301C"/>
    <w:rsid w:val="007D62E6"/>
    <w:rsid w:val="007E16DD"/>
    <w:rsid w:val="007E63EF"/>
    <w:rsid w:val="007E7353"/>
    <w:rsid w:val="007F0B5B"/>
    <w:rsid w:val="007F1C55"/>
    <w:rsid w:val="007F4DD3"/>
    <w:rsid w:val="007F5740"/>
    <w:rsid w:val="00803501"/>
    <w:rsid w:val="00804314"/>
    <w:rsid w:val="00804433"/>
    <w:rsid w:val="00805EDF"/>
    <w:rsid w:val="00807A63"/>
    <w:rsid w:val="0081188E"/>
    <w:rsid w:val="00812586"/>
    <w:rsid w:val="00814B95"/>
    <w:rsid w:val="008164E6"/>
    <w:rsid w:val="0081791E"/>
    <w:rsid w:val="00826484"/>
    <w:rsid w:val="008518F2"/>
    <w:rsid w:val="00857D5C"/>
    <w:rsid w:val="00863DB0"/>
    <w:rsid w:val="00864D7B"/>
    <w:rsid w:val="00866B4D"/>
    <w:rsid w:val="00876579"/>
    <w:rsid w:val="0088190F"/>
    <w:rsid w:val="008845CB"/>
    <w:rsid w:val="008873D9"/>
    <w:rsid w:val="00890C92"/>
    <w:rsid w:val="00891109"/>
    <w:rsid w:val="00893616"/>
    <w:rsid w:val="00897804"/>
    <w:rsid w:val="008A0CFF"/>
    <w:rsid w:val="008A260B"/>
    <w:rsid w:val="008B008F"/>
    <w:rsid w:val="008B1A09"/>
    <w:rsid w:val="008C0B17"/>
    <w:rsid w:val="008C3EAC"/>
    <w:rsid w:val="008D05D4"/>
    <w:rsid w:val="008D178A"/>
    <w:rsid w:val="008D2E0D"/>
    <w:rsid w:val="008D63A8"/>
    <w:rsid w:val="008E4AA6"/>
    <w:rsid w:val="008F1F04"/>
    <w:rsid w:val="0090245E"/>
    <w:rsid w:val="009044EE"/>
    <w:rsid w:val="009106EA"/>
    <w:rsid w:val="00912430"/>
    <w:rsid w:val="00916AB5"/>
    <w:rsid w:val="00916BE2"/>
    <w:rsid w:val="00920CB9"/>
    <w:rsid w:val="009414CC"/>
    <w:rsid w:val="00942585"/>
    <w:rsid w:val="00946806"/>
    <w:rsid w:val="00946DD8"/>
    <w:rsid w:val="00951524"/>
    <w:rsid w:val="0095292E"/>
    <w:rsid w:val="0095336D"/>
    <w:rsid w:val="009567F6"/>
    <w:rsid w:val="00963A81"/>
    <w:rsid w:val="009648DB"/>
    <w:rsid w:val="00965042"/>
    <w:rsid w:val="00966DF2"/>
    <w:rsid w:val="00967CFD"/>
    <w:rsid w:val="00971886"/>
    <w:rsid w:val="009722AA"/>
    <w:rsid w:val="00981E08"/>
    <w:rsid w:val="009837FF"/>
    <w:rsid w:val="00987055"/>
    <w:rsid w:val="00990BF3"/>
    <w:rsid w:val="009968A7"/>
    <w:rsid w:val="00997571"/>
    <w:rsid w:val="009A02D3"/>
    <w:rsid w:val="009A27E2"/>
    <w:rsid w:val="009A2DAD"/>
    <w:rsid w:val="009A64EA"/>
    <w:rsid w:val="009B603C"/>
    <w:rsid w:val="009C2EC2"/>
    <w:rsid w:val="009C6BCC"/>
    <w:rsid w:val="009C70F8"/>
    <w:rsid w:val="009C734C"/>
    <w:rsid w:val="009C743B"/>
    <w:rsid w:val="009D0C0A"/>
    <w:rsid w:val="009D3A3F"/>
    <w:rsid w:val="009D479A"/>
    <w:rsid w:val="009D56E6"/>
    <w:rsid w:val="009E6414"/>
    <w:rsid w:val="009F145D"/>
    <w:rsid w:val="009F1589"/>
    <w:rsid w:val="009F5AB5"/>
    <w:rsid w:val="00A008D3"/>
    <w:rsid w:val="00A04209"/>
    <w:rsid w:val="00A209BF"/>
    <w:rsid w:val="00A304B0"/>
    <w:rsid w:val="00A31D39"/>
    <w:rsid w:val="00A35C6D"/>
    <w:rsid w:val="00A43434"/>
    <w:rsid w:val="00A43EFD"/>
    <w:rsid w:val="00A45935"/>
    <w:rsid w:val="00A51882"/>
    <w:rsid w:val="00A57969"/>
    <w:rsid w:val="00A60495"/>
    <w:rsid w:val="00A610F6"/>
    <w:rsid w:val="00A66638"/>
    <w:rsid w:val="00A66F3C"/>
    <w:rsid w:val="00A6785E"/>
    <w:rsid w:val="00A71A31"/>
    <w:rsid w:val="00A74E46"/>
    <w:rsid w:val="00A77E99"/>
    <w:rsid w:val="00A807A5"/>
    <w:rsid w:val="00A823A8"/>
    <w:rsid w:val="00A82B75"/>
    <w:rsid w:val="00A847F8"/>
    <w:rsid w:val="00A90171"/>
    <w:rsid w:val="00A92E91"/>
    <w:rsid w:val="00A961A7"/>
    <w:rsid w:val="00AA5817"/>
    <w:rsid w:val="00AA7F79"/>
    <w:rsid w:val="00AB16BB"/>
    <w:rsid w:val="00AB45F8"/>
    <w:rsid w:val="00AB6603"/>
    <w:rsid w:val="00AB74DA"/>
    <w:rsid w:val="00AC1B3E"/>
    <w:rsid w:val="00AC664B"/>
    <w:rsid w:val="00AC75B9"/>
    <w:rsid w:val="00AC7DDF"/>
    <w:rsid w:val="00AD39B9"/>
    <w:rsid w:val="00AD3CD7"/>
    <w:rsid w:val="00AD72DD"/>
    <w:rsid w:val="00AE3E85"/>
    <w:rsid w:val="00AE68CA"/>
    <w:rsid w:val="00AE704F"/>
    <w:rsid w:val="00B05B45"/>
    <w:rsid w:val="00B10B3C"/>
    <w:rsid w:val="00B24679"/>
    <w:rsid w:val="00B311E6"/>
    <w:rsid w:val="00B35581"/>
    <w:rsid w:val="00B36B77"/>
    <w:rsid w:val="00B37E2A"/>
    <w:rsid w:val="00B40DBF"/>
    <w:rsid w:val="00B41573"/>
    <w:rsid w:val="00B421B9"/>
    <w:rsid w:val="00B51B3B"/>
    <w:rsid w:val="00B5530E"/>
    <w:rsid w:val="00B63DE8"/>
    <w:rsid w:val="00B64C7D"/>
    <w:rsid w:val="00B737D4"/>
    <w:rsid w:val="00B76BA4"/>
    <w:rsid w:val="00B91D56"/>
    <w:rsid w:val="00BA248B"/>
    <w:rsid w:val="00BA2C5D"/>
    <w:rsid w:val="00BA450C"/>
    <w:rsid w:val="00BA4FCD"/>
    <w:rsid w:val="00BA5122"/>
    <w:rsid w:val="00BA6A33"/>
    <w:rsid w:val="00BB0A98"/>
    <w:rsid w:val="00BB551B"/>
    <w:rsid w:val="00BC211C"/>
    <w:rsid w:val="00BC2432"/>
    <w:rsid w:val="00BC406C"/>
    <w:rsid w:val="00BC471E"/>
    <w:rsid w:val="00BC5B1D"/>
    <w:rsid w:val="00BD475B"/>
    <w:rsid w:val="00BD7227"/>
    <w:rsid w:val="00BE0462"/>
    <w:rsid w:val="00BE1F31"/>
    <w:rsid w:val="00BE70EE"/>
    <w:rsid w:val="00C013AD"/>
    <w:rsid w:val="00C02FCB"/>
    <w:rsid w:val="00C046E8"/>
    <w:rsid w:val="00C16E3D"/>
    <w:rsid w:val="00C202EC"/>
    <w:rsid w:val="00C20C97"/>
    <w:rsid w:val="00C3092C"/>
    <w:rsid w:val="00C31DF0"/>
    <w:rsid w:val="00C3302E"/>
    <w:rsid w:val="00C3334D"/>
    <w:rsid w:val="00C35A25"/>
    <w:rsid w:val="00C37C7A"/>
    <w:rsid w:val="00C477ED"/>
    <w:rsid w:val="00C5127D"/>
    <w:rsid w:val="00C51F59"/>
    <w:rsid w:val="00C61277"/>
    <w:rsid w:val="00C621C4"/>
    <w:rsid w:val="00C6361D"/>
    <w:rsid w:val="00C64B64"/>
    <w:rsid w:val="00C67E9D"/>
    <w:rsid w:val="00C8095B"/>
    <w:rsid w:val="00C84B5B"/>
    <w:rsid w:val="00C929DF"/>
    <w:rsid w:val="00C947BA"/>
    <w:rsid w:val="00C9522B"/>
    <w:rsid w:val="00C95BD6"/>
    <w:rsid w:val="00CA12E6"/>
    <w:rsid w:val="00CA28E6"/>
    <w:rsid w:val="00CA3A48"/>
    <w:rsid w:val="00CA6EC8"/>
    <w:rsid w:val="00CB3AD0"/>
    <w:rsid w:val="00CB4818"/>
    <w:rsid w:val="00CB654F"/>
    <w:rsid w:val="00CB68D9"/>
    <w:rsid w:val="00CC53B5"/>
    <w:rsid w:val="00CD3BC8"/>
    <w:rsid w:val="00CE2990"/>
    <w:rsid w:val="00CF37F0"/>
    <w:rsid w:val="00CF4822"/>
    <w:rsid w:val="00CF6D0E"/>
    <w:rsid w:val="00D010F5"/>
    <w:rsid w:val="00D05E3A"/>
    <w:rsid w:val="00D076E7"/>
    <w:rsid w:val="00D10FA6"/>
    <w:rsid w:val="00D13817"/>
    <w:rsid w:val="00D201A2"/>
    <w:rsid w:val="00D32DA8"/>
    <w:rsid w:val="00D32E53"/>
    <w:rsid w:val="00D35751"/>
    <w:rsid w:val="00D4053E"/>
    <w:rsid w:val="00D461AB"/>
    <w:rsid w:val="00D50380"/>
    <w:rsid w:val="00D50EF0"/>
    <w:rsid w:val="00D55226"/>
    <w:rsid w:val="00D558C2"/>
    <w:rsid w:val="00D57D0A"/>
    <w:rsid w:val="00D612DC"/>
    <w:rsid w:val="00D62992"/>
    <w:rsid w:val="00D62ED4"/>
    <w:rsid w:val="00D66182"/>
    <w:rsid w:val="00D66501"/>
    <w:rsid w:val="00D73319"/>
    <w:rsid w:val="00D7340E"/>
    <w:rsid w:val="00D77B96"/>
    <w:rsid w:val="00D815E7"/>
    <w:rsid w:val="00D85FF6"/>
    <w:rsid w:val="00D91213"/>
    <w:rsid w:val="00D91569"/>
    <w:rsid w:val="00D930A2"/>
    <w:rsid w:val="00D96C8F"/>
    <w:rsid w:val="00DA22EB"/>
    <w:rsid w:val="00DB1887"/>
    <w:rsid w:val="00DC1C77"/>
    <w:rsid w:val="00DC20D6"/>
    <w:rsid w:val="00DC2840"/>
    <w:rsid w:val="00DC6C4F"/>
    <w:rsid w:val="00DD247A"/>
    <w:rsid w:val="00DD473C"/>
    <w:rsid w:val="00DD4C4C"/>
    <w:rsid w:val="00DE256D"/>
    <w:rsid w:val="00DE2C82"/>
    <w:rsid w:val="00DF68E2"/>
    <w:rsid w:val="00E03826"/>
    <w:rsid w:val="00E05D08"/>
    <w:rsid w:val="00E1641B"/>
    <w:rsid w:val="00E16522"/>
    <w:rsid w:val="00E30E27"/>
    <w:rsid w:val="00E33F37"/>
    <w:rsid w:val="00E34FAC"/>
    <w:rsid w:val="00E36F81"/>
    <w:rsid w:val="00E54013"/>
    <w:rsid w:val="00E54929"/>
    <w:rsid w:val="00E634DC"/>
    <w:rsid w:val="00E64309"/>
    <w:rsid w:val="00E71021"/>
    <w:rsid w:val="00E713B8"/>
    <w:rsid w:val="00E72529"/>
    <w:rsid w:val="00E8197A"/>
    <w:rsid w:val="00E849E7"/>
    <w:rsid w:val="00EA0618"/>
    <w:rsid w:val="00EA0974"/>
    <w:rsid w:val="00EB31A3"/>
    <w:rsid w:val="00EB77F2"/>
    <w:rsid w:val="00EB7915"/>
    <w:rsid w:val="00EC468B"/>
    <w:rsid w:val="00EC4AF4"/>
    <w:rsid w:val="00EC5172"/>
    <w:rsid w:val="00ED1295"/>
    <w:rsid w:val="00ED1649"/>
    <w:rsid w:val="00ED3278"/>
    <w:rsid w:val="00ED47C5"/>
    <w:rsid w:val="00EE3543"/>
    <w:rsid w:val="00EF0A96"/>
    <w:rsid w:val="00EF1B0F"/>
    <w:rsid w:val="00EF4540"/>
    <w:rsid w:val="00F01E0F"/>
    <w:rsid w:val="00F0545B"/>
    <w:rsid w:val="00F117CA"/>
    <w:rsid w:val="00F13B45"/>
    <w:rsid w:val="00F200A2"/>
    <w:rsid w:val="00F250EC"/>
    <w:rsid w:val="00F31494"/>
    <w:rsid w:val="00F31AD6"/>
    <w:rsid w:val="00F32874"/>
    <w:rsid w:val="00F37A59"/>
    <w:rsid w:val="00F4055A"/>
    <w:rsid w:val="00F5230D"/>
    <w:rsid w:val="00F60A36"/>
    <w:rsid w:val="00F631AE"/>
    <w:rsid w:val="00F64797"/>
    <w:rsid w:val="00F66623"/>
    <w:rsid w:val="00F6793F"/>
    <w:rsid w:val="00F73706"/>
    <w:rsid w:val="00F74459"/>
    <w:rsid w:val="00F74623"/>
    <w:rsid w:val="00F74C18"/>
    <w:rsid w:val="00F8050F"/>
    <w:rsid w:val="00F8743F"/>
    <w:rsid w:val="00F877C2"/>
    <w:rsid w:val="00F9406A"/>
    <w:rsid w:val="00F94F86"/>
    <w:rsid w:val="00FA12EA"/>
    <w:rsid w:val="00FA6691"/>
    <w:rsid w:val="00FB51EF"/>
    <w:rsid w:val="00FB5B14"/>
    <w:rsid w:val="00FC1408"/>
    <w:rsid w:val="00FC14FF"/>
    <w:rsid w:val="00FC7364"/>
    <w:rsid w:val="00FF02C1"/>
    <w:rsid w:val="00FF15CC"/>
    <w:rsid w:val="00FF4353"/>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E046C"/>
  <w15:docId w15:val="{744637B8-95E8-4BEB-BA98-F07AC3597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s-ES" w:bidi="es-ES"/>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785E"/>
    <w:pPr>
      <w:jc w:val="both"/>
    </w:pPr>
    <w:rPr>
      <w:rFonts w:ascii="Arial" w:hAnsi="Arial"/>
      <w:color w:val="373737"/>
      <w:sz w:val="20"/>
    </w:rPr>
  </w:style>
  <w:style w:type="paragraph" w:styleId="Heading1">
    <w:name w:val="heading 1"/>
    <w:basedOn w:val="Normal"/>
    <w:next w:val="Normal"/>
    <w:link w:val="Heading1Char"/>
    <w:uiPriority w:val="9"/>
    <w:qFormat/>
    <w:rsid w:val="00E05D08"/>
    <w:pPr>
      <w:keepNext/>
      <w:framePr w:hSpace="142" w:vSpace="142" w:wrap="notBeside" w:vAnchor="page" w:hAnchor="margin" w:y="1532"/>
      <w:numPr>
        <w:numId w:val="1"/>
      </w:numPr>
      <w:pBdr>
        <w:left w:val="single" w:sz="48" w:space="8" w:color="33CCCC"/>
      </w:pBdr>
      <w:tabs>
        <w:tab w:val="clear" w:pos="474"/>
        <w:tab w:val="left" w:pos="227"/>
      </w:tabs>
      <w:suppressAutoHyphens/>
      <w:spacing w:before="60" w:after="20" w:line="240" w:lineRule="auto"/>
      <w:ind w:left="227" w:hanging="227"/>
      <w:outlineLvl w:val="0"/>
    </w:pPr>
    <w:rPr>
      <w:rFonts w:eastAsia="Times New Roman" w:cs="Arial"/>
      <w:b/>
      <w:bCs/>
      <w:kern w:val="32"/>
      <w:sz w:val="24"/>
      <w:szCs w:val="32"/>
    </w:rPr>
  </w:style>
  <w:style w:type="paragraph" w:styleId="Heading2">
    <w:name w:val="heading 2"/>
    <w:aliases w:val="Titre B,no vale,Heading 2 Char1,Heading 2 Char Char"/>
    <w:basedOn w:val="Normal"/>
    <w:next w:val="Normal"/>
    <w:link w:val="Heading2Char"/>
    <w:uiPriority w:val="9"/>
    <w:qFormat/>
    <w:rsid w:val="00E05D08"/>
    <w:pPr>
      <w:keepNext/>
      <w:numPr>
        <w:ilvl w:val="1"/>
        <w:numId w:val="1"/>
      </w:numPr>
      <w:tabs>
        <w:tab w:val="clear" w:pos="360"/>
        <w:tab w:val="left" w:pos="454"/>
      </w:tabs>
      <w:suppressAutoHyphens/>
      <w:spacing w:before="240" w:after="140" w:line="260" w:lineRule="exact"/>
      <w:ind w:left="454" w:hanging="454"/>
      <w:outlineLvl w:val="1"/>
    </w:pPr>
    <w:rPr>
      <w:rFonts w:eastAsia="Times New Roman" w:cs="Arial"/>
      <w:b/>
      <w:bCs/>
      <w:iCs/>
      <w:szCs w:val="28"/>
    </w:rPr>
  </w:style>
  <w:style w:type="paragraph" w:styleId="Heading3">
    <w:name w:val="heading 3"/>
    <w:aliases w:val="H3,no vale1,no vale1 Car"/>
    <w:basedOn w:val="Normal"/>
    <w:next w:val="Normal"/>
    <w:link w:val="Heading3Char"/>
    <w:qFormat/>
    <w:rsid w:val="00E05D08"/>
    <w:pPr>
      <w:keepNext/>
      <w:numPr>
        <w:ilvl w:val="2"/>
        <w:numId w:val="1"/>
      </w:numPr>
      <w:tabs>
        <w:tab w:val="clear" w:pos="720"/>
        <w:tab w:val="left" w:pos="567"/>
      </w:tabs>
      <w:suppressAutoHyphens/>
      <w:spacing w:before="240" w:after="140" w:line="240" w:lineRule="exact"/>
      <w:ind w:left="567" w:hanging="567"/>
      <w:outlineLvl w:val="2"/>
    </w:pPr>
    <w:rPr>
      <w:rFonts w:eastAsia="Times New Roman" w:cs="Arial"/>
      <w:b/>
      <w:bCs/>
      <w:color w:val="5F5F5F"/>
      <w:szCs w:val="26"/>
    </w:rPr>
  </w:style>
  <w:style w:type="paragraph" w:styleId="Heading4">
    <w:name w:val="heading 4"/>
    <w:aliases w:val="Heading 4 Char1,Título 4 Car,Heading 4 Char1 Car,no vale 2,no vale 2 Car"/>
    <w:basedOn w:val="Normal"/>
    <w:next w:val="Normal"/>
    <w:link w:val="Heading4Char"/>
    <w:uiPriority w:val="99"/>
    <w:qFormat/>
    <w:rsid w:val="00E05D08"/>
    <w:pPr>
      <w:keepNext/>
      <w:numPr>
        <w:ilvl w:val="3"/>
        <w:numId w:val="1"/>
      </w:numPr>
      <w:tabs>
        <w:tab w:val="clear" w:pos="1080"/>
        <w:tab w:val="left" w:pos="680"/>
      </w:tabs>
      <w:suppressAutoHyphens/>
      <w:spacing w:before="240" w:after="140" w:line="220" w:lineRule="atLeast"/>
      <w:ind w:left="680" w:hanging="680"/>
      <w:outlineLvl w:val="3"/>
    </w:pPr>
    <w:rPr>
      <w:rFonts w:eastAsia="Times New Roman" w:cs="Times New Roman"/>
      <w:b/>
      <w:bCs/>
      <w:color w:val="5F5F5F"/>
      <w:sz w:val="18"/>
      <w:szCs w:val="28"/>
    </w:rPr>
  </w:style>
  <w:style w:type="paragraph" w:styleId="Heading5">
    <w:name w:val="heading 5"/>
    <w:basedOn w:val="Normal"/>
    <w:next w:val="Normal"/>
    <w:link w:val="Heading5Char"/>
    <w:uiPriority w:val="99"/>
    <w:qFormat/>
    <w:rsid w:val="00E05D08"/>
    <w:pPr>
      <w:suppressAutoHyphens/>
      <w:spacing w:before="200" w:after="100" w:line="220" w:lineRule="atLeast"/>
      <w:outlineLvl w:val="4"/>
    </w:pPr>
    <w:rPr>
      <w:rFonts w:eastAsia="Times New Roman" w:cs="Times New Roman"/>
      <w:b/>
      <w:bCs/>
      <w:iCs/>
      <w:color w:val="5F5F5F"/>
      <w:sz w:val="18"/>
      <w:szCs w:val="26"/>
    </w:rPr>
  </w:style>
  <w:style w:type="paragraph" w:styleId="Heading6">
    <w:name w:val="heading 6"/>
    <w:basedOn w:val="Normal"/>
    <w:next w:val="Normal"/>
    <w:link w:val="Heading6Char"/>
    <w:uiPriority w:val="99"/>
    <w:qFormat/>
    <w:rsid w:val="00E05D08"/>
    <w:pPr>
      <w:suppressAutoHyphens/>
      <w:spacing w:before="140" w:after="140" w:line="200" w:lineRule="exact"/>
      <w:outlineLvl w:val="5"/>
    </w:pPr>
    <w:rPr>
      <w:rFonts w:eastAsia="Times New Roman" w:cs="Times New Roman"/>
      <w:b/>
      <w:bCs/>
      <w:color w:val="808080"/>
      <w:sz w:val="16"/>
    </w:rPr>
  </w:style>
  <w:style w:type="paragraph" w:styleId="Heading7">
    <w:name w:val="heading 7"/>
    <w:basedOn w:val="Normal"/>
    <w:next w:val="Normal"/>
    <w:link w:val="Heading7Char"/>
    <w:rsid w:val="00E05D08"/>
    <w:pPr>
      <w:suppressAutoHyphens/>
      <w:spacing w:before="140" w:after="140" w:line="200" w:lineRule="exact"/>
      <w:outlineLvl w:val="6"/>
    </w:pPr>
    <w:rPr>
      <w:rFonts w:eastAsia="Times New Roman" w:cs="Times New Roman"/>
      <w:b/>
      <w:color w:val="808080"/>
      <w:sz w:val="16"/>
      <w:szCs w:val="24"/>
    </w:rPr>
  </w:style>
  <w:style w:type="paragraph" w:styleId="Heading8">
    <w:name w:val="heading 8"/>
    <w:basedOn w:val="Normal"/>
    <w:next w:val="Normal"/>
    <w:link w:val="Heading8Char"/>
    <w:rsid w:val="00E05D08"/>
    <w:pPr>
      <w:suppressAutoHyphens/>
      <w:spacing w:before="140" w:after="140" w:line="200" w:lineRule="exact"/>
      <w:outlineLvl w:val="7"/>
    </w:pPr>
    <w:rPr>
      <w:rFonts w:eastAsia="Times New Roman" w:cs="Times New Roman"/>
      <w:b/>
      <w:iCs/>
      <w:color w:val="808080"/>
      <w:sz w:val="16"/>
      <w:szCs w:val="24"/>
    </w:rPr>
  </w:style>
  <w:style w:type="paragraph" w:styleId="Heading9">
    <w:name w:val="heading 9"/>
    <w:basedOn w:val="Heading1"/>
    <w:next w:val="Normal"/>
    <w:link w:val="Heading9Char"/>
    <w:rsid w:val="00E05D08"/>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D08"/>
    <w:rPr>
      <w:rFonts w:ascii="Arial" w:eastAsia="Times New Roman" w:hAnsi="Arial" w:cs="Arial"/>
      <w:b/>
      <w:bCs/>
      <w:kern w:val="32"/>
      <w:sz w:val="24"/>
      <w:szCs w:val="32"/>
      <w:lang w:eastAsia="es-ES"/>
    </w:rPr>
  </w:style>
  <w:style w:type="character" w:customStyle="1" w:styleId="Heading2Char">
    <w:name w:val="Heading 2 Char"/>
    <w:aliases w:val="Titre B Char,no vale Char,Heading 2 Char1 Char,Heading 2 Char Char Char"/>
    <w:basedOn w:val="DefaultParagraphFont"/>
    <w:link w:val="Heading2"/>
    <w:uiPriority w:val="9"/>
    <w:rsid w:val="00E05D08"/>
    <w:rPr>
      <w:rFonts w:ascii="Arial" w:eastAsia="Times New Roman" w:hAnsi="Arial" w:cs="Arial"/>
      <w:b/>
      <w:bCs/>
      <w:iCs/>
      <w:szCs w:val="28"/>
      <w:lang w:eastAsia="es-ES"/>
    </w:rPr>
  </w:style>
  <w:style w:type="character" w:customStyle="1" w:styleId="Heading3Char">
    <w:name w:val="Heading 3 Char"/>
    <w:aliases w:val="H3 Char,no vale1 Char,no vale1 Car Char"/>
    <w:basedOn w:val="DefaultParagraphFont"/>
    <w:link w:val="Heading3"/>
    <w:rsid w:val="00E05D08"/>
    <w:rPr>
      <w:rFonts w:ascii="Arial" w:eastAsia="Times New Roman" w:hAnsi="Arial" w:cs="Arial"/>
      <w:b/>
      <w:bCs/>
      <w:color w:val="5F5F5F"/>
      <w:sz w:val="20"/>
      <w:szCs w:val="26"/>
      <w:lang w:eastAsia="es-ES"/>
    </w:rPr>
  </w:style>
  <w:style w:type="paragraph" w:styleId="ListParagraph">
    <w:name w:val="List Paragraph"/>
    <w:basedOn w:val="Normal"/>
    <w:uiPriority w:val="34"/>
    <w:qFormat/>
    <w:rsid w:val="00B421B9"/>
    <w:pPr>
      <w:ind w:left="720"/>
      <w:contextualSpacing/>
    </w:pPr>
  </w:style>
  <w:style w:type="character" w:customStyle="1" w:styleId="Heading5Char">
    <w:name w:val="Heading 5 Char"/>
    <w:basedOn w:val="DefaultParagraphFont"/>
    <w:link w:val="Heading5"/>
    <w:uiPriority w:val="99"/>
    <w:rsid w:val="00E05D08"/>
    <w:rPr>
      <w:rFonts w:ascii="Arial" w:eastAsia="Times New Roman" w:hAnsi="Arial" w:cs="Times New Roman"/>
      <w:b/>
      <w:bCs/>
      <w:iCs/>
      <w:color w:val="5F5F5F"/>
      <w:sz w:val="18"/>
      <w:szCs w:val="26"/>
      <w:lang w:val="es-ES" w:eastAsia="es-ES"/>
    </w:rPr>
  </w:style>
  <w:style w:type="character" w:customStyle="1" w:styleId="Heading6Char">
    <w:name w:val="Heading 6 Char"/>
    <w:basedOn w:val="DefaultParagraphFont"/>
    <w:link w:val="Heading6"/>
    <w:uiPriority w:val="99"/>
    <w:rsid w:val="00E05D08"/>
    <w:rPr>
      <w:rFonts w:ascii="Arial" w:eastAsia="Times New Roman" w:hAnsi="Arial" w:cs="Times New Roman"/>
      <w:b/>
      <w:bCs/>
      <w:color w:val="808080"/>
      <w:sz w:val="16"/>
      <w:lang w:eastAsia="es-ES"/>
    </w:rPr>
  </w:style>
  <w:style w:type="character" w:customStyle="1" w:styleId="Heading7Char">
    <w:name w:val="Heading 7 Char"/>
    <w:basedOn w:val="DefaultParagraphFont"/>
    <w:link w:val="Heading7"/>
    <w:rsid w:val="00E05D08"/>
    <w:rPr>
      <w:rFonts w:ascii="Arial" w:eastAsia="Times New Roman" w:hAnsi="Arial" w:cs="Times New Roman"/>
      <w:b/>
      <w:color w:val="808080"/>
      <w:sz w:val="16"/>
      <w:szCs w:val="24"/>
      <w:lang w:eastAsia="es-ES"/>
    </w:rPr>
  </w:style>
  <w:style w:type="character" w:customStyle="1" w:styleId="Heading8Char">
    <w:name w:val="Heading 8 Char"/>
    <w:basedOn w:val="DefaultParagraphFont"/>
    <w:link w:val="Heading8"/>
    <w:rsid w:val="00E05D08"/>
    <w:rPr>
      <w:rFonts w:ascii="Arial" w:eastAsia="Times New Roman" w:hAnsi="Arial" w:cs="Times New Roman"/>
      <w:b/>
      <w:iCs/>
      <w:color w:val="808080"/>
      <w:sz w:val="16"/>
      <w:szCs w:val="24"/>
      <w:lang w:eastAsia="es-ES"/>
    </w:rPr>
  </w:style>
  <w:style w:type="character" w:customStyle="1" w:styleId="Heading9Char">
    <w:name w:val="Heading 9 Char"/>
    <w:basedOn w:val="DefaultParagraphFont"/>
    <w:link w:val="Heading9"/>
    <w:rsid w:val="00E05D08"/>
    <w:rPr>
      <w:rFonts w:ascii="Arial" w:eastAsia="Times New Roman" w:hAnsi="Arial" w:cs="Arial"/>
      <w:b/>
      <w:bCs/>
      <w:kern w:val="32"/>
      <w:sz w:val="24"/>
      <w:lang w:eastAsia="es-ES"/>
    </w:rPr>
  </w:style>
  <w:style w:type="numbering" w:customStyle="1" w:styleId="NoList1">
    <w:name w:val="No List1"/>
    <w:next w:val="NoList"/>
    <w:uiPriority w:val="99"/>
    <w:semiHidden/>
    <w:unhideWhenUsed/>
    <w:rsid w:val="00E05D08"/>
  </w:style>
  <w:style w:type="paragraph" w:styleId="TOC1">
    <w:name w:val="toc 1"/>
    <w:basedOn w:val="Normal"/>
    <w:next w:val="Normal"/>
    <w:autoRedefine/>
    <w:uiPriority w:val="39"/>
    <w:unhideWhenUsed/>
    <w:rsid w:val="009837FF"/>
    <w:pPr>
      <w:spacing w:after="100"/>
      <w:ind w:left="567" w:hanging="567"/>
    </w:pPr>
    <w:rPr>
      <w:b/>
      <w:caps/>
    </w:rPr>
  </w:style>
  <w:style w:type="paragraph" w:styleId="TOC2">
    <w:name w:val="toc 2"/>
    <w:basedOn w:val="Normal"/>
    <w:next w:val="Normal"/>
    <w:autoRedefine/>
    <w:uiPriority w:val="39"/>
    <w:unhideWhenUsed/>
    <w:rsid w:val="002F11D9"/>
    <w:pPr>
      <w:spacing w:after="100"/>
      <w:ind w:left="567" w:hanging="567"/>
    </w:pPr>
  </w:style>
  <w:style w:type="paragraph" w:styleId="Footer">
    <w:name w:val="footer"/>
    <w:link w:val="FooterChar"/>
    <w:uiPriority w:val="99"/>
    <w:rsid w:val="00E05D08"/>
    <w:pPr>
      <w:tabs>
        <w:tab w:val="right" w:pos="8618"/>
      </w:tabs>
      <w:spacing w:after="0" w:line="240" w:lineRule="auto"/>
      <w:ind w:left="-907" w:right="-907"/>
      <w:jc w:val="center"/>
    </w:pPr>
    <w:rPr>
      <w:rFonts w:ascii="Arial" w:eastAsia="Times New Roman" w:hAnsi="Arial" w:cs="Times New Roman"/>
      <w:color w:val="373737"/>
      <w:szCs w:val="20"/>
    </w:rPr>
  </w:style>
  <w:style w:type="character" w:customStyle="1" w:styleId="FooterChar">
    <w:name w:val="Footer Char"/>
    <w:basedOn w:val="DefaultParagraphFont"/>
    <w:link w:val="Footer"/>
    <w:uiPriority w:val="99"/>
    <w:rsid w:val="00E05D08"/>
    <w:rPr>
      <w:rFonts w:ascii="Arial" w:eastAsia="Times New Roman" w:hAnsi="Arial" w:cs="Times New Roman"/>
      <w:color w:val="373737"/>
      <w:szCs w:val="20"/>
      <w:lang w:eastAsia="es-ES"/>
    </w:rPr>
  </w:style>
  <w:style w:type="character" w:styleId="PageNumber">
    <w:name w:val="page number"/>
    <w:basedOn w:val="DefaultParagraphFont"/>
    <w:semiHidden/>
    <w:rsid w:val="00E05D08"/>
    <w:rPr>
      <w:rFonts w:ascii="Arial" w:hAnsi="Arial"/>
      <w:color w:val="808080"/>
      <w:sz w:val="18"/>
    </w:rPr>
  </w:style>
  <w:style w:type="paragraph" w:customStyle="1" w:styleId="HTitle2">
    <w:name w:val="H_Title2"/>
    <w:basedOn w:val="Normal"/>
    <w:qFormat/>
    <w:rsid w:val="00E05D08"/>
    <w:pPr>
      <w:autoSpaceDE w:val="0"/>
      <w:autoSpaceDN w:val="0"/>
      <w:adjustRightInd w:val="0"/>
      <w:spacing w:after="120" w:line="280" w:lineRule="atLeast"/>
    </w:pPr>
    <w:rPr>
      <w:rFonts w:eastAsia="Times New Roman" w:cs="Times New Roman"/>
      <w:smallCaps/>
      <w:sz w:val="44"/>
      <w:szCs w:val="52"/>
    </w:rPr>
  </w:style>
  <w:style w:type="paragraph" w:customStyle="1" w:styleId="Hlistbullet">
    <w:name w:val="H_list_bullet"/>
    <w:uiPriority w:val="99"/>
    <w:rsid w:val="00EA0974"/>
    <w:pPr>
      <w:numPr>
        <w:numId w:val="2"/>
      </w:numPr>
      <w:spacing w:after="120" w:line="280" w:lineRule="atLeast"/>
      <w:ind w:left="567" w:hanging="567"/>
      <w:jc w:val="both"/>
    </w:pPr>
    <w:rPr>
      <w:rFonts w:ascii="Arial" w:eastAsia="Times New Roman" w:hAnsi="Arial" w:cs="Times New Roman"/>
      <w:color w:val="373737"/>
      <w:sz w:val="20"/>
      <w:szCs w:val="20"/>
    </w:rPr>
  </w:style>
  <w:style w:type="paragraph" w:customStyle="1" w:styleId="Hlistbullet2">
    <w:name w:val="H_list_bullet2"/>
    <w:basedOn w:val="Hlistbullet"/>
    <w:next w:val="HStandard"/>
    <w:rsid w:val="00EA0974"/>
    <w:pPr>
      <w:numPr>
        <w:numId w:val="12"/>
      </w:numPr>
      <w:ind w:left="1134" w:hanging="567"/>
    </w:pPr>
  </w:style>
  <w:style w:type="paragraph" w:customStyle="1" w:styleId="Hlistabc">
    <w:name w:val="H_list_abc"/>
    <w:rsid w:val="00E05D08"/>
    <w:pPr>
      <w:spacing w:after="120" w:line="280" w:lineRule="atLeast"/>
      <w:mirrorIndents/>
      <w:jc w:val="both"/>
    </w:pPr>
    <w:rPr>
      <w:rFonts w:ascii="Arial" w:eastAsia="Times New Roman" w:hAnsi="Arial" w:cs="Times New Roman"/>
      <w:color w:val="373737"/>
      <w:sz w:val="20"/>
      <w:szCs w:val="20"/>
    </w:rPr>
  </w:style>
  <w:style w:type="paragraph" w:customStyle="1" w:styleId="Hlistabc2">
    <w:name w:val="H_list_abc_2"/>
    <w:basedOn w:val="Hlistabc"/>
    <w:next w:val="HStandard"/>
    <w:rsid w:val="00E05D08"/>
    <w:pPr>
      <w:spacing w:after="140"/>
    </w:pPr>
  </w:style>
  <w:style w:type="paragraph" w:customStyle="1" w:styleId="HTitle1">
    <w:name w:val="H_Title1"/>
    <w:basedOn w:val="Normal"/>
    <w:rsid w:val="00E05D08"/>
    <w:pPr>
      <w:autoSpaceDE w:val="0"/>
      <w:autoSpaceDN w:val="0"/>
      <w:adjustRightInd w:val="0"/>
      <w:spacing w:after="120" w:line="280" w:lineRule="atLeast"/>
    </w:pPr>
    <w:rPr>
      <w:rFonts w:eastAsia="Times New Roman" w:cs="Times New Roman"/>
      <w:bCs/>
      <w:smallCaps/>
      <w:color w:val="F07E31"/>
      <w:sz w:val="60"/>
      <w:szCs w:val="32"/>
    </w:rPr>
  </w:style>
  <w:style w:type="paragraph" w:customStyle="1" w:styleId="Autor">
    <w:name w:val="Autor"/>
    <w:basedOn w:val="Normal"/>
    <w:rsid w:val="00E05D08"/>
    <w:pPr>
      <w:spacing w:after="0" w:line="280" w:lineRule="exact"/>
    </w:pPr>
    <w:rPr>
      <w:rFonts w:eastAsia="Times New Roman" w:cs="Times New Roman"/>
      <w:szCs w:val="24"/>
    </w:rPr>
  </w:style>
  <w:style w:type="paragraph" w:customStyle="1" w:styleId="HTitle3">
    <w:name w:val="H_Title3"/>
    <w:basedOn w:val="Autor"/>
    <w:rsid w:val="00E05D08"/>
    <w:rPr>
      <w:smallCaps/>
      <w:sz w:val="28"/>
    </w:rPr>
  </w:style>
  <w:style w:type="paragraph" w:styleId="TOC3">
    <w:name w:val="toc 3"/>
    <w:basedOn w:val="Normal"/>
    <w:next w:val="Normal"/>
    <w:autoRedefine/>
    <w:uiPriority w:val="39"/>
    <w:unhideWhenUsed/>
    <w:rsid w:val="009837FF"/>
    <w:pPr>
      <w:spacing w:after="100"/>
      <w:ind w:left="567" w:hanging="567"/>
    </w:pPr>
  </w:style>
  <w:style w:type="paragraph" w:styleId="TOC4">
    <w:name w:val="toc 4"/>
    <w:basedOn w:val="Normal"/>
    <w:next w:val="Normal"/>
    <w:autoRedefine/>
    <w:uiPriority w:val="39"/>
    <w:unhideWhenUsed/>
    <w:rsid w:val="002F11D9"/>
    <w:pPr>
      <w:keepLines/>
      <w:spacing w:after="100"/>
    </w:pPr>
    <w:rPr>
      <w:noProof/>
    </w:rPr>
  </w:style>
  <w:style w:type="paragraph" w:customStyle="1" w:styleId="Fuzeilequerformat">
    <w:name w:val="Fußzeile_querformat"/>
    <w:basedOn w:val="Footer"/>
    <w:rsid w:val="00E05D08"/>
    <w:pPr>
      <w:tabs>
        <w:tab w:val="clear" w:pos="8618"/>
        <w:tab w:val="right" w:pos="12871"/>
      </w:tabs>
    </w:pPr>
  </w:style>
  <w:style w:type="paragraph" w:styleId="TableofFigures">
    <w:name w:val="table of figures"/>
    <w:next w:val="HStandard"/>
    <w:uiPriority w:val="99"/>
    <w:rsid w:val="00E05D08"/>
    <w:pPr>
      <w:tabs>
        <w:tab w:val="left" w:pos="851"/>
        <w:tab w:val="right" w:leader="dot" w:pos="7711"/>
      </w:tabs>
      <w:suppressAutoHyphens/>
      <w:spacing w:before="60" w:after="0" w:line="280" w:lineRule="exact"/>
      <w:ind w:left="851" w:right="284" w:hanging="851"/>
    </w:pPr>
    <w:rPr>
      <w:rFonts w:ascii="Arial" w:eastAsia="Times New Roman" w:hAnsi="Arial" w:cs="Times New Roman"/>
      <w:sz w:val="20"/>
      <w:szCs w:val="20"/>
    </w:rPr>
  </w:style>
  <w:style w:type="paragraph" w:customStyle="1" w:styleId="Hlistline3">
    <w:name w:val="H_list_line3"/>
    <w:rsid w:val="00E05D08"/>
    <w:pPr>
      <w:numPr>
        <w:numId w:val="4"/>
      </w:numPr>
      <w:spacing w:before="60" w:after="60" w:line="220" w:lineRule="atLeast"/>
      <w:ind w:left="851" w:hanging="284"/>
    </w:pPr>
    <w:rPr>
      <w:rFonts w:ascii="Arial" w:eastAsia="Times New Roman" w:hAnsi="Arial" w:cs="Times New Roman"/>
      <w:color w:val="373737"/>
      <w:sz w:val="20"/>
      <w:szCs w:val="20"/>
    </w:rPr>
  </w:style>
  <w:style w:type="paragraph" w:customStyle="1" w:styleId="Hlistline4">
    <w:name w:val="H_list_line4"/>
    <w:basedOn w:val="Hlistline3"/>
    <w:next w:val="HStandard"/>
    <w:rsid w:val="00E05D08"/>
    <w:pPr>
      <w:ind w:left="1135"/>
    </w:pPr>
  </w:style>
  <w:style w:type="paragraph" w:customStyle="1" w:styleId="HSource">
    <w:name w:val="H_Source"/>
    <w:next w:val="HStandard"/>
    <w:rsid w:val="00E05D08"/>
    <w:pPr>
      <w:suppressAutoHyphens/>
      <w:spacing w:before="60" w:after="140" w:line="240" w:lineRule="auto"/>
      <w:ind w:left="1134" w:right="1134"/>
      <w:mirrorIndents/>
      <w:jc w:val="center"/>
    </w:pPr>
    <w:rPr>
      <w:rFonts w:ascii="Arial" w:eastAsia="Times New Roman" w:hAnsi="Arial" w:cs="Times New Roman"/>
      <w:i/>
      <w:color w:val="373737"/>
      <w:sz w:val="16"/>
      <w:szCs w:val="20"/>
    </w:rPr>
  </w:style>
  <w:style w:type="paragraph" w:customStyle="1" w:styleId="Htableleft">
    <w:name w:val="H_table_left"/>
    <w:rsid w:val="00E05D08"/>
    <w:pPr>
      <w:suppressAutoHyphens/>
      <w:spacing w:before="40" w:after="40" w:line="240" w:lineRule="auto"/>
    </w:pPr>
    <w:rPr>
      <w:rFonts w:ascii="Arial" w:eastAsia="Times New Roman" w:hAnsi="Arial" w:cs="Times New Roman"/>
      <w:color w:val="373737"/>
      <w:sz w:val="18"/>
      <w:szCs w:val="20"/>
    </w:rPr>
  </w:style>
  <w:style w:type="paragraph" w:customStyle="1" w:styleId="Htablecentered">
    <w:name w:val="H_table_centered"/>
    <w:basedOn w:val="Htableleft"/>
    <w:rsid w:val="00E05D08"/>
    <w:pPr>
      <w:jc w:val="center"/>
    </w:pPr>
  </w:style>
  <w:style w:type="paragraph" w:customStyle="1" w:styleId="Htableleftbolt">
    <w:name w:val="H_table_left_bolt"/>
    <w:basedOn w:val="Htableleft"/>
    <w:rsid w:val="00E05D08"/>
    <w:rPr>
      <w:b/>
      <w:color w:val="FFFFFF"/>
    </w:rPr>
  </w:style>
  <w:style w:type="paragraph" w:customStyle="1" w:styleId="Htablecenteredbolt">
    <w:name w:val="H_table_centered_bolt"/>
    <w:basedOn w:val="Htablecentered"/>
    <w:rsid w:val="00E05D08"/>
    <w:rPr>
      <w:b/>
      <w:color w:val="FFFFFF"/>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F74459"/>
    <w:pPr>
      <w:spacing w:after="0" w:line="180" w:lineRule="exact"/>
    </w:pPr>
    <w:rPr>
      <w:rFonts w:ascii="Arial" w:eastAsia="Times New Roman" w:hAnsi="Arial" w:cs="Times New Roman"/>
      <w:color w:val="808080"/>
      <w:sz w:val="16"/>
      <w:szCs w:val="20"/>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F74459"/>
    <w:rPr>
      <w:rFonts w:ascii="Arial" w:eastAsia="Times New Roman" w:hAnsi="Arial" w:cs="Times New Roman"/>
      <w:color w:val="808080"/>
      <w:sz w:val="16"/>
      <w:szCs w:val="20"/>
      <w:lang w:eastAsia="es-ES"/>
    </w:rPr>
  </w:style>
  <w:style w:type="paragraph" w:customStyle="1" w:styleId="Htablebullet">
    <w:name w:val="H_table_bullet"/>
    <w:basedOn w:val="Htableleft"/>
    <w:rsid w:val="00E05D08"/>
    <w:pPr>
      <w:numPr>
        <w:numId w:val="5"/>
      </w:numPr>
    </w:pPr>
  </w:style>
  <w:style w:type="paragraph" w:customStyle="1" w:styleId="HContent">
    <w:name w:val="H_Content"/>
    <w:basedOn w:val="Heading1"/>
    <w:next w:val="HStandard"/>
    <w:rsid w:val="00E05D08"/>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582F60"/>
    <w:pPr>
      <w:keepNext/>
      <w:keepLines/>
      <w:pageBreakBefore/>
      <w:numPr>
        <w:numId w:val="119"/>
      </w:numPr>
      <w:tabs>
        <w:tab w:val="left" w:pos="567"/>
      </w:tabs>
      <w:spacing w:before="360" w:after="360" w:line="280" w:lineRule="atLeast"/>
      <w:ind w:left="567" w:hanging="567"/>
      <w:mirrorIndents/>
      <w:outlineLvl w:val="0"/>
    </w:pPr>
    <w:rPr>
      <w:rFonts w:ascii="Arial" w:eastAsia="Times New Roman" w:hAnsi="Arial" w:cs="Times New Roman"/>
      <w:b/>
      <w:caps/>
      <w:color w:val="F07E31"/>
      <w:sz w:val="20"/>
      <w:szCs w:val="20"/>
    </w:rPr>
  </w:style>
  <w:style w:type="paragraph" w:customStyle="1" w:styleId="HHeading2">
    <w:name w:val="H_Heading 2"/>
    <w:next w:val="HStandard"/>
    <w:rsid w:val="00E05D08"/>
    <w:pPr>
      <w:keepNext/>
      <w:keepLines/>
      <w:numPr>
        <w:ilvl w:val="1"/>
        <w:numId w:val="6"/>
      </w:numPr>
      <w:tabs>
        <w:tab w:val="left" w:pos="567"/>
      </w:tabs>
      <w:spacing w:before="240" w:after="140" w:line="260" w:lineRule="exact"/>
      <w:mirrorIndents/>
      <w:outlineLvl w:val="1"/>
    </w:pPr>
    <w:rPr>
      <w:rFonts w:ascii="Arial" w:eastAsia="Times New Roman" w:hAnsi="Arial" w:cs="Times New Roman"/>
      <w:b/>
      <w:color w:val="373737"/>
      <w:sz w:val="20"/>
      <w:szCs w:val="20"/>
    </w:rPr>
  </w:style>
  <w:style w:type="paragraph" w:customStyle="1" w:styleId="HHeading3">
    <w:name w:val="H_Heading 3"/>
    <w:next w:val="HStandard"/>
    <w:rsid w:val="009B603C"/>
    <w:pPr>
      <w:keepNext/>
      <w:keepLines/>
      <w:numPr>
        <w:ilvl w:val="2"/>
        <w:numId w:val="6"/>
      </w:numPr>
      <w:tabs>
        <w:tab w:val="left" w:pos="567"/>
      </w:tabs>
      <w:spacing w:before="240" w:after="140" w:line="240" w:lineRule="exact"/>
      <w:ind w:left="567" w:hanging="567"/>
      <w:mirrorIndents/>
      <w:outlineLvl w:val="2"/>
    </w:pPr>
    <w:rPr>
      <w:rFonts w:ascii="Arial" w:eastAsia="Times New Roman" w:hAnsi="Arial" w:cs="Times New Roman"/>
      <w:b/>
      <w:color w:val="F07E31"/>
      <w:sz w:val="20"/>
      <w:szCs w:val="20"/>
    </w:rPr>
  </w:style>
  <w:style w:type="paragraph" w:customStyle="1" w:styleId="HHeading4">
    <w:name w:val="H_Heading 4"/>
    <w:next w:val="HStandard"/>
    <w:rsid w:val="00E05D08"/>
    <w:pPr>
      <w:keepNext/>
      <w:keepLines/>
      <w:tabs>
        <w:tab w:val="left" w:pos="680"/>
      </w:tabs>
      <w:spacing w:before="240" w:after="240" w:line="280" w:lineRule="atLeast"/>
      <w:mirrorIndents/>
      <w:outlineLvl w:val="3"/>
    </w:pPr>
    <w:rPr>
      <w:rFonts w:ascii="Arial" w:eastAsia="Times New Roman" w:hAnsi="Arial" w:cs="Times New Roman"/>
      <w:b/>
      <w:color w:val="57825E"/>
      <w:sz w:val="20"/>
      <w:szCs w:val="20"/>
    </w:rPr>
  </w:style>
  <w:style w:type="character" w:styleId="Hyperlink">
    <w:name w:val="Hyperlink"/>
    <w:basedOn w:val="DefaultParagraphFont"/>
    <w:uiPriority w:val="99"/>
    <w:rsid w:val="00E05D08"/>
    <w:rPr>
      <w:rFonts w:ascii="Arial" w:hAnsi="Arial"/>
      <w:color w:val="F07E31"/>
      <w:sz w:val="16"/>
      <w:u w:val="single"/>
      <w:lang w:val="es-ES"/>
    </w:rPr>
  </w:style>
  <w:style w:type="paragraph" w:customStyle="1" w:styleId="HStandard">
    <w:name w:val="H_Standard"/>
    <w:rsid w:val="000E1D4B"/>
    <w:pPr>
      <w:spacing w:after="120" w:line="280" w:lineRule="atLeast"/>
      <w:jc w:val="both"/>
    </w:pPr>
    <w:rPr>
      <w:rFonts w:ascii="Arial" w:eastAsia="Times New Roman" w:hAnsi="Arial" w:cs="Times New Roman"/>
      <w:color w:val="373737"/>
      <w:sz w:val="20"/>
      <w:szCs w:val="20"/>
    </w:rPr>
  </w:style>
  <w:style w:type="paragraph" w:styleId="BalloonText">
    <w:name w:val="Balloon Text"/>
    <w:basedOn w:val="Normal"/>
    <w:link w:val="BalloonTextChar"/>
    <w:uiPriority w:val="99"/>
    <w:semiHidden/>
    <w:unhideWhenUsed/>
    <w:rsid w:val="00E05D0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05D08"/>
    <w:rPr>
      <w:rFonts w:ascii="Tahoma" w:eastAsia="Times New Roman" w:hAnsi="Tahoma" w:cs="Tahoma"/>
      <w:sz w:val="16"/>
      <w:szCs w:val="16"/>
      <w:lang w:eastAsia="es-ES"/>
    </w:rPr>
  </w:style>
  <w:style w:type="table" w:styleId="TableGrid">
    <w:name w:val="Table Grid"/>
    <w:basedOn w:val="TableNormal"/>
    <w:uiPriority w:val="39"/>
    <w:rsid w:val="00E05D0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E05D08"/>
    <w:pPr>
      <w:numPr>
        <w:numId w:val="7"/>
      </w:numPr>
      <w:spacing w:before="200" w:after="140" w:line="240" w:lineRule="auto"/>
    </w:pPr>
    <w:rPr>
      <w:rFonts w:ascii="Arial" w:eastAsia="Times New Roman" w:hAnsi="Arial" w:cs="Times New Roman"/>
      <w:b/>
      <w:color w:val="373737"/>
      <w:sz w:val="16"/>
      <w:szCs w:val="20"/>
    </w:rPr>
  </w:style>
  <w:style w:type="paragraph" w:customStyle="1" w:styleId="HHeadingfigures">
    <w:name w:val="H_Heading_figures"/>
    <w:basedOn w:val="HHeadingtables"/>
    <w:next w:val="HStandard"/>
    <w:qFormat/>
    <w:rsid w:val="009E6414"/>
    <w:pPr>
      <w:numPr>
        <w:numId w:val="8"/>
      </w:numPr>
    </w:pPr>
    <w:rPr>
      <w:noProof/>
      <w:lang w:val="es-ES_tradnl"/>
    </w:rPr>
  </w:style>
  <w:style w:type="paragraph" w:customStyle="1" w:styleId="HHeadingmaps">
    <w:name w:val="H_Heading_maps"/>
    <w:basedOn w:val="HHeadingtables"/>
    <w:next w:val="HStandard"/>
    <w:qFormat/>
    <w:rsid w:val="00E05D08"/>
    <w:pPr>
      <w:keepNext/>
      <w:keepLines/>
      <w:numPr>
        <w:numId w:val="9"/>
      </w:numPr>
      <w:outlineLvl w:val="5"/>
    </w:pPr>
  </w:style>
  <w:style w:type="paragraph" w:customStyle="1" w:styleId="HHeadingboxes">
    <w:name w:val="H_Heading_boxes"/>
    <w:basedOn w:val="HHeadingtables"/>
    <w:next w:val="HStandard"/>
    <w:qFormat/>
    <w:rsid w:val="00E05D08"/>
    <w:pPr>
      <w:numPr>
        <w:numId w:val="10"/>
      </w:numPr>
      <w:ind w:left="851" w:hanging="851"/>
    </w:pPr>
  </w:style>
  <w:style w:type="paragraph" w:customStyle="1" w:styleId="HBox">
    <w:name w:val="H_Box"/>
    <w:next w:val="HStandard"/>
    <w:qFormat/>
    <w:rsid w:val="00E05D08"/>
    <w:pPr>
      <w:framePr w:wrap="notBeside" w:vAnchor="text" w:hAnchor="text" w:y="1"/>
      <w:spacing w:after="120" w:line="260" w:lineRule="atLeast"/>
      <w:jc w:val="both"/>
    </w:pPr>
    <w:rPr>
      <w:rFonts w:ascii="Arial" w:eastAsia="Times New Roman" w:hAnsi="Arial" w:cs="Times New Roman"/>
      <w:color w:val="373737"/>
      <w:sz w:val="18"/>
      <w:szCs w:val="20"/>
    </w:rPr>
  </w:style>
  <w:style w:type="paragraph" w:customStyle="1" w:styleId="HBoxbullet">
    <w:name w:val="H_Box_bullet"/>
    <w:next w:val="HStandard"/>
    <w:qFormat/>
    <w:rsid w:val="00E05D08"/>
    <w:pPr>
      <w:numPr>
        <w:numId w:val="11"/>
      </w:numPr>
      <w:pBdr>
        <w:top w:val="single" w:sz="4" w:space="4" w:color="F07E31"/>
        <w:left w:val="single" w:sz="4" w:space="8" w:color="F07E31"/>
        <w:bottom w:val="single" w:sz="4" w:space="4" w:color="F07E31"/>
        <w:right w:val="single" w:sz="4" w:space="4" w:color="F07E31"/>
      </w:pBdr>
      <w:shd w:val="clear" w:color="auto" w:fill="FCE5D5"/>
      <w:spacing w:after="0" w:line="240" w:lineRule="auto"/>
      <w:ind w:left="363" w:hanging="284"/>
      <w:jc w:val="both"/>
    </w:pPr>
    <w:rPr>
      <w:rFonts w:ascii="Arial" w:eastAsia="Times New Roman" w:hAnsi="Arial" w:cs="Times New Roman"/>
      <w:color w:val="373737"/>
      <w:sz w:val="20"/>
      <w:szCs w:val="20"/>
    </w:rPr>
  </w:style>
  <w:style w:type="paragraph" w:customStyle="1" w:styleId="Hdisclaimer">
    <w:name w:val="H_disclaimer"/>
    <w:qFormat/>
    <w:rsid w:val="00E05D08"/>
    <w:pPr>
      <w:spacing w:after="120" w:line="280" w:lineRule="atLeast"/>
      <w:jc w:val="both"/>
    </w:pPr>
    <w:rPr>
      <w:rFonts w:ascii="Arial" w:eastAsia="Times New Roman" w:hAnsi="Arial" w:cs="Arial"/>
      <w:color w:val="373737"/>
      <w:sz w:val="18"/>
      <w:szCs w:val="18"/>
    </w:rPr>
  </w:style>
  <w:style w:type="character" w:styleId="SubtleReference">
    <w:name w:val="Subtle Reference"/>
    <w:uiPriority w:val="31"/>
    <w:qFormat/>
    <w:rsid w:val="00C37C7A"/>
    <w:rPr>
      <w:rFonts w:eastAsia="Times New Roman" w:cs="Times New Roman"/>
      <w:szCs w:val="20"/>
      <w:lang w:eastAsia="es-ES"/>
    </w:rPr>
  </w:style>
  <w:style w:type="table" w:customStyle="1" w:styleId="TableGrid1">
    <w:name w:val="Table Grid1"/>
    <w:basedOn w:val="TableNormal"/>
    <w:next w:val="TableGrid"/>
    <w:uiPriority w:val="39"/>
    <w:rsid w:val="00E05D08"/>
    <w:pPr>
      <w:spacing w:after="0" w:line="240" w:lineRule="auto"/>
    </w:pPr>
    <w:rPr>
      <w:rFonts w:ascii="Calibri" w:eastAsia="Times New Roman" w:hAnsi="Calibri" w:cs="Times New Roman"/>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CommentSubject">
    <w:name w:val="annotation subject"/>
    <w:basedOn w:val="Normal"/>
    <w:next w:val="Normal"/>
    <w:link w:val="CommentSubjectChar"/>
    <w:uiPriority w:val="99"/>
    <w:semiHidden/>
    <w:unhideWhenUsed/>
    <w:rsid w:val="00C37C7A"/>
    <w:pPr>
      <w:spacing w:before="60" w:after="140" w:line="240" w:lineRule="auto"/>
    </w:pPr>
    <w:rPr>
      <w:rFonts w:eastAsia="Times New Roman" w:cs="Times New Roman"/>
      <w:b/>
      <w:bCs/>
      <w:szCs w:val="20"/>
    </w:rPr>
  </w:style>
  <w:style w:type="character" w:customStyle="1" w:styleId="CommentSubjectChar">
    <w:name w:val="Comment Subject Char"/>
    <w:basedOn w:val="DefaultParagraphFont"/>
    <w:link w:val="CommentSubject"/>
    <w:uiPriority w:val="99"/>
    <w:semiHidden/>
    <w:rsid w:val="00C37C7A"/>
    <w:rPr>
      <w:rFonts w:ascii="Arial" w:eastAsia="Times New Roman" w:hAnsi="Arial" w:cs="Times New Roman"/>
      <w:b/>
      <w:bCs/>
      <w:sz w:val="20"/>
      <w:szCs w:val="20"/>
      <w:lang w:eastAsia="es-ES"/>
    </w:rPr>
  </w:style>
  <w:style w:type="paragraph" w:customStyle="1" w:styleId="Normal12PTcouleurgris">
    <w:name w:val="Normal + 12PT couleur gris"/>
    <w:basedOn w:val="Normal"/>
    <w:qFormat/>
    <w:rsid w:val="00E05D08"/>
    <w:pPr>
      <w:spacing w:after="0" w:line="280" w:lineRule="atLeast"/>
    </w:pPr>
    <w:rPr>
      <w:rFonts w:eastAsia="Times New Roman" w:cs="Arial"/>
      <w:szCs w:val="18"/>
    </w:rPr>
  </w:style>
  <w:style w:type="numbering" w:customStyle="1" w:styleId="MaListe">
    <w:name w:val="MaListe"/>
    <w:uiPriority w:val="99"/>
    <w:rsid w:val="00E05D08"/>
    <w:pPr>
      <w:numPr>
        <w:numId w:val="15"/>
      </w:numPr>
    </w:pPr>
  </w:style>
  <w:style w:type="character" w:styleId="HTMLCite">
    <w:name w:val="HTML Cite"/>
    <w:uiPriority w:val="99"/>
    <w:semiHidden/>
    <w:rsid w:val="00E05D08"/>
    <w:rPr>
      <w:i/>
    </w:rPr>
  </w:style>
  <w:style w:type="paragraph" w:styleId="Subtitle">
    <w:name w:val="Subtitle"/>
    <w:basedOn w:val="Normal"/>
    <w:link w:val="SubtitleChar"/>
    <w:uiPriority w:val="99"/>
    <w:qFormat/>
    <w:rsid w:val="00E05D08"/>
    <w:pPr>
      <w:numPr>
        <w:numId w:val="33"/>
      </w:numPr>
      <w:spacing w:before="60" w:after="60" w:line="240" w:lineRule="auto"/>
      <w:ind w:left="4897"/>
      <w:outlineLvl w:val="1"/>
    </w:pPr>
    <w:rPr>
      <w:rFonts w:ascii="Helvetica" w:eastAsia="Times New Roman" w:hAnsi="Helvetica" w:cs="Times New Roman"/>
      <w:b/>
      <w:snapToGrid w:val="0"/>
      <w:color w:val="9B3930"/>
      <w:sz w:val="16"/>
      <w:szCs w:val="16"/>
    </w:rPr>
  </w:style>
  <w:style w:type="character" w:customStyle="1" w:styleId="SubtitleChar">
    <w:name w:val="Subtitle Char"/>
    <w:basedOn w:val="DefaultParagraphFont"/>
    <w:link w:val="Subtitle"/>
    <w:uiPriority w:val="99"/>
    <w:rsid w:val="00E05D08"/>
    <w:rPr>
      <w:rFonts w:ascii="Helvetica" w:eastAsia="Times New Roman" w:hAnsi="Helvetica" w:cs="Times New Roman"/>
      <w:b/>
      <w:snapToGrid w:val="0"/>
      <w:color w:val="9B3930"/>
      <w:sz w:val="16"/>
      <w:szCs w:val="16"/>
      <w:lang w:eastAsia="es-ES"/>
    </w:rPr>
  </w:style>
  <w:style w:type="character" w:styleId="Emphasis">
    <w:name w:val="Emphasis"/>
    <w:uiPriority w:val="20"/>
    <w:qFormat/>
    <w:rsid w:val="00E05D08"/>
    <w:rPr>
      <w:i/>
    </w:rPr>
  </w:style>
  <w:style w:type="character" w:customStyle="1" w:styleId="Heading4Char">
    <w:name w:val="Heading 4 Char"/>
    <w:aliases w:val="Heading 4 Char1 Char,Título 4 Car Char,Heading 4 Char1 Car Char,no vale 2 Char,no vale 2 Car Char"/>
    <w:link w:val="Heading4"/>
    <w:uiPriority w:val="99"/>
    <w:locked/>
    <w:rsid w:val="00E05D08"/>
    <w:rPr>
      <w:rFonts w:ascii="Arial" w:eastAsia="Times New Roman" w:hAnsi="Arial" w:cs="Times New Roman"/>
      <w:b/>
      <w:bCs/>
      <w:color w:val="5F5F5F"/>
      <w:sz w:val="18"/>
      <w:szCs w:val="28"/>
      <w:lang w:eastAsia="es-ES"/>
    </w:rPr>
  </w:style>
  <w:style w:type="character" w:styleId="FollowedHyperlink">
    <w:name w:val="FollowedHyperlink"/>
    <w:uiPriority w:val="99"/>
    <w:semiHidden/>
    <w:rsid w:val="00E05D08"/>
    <w:rPr>
      <w:rFonts w:cs="Times New Roman"/>
      <w:color w:val="800080"/>
      <w:u w:val="single"/>
    </w:rPr>
  </w:style>
  <w:style w:type="paragraph" w:customStyle="1" w:styleId="Style">
    <w:name w:val="Style"/>
    <w:uiPriority w:val="99"/>
    <w:rsid w:val="00E05D08"/>
    <w:pPr>
      <w:spacing w:after="0" w:line="240" w:lineRule="auto"/>
    </w:pPr>
    <w:rPr>
      <w:rFonts w:ascii="Calibri" w:eastAsia="Times New Roman" w:hAnsi="Calibri" w:cs="Times New Roman"/>
      <w:sz w:val="24"/>
      <w:szCs w:val="24"/>
    </w:rPr>
  </w:style>
  <w:style w:type="table" w:customStyle="1" w:styleId="Tabellenraster11">
    <w:name w:val="Tabellenraster11"/>
    <w:uiPriority w:val="99"/>
    <w:rsid w:val="00E05D0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ote1">
    <w:name w:val="Quote1"/>
    <w:basedOn w:val="Normal"/>
    <w:next w:val="Normal"/>
    <w:link w:val="QuoteChar"/>
    <w:uiPriority w:val="99"/>
    <w:rsid w:val="00E05D08"/>
    <w:pPr>
      <w:spacing w:after="120" w:line="280" w:lineRule="atLeast"/>
    </w:pPr>
    <w:rPr>
      <w:rFonts w:ascii="Helvetica" w:eastAsia="Times New Roman" w:hAnsi="Helvetica" w:cs="Times New Roman"/>
      <w:i/>
      <w:iCs/>
      <w:snapToGrid w:val="0"/>
      <w:color w:val="000000"/>
    </w:rPr>
  </w:style>
  <w:style w:type="character" w:customStyle="1" w:styleId="QuoteChar">
    <w:name w:val="Quote Char"/>
    <w:link w:val="Quote1"/>
    <w:uiPriority w:val="99"/>
    <w:locked/>
    <w:rsid w:val="00E05D08"/>
    <w:rPr>
      <w:rFonts w:ascii="Helvetica" w:eastAsia="Times New Roman" w:hAnsi="Helvetica" w:cs="Times New Roman"/>
      <w:i/>
      <w:iCs/>
      <w:snapToGrid w:val="0"/>
      <w:color w:val="000000"/>
      <w:lang w:eastAsia="es-ES"/>
    </w:rPr>
  </w:style>
  <w:style w:type="numbering" w:styleId="111111">
    <w:name w:val="Outline List 2"/>
    <w:basedOn w:val="NoList"/>
    <w:uiPriority w:val="99"/>
    <w:rsid w:val="00E05D08"/>
    <w:pPr>
      <w:numPr>
        <w:numId w:val="30"/>
      </w:numPr>
    </w:pPr>
  </w:style>
  <w:style w:type="paragraph" w:customStyle="1" w:styleId="Revision1">
    <w:name w:val="Revision1"/>
    <w:hidden/>
    <w:uiPriority w:val="99"/>
    <w:semiHidden/>
    <w:rsid w:val="00E05D08"/>
    <w:pPr>
      <w:spacing w:after="0" w:line="240" w:lineRule="auto"/>
    </w:pPr>
    <w:rPr>
      <w:rFonts w:ascii="Arial" w:eastAsia="Times New Roman" w:hAnsi="Arial" w:cs="Times New Roman"/>
      <w:sz w:val="20"/>
    </w:rPr>
  </w:style>
  <w:style w:type="paragraph" w:customStyle="1" w:styleId="TOCHeading2">
    <w:name w:val="TOC Heading2"/>
    <w:basedOn w:val="Heading1"/>
    <w:next w:val="Normal"/>
    <w:uiPriority w:val="99"/>
    <w:semiHidden/>
    <w:unhideWhenUsed/>
    <w:qFormat/>
    <w:rsid w:val="00E05D08"/>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rPr>
  </w:style>
  <w:style w:type="paragraph" w:styleId="Revision">
    <w:name w:val="Revision"/>
    <w:hidden/>
    <w:uiPriority w:val="99"/>
    <w:semiHidden/>
    <w:rsid w:val="00E05D08"/>
    <w:pPr>
      <w:spacing w:after="0" w:line="240" w:lineRule="auto"/>
    </w:pPr>
    <w:rPr>
      <w:rFonts w:ascii="Arial" w:eastAsia="Times New Roman" w:hAnsi="Arial" w:cs="Times New Roman"/>
      <w:sz w:val="20"/>
    </w:rPr>
  </w:style>
  <w:style w:type="paragraph" w:customStyle="1" w:styleId="Red2Red">
    <w:name w:val="Red2Red"/>
    <w:basedOn w:val="Normal"/>
    <w:link w:val="Red2RedCar"/>
    <w:uiPriority w:val="99"/>
    <w:qFormat/>
    <w:rsid w:val="00E05D08"/>
    <w:pPr>
      <w:spacing w:before="60" w:after="60" w:line="288" w:lineRule="auto"/>
    </w:pPr>
    <w:rPr>
      <w:rFonts w:ascii="Helvetica" w:eastAsia="Times New Roman" w:hAnsi="Helvetica" w:cs="Times New Roman"/>
      <w:sz w:val="32"/>
      <w:szCs w:val="24"/>
    </w:rPr>
  </w:style>
  <w:style w:type="character" w:customStyle="1" w:styleId="Red2RedCar">
    <w:name w:val="Red2Red Car"/>
    <w:basedOn w:val="DefaultParagraphFont"/>
    <w:link w:val="Red2Red"/>
    <w:uiPriority w:val="99"/>
    <w:rsid w:val="00E05D08"/>
    <w:rPr>
      <w:rFonts w:ascii="Helvetica" w:eastAsia="Times New Roman" w:hAnsi="Helvetica" w:cs="Times New Roman"/>
      <w:sz w:val="32"/>
      <w:szCs w:val="24"/>
      <w:lang w:val="es-ES" w:eastAsia="es-ES"/>
    </w:rPr>
  </w:style>
  <w:style w:type="table" w:customStyle="1" w:styleId="MediumShading2-Accent31">
    <w:name w:val="Medium Shading 2 - Accent 31"/>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1">
    <w:name w:val="Medium Shading 1 - Accent 3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paragraph" w:customStyle="1" w:styleId="Normal22PT">
    <w:name w:val="Normal + 22PT"/>
    <w:aliases w:val="couleur Orange"/>
    <w:basedOn w:val="Normal"/>
    <w:qFormat/>
    <w:rsid w:val="00E05D08"/>
    <w:pPr>
      <w:spacing w:after="120" w:line="280" w:lineRule="atLeast"/>
    </w:pPr>
    <w:rPr>
      <w:rFonts w:ascii="Helvetica" w:eastAsia="Times New Roman" w:hAnsi="Helvetica" w:cs="Arial"/>
      <w:bCs/>
      <w:smallCaps/>
      <w:color w:val="DF6532"/>
      <w:sz w:val="44"/>
      <w:szCs w:val="44"/>
    </w:rPr>
  </w:style>
  <w:style w:type="paragraph" w:customStyle="1" w:styleId="H-Table">
    <w:name w:val="H-Table"/>
    <w:next w:val="Normal"/>
    <w:uiPriority w:val="99"/>
    <w:qFormat/>
    <w:rsid w:val="00E05D08"/>
    <w:pPr>
      <w:numPr>
        <w:numId w:val="37"/>
      </w:numPr>
      <w:spacing w:after="0" w:line="240" w:lineRule="auto"/>
      <w:ind w:left="510" w:hanging="510"/>
    </w:pPr>
    <w:rPr>
      <w:rFonts w:ascii="Helvetica" w:eastAsia="Times New Roman" w:hAnsi="Helvetica" w:cs="Times New Roman"/>
      <w:b/>
      <w:bCs/>
      <w:color w:val="6F6F6F"/>
      <w:sz w:val="16"/>
      <w:szCs w:val="20"/>
    </w:rPr>
  </w:style>
  <w:style w:type="table" w:customStyle="1" w:styleId="Grilledutableau1">
    <w:name w:val="Grille du tableau1"/>
    <w:basedOn w:val="TableNormal"/>
    <w:next w:val="TableGrid"/>
    <w:uiPriority w:val="59"/>
    <w:rsid w:val="00E0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
    <w:name w:val="Grille de tableau claire1"/>
    <w:basedOn w:val="TableNormal"/>
    <w:next w:val="TableNormal"/>
    <w:uiPriority w:val="40"/>
    <w:rsid w:val="00E05D0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LineNumber">
    <w:name w:val="line number"/>
    <w:basedOn w:val="DefaultParagraphFont"/>
    <w:semiHidden/>
    <w:unhideWhenUsed/>
    <w:rsid w:val="00E05D08"/>
  </w:style>
  <w:style w:type="character" w:customStyle="1" w:styleId="Erwhnung1">
    <w:name w:val="Erwähnung1"/>
    <w:basedOn w:val="DefaultParagraphFont"/>
    <w:uiPriority w:val="99"/>
    <w:semiHidden/>
    <w:unhideWhenUsed/>
    <w:rsid w:val="00E05D08"/>
    <w:rPr>
      <w:color w:val="2B579A"/>
      <w:shd w:val="clear" w:color="auto" w:fill="E6E6E6"/>
    </w:rPr>
  </w:style>
  <w:style w:type="character" w:customStyle="1" w:styleId="Erwhnung2">
    <w:name w:val="Erwähnung2"/>
    <w:basedOn w:val="DefaultParagraphFont"/>
    <w:uiPriority w:val="99"/>
    <w:semiHidden/>
    <w:unhideWhenUsed/>
    <w:rsid w:val="00E05D08"/>
    <w:rPr>
      <w:color w:val="2B579A"/>
      <w:shd w:val="clear" w:color="auto" w:fill="E6E6E6"/>
    </w:rPr>
  </w:style>
  <w:style w:type="table" w:customStyle="1" w:styleId="TableGrid2">
    <w:name w:val="Table Grid2"/>
    <w:basedOn w:val="TableNormal"/>
    <w:next w:val="TableGrid"/>
    <w:uiPriority w:val="39"/>
    <w:rsid w:val="00E05D08"/>
    <w:pPr>
      <w:spacing w:after="0" w:line="240" w:lineRule="auto"/>
    </w:pPr>
    <w:rPr>
      <w:rFonts w:ascii="Calibri" w:eastAsia="Times New Roman" w:hAnsi="Calibri" w:cs="Times New Roman"/>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MaListe1">
    <w:name w:val="MaListe1"/>
    <w:uiPriority w:val="99"/>
    <w:rsid w:val="00E05D08"/>
    <w:pPr>
      <w:numPr>
        <w:numId w:val="109"/>
      </w:numPr>
    </w:pPr>
  </w:style>
  <w:style w:type="table" w:customStyle="1" w:styleId="TableGrid3">
    <w:name w:val="Table Grid3"/>
    <w:basedOn w:val="TableNormal"/>
    <w:next w:val="TableGrid"/>
    <w:uiPriority w:val="39"/>
    <w:rsid w:val="00E05D08"/>
    <w:pPr>
      <w:spacing w:after="0" w:line="240" w:lineRule="auto"/>
    </w:pPr>
    <w:rPr>
      <w:rFonts w:ascii="Calibri" w:eastAsia="Times New Roman" w:hAnsi="Calibri" w:cs="Times New Roman"/>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Header">
    <w:name w:val="header"/>
    <w:basedOn w:val="Normal"/>
    <w:link w:val="HeaderChar"/>
    <w:uiPriority w:val="99"/>
    <w:unhideWhenUsed/>
    <w:rsid w:val="009837FF"/>
    <w:pPr>
      <w:tabs>
        <w:tab w:val="center" w:pos="4513"/>
        <w:tab w:val="right" w:pos="9026"/>
      </w:tabs>
      <w:spacing w:after="0" w:line="240" w:lineRule="auto"/>
    </w:pPr>
    <w:rPr>
      <w:color w:val="F07E31"/>
      <w:sz w:val="18"/>
    </w:rPr>
  </w:style>
  <w:style w:type="character" w:customStyle="1" w:styleId="HeaderChar">
    <w:name w:val="Header Char"/>
    <w:basedOn w:val="DefaultParagraphFont"/>
    <w:link w:val="Header"/>
    <w:uiPriority w:val="99"/>
    <w:rsid w:val="009837FF"/>
    <w:rPr>
      <w:rFonts w:ascii="Arial" w:hAnsi="Arial"/>
      <w:color w:val="F07E31"/>
      <w:sz w:val="1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unhideWhenUsed/>
    <w:rsid w:val="00E05D08"/>
    <w:rPr>
      <w:vertAlign w:val="superscript"/>
    </w:rPr>
  </w:style>
  <w:style w:type="table" w:styleId="MediumShading2-Accent3">
    <w:name w:val="Medium Shading 2 Accent 3"/>
    <w:basedOn w:val="TableNormal"/>
    <w:uiPriority w:val="64"/>
    <w:semiHidden/>
    <w:unhideWhenUsed/>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3">
    <w:name w:val="Medium Shading 1 Accent 3"/>
    <w:basedOn w:val="TableNormal"/>
    <w:uiPriority w:val="63"/>
    <w:semiHidden/>
    <w:unhideWhenUsed/>
    <w:rsid w:val="00E05D0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E05D08"/>
  </w:style>
  <w:style w:type="numbering" w:customStyle="1" w:styleId="MaListe2">
    <w:name w:val="MaListe2"/>
    <w:uiPriority w:val="99"/>
    <w:rsid w:val="00E05D08"/>
    <w:pPr>
      <w:numPr>
        <w:numId w:val="13"/>
      </w:numPr>
    </w:pPr>
  </w:style>
  <w:style w:type="numbering" w:customStyle="1" w:styleId="1111111">
    <w:name w:val="1 / 1.1 / 1.1.11"/>
    <w:basedOn w:val="NoList"/>
    <w:next w:val="111111"/>
    <w:uiPriority w:val="99"/>
    <w:rsid w:val="00E05D08"/>
    <w:pPr>
      <w:numPr>
        <w:numId w:val="23"/>
      </w:numPr>
    </w:pPr>
  </w:style>
  <w:style w:type="table" w:customStyle="1" w:styleId="MediumShading2-Accent32">
    <w:name w:val="Medium Shading 2 - Accent 32"/>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2">
    <w:name w:val="Medium Shading 1 - Accent 32"/>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MediumShading1-Accent311">
    <w:name w:val="Medium Shading 1 - Accent 31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Cuadrculadetablaclara11">
    <w:name w:val="Cuadrícula de tabla clara11"/>
    <w:basedOn w:val="TableNormal"/>
    <w:rsid w:val="00E05D08"/>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MaListe11">
    <w:name w:val="MaListe11"/>
    <w:uiPriority w:val="99"/>
    <w:rsid w:val="00E05D08"/>
    <w:pPr>
      <w:numPr>
        <w:numId w:val="47"/>
      </w:numPr>
    </w:pPr>
  </w:style>
  <w:style w:type="character" w:customStyle="1" w:styleId="UnresolvedMention1">
    <w:name w:val="Unresolved Mention1"/>
    <w:basedOn w:val="DefaultParagraphFont"/>
    <w:uiPriority w:val="99"/>
    <w:semiHidden/>
    <w:unhideWhenUsed/>
    <w:rsid w:val="00E05D08"/>
    <w:rPr>
      <w:color w:val="808080"/>
      <w:shd w:val="clear" w:color="auto" w:fill="E6E6E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ascii="Arial" w:hAnsi="Arial"/>
      <w:color w:val="373737"/>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H-Standard">
    <w:name w:val="H-Standard"/>
    <w:basedOn w:val="Normal12PTcouleurgris"/>
    <w:qFormat/>
    <w:rsid w:val="00863DB0"/>
    <w:pPr>
      <w:spacing w:after="120"/>
    </w:pPr>
    <w:rPr>
      <w:rFonts w:eastAsia="Calibr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942330">
      <w:bodyDiv w:val="1"/>
      <w:marLeft w:val="0"/>
      <w:marRight w:val="0"/>
      <w:marTop w:val="0"/>
      <w:marBottom w:val="0"/>
      <w:divBdr>
        <w:top w:val="none" w:sz="0" w:space="0" w:color="auto"/>
        <w:left w:val="none" w:sz="0" w:space="0" w:color="auto"/>
        <w:bottom w:val="none" w:sz="0" w:space="0" w:color="auto"/>
        <w:right w:val="none" w:sz="0" w:space="0" w:color="auto"/>
      </w:divBdr>
    </w:div>
    <w:div w:id="638732370">
      <w:bodyDiv w:val="1"/>
      <w:marLeft w:val="0"/>
      <w:marRight w:val="0"/>
      <w:marTop w:val="0"/>
      <w:marBottom w:val="0"/>
      <w:divBdr>
        <w:top w:val="none" w:sz="0" w:space="0" w:color="auto"/>
        <w:left w:val="none" w:sz="0" w:space="0" w:color="auto"/>
        <w:bottom w:val="none" w:sz="0" w:space="0" w:color="auto"/>
        <w:right w:val="none" w:sz="0" w:space="0" w:color="auto"/>
      </w:divBdr>
    </w:div>
    <w:div w:id="656803589">
      <w:bodyDiv w:val="1"/>
      <w:marLeft w:val="0"/>
      <w:marRight w:val="0"/>
      <w:marTop w:val="0"/>
      <w:marBottom w:val="0"/>
      <w:divBdr>
        <w:top w:val="none" w:sz="0" w:space="0" w:color="auto"/>
        <w:left w:val="none" w:sz="0" w:space="0" w:color="auto"/>
        <w:bottom w:val="none" w:sz="0" w:space="0" w:color="auto"/>
        <w:right w:val="none" w:sz="0" w:space="0" w:color="auto"/>
      </w:divBdr>
      <w:divsChild>
        <w:div w:id="811171820">
          <w:marLeft w:val="0"/>
          <w:marRight w:val="0"/>
          <w:marTop w:val="0"/>
          <w:marBottom w:val="0"/>
          <w:divBdr>
            <w:top w:val="none" w:sz="0" w:space="0" w:color="auto"/>
            <w:left w:val="none" w:sz="0" w:space="0" w:color="auto"/>
            <w:bottom w:val="none" w:sz="0" w:space="0" w:color="auto"/>
            <w:right w:val="none" w:sz="0" w:space="0" w:color="auto"/>
          </w:divBdr>
        </w:div>
      </w:divsChild>
    </w:div>
    <w:div w:id="1139106666">
      <w:bodyDiv w:val="1"/>
      <w:marLeft w:val="0"/>
      <w:marRight w:val="0"/>
      <w:marTop w:val="0"/>
      <w:marBottom w:val="0"/>
      <w:divBdr>
        <w:top w:val="none" w:sz="0" w:space="0" w:color="auto"/>
        <w:left w:val="none" w:sz="0" w:space="0" w:color="auto"/>
        <w:bottom w:val="none" w:sz="0" w:space="0" w:color="auto"/>
        <w:right w:val="none" w:sz="0" w:space="0" w:color="auto"/>
      </w:divBdr>
    </w:div>
    <w:div w:id="1379625291">
      <w:bodyDiv w:val="1"/>
      <w:marLeft w:val="0"/>
      <w:marRight w:val="0"/>
      <w:marTop w:val="0"/>
      <w:marBottom w:val="0"/>
      <w:divBdr>
        <w:top w:val="none" w:sz="0" w:space="0" w:color="auto"/>
        <w:left w:val="none" w:sz="0" w:space="0" w:color="auto"/>
        <w:bottom w:val="none" w:sz="0" w:space="0" w:color="auto"/>
        <w:right w:val="none" w:sz="0" w:space="0" w:color="auto"/>
      </w:divBdr>
      <w:divsChild>
        <w:div w:id="1564415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footer" Target="footer5.xml"/><Relationship Id="rId42" Type="http://schemas.openxmlformats.org/officeDocument/2006/relationships/hyperlink" Target="https://ec.europa.eu/eip/agriculture/sites/agri-eip/files/16_measure_fiche_art_35_co-operation.pdf" TargetMode="External"/><Relationship Id="rId47" Type="http://schemas.openxmlformats.org/officeDocument/2006/relationships/image" Target="media/image15.emf"/><Relationship Id="rId63" Type="http://schemas.openxmlformats.org/officeDocument/2006/relationships/hyperlink" Target="http://enrd.ec.europa.eu/enrd-static/evaluation/good-practices-workshops/national-rural-networks/en/national-rural-networks_en.html" TargetMode="External"/><Relationship Id="rId68" Type="http://schemas.openxmlformats.org/officeDocument/2006/relationships/hyperlink" Target="http://enrd.ec.europa.eu/enrd-static/evaluation/good-practices-workshops/national-rural-networks/en/national-rural-networks_en.html" TargetMode="External"/><Relationship Id="rId84" Type="http://schemas.openxmlformats.org/officeDocument/2006/relationships/hyperlink" Target="http://www.hnvlink.eu/download/D1.3BAcomplete.pdf" TargetMode="External"/><Relationship Id="rId89" Type="http://schemas.openxmlformats.org/officeDocument/2006/relationships/hyperlink" Target="http://asq.org/quality-progress/2007/07/statistics/likert-scales-and-data-analyses.html" TargetMode="External"/><Relationship Id="rId112"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0.emf"/><Relationship Id="rId107" Type="http://schemas.openxmlformats.org/officeDocument/2006/relationships/hyperlink" Target="https://ec.europa.eu/eip/agriculture/sites/agri-eip/files/communication_on_eip_-_en.pdf" TargetMode="External"/><Relationship Id="rId11" Type="http://schemas.openxmlformats.org/officeDocument/2006/relationships/image" Target="media/image2.jpeg"/><Relationship Id="rId24" Type="http://schemas.openxmlformats.org/officeDocument/2006/relationships/image" Target="media/image5.emf"/><Relationship Id="rId32" Type="http://schemas.openxmlformats.org/officeDocument/2006/relationships/hyperlink" Target="https://enrd.ec.europa.eu/sites/enrd/files/uploaded-files/wp_evaluation_questions_2015.pdf" TargetMode="External"/><Relationship Id="rId37" Type="http://schemas.openxmlformats.org/officeDocument/2006/relationships/footer" Target="footer9.xml"/><Relationship Id="rId40" Type="http://schemas.openxmlformats.org/officeDocument/2006/relationships/image" Target="media/image14.jpg"/><Relationship Id="rId45" Type="http://schemas.openxmlformats.org/officeDocument/2006/relationships/hyperlink" Target="https://ec.europa.eu/eip/agriculture/sites/agri-eip/files/16_measure_fiche_art_35_co-operation.pdf" TargetMode="External"/><Relationship Id="rId53" Type="http://schemas.openxmlformats.org/officeDocument/2006/relationships/hyperlink" Target="https://ec.europa.eu/eip/agriculture/sites/agri-eip/files/16_measure_fiche_art_35_co-operation.pdf" TargetMode="External"/><Relationship Id="rId58" Type="http://schemas.openxmlformats.org/officeDocument/2006/relationships/header" Target="header7.xml"/><Relationship Id="rId66" Type="http://schemas.openxmlformats.org/officeDocument/2006/relationships/hyperlink" Target="https://enrd.ec.europa.eu/sites/enrd/files/twg-02-nrn-july2016.pdf" TargetMode="External"/><Relationship Id="rId74" Type="http://schemas.openxmlformats.org/officeDocument/2006/relationships/hyperlink" Target="http://eur-lex.europa.eu/LexUriServ/LexUriServ.do?uri=COM:2010:2020:FIN:EN:PDF" TargetMode="External"/><Relationship Id="rId79" Type="http://schemas.openxmlformats.org/officeDocument/2006/relationships/header" Target="header8.xml"/><Relationship Id="rId87" Type="http://schemas.openxmlformats.org/officeDocument/2006/relationships/hyperlink" Target="https://enrd.ec.europa.eu/sites/enrd/files/uploaded-files/wp_evaluation_questions_2015.pdf" TargetMode="External"/><Relationship Id="rId102" Type="http://schemas.openxmlformats.org/officeDocument/2006/relationships/hyperlink" Target="http://journals.sagepub.com/doi/abs/10.1177/1356389012451663" TargetMode="External"/><Relationship Id="rId110" Type="http://schemas.openxmlformats.org/officeDocument/2006/relationships/hyperlink" Target="https://ec.europa.eu/eip/agriculture/en/content/innovation-support-services" TargetMode="External"/><Relationship Id="rId5" Type="http://schemas.openxmlformats.org/officeDocument/2006/relationships/webSettings" Target="webSettings.xml"/><Relationship Id="rId61" Type="http://schemas.openxmlformats.org/officeDocument/2006/relationships/hyperlink" Target="https://enrd.ec.europa.eu/sites/enrd/files/twg-02-nrn-july2016.pdf" TargetMode="External"/><Relationship Id="rId82" Type="http://schemas.openxmlformats.org/officeDocument/2006/relationships/hyperlink" Target="https://enrd.ec.europa.eu/sites/enrd/files/uploaded-files/wp_evaluation_questions_2015.pdf" TargetMode="External"/><Relationship Id="rId90" Type="http://schemas.openxmlformats.org/officeDocument/2006/relationships/hyperlink" Target="https://www.cambridge.org/core/journals/ps-political-science-and-politics/article/understanding-process-tracing/183A057AD6A36783E678CB37440346D1" TargetMode="External"/><Relationship Id="rId95" Type="http://schemas.openxmlformats.org/officeDocument/2006/relationships/hyperlink" Target="https://www.ncbi.nlm.nih.gov/pubmed/16053581" TargetMode="Externa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footer" Target="footer7.xml"/><Relationship Id="rId43" Type="http://schemas.openxmlformats.org/officeDocument/2006/relationships/hyperlink" Target="http://enrd.ec.europa.eu/news-events/events/enrd-workshop-measure-16-cooperation_en" TargetMode="External"/><Relationship Id="rId48" Type="http://schemas.openxmlformats.org/officeDocument/2006/relationships/hyperlink" Target="https://enrd.ec.europa.eu/evaluation/publications/guidelines-assessment-rdp-results-how-prepare-reporting-evaluation-2017_en" TargetMode="External"/><Relationship Id="rId56" Type="http://schemas.openxmlformats.org/officeDocument/2006/relationships/hyperlink" Target="https://enrd.ec.europa.eu/evaluation/publications/guidelines-evaluation-national-rural-networks-2014-2020_en" TargetMode="External"/><Relationship Id="rId64" Type="http://schemas.openxmlformats.org/officeDocument/2006/relationships/hyperlink" Target="https://enrd.ec.europa.eu/evaluation/publications/guidelines-assessment-rdp-results-how-prepare-reporting-evaluation-2017_en" TargetMode="External"/><Relationship Id="rId69" Type="http://schemas.openxmlformats.org/officeDocument/2006/relationships/hyperlink" Target="https://enrd.ec.europa.eu/sites/enrd/files/uploaded-files/wp_evaluation_questions_2015.pdf" TargetMode="External"/><Relationship Id="rId77" Type="http://schemas.openxmlformats.org/officeDocument/2006/relationships/hyperlink" Target="http://www.men-d.de/index.php?id=81&amp;tx_ttnews%5btt_news%5d=195&amp;tx_ttnews%5bbackPid%5d=85&amp;cHash=08539b2ad7" TargetMode="External"/><Relationship Id="rId100" Type="http://schemas.openxmlformats.org/officeDocument/2006/relationships/hyperlink" Target="https://www.gao.gov/products/GAO/PEMD-10.1.9" TargetMode="External"/><Relationship Id="rId105" Type="http://schemas.openxmlformats.org/officeDocument/2006/relationships/hyperlink" Target="http://ec.europa.eu/eip/agriculture/sites/agri-eip/files/16_measure_fiche_art_35_co-operation.pdf" TargetMode="External"/><Relationship Id="rId113" Type="http://schemas.openxmlformats.org/officeDocument/2006/relationships/fontTable" Target="fontTable.xml"/><Relationship Id="rId8" Type="http://schemas.openxmlformats.org/officeDocument/2006/relationships/hyperlink" Target="https://enrd.ec.europa.eu/evaluation/publications/evaluation-innovation-rural-development-programmes-2014-2020_en" TargetMode="External"/><Relationship Id="rId51" Type="http://schemas.openxmlformats.org/officeDocument/2006/relationships/hyperlink" Target="http://enrd.ec.europa.eu/news-events/events/enrd-workshop-measure-16-cooperation_en" TargetMode="External"/><Relationship Id="rId72" Type="http://schemas.openxmlformats.org/officeDocument/2006/relationships/hyperlink" Target="http://www.men-d.de/uploads/media/MEN-D_Jahresveranstaltung_2017.pdf" TargetMode="External"/><Relationship Id="rId80" Type="http://schemas.openxmlformats.org/officeDocument/2006/relationships/header" Target="header9.xml"/><Relationship Id="rId85" Type="http://schemas.openxmlformats.org/officeDocument/2006/relationships/hyperlink" Target="http://www.hnvlink.eu/" TargetMode="External"/><Relationship Id="rId93" Type="http://schemas.openxmlformats.org/officeDocument/2006/relationships/hyperlink" Target="http://www.tandfonline.com/doi/abs/10.1080/135467896394447" TargetMode="External"/><Relationship Id="rId98" Type="http://schemas.openxmlformats.org/officeDocument/2006/relationships/hyperlink" Target="https://www.cambridge.org/core/journals/ps-political-science-and-politics/article/understanding-process-tracing/183A057AD6A36783E678CB37440346D1"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enrd.ec.europa.eu/evaluation/publications/guidelines-assessment-rdp-results-how-prepare-reporting-evaluation-2017_en" TargetMode="External"/><Relationship Id="rId38" Type="http://schemas.openxmlformats.org/officeDocument/2006/relationships/image" Target="media/image13.emf"/><Relationship Id="rId46" Type="http://schemas.openxmlformats.org/officeDocument/2006/relationships/hyperlink" Target="http://enrd.ec.europa.eu/news-events/events/enrd-workshop-measure-16-cooperation_en" TargetMode="External"/><Relationship Id="rId59" Type="http://schemas.openxmlformats.org/officeDocument/2006/relationships/hyperlink" Target="https://enrd.ec.europa.eu/evaluation/publications/guidelines-assessment-rdp-results-how-prepare-reporting-evaluation-2017_en" TargetMode="External"/><Relationship Id="rId67" Type="http://schemas.openxmlformats.org/officeDocument/2006/relationships/hyperlink" Target="https://ec.europa.eu/eip/agriculture/en/publications/guidelines-programming-innovation-and" TargetMode="External"/><Relationship Id="rId103" Type="http://schemas.openxmlformats.org/officeDocument/2006/relationships/hyperlink" Target="https://www.ncbi.nlm.nih.gov/pubmed/16053581" TargetMode="External"/><Relationship Id="rId108" Type="http://schemas.openxmlformats.org/officeDocument/2006/relationships/hyperlink" Target="https://ec.europa.eu/eip/agriculture/en/content/innovation-support-services" TargetMode="External"/><Relationship Id="rId20" Type="http://schemas.openxmlformats.org/officeDocument/2006/relationships/header" Target="header5.xml"/><Relationship Id="rId41" Type="http://schemas.openxmlformats.org/officeDocument/2006/relationships/hyperlink" Target="https://enrd.ec.europa.eu/evaluation/publications/guidelines-assessment-rdp-results-how-prepare-reporting-evaluation-2017_en" TargetMode="External"/><Relationship Id="rId54" Type="http://schemas.openxmlformats.org/officeDocument/2006/relationships/hyperlink" Target="http://enrd.ec.europa.eu/news-events/events/enrd-workshop-measure-16-cooperation_en" TargetMode="External"/><Relationship Id="rId62" Type="http://schemas.openxmlformats.org/officeDocument/2006/relationships/hyperlink" Target="https://ec.europa.eu/eip/agriculture/en/publications/guidelines-programming-innovation-and" TargetMode="External"/><Relationship Id="rId70" Type="http://schemas.openxmlformats.org/officeDocument/2006/relationships/hyperlink" Target="http://eur-lex.europa.eu/LexUriServ/LexUriServ.do?uri=COM:2010:2020:FIN:EN:PDF" TargetMode="External"/><Relationship Id="rId75" Type="http://schemas.openxmlformats.org/officeDocument/2006/relationships/hyperlink" Target="http://ec.europa.eu/eurostat/statistics-explained/index.php/Smarter,_greener,_more_inclusive_-_indicators_to_support_the_Europe_2020_strategy" TargetMode="External"/><Relationship Id="rId83" Type="http://schemas.openxmlformats.org/officeDocument/2006/relationships/hyperlink" Target="http://www.hnvlink.eu/" TargetMode="External"/><Relationship Id="rId88" Type="http://schemas.openxmlformats.org/officeDocument/2006/relationships/header" Target="header10.xml"/><Relationship Id="rId91" Type="http://schemas.openxmlformats.org/officeDocument/2006/relationships/hyperlink" Target="http://ageconsearch.umn.edu/bitstream/52515/2/ILAC_Brief05_Histories.pdf" TargetMode="External"/><Relationship Id="rId96" Type="http://schemas.openxmlformats.org/officeDocument/2006/relationships/hyperlink" Target="http://betterevaluation.org/plan/approach/outcome_harvesting" TargetMode="External"/><Relationship Id="rId111" Type="http://schemas.openxmlformats.org/officeDocument/2006/relationships/hyperlink" Target="http://enrd.ec.europa.eu/enrd-static/app_templates/enrd_assets/pdf/guidebook/nrn_handbook_webversion.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9.emf"/><Relationship Id="rId36" Type="http://schemas.openxmlformats.org/officeDocument/2006/relationships/footer" Target="footer8.xml"/><Relationship Id="rId49" Type="http://schemas.openxmlformats.org/officeDocument/2006/relationships/hyperlink" Target="https://enrd.ec.europa.eu/evaluation/publications/guidelines-assessment-rdp-results-how-prepare-reporting-evaluation-2017_en" TargetMode="External"/><Relationship Id="rId57" Type="http://schemas.openxmlformats.org/officeDocument/2006/relationships/hyperlink" Target="https://enrd.ec.europa.eu/evaluation/publications/guidelines-evaluation-national-rural-networks-2014-2020_en" TargetMode="External"/><Relationship Id="rId106" Type="http://schemas.openxmlformats.org/officeDocument/2006/relationships/hyperlink" Target="https://ec.europa.eu/research/innovation-union/pdf/innovation-union-communication_en.pdf" TargetMode="External"/><Relationship Id="rId114" Type="http://schemas.openxmlformats.org/officeDocument/2006/relationships/theme" Target="theme/theme1.xml"/><Relationship Id="rId10" Type="http://schemas.openxmlformats.org/officeDocument/2006/relationships/image" Target="media/image1.jpg"/><Relationship Id="rId31" Type="http://schemas.openxmlformats.org/officeDocument/2006/relationships/image" Target="media/image12.emf"/><Relationship Id="rId44" Type="http://schemas.openxmlformats.org/officeDocument/2006/relationships/hyperlink" Target="https://enrd.ec.europa.eu/evaluation/publications/guidelines-assessment-rdp-results-how-prepare-reporting-evaluation-2017_en" TargetMode="External"/><Relationship Id="rId52" Type="http://schemas.openxmlformats.org/officeDocument/2006/relationships/hyperlink" Target="https://enrd.ec.europa.eu/evaluation/publications/guidelines-assessment-rdp-results-how-prepare-reporting-evaluation-2017_en" TargetMode="External"/><Relationship Id="rId60" Type="http://schemas.openxmlformats.org/officeDocument/2006/relationships/hyperlink" Target="http://enrd.ec.europa.eu/enrd-static/app_templates/enrd_assets/pdf/guidebook/nrn_handbook_webversion.pdf" TargetMode="External"/><Relationship Id="rId65" Type="http://schemas.openxmlformats.org/officeDocument/2006/relationships/hyperlink" Target="http://enrd.ec.europa.eu/enrd-static/app_templates/enrd_assets/pdf/guidebook/nrn_handbook_webversion.pdf" TargetMode="External"/><Relationship Id="rId73" Type="http://schemas.openxmlformats.org/officeDocument/2006/relationships/hyperlink" Target="http://www.men-d.de/index.php?id=81&amp;tx_ttnews%5btt_news%5d=195&amp;tx_ttnews%5bbackPid%5d=85&amp;cHash=08539b2ad7" TargetMode="External"/><Relationship Id="rId78" Type="http://schemas.openxmlformats.org/officeDocument/2006/relationships/image" Target="media/image17.emf"/><Relationship Id="rId81" Type="http://schemas.openxmlformats.org/officeDocument/2006/relationships/hyperlink" Target="https://enrd.ec.europa.eu/sites/enrd/files/uploaded-files/wp_evaluation_questions_2015.pdf" TargetMode="External"/><Relationship Id="rId86" Type="http://schemas.openxmlformats.org/officeDocument/2006/relationships/hyperlink" Target="http://www.hnvlink.eu/download/D1.3BAcomplete.pdf" TargetMode="External"/><Relationship Id="rId94" Type="http://schemas.openxmlformats.org/officeDocument/2006/relationships/hyperlink" Target="http://journals.sagepub.com/doi/abs/10.1177/1356389012451663" TargetMode="External"/><Relationship Id="rId99" Type="http://schemas.openxmlformats.org/officeDocument/2006/relationships/hyperlink" Target="http://ageconsearch.umn.edu/bitstream/52515/2/ILAC_Brief05_Histories.pdf" TargetMode="External"/><Relationship Id="rId101" Type="http://schemas.openxmlformats.org/officeDocument/2006/relationships/hyperlink" Target="http://www.tandfonline.com/doi/abs/10.1080/135467896394447" TargetMode="External"/><Relationship Id="rId4" Type="http://schemas.openxmlformats.org/officeDocument/2006/relationships/settings" Target="settings.xml"/><Relationship Id="rId9" Type="http://schemas.openxmlformats.org/officeDocument/2006/relationships/hyperlink" Target="https://enrd.ec.europa.eu/evaluation/publications/evaluation-innovation-rural-development-programmes-2014-2020_en" TargetMode="Externa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enrd.ec.europa.eu/evaluation/publications/guidelines-assessment-rdp-results-how-prepare-reporting-evaluation-2017_en" TargetMode="External"/><Relationship Id="rId109" Type="http://schemas.openxmlformats.org/officeDocument/2006/relationships/hyperlink" Target="http://ec.europa.eu/eip/agriculture/sites/agri-eip/files/eip-guidelines-july-2014_en.pdf" TargetMode="External"/><Relationship Id="rId34" Type="http://schemas.openxmlformats.org/officeDocument/2006/relationships/header" Target="header6.xml"/><Relationship Id="rId50" Type="http://schemas.openxmlformats.org/officeDocument/2006/relationships/hyperlink" Target="https://ec.europa.eu/eip/agriculture/sites/agri-eip/files/16_measure_fiche_art_35_co-operation.pdf" TargetMode="External"/><Relationship Id="rId55" Type="http://schemas.openxmlformats.org/officeDocument/2006/relationships/image" Target="media/image16.emf"/><Relationship Id="rId76" Type="http://schemas.openxmlformats.org/officeDocument/2006/relationships/hyperlink" Target="http://www.men-d.de/uploads/media/MEN-D_Jahresveranstaltung_2017.pdf" TargetMode="External"/><Relationship Id="rId97" Type="http://schemas.openxmlformats.org/officeDocument/2006/relationships/hyperlink" Target="http://asq.org/quality-progress/2007/07/statistics/likert-scales-and-data-analyses.html" TargetMode="External"/><Relationship Id="rId104" Type="http://schemas.openxmlformats.org/officeDocument/2006/relationships/hyperlink" Target="http://betterevaluation.org/plan/approach/outcome_harvesting" TargetMode="External"/><Relationship Id="rId7" Type="http://schemas.openxmlformats.org/officeDocument/2006/relationships/endnotes" Target="endnotes.xml"/><Relationship Id="rId71" Type="http://schemas.openxmlformats.org/officeDocument/2006/relationships/hyperlink" Target="http://ec.europa.eu/eurostat/statistics-explained/index.php/Smarter,_greener,_more_inclusive_-_indicators_to_support_the_Europe_2020_strategy" TargetMode="External"/><Relationship Id="rId92" Type="http://schemas.openxmlformats.org/officeDocument/2006/relationships/hyperlink" Target="https://www.gao.gov/products/GAO/PEMD-10.1.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pe2020/europe-2020-in-a-nutshell/targets/index_en.htm" TargetMode="External"/><Relationship Id="rId13" Type="http://schemas.openxmlformats.org/officeDocument/2006/relationships/hyperlink" Target="https://enrd.ec.europa.eu/evaluation/publications/working-document-common-evaluation-questions-rural-development-programmes_en" TargetMode="External"/><Relationship Id="rId18" Type="http://schemas.openxmlformats.org/officeDocument/2006/relationships/hyperlink" Target="http://enrd.ec.europa.eu/sites/enrd/files/w10_m16_finland_karlsson.pdf" TargetMode="External"/><Relationship Id="rId26" Type="http://schemas.openxmlformats.org/officeDocument/2006/relationships/hyperlink" Target="http://eur-lex.europa.eu/legal-content/en/ALL/?uri=CELEX:52010DC2020" TargetMode="External"/><Relationship Id="rId3" Type="http://schemas.openxmlformats.org/officeDocument/2006/relationships/hyperlink" Target="https://ec.europa.eu/eip/agriculture/sites/agri-eip/files/eip-agri_brochure_multi-actor_projects_2017_en_web.pdf" TargetMode="External"/><Relationship Id="rId21" Type="http://schemas.openxmlformats.org/officeDocument/2006/relationships/hyperlink" Target="https://enrd.ec.europa.eu/evaluation/publications/guidelines-assessment-rdp-results-how-prepare-reporting-evaluation-2017_en" TargetMode="External"/><Relationship Id="rId34" Type="http://schemas.openxmlformats.org/officeDocument/2006/relationships/hyperlink" Target="http://www.betterevaluation.org/en/resources/tools/innovation_history/innovation_timeline" TargetMode="External"/><Relationship Id="rId7" Type="http://schemas.openxmlformats.org/officeDocument/2006/relationships/hyperlink" Target="http://ec.europa.eu/europe2020/europe-2020-in-a-nutshell/flagship-initiatives/index_en.htm" TargetMode="External"/><Relationship Id="rId12" Type="http://schemas.openxmlformats.org/officeDocument/2006/relationships/hyperlink" Target="https://www.jordbruksverket.se/utvardering" TargetMode="External"/><Relationship Id="rId17" Type="http://schemas.openxmlformats.org/officeDocument/2006/relationships/hyperlink" Target="https://ec.europa.eu/eip/agriculture/sites/agri-eip/files/16_measure_fiche_art_35_co-operation.pdf" TargetMode="External"/><Relationship Id="rId25" Type="http://schemas.openxmlformats.org/officeDocument/2006/relationships/hyperlink" Target="http://www.reterurale.it/flex/cm/pages/ServeBLOB.php/L/IT/IDPagina/16281" TargetMode="External"/><Relationship Id="rId33" Type="http://schemas.openxmlformats.org/officeDocument/2006/relationships/hyperlink" Target="http://www.betterevaluation.org/en/evaluation-options/processtracing" TargetMode="External"/><Relationship Id="rId2" Type="http://schemas.openxmlformats.org/officeDocument/2006/relationships/hyperlink" Target="http://ec.europa.eu/research/participants/data/ref/h2020/wp/2018-2020/main/h2020-wp1820-food_en.pdf" TargetMode="External"/><Relationship Id="rId16" Type="http://schemas.openxmlformats.org/officeDocument/2006/relationships/hyperlink" Target="http://enrd.ec.europa.eu/evaluation/publications/working-document-common-evaluation-questions-rural-development-programmes_en" TargetMode="External"/><Relationship Id="rId20" Type="http://schemas.openxmlformats.org/officeDocument/2006/relationships/hyperlink" Target="http://enrd.ec.europa.eu/sites/enrd/files/w10_m16.5_hesse_de_vonkutzleben.pdf" TargetMode="External"/><Relationship Id="rId29" Type="http://schemas.openxmlformats.org/officeDocument/2006/relationships/hyperlink" Target="http://www.oecd.org/publications/frascati-manual-2015-9789264239012-en.htm" TargetMode="External"/><Relationship Id="rId1" Type="http://schemas.openxmlformats.org/officeDocument/2006/relationships/hyperlink" Target="https://ec.europa.eu/eip/agriculture/sites/agri-eip/files/pb_guidelines_eip_implementation_2014_en.pdf" TargetMode="External"/><Relationship Id="rId6" Type="http://schemas.openxmlformats.org/officeDocument/2006/relationships/hyperlink" Target="https://ec.europa.eu/eip/agriculture/sites/agri-eip/files/eip-agri_factsheet_cities_and_food_en_web.pdf" TargetMode="External"/><Relationship Id="rId11" Type="http://schemas.openxmlformats.org/officeDocument/2006/relationships/hyperlink" Target="https://enrd.ec.europa.eu/evaluation/publications/guidelines-assessment-rdp-results-how-prepare-reporting-evaluation-2017_en" TargetMode="External"/><Relationship Id="rId24" Type="http://schemas.openxmlformats.org/officeDocument/2006/relationships/hyperlink" Target="https://enrd.ec.europa.eu/evaluation/publications/guidelines-evaluation-national-rural-networks-2014-2020_en" TargetMode="External"/><Relationship Id="rId32" Type="http://schemas.openxmlformats.org/officeDocument/2006/relationships/hyperlink" Target="http://www.analytictech.com/networks/whatis.htm" TargetMode="External"/><Relationship Id="rId5" Type="http://schemas.openxmlformats.org/officeDocument/2006/relationships/hyperlink" Target="https://ec.europa.eu/research/scar/pdf/akis-3_end_report.pdf" TargetMode="External"/><Relationship Id="rId15" Type="http://schemas.openxmlformats.org/officeDocument/2006/relationships/hyperlink" Target="http://ec.europa.eu/europe2020/targets/eu-targets/index_es.htm" TargetMode="External"/><Relationship Id="rId23" Type="http://schemas.openxmlformats.org/officeDocument/2006/relationships/hyperlink" Target="https://enrd.ec.europa.eu/evaluation/publications/guidelines-evaluation-national-rural-networks-2014-2020_en" TargetMode="External"/><Relationship Id="rId28" Type="http://schemas.openxmlformats.org/officeDocument/2006/relationships/hyperlink" Target="http://ec.europa.eu/eurostat/statistics-explained/index.php/R_&amp;_D_expenditure" TargetMode="External"/><Relationship Id="rId10" Type="http://schemas.openxmlformats.org/officeDocument/2006/relationships/hyperlink" Target="https://enrd.ec.europa.eu/evaluation/publications/guidelines-assessment-rdp-results-how-prepare-reporting-evaluation-2017_en" TargetMode="External"/><Relationship Id="rId19" Type="http://schemas.openxmlformats.org/officeDocument/2006/relationships/hyperlink" Target="https://ec.europa.eu/eip/agriculture/en/content/innovative-stable-reducing-ammonia-emissions" TargetMode="External"/><Relationship Id="rId31" Type="http://schemas.openxmlformats.org/officeDocument/2006/relationships/hyperlink" Target="http://enrd.ec.europa.eu/evaluation/publications/working-document-common-evaluation-questions-rural-development-programmes_en" TargetMode="External"/><Relationship Id="rId4" Type="http://schemas.openxmlformats.org/officeDocument/2006/relationships/hyperlink" Target="http://www.gppq.fct.pt/h2020/_docs/brochuras/bioeco/agricultural-knowledge-innovation-systems-towards-2020_en.pdf" TargetMode="External"/><Relationship Id="rId9" Type="http://schemas.openxmlformats.org/officeDocument/2006/relationships/hyperlink" Target="https://ec.europa.eu/eip/agriculture/sites/agri-eip/files/field_event_attachments/sem-knowledge-20151203-pres02-inge_van_oost.pdf" TargetMode="External"/><Relationship Id="rId14" Type="http://schemas.openxmlformats.org/officeDocument/2006/relationships/hyperlink" Target="https://enrd.ec.europa.eu/evaluation/publications/guidelines-assessment-rdp-results-how-prepare-reporting-evaluation-2017_en" TargetMode="External"/><Relationship Id="rId22" Type="http://schemas.openxmlformats.org/officeDocument/2006/relationships/hyperlink" Target="http://enrd.ec.europa.eu/evaluation/publications/working-document-common-evaluation-questions-rural-development-programmes_en" TargetMode="External"/><Relationship Id="rId27" Type="http://schemas.openxmlformats.org/officeDocument/2006/relationships/hyperlink" Target="http://ec.europa.eu/europe2020/targets/eu-targets/index_es.htm" TargetMode="External"/><Relationship Id="rId30" Type="http://schemas.openxmlformats.org/officeDocument/2006/relationships/hyperlink" Target="http://ec.europa.eu/eurostat/statistics-explained/index.php/Glossary:Gross_domestic_expenditure_on_R_&amp;_D_(GERD)" TargetMode="External"/><Relationship Id="rId35" Type="http://schemas.openxmlformats.org/officeDocument/2006/relationships/hyperlink" Target="http://www.socialresearchmethods.net/kb/scallik.php"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F07E3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cap="flat" cmpd="sng" algn="ctr">
          <a:solidFill>
            <a:srgbClr val="BE4A35"/>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40BCD-871A-44D0-AF37-D04C44EF2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86</Pages>
  <Words>22476</Words>
  <Characters>128119</Characters>
  <Application>Microsoft Office Word</Application>
  <DocSecurity>0</DocSecurity>
  <Lines>1067</Lines>
  <Paragraphs>300</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European Commission</Company>
  <LinksUpToDate>false</LinksUpToDate>
  <CharactersWithSpaces>150295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Myles Stiffler</dc:creator>
  <cp:lastModifiedBy>Myles Stiffler</cp:lastModifiedBy>
  <cp:revision>19</cp:revision>
  <cp:lastPrinted>2018-01-12T09:16:00Z</cp:lastPrinted>
  <dcterms:created xsi:type="dcterms:W3CDTF">2018-03-21T18:01:00Z</dcterms:created>
  <dcterms:modified xsi:type="dcterms:W3CDTF">2018-03-22T09:03:00Z</dcterms:modified>
</cp:coreProperties>
</file>