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DC0" w:rsidRPr="00FB01AA" w:rsidRDefault="00891ABF">
      <w:pPr>
        <w:spacing w:after="0" w:line="240" w:lineRule="auto"/>
        <w:rPr>
          <w:rFonts w:ascii="Arial" w:hAnsi="Arial" w:cs="Arial"/>
          <w:sz w:val="28"/>
          <w:szCs w:val="20"/>
        </w:rPr>
      </w:pPr>
      <w:r>
        <w:rPr>
          <w:rFonts w:ascii="Times New Roman" w:hAnsi="Times New Roman"/>
          <w:noProof/>
          <w:sz w:val="24"/>
          <w:szCs w:val="24"/>
          <w:lang w:val="en-GB" w:eastAsia="en-GB" w:bidi="ar-SA"/>
        </w:rPr>
        <mc:AlternateContent>
          <mc:Choice Requires="wps">
            <w:drawing>
              <wp:anchor distT="45720" distB="45720" distL="114300" distR="114300" simplePos="0" relativeHeight="251668480" behindDoc="0" locked="0" layoutInCell="1" allowOverlap="1" wp14:anchorId="4F8EE9E5" wp14:editId="38AFE310">
                <wp:simplePos x="0" y="0"/>
                <wp:positionH relativeFrom="column">
                  <wp:posOffset>259080</wp:posOffset>
                </wp:positionH>
                <wp:positionV relativeFrom="paragraph">
                  <wp:posOffset>6728460</wp:posOffset>
                </wp:positionV>
                <wp:extent cx="5124450" cy="982980"/>
                <wp:effectExtent l="0" t="0" r="19050" b="266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D21DBF" w:rsidRDefault="00D21DBF" w:rsidP="00891ABF">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1"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F8EE9E5" id="_x0000_t202" coordsize="21600,21600" o:spt="202" path="m,l,21600r21600,l21600,xe">
                <v:stroke joinstyle="miter"/>
                <v:path gradientshapeok="t" o:connecttype="rect"/>
              </v:shapetype>
              <v:shape id="Text Box 217" o:spid="_x0000_s1026" type="#_x0000_t202" style="position:absolute;margin-left:20.4pt;margin-top:529.8pt;width:403.5pt;height:77.4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" filled="f">
                <v:textbox>
                  <w:txbxContent>
                    <w:p w:rsidR="00D21DBF" w:rsidRDefault="00D21DBF" w:rsidP="00891ABF">
                      <w:pPr>
                        <w:rPr>
                          <w:color w:val="212121"/>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2"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p>
                  </w:txbxContent>
                </v:textbox>
              </v:shape>
            </w:pict>
          </mc:Fallback>
        </mc:AlternateContent>
      </w:r>
      <w:r w:rsidR="002A543B" w:rsidRPr="00FB01AA">
        <w:rPr>
          <w:rFonts w:ascii="Arial" w:hAnsi="Arial" w:cs="Arial"/>
          <w:b/>
          <w:noProof/>
          <w:sz w:val="24"/>
          <w:szCs w:val="28"/>
          <w:lang w:val="en-GB" w:eastAsia="en-GB" w:bidi="ar-SA"/>
        </w:rPr>
        <mc:AlternateContent>
          <mc:Choice Requires="wps">
            <w:drawing>
              <wp:anchor distT="0" distB="0" distL="114300" distR="114300" simplePos="0" relativeHeight="251649024" behindDoc="0" locked="0" layoutInCell="1" allowOverlap="1" wp14:anchorId="0CF76413" wp14:editId="09C6EDDE">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DBF" w:rsidRDefault="00D21DBF" w:rsidP="00D46DC0">
                            <w:pPr>
                              <w:pStyle w:val="H-Titre2"/>
                              <w:rPr>
                                <w:bCs w:val="0"/>
                                <w:color w:val="F07E31"/>
                                <w:sz w:val="60"/>
                                <w:szCs w:val="60"/>
                              </w:rPr>
                            </w:pPr>
                            <w:r>
                              <w:rPr>
                                <w:color w:val="F07E31"/>
                                <w:sz w:val="60"/>
                              </w:rPr>
                              <w:t>Насоки</w:t>
                            </w:r>
                          </w:p>
                          <w:p w:rsidR="00D21DBF" w:rsidRPr="00096373" w:rsidRDefault="00D21DBF" w:rsidP="00D46DC0">
                            <w:pPr>
                              <w:pStyle w:val="Pavpage3"/>
                              <w:rPr>
                                <w:rFonts w:ascii="Arial" w:hAnsi="Arial"/>
                                <w:color w:val="373737" w:themeColor="background1" w:themeShade="40"/>
                                <w:sz w:val="28"/>
                                <w:szCs w:val="28"/>
                              </w:rPr>
                            </w:pPr>
                            <w:r>
                              <w:rPr>
                                <w:rFonts w:ascii="Arial" w:hAnsi="Arial"/>
                                <w:color w:val="373737" w:themeColor="background1" w:themeShade="40"/>
                              </w:rPr>
                              <w:t>ОЦЕНКА НА LEADER/ВОМР</w:t>
                            </w:r>
                          </w:p>
                          <w:p w:rsidR="00D21DBF" w:rsidRDefault="00D21DBF" w:rsidP="00D46DC0">
                            <w:pPr>
                              <w:pStyle w:val="Pavpage3"/>
                              <w:rPr>
                                <w:rFonts w:ascii="Arial" w:hAnsi="Arial"/>
                                <w:color w:val="373737" w:themeColor="background1" w:themeShade="40"/>
                                <w:sz w:val="28"/>
                                <w:szCs w:val="28"/>
                              </w:rPr>
                            </w:pPr>
                          </w:p>
                          <w:p w:rsidR="00D21DBF" w:rsidRDefault="00D21DBF" w:rsidP="00D46DC0">
                            <w:pPr>
                              <w:pStyle w:val="Pavpage3"/>
                              <w:rPr>
                                <w:rFonts w:ascii="Arial" w:hAnsi="Arial"/>
                                <w:color w:val="030303"/>
                                <w:sz w:val="28"/>
                                <w:szCs w:val="28"/>
                              </w:rPr>
                            </w:pPr>
                            <w:r>
                              <w:rPr>
                                <w:rFonts w:ascii="Arial" w:hAnsi="Arial"/>
                                <w:color w:val="373737" w:themeColor="background1" w:themeShade="40"/>
                                <w:sz w:val="28"/>
                              </w:rPr>
                              <w:t>Август 2017 г.</w:t>
                            </w:r>
                          </w:p>
                          <w:p w:rsidR="00D21DBF" w:rsidRDefault="00D21DBF" w:rsidP="00D46DC0">
                            <w:pPr>
                              <w:pStyle w:val="Pavpage3"/>
                              <w:rPr>
                                <w:rFonts w:ascii="Arial" w:hAnsi="Arial"/>
                                <w:color w:val="030303"/>
                                <w:sz w:val="28"/>
                                <w:szCs w:val="28"/>
                              </w:rPr>
                            </w:pPr>
                          </w:p>
                          <w:p w:rsidR="00D21DBF" w:rsidRPr="00096373" w:rsidRDefault="00D21DBF"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F76413" id="Text Box 3" o:spid="_x0000_s1027" type="#_x0000_t202" style="position:absolute;margin-left:205.2pt;margin-top:419.4pt;width:350.4pt;height:303.7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b/sw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8G+DStno+ad&#10;KB9BwlKAwECMMPjAqIX8iVEPQyTF6seBSIpR85HDMzATZzLkZOwmg/ACrqZYYzSaGz1OpkMn2b4G&#10;5PGhcbGCp1IxK+ILi9MDg8FgczkNMTN5nv9br8uoXf4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dajG/7MCAACy&#10;BQAADgAAAAAAAAAAAAAAAAAuAgAAZHJzL2Uyb0RvYy54bWxQSwECLQAUAAYACAAAACEAxHjk3+EA&#10;AAANAQAADwAAAAAAAAAAAAAAAAANBQAAZHJzL2Rvd25yZXYueG1sUEsFBgAAAAAEAAQA8wAAABsG&#10;AAAAAA==&#10;" filled="f" stroked="f">
                <v:textbox inset="0,0,0,0">
                  <w:txbxContent>
                    <w:p w:rsidR="00D21DBF" w:rsidRDefault="00D21DBF" w:rsidP="00D46DC0">
                      <w:pPr>
                        <w:pStyle w:val="H-Titre2"/>
                        <w:rPr>
                          <w:bCs w:val="0"/>
                          <w:color w:val="F07E31"/>
                          <w:sz w:val="60"/>
                          <w:szCs w:val="60"/>
                        </w:rPr>
                      </w:pPr>
                      <w:r>
                        <w:rPr>
                          <w:color w:val="F07E31"/>
                          <w:sz w:val="60"/>
                        </w:rPr>
                        <w:t>Насоки</w:t>
                      </w:r>
                    </w:p>
                    <w:p w:rsidR="00D21DBF" w:rsidRPr="00096373" w:rsidRDefault="00D21DBF" w:rsidP="00D46DC0">
                      <w:pPr>
                        <w:pStyle w:val="Pavpage3"/>
                        <w:rPr>
                          <w:rFonts w:ascii="Arial" w:hAnsi="Arial"/>
                          <w:color w:val="373737" w:themeColor="background1" w:themeShade="40"/>
                          <w:sz w:val="28"/>
                          <w:szCs w:val="28"/>
                        </w:rPr>
                      </w:pPr>
                      <w:r>
                        <w:rPr>
                          <w:rFonts w:ascii="Arial" w:hAnsi="Arial"/>
                          <w:color w:val="373737" w:themeColor="background1" w:themeShade="40"/>
                        </w:rPr>
                        <w:t>ОЦЕНКА НА LEADER/ВОМР</w:t>
                      </w:r>
                    </w:p>
                    <w:p w:rsidR="00D21DBF" w:rsidRDefault="00D21DBF" w:rsidP="00D46DC0">
                      <w:pPr>
                        <w:pStyle w:val="Pavpage3"/>
                        <w:rPr>
                          <w:rFonts w:ascii="Arial" w:hAnsi="Arial"/>
                          <w:color w:val="373737" w:themeColor="background1" w:themeShade="40"/>
                          <w:sz w:val="28"/>
                          <w:szCs w:val="28"/>
                        </w:rPr>
                      </w:pPr>
                    </w:p>
                    <w:p w:rsidR="00D21DBF" w:rsidRDefault="00D21DBF" w:rsidP="00D46DC0">
                      <w:pPr>
                        <w:pStyle w:val="Pavpage3"/>
                        <w:rPr>
                          <w:rFonts w:ascii="Arial" w:hAnsi="Arial"/>
                          <w:color w:val="030303"/>
                          <w:sz w:val="28"/>
                          <w:szCs w:val="28"/>
                        </w:rPr>
                      </w:pPr>
                      <w:r>
                        <w:rPr>
                          <w:rFonts w:ascii="Arial" w:hAnsi="Arial"/>
                          <w:color w:val="373737" w:themeColor="background1" w:themeShade="40"/>
                          <w:sz w:val="28"/>
                        </w:rPr>
                        <w:t>Август 2017 г.</w:t>
                      </w:r>
                    </w:p>
                    <w:p w:rsidR="00D21DBF" w:rsidRDefault="00D21DBF" w:rsidP="00D46DC0">
                      <w:pPr>
                        <w:pStyle w:val="Pavpage3"/>
                        <w:rPr>
                          <w:rFonts w:ascii="Arial" w:hAnsi="Arial"/>
                          <w:color w:val="030303"/>
                          <w:sz w:val="28"/>
                          <w:szCs w:val="28"/>
                        </w:rPr>
                      </w:pPr>
                    </w:p>
                    <w:p w:rsidR="00D21DBF" w:rsidRPr="00096373" w:rsidRDefault="00D21DBF"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2A543B" w:rsidRPr="00FB01AA">
        <w:rPr>
          <w:sz w:val="28"/>
        </w:rPr>
        <w:br w:type="page"/>
      </w:r>
    </w:p>
    <w:p w:rsidR="00D46DC0" w:rsidRPr="00FB01AA" w:rsidRDefault="00D46DC0" w:rsidP="00D46DC0">
      <w:pPr>
        <w:pStyle w:val="Char23"/>
        <w:rPr>
          <w:rFonts w:ascii="Arial" w:hAnsi="Arial" w:cs="Arial"/>
          <w:sz w:val="28"/>
        </w:rPr>
        <w:sectPr w:rsidR="00D46DC0" w:rsidRPr="00FB01AA" w:rsidSect="00D46DC0">
          <w:footerReference w:type="even" r:id="rId13"/>
          <w:pgSz w:w="11907" w:h="16840" w:code="9"/>
          <w:pgMar w:top="1440" w:right="1440" w:bottom="1440" w:left="1440" w:header="709" w:footer="709" w:gutter="0"/>
          <w:pgNumType w:start="1"/>
          <w:cols w:space="708"/>
          <w:titlePg/>
          <w:docGrid w:linePitch="360"/>
        </w:sectPr>
      </w:pPr>
      <w:r w:rsidRPr="00FB01AA">
        <w:rPr>
          <w:rFonts w:ascii="Arial" w:hAnsi="Arial" w:cs="Arial"/>
          <w:noProof/>
          <w:sz w:val="28"/>
          <w:lang w:val="en-GB" w:eastAsia="en-GB" w:bidi="ar-SA"/>
        </w:rPr>
        <w:lastRenderedPageBreak/>
        <mc:AlternateContent>
          <mc:Choice Requires="wps">
            <w:drawing>
              <wp:anchor distT="0" distB="0" distL="114300" distR="114300" simplePos="0" relativeHeight="251648000" behindDoc="0" locked="0" layoutInCell="1" allowOverlap="1" wp14:anchorId="2FA023A2" wp14:editId="2D83CA5B">
                <wp:simplePos x="0" y="0"/>
                <wp:positionH relativeFrom="margin">
                  <wp:posOffset>-427355</wp:posOffset>
                </wp:positionH>
                <wp:positionV relativeFrom="paragraph">
                  <wp:posOffset>2933123</wp:posOffset>
                </wp:positionV>
                <wp:extent cx="6583680" cy="7802089"/>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7802089"/>
                        </a:xfrm>
                        <a:prstGeom prst="rect">
                          <a:avLst/>
                        </a:prstGeom>
                        <a:solidFill>
                          <a:srgbClr val="FFFFFF">
                            <a:alpha val="0"/>
                          </a:srgbClr>
                        </a:solidFill>
                        <a:ln>
                          <a:noFill/>
                        </a:ln>
                        <a:extLst/>
                      </wps:spPr>
                      <wps:txbx>
                        <w:txbxContent>
                          <w:p w:rsidR="00D21DBF" w:rsidRPr="0002756B" w:rsidRDefault="00D21DBF" w:rsidP="00D46DC0">
                            <w:pPr>
                              <w:pStyle w:val="HStandard"/>
                              <w:rPr>
                                <w:sz w:val="18"/>
                                <w:szCs w:val="18"/>
                              </w:rPr>
                            </w:pPr>
                            <w:r>
                              <w:rPr>
                                <w:sz w:val="18"/>
                              </w:rPr>
                              <w:t>Бележка относно авторските права</w:t>
                            </w:r>
                          </w:p>
                          <w:p w:rsidR="00D21DBF" w:rsidRPr="0002756B" w:rsidRDefault="00D21DBF" w:rsidP="00D46DC0">
                            <w:pPr>
                              <w:pStyle w:val="HStandard"/>
                              <w:rPr>
                                <w:sz w:val="18"/>
                                <w:szCs w:val="18"/>
                              </w:rPr>
                            </w:pPr>
                            <w:r>
                              <w:rPr>
                                <w:sz w:val="18"/>
                              </w:rPr>
                              <w:t>© Европейски съюз, 2017 г.</w:t>
                            </w:r>
                          </w:p>
                          <w:p w:rsidR="00D21DBF" w:rsidRPr="0002756B" w:rsidRDefault="00D21DBF" w:rsidP="00D46DC0">
                            <w:pPr>
                              <w:pStyle w:val="HStandard"/>
                              <w:rPr>
                                <w:sz w:val="18"/>
                                <w:szCs w:val="18"/>
                              </w:rPr>
                            </w:pPr>
                            <w:r>
                              <w:rPr>
                                <w:sz w:val="18"/>
                              </w:rPr>
                              <w:t>Възпроизвеждането е разрешено, при условие че се посочи източникът.</w:t>
                            </w:r>
                          </w:p>
                          <w:p w:rsidR="00D21DBF" w:rsidRPr="0002756B" w:rsidRDefault="00D21DBF" w:rsidP="00D46DC0">
                            <w:pPr>
                              <w:pStyle w:val="HStandard"/>
                              <w:rPr>
                                <w:sz w:val="18"/>
                                <w:szCs w:val="18"/>
                              </w:rPr>
                            </w:pPr>
                            <w:r>
                              <w:rPr>
                                <w:sz w:val="18"/>
                                <w:u w:val="single"/>
                              </w:rPr>
                              <w:t>Препоръчителен текст на позоваването</w:t>
                            </w:r>
                            <w:r>
                              <w:rPr>
                                <w:sz w:val="18"/>
                              </w:rPr>
                              <w:t xml:space="preserve">: </w:t>
                            </w:r>
                          </w:p>
                          <w:p w:rsidR="00D21DBF" w:rsidRPr="00F22CE4" w:rsidRDefault="00D21DBF" w:rsidP="00D46DC0">
                            <w:pPr>
                              <w:pStyle w:val="HStandard"/>
                              <w:rPr>
                                <w:sz w:val="18"/>
                                <w:szCs w:val="18"/>
                              </w:rPr>
                            </w:pPr>
                            <w:r>
                              <w:rPr>
                                <w:sz w:val="18"/>
                              </w:rPr>
                              <w:t>ЕВРОПЕЙСКА КОМИСИЯ – Генерална дирекция „Земеделие и развитие на селските райони“ – Отдел C.4 (2017 г.): Насоки. Оценка на LEADER/ВОМР. Брюксел.</w:t>
                            </w:r>
                          </w:p>
                          <w:p w:rsidR="00D21DBF" w:rsidRPr="0002756B" w:rsidRDefault="00D21DBF" w:rsidP="00D46DC0">
                            <w:pPr>
                              <w:pStyle w:val="HStandard"/>
                              <w:rPr>
                                <w:bCs/>
                                <w:sz w:val="18"/>
                                <w:szCs w:val="18"/>
                                <w:u w:val="single"/>
                              </w:rPr>
                            </w:pPr>
                            <w:r>
                              <w:rPr>
                                <w:sz w:val="18"/>
                                <w:u w:val="single"/>
                              </w:rPr>
                              <w:t>Отказ от отговорност:</w:t>
                            </w:r>
                          </w:p>
                          <w:p w:rsidR="00D21DBF" w:rsidRPr="0002756B" w:rsidRDefault="00D21DBF" w:rsidP="00D46DC0">
                            <w:pPr>
                              <w:pStyle w:val="HStandard"/>
                              <w:rPr>
                                <w:sz w:val="18"/>
                                <w:szCs w:val="18"/>
                              </w:rPr>
                            </w:pPr>
                            <w:r>
                              <w:rPr>
                                <w:sz w:val="18"/>
                              </w:rPr>
                              <w:t>Изложените в настоящата публикация информация и възгледи са тези на автора(ите) и не отразяват непременно официалното становище на Комисията. Комисията не гарантира точността на включените в публикацията данни. Нито Комисията, нито друго действащо от нейно име лице може да носи отговорност за евентуалната употреба на съдържащата се в нея информация.</w:t>
                            </w:r>
                          </w:p>
                          <w:p w:rsidR="00D21DBF" w:rsidRPr="0002756B" w:rsidRDefault="00D21DBF" w:rsidP="00D46DC0">
                            <w:pPr>
                              <w:pStyle w:val="HStandard"/>
                              <w:rPr>
                                <w:noProof/>
                                <w:color w:val="A5A5A5" w:themeColor="background1" w:themeShade="BF"/>
                                <w:sz w:val="18"/>
                                <w:szCs w:val="18"/>
                              </w:rPr>
                            </w:pPr>
                          </w:p>
                          <w:p w:rsidR="00D21DBF" w:rsidRPr="0002756B" w:rsidRDefault="00D21DBF"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58C493F2" wp14:editId="086C8CB3">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475E6414" wp14:editId="0B321DD3">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D21DBF" w:rsidRPr="0002756B" w:rsidRDefault="00D21DBF" w:rsidP="00D46DC0">
                            <w:pPr>
                              <w:pStyle w:val="HStandard"/>
                              <w:rPr>
                                <w:sz w:val="18"/>
                                <w:szCs w:val="18"/>
                              </w:rPr>
                            </w:pPr>
                            <w:r>
                              <w:rPr>
                                <w:sz w:val="18"/>
                              </w:rPr>
                              <w:t xml:space="preserve">Бюрото за оценка отговаря за дейностите по оценяване в рамките на Европейската мрежа за развитие на селските райони (ЕМРСР), като предоставя насоки за оценката на ПРСР и на политиките, попадащи в обхвата на правомощия и ръководството на отдел C.4 „Мониторинг и оценка“ на ГД „Земеделие и развитие на селските райони“ на Европейската Комисия (ЕК). С цел да се подобри оценката на политиката на ЕС за развитие на селските райони, Бюрото за оценка подкрепя всички ангажирани с оценяването заинтересовани страни, и по-специално ГД „Земеделие и развитие на селските райони“, националните органи, управляващите органи и оценителите на ПРСР, като разработва и разпространява подходящи методики и инструменти; събира и осъществява обмен на добри практики; изгражда капацитет и </w:t>
                            </w:r>
                            <w:r w:rsidRPr="00251DF4">
                              <w:rPr>
                                <w:sz w:val="18"/>
                              </w:rPr>
                              <w:t xml:space="preserve">осъществява </w:t>
                            </w:r>
                            <w:r>
                              <w:rPr>
                                <w:sz w:val="18"/>
                              </w:rPr>
                              <w:t>комуник</w:t>
                            </w:r>
                            <w:r w:rsidRPr="00251DF4">
                              <w:rPr>
                                <w:sz w:val="18"/>
                              </w:rPr>
                              <w:t>ация</w:t>
                            </w:r>
                            <w:r>
                              <w:rPr>
                                <w:sz w:val="18"/>
                              </w:rPr>
                              <w:t xml:space="preserve"> с членове на мрежата по свързани с оценката теми.</w:t>
                            </w:r>
                          </w:p>
                          <w:p w:rsidR="00D21DBF" w:rsidRPr="0002756B" w:rsidRDefault="00D21DBF" w:rsidP="005C16D3">
                            <w:pPr>
                              <w:pStyle w:val="HStandard"/>
                              <w:spacing w:before="240"/>
                              <w:rPr>
                                <w:sz w:val="18"/>
                                <w:szCs w:val="18"/>
                              </w:rPr>
                            </w:pPr>
                            <w:r>
                              <w:rPr>
                                <w:sz w:val="18"/>
                              </w:rPr>
                              <w:t>Допълнителна информация за дейностите на Европейското бюро за оценка в областта на развитието на селските райони може да намерите в интернет на сървъра на Europa (http://enrd.ec.europa.eu).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023A2" id="Text Box 7" o:spid="_x0000_s1028" type="#_x0000_t202" style="position:absolute;margin-left:-33.65pt;margin-top:230.95pt;width:518.4pt;height:614.3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" stroked="f">
                <v:fill opacity="0"/>
                <v:textbox>
                  <w:txbxContent>
                    <w:p w:rsidR="00D21DBF" w:rsidRPr="0002756B" w:rsidRDefault="00D21DBF" w:rsidP="00D46DC0">
                      <w:pPr>
                        <w:pStyle w:val="HStandard"/>
                        <w:rPr>
                          <w:sz w:val="18"/>
                          <w:szCs w:val="18"/>
                        </w:rPr>
                      </w:pPr>
                      <w:r>
                        <w:rPr>
                          <w:sz w:val="18"/>
                        </w:rPr>
                        <w:t>Бележка относно авторските права</w:t>
                      </w:r>
                    </w:p>
                    <w:p w:rsidR="00D21DBF" w:rsidRPr="0002756B" w:rsidRDefault="00D21DBF" w:rsidP="00D46DC0">
                      <w:pPr>
                        <w:pStyle w:val="HStandard"/>
                        <w:rPr>
                          <w:sz w:val="18"/>
                          <w:szCs w:val="18"/>
                        </w:rPr>
                      </w:pPr>
                      <w:r>
                        <w:rPr>
                          <w:sz w:val="18"/>
                        </w:rPr>
                        <w:t>© Европейски съюз, 2017 г.</w:t>
                      </w:r>
                    </w:p>
                    <w:p w:rsidR="00D21DBF" w:rsidRPr="0002756B" w:rsidRDefault="00D21DBF" w:rsidP="00D46DC0">
                      <w:pPr>
                        <w:pStyle w:val="HStandard"/>
                        <w:rPr>
                          <w:sz w:val="18"/>
                          <w:szCs w:val="18"/>
                        </w:rPr>
                      </w:pPr>
                      <w:r>
                        <w:rPr>
                          <w:sz w:val="18"/>
                        </w:rPr>
                        <w:t>Възпроизвеждането е разрешено, при условие че се посочи източникът.</w:t>
                      </w:r>
                    </w:p>
                    <w:p w:rsidR="00D21DBF" w:rsidRPr="0002756B" w:rsidRDefault="00D21DBF" w:rsidP="00D46DC0">
                      <w:pPr>
                        <w:pStyle w:val="HStandard"/>
                        <w:rPr>
                          <w:sz w:val="18"/>
                          <w:szCs w:val="18"/>
                        </w:rPr>
                      </w:pPr>
                      <w:r>
                        <w:rPr>
                          <w:sz w:val="18"/>
                          <w:u w:val="single"/>
                        </w:rPr>
                        <w:t>Препоръчителен текст на позоваването</w:t>
                      </w:r>
                      <w:r>
                        <w:rPr>
                          <w:sz w:val="18"/>
                        </w:rPr>
                        <w:t xml:space="preserve">: </w:t>
                      </w:r>
                    </w:p>
                    <w:p w:rsidR="00D21DBF" w:rsidRPr="00F22CE4" w:rsidRDefault="00D21DBF" w:rsidP="00D46DC0">
                      <w:pPr>
                        <w:pStyle w:val="HStandard"/>
                        <w:rPr>
                          <w:sz w:val="18"/>
                          <w:szCs w:val="18"/>
                        </w:rPr>
                      </w:pPr>
                      <w:r>
                        <w:rPr>
                          <w:sz w:val="18"/>
                        </w:rPr>
                        <w:t>ЕВРОПЕЙСКА КОМИСИЯ – Генерална дирекция „Земеделие и развитие на селските райони“ – Отдел C.4 (2017 г.): Насоки. Оценка на LEADER/ВОМР. Брюксел.</w:t>
                      </w:r>
                    </w:p>
                    <w:p w:rsidR="00D21DBF" w:rsidRPr="0002756B" w:rsidRDefault="00D21DBF" w:rsidP="00D46DC0">
                      <w:pPr>
                        <w:pStyle w:val="HStandard"/>
                        <w:rPr>
                          <w:bCs/>
                          <w:sz w:val="18"/>
                          <w:szCs w:val="18"/>
                          <w:u w:val="single"/>
                        </w:rPr>
                      </w:pPr>
                      <w:r>
                        <w:rPr>
                          <w:sz w:val="18"/>
                          <w:u w:val="single"/>
                        </w:rPr>
                        <w:t>Отказ от отговорност:</w:t>
                      </w:r>
                    </w:p>
                    <w:p w:rsidR="00D21DBF" w:rsidRPr="0002756B" w:rsidRDefault="00D21DBF" w:rsidP="00D46DC0">
                      <w:pPr>
                        <w:pStyle w:val="HStandard"/>
                        <w:rPr>
                          <w:sz w:val="18"/>
                          <w:szCs w:val="18"/>
                        </w:rPr>
                      </w:pPr>
                      <w:r>
                        <w:rPr>
                          <w:sz w:val="18"/>
                        </w:rPr>
                        <w:t>Изложените в настоящата публикация информация и възгледи са тези на автора(ите) и не отразяват непременно официалното становище на Комисията. Комисията не гарантира точността на включените в публикацията данни. Нито Комисията, нито друго действащо от нейно име лице може да носи отговорност за евентуалната употреба на съдържащата се в нея информация.</w:t>
                      </w:r>
                    </w:p>
                    <w:p w:rsidR="00D21DBF" w:rsidRPr="0002756B" w:rsidRDefault="00D21DBF" w:rsidP="00D46DC0">
                      <w:pPr>
                        <w:pStyle w:val="HStandard"/>
                        <w:rPr>
                          <w:noProof/>
                          <w:color w:val="A5A5A5" w:themeColor="background1" w:themeShade="BF"/>
                          <w:sz w:val="18"/>
                          <w:szCs w:val="18"/>
                        </w:rPr>
                      </w:pPr>
                    </w:p>
                    <w:p w:rsidR="00D21DBF" w:rsidRPr="0002756B" w:rsidRDefault="00D21DBF"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58C493F2" wp14:editId="086C8CB3">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4">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475E6414" wp14:editId="0B321DD3">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D21DBF" w:rsidRPr="0002756B" w:rsidRDefault="00D21DBF" w:rsidP="00D46DC0">
                      <w:pPr>
                        <w:pStyle w:val="HStandard"/>
                        <w:rPr>
                          <w:sz w:val="18"/>
                          <w:szCs w:val="18"/>
                        </w:rPr>
                      </w:pPr>
                      <w:r>
                        <w:rPr>
                          <w:sz w:val="18"/>
                        </w:rPr>
                        <w:t xml:space="preserve">Бюрото за оценка отговаря за дейностите по оценяване в рамките на Европейската мрежа за развитие на селските райони (ЕМРСР), като предоставя насоки за оценката на ПРСР и на политиките, попадащи в обхвата на правомощия и ръководството на отдел C.4 „Мониторинг и оценка“ на ГД „Земеделие и развитие на селските райони“ на Европейската Комисия (ЕК). С цел да се подобри оценката на политиката на ЕС за развитие на селските райони, Бюрото за оценка подкрепя всички ангажирани с оценяването заинтересовани страни, и по-специално ГД „Земеделие и развитие на селските райони“, националните органи, управляващите органи и оценителите на ПРСР, като разработва и разпространява подходящи методики и инструменти; събира и осъществява обмен на добри практики; изгражда капацитет и </w:t>
                      </w:r>
                      <w:r w:rsidRPr="00251DF4">
                        <w:rPr>
                          <w:sz w:val="18"/>
                        </w:rPr>
                        <w:t xml:space="preserve">осъществява </w:t>
                      </w:r>
                      <w:r>
                        <w:rPr>
                          <w:sz w:val="18"/>
                        </w:rPr>
                        <w:t>комуник</w:t>
                      </w:r>
                      <w:r w:rsidRPr="00251DF4">
                        <w:rPr>
                          <w:sz w:val="18"/>
                        </w:rPr>
                        <w:t>ация</w:t>
                      </w:r>
                      <w:r>
                        <w:rPr>
                          <w:sz w:val="18"/>
                        </w:rPr>
                        <w:t xml:space="preserve"> с членове на мрежата по свързани с оценката теми.</w:t>
                      </w:r>
                    </w:p>
                    <w:p w:rsidR="00D21DBF" w:rsidRPr="0002756B" w:rsidRDefault="00D21DBF" w:rsidP="005C16D3">
                      <w:pPr>
                        <w:pStyle w:val="HStandard"/>
                        <w:spacing w:before="240"/>
                        <w:rPr>
                          <w:sz w:val="18"/>
                          <w:szCs w:val="18"/>
                        </w:rPr>
                      </w:pPr>
                      <w:r>
                        <w:rPr>
                          <w:sz w:val="18"/>
                        </w:rPr>
                        <w:t>Допълнителна информация за дейностите на Европейското бюро за оценка в областта на развитието на селските райони може да намерите в интернет на сървъра на Europa (http://enrd.ec.europa.eu).</w:t>
                      </w:r>
                    </w:p>
                  </w:txbxContent>
                </v:textbox>
                <w10:wrap anchorx="margin"/>
              </v:shape>
            </w:pict>
          </mc:Fallback>
        </mc:AlternateContent>
      </w:r>
      <w:r w:rsidRPr="00FB01AA">
        <w:rPr>
          <w:sz w:val="28"/>
        </w:rPr>
        <w:br w:type="page"/>
      </w:r>
    </w:p>
    <w:p w:rsidR="001C214D" w:rsidRPr="00FB01AA" w:rsidRDefault="001C214D" w:rsidP="00D46DC0">
      <w:pPr>
        <w:pStyle w:val="NormalIndent"/>
        <w:rPr>
          <w:rFonts w:ascii="Arial" w:hAnsi="Arial" w:cs="Arial"/>
          <w:sz w:val="28"/>
        </w:rPr>
      </w:pPr>
    </w:p>
    <w:p w:rsidR="00D46DC0" w:rsidRPr="00FB01AA" w:rsidRDefault="00D46DC0" w:rsidP="00D46DC0">
      <w:pPr>
        <w:pStyle w:val="NormalIndent"/>
        <w:rPr>
          <w:rFonts w:ascii="Arial" w:hAnsi="Arial" w:cs="Arial"/>
          <w:sz w:val="28"/>
        </w:rPr>
        <w:sectPr w:rsidR="00D46DC0" w:rsidRPr="00FB01AA" w:rsidSect="00D46DC0">
          <w:headerReference w:type="even" r:id="rId16"/>
          <w:headerReference w:type="default" r:id="rId17"/>
          <w:footerReference w:type="default" r:id="rId18"/>
          <w:headerReference w:type="first" r:id="rId19"/>
          <w:footerReference w:type="first" r:id="rId20"/>
          <w:type w:val="oddPage"/>
          <w:pgSz w:w="11907" w:h="16840" w:code="9"/>
          <w:pgMar w:top="1440" w:right="1440" w:bottom="1134" w:left="1440" w:header="737" w:footer="709" w:gutter="0"/>
          <w:pgNumType w:fmt="lowerRoman" w:start="1"/>
          <w:cols w:space="708"/>
          <w:docGrid w:linePitch="435"/>
        </w:sectPr>
      </w:pPr>
      <w:r w:rsidRPr="00FB01AA">
        <w:rPr>
          <w:rFonts w:ascii="Arial" w:hAnsi="Arial" w:cs="Arial"/>
          <w:noProof/>
          <w:sz w:val="28"/>
          <w:lang w:val="en-GB" w:eastAsia="en-GB" w:bidi="ar-SA"/>
        </w:rPr>
        <mc:AlternateContent>
          <mc:Choice Requires="wps">
            <w:drawing>
              <wp:anchor distT="0" distB="0" distL="114300" distR="114300" simplePos="0" relativeHeight="251646976" behindDoc="0" locked="0" layoutInCell="1" allowOverlap="1" wp14:anchorId="33F6C9FE" wp14:editId="1DAFF350">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21DBF" w:rsidRPr="003231BD" w:rsidRDefault="00D21DBF" w:rsidP="009F2FCD">
                            <w:pPr>
                              <w:pStyle w:val="H-Titre2"/>
                              <w:rPr>
                                <w:bCs w:val="0"/>
                                <w:color w:val="F07E31"/>
                                <w:sz w:val="60"/>
                                <w:szCs w:val="60"/>
                              </w:rPr>
                            </w:pPr>
                            <w:r>
                              <w:rPr>
                                <w:color w:val="F07E31"/>
                                <w:sz w:val="60"/>
                              </w:rPr>
                              <w:t>Насоки</w:t>
                            </w:r>
                          </w:p>
                          <w:p w:rsidR="00D21DBF" w:rsidRPr="003231BD" w:rsidRDefault="00D21DBF" w:rsidP="009F2FCD">
                            <w:pPr>
                              <w:pStyle w:val="Pavpage3"/>
                              <w:rPr>
                                <w:rFonts w:ascii="Arial" w:hAnsi="Arial"/>
                                <w:color w:val="373737" w:themeColor="background1" w:themeShade="40"/>
                                <w:sz w:val="28"/>
                                <w:szCs w:val="28"/>
                              </w:rPr>
                            </w:pPr>
                            <w:r>
                              <w:rPr>
                                <w:rFonts w:ascii="Arial" w:hAnsi="Arial"/>
                                <w:color w:val="373737" w:themeColor="background1" w:themeShade="40"/>
                              </w:rPr>
                              <w:t>ОЦЕНКА НА LEADER/ВОМР</w:t>
                            </w:r>
                          </w:p>
                          <w:p w:rsidR="00D21DBF" w:rsidRPr="003231BD" w:rsidRDefault="00D21DBF" w:rsidP="009F2FCD">
                            <w:pPr>
                              <w:pStyle w:val="Pavpage3"/>
                              <w:rPr>
                                <w:rFonts w:ascii="Arial" w:hAnsi="Arial"/>
                                <w:color w:val="373737" w:themeColor="background1" w:themeShade="40"/>
                                <w:sz w:val="28"/>
                                <w:szCs w:val="28"/>
                              </w:rPr>
                            </w:pPr>
                          </w:p>
                          <w:p w:rsidR="00D21DBF" w:rsidRDefault="00D21DBF" w:rsidP="009F2FCD">
                            <w:pPr>
                              <w:pStyle w:val="Pavpage3"/>
                              <w:rPr>
                                <w:rFonts w:ascii="Arial" w:hAnsi="Arial"/>
                                <w:color w:val="030303"/>
                                <w:sz w:val="28"/>
                                <w:szCs w:val="28"/>
                              </w:rPr>
                            </w:pPr>
                            <w:r>
                              <w:rPr>
                                <w:rFonts w:ascii="Arial" w:hAnsi="Arial"/>
                                <w:color w:val="373737" w:themeColor="background1" w:themeShade="40"/>
                                <w:sz w:val="28"/>
                              </w:rPr>
                              <w:t>Август 2017 г.</w:t>
                            </w:r>
                          </w:p>
                          <w:p w:rsidR="00D21DBF" w:rsidRDefault="00D21DBF"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6C9FE" id="_x0000_s1029" type="#_x0000_t202" style="position:absolute;left:0;text-align:left;margin-left:224.8pt;margin-top:441pt;width:331.8pt;height:303.7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D21DBF" w:rsidRPr="003231BD" w:rsidRDefault="00D21DBF" w:rsidP="009F2FCD">
                      <w:pPr>
                        <w:pStyle w:val="H-Titre2"/>
                        <w:rPr>
                          <w:bCs w:val="0"/>
                          <w:color w:val="F07E31"/>
                          <w:sz w:val="60"/>
                          <w:szCs w:val="60"/>
                        </w:rPr>
                      </w:pPr>
                      <w:r>
                        <w:rPr>
                          <w:color w:val="F07E31"/>
                          <w:sz w:val="60"/>
                        </w:rPr>
                        <w:t>Насоки</w:t>
                      </w:r>
                    </w:p>
                    <w:p w:rsidR="00D21DBF" w:rsidRPr="003231BD" w:rsidRDefault="00D21DBF" w:rsidP="009F2FCD">
                      <w:pPr>
                        <w:pStyle w:val="Pavpage3"/>
                        <w:rPr>
                          <w:rFonts w:ascii="Arial" w:hAnsi="Arial"/>
                          <w:color w:val="373737" w:themeColor="background1" w:themeShade="40"/>
                          <w:sz w:val="28"/>
                          <w:szCs w:val="28"/>
                        </w:rPr>
                      </w:pPr>
                      <w:r>
                        <w:rPr>
                          <w:rFonts w:ascii="Arial" w:hAnsi="Arial"/>
                          <w:color w:val="373737" w:themeColor="background1" w:themeShade="40"/>
                        </w:rPr>
                        <w:t>ОЦЕНКА НА LEADER/ВОМР</w:t>
                      </w:r>
                    </w:p>
                    <w:p w:rsidR="00D21DBF" w:rsidRPr="003231BD" w:rsidRDefault="00D21DBF" w:rsidP="009F2FCD">
                      <w:pPr>
                        <w:pStyle w:val="Pavpage3"/>
                        <w:rPr>
                          <w:rFonts w:ascii="Arial" w:hAnsi="Arial"/>
                          <w:color w:val="373737" w:themeColor="background1" w:themeShade="40"/>
                          <w:sz w:val="28"/>
                          <w:szCs w:val="28"/>
                        </w:rPr>
                      </w:pPr>
                    </w:p>
                    <w:p w:rsidR="00D21DBF" w:rsidRDefault="00D21DBF" w:rsidP="009F2FCD">
                      <w:pPr>
                        <w:pStyle w:val="Pavpage3"/>
                        <w:rPr>
                          <w:rFonts w:ascii="Arial" w:hAnsi="Arial"/>
                          <w:color w:val="030303"/>
                          <w:sz w:val="28"/>
                          <w:szCs w:val="28"/>
                        </w:rPr>
                      </w:pPr>
                      <w:r>
                        <w:rPr>
                          <w:rFonts w:ascii="Arial" w:hAnsi="Arial"/>
                          <w:color w:val="373737" w:themeColor="background1" w:themeShade="40"/>
                          <w:sz w:val="28"/>
                        </w:rPr>
                        <w:t>Август 2017 г.</w:t>
                      </w:r>
                    </w:p>
                    <w:p w:rsidR="00D21DBF" w:rsidRDefault="00D21DBF" w:rsidP="00D46DC0">
                      <w:pPr>
                        <w:pStyle w:val="H-Titre2"/>
                      </w:pPr>
                    </w:p>
                  </w:txbxContent>
                </v:textbox>
                <w10:wrap anchorx="page" anchory="page"/>
              </v:shape>
            </w:pict>
          </mc:Fallback>
        </mc:AlternateContent>
      </w:r>
    </w:p>
    <w:p w:rsidR="000940AE" w:rsidRPr="00FB01AA" w:rsidRDefault="000940AE" w:rsidP="00D46DC0">
      <w:pPr>
        <w:pStyle w:val="TOCHeading"/>
        <w:rPr>
          <w:sz w:val="24"/>
        </w:rPr>
      </w:pPr>
      <w:r w:rsidRPr="00FB01AA">
        <w:rPr>
          <w:sz w:val="24"/>
        </w:rPr>
        <w:lastRenderedPageBreak/>
        <w:br w:type="page"/>
      </w:r>
    </w:p>
    <w:p w:rsidR="00D46DC0" w:rsidRPr="00FB01AA" w:rsidRDefault="00D46DC0" w:rsidP="00D46DC0">
      <w:pPr>
        <w:pStyle w:val="TOCHeading"/>
        <w:rPr>
          <w:sz w:val="24"/>
        </w:rPr>
      </w:pPr>
      <w:r w:rsidRPr="00FB01AA">
        <w:rPr>
          <w:sz w:val="24"/>
        </w:rPr>
        <w:lastRenderedPageBreak/>
        <w:t>Съдържание</w:t>
      </w:r>
    </w:p>
    <w:p w:rsidR="008B3FC7" w:rsidRPr="00FB01AA" w:rsidRDefault="001D4C98">
      <w:pPr>
        <w:pStyle w:val="TOC1"/>
        <w:rPr>
          <w:rFonts w:asciiTheme="minorHAnsi" w:eastAsiaTheme="minorEastAsia" w:hAnsiTheme="minorHAnsi" w:cstheme="minorBidi"/>
          <w:b w:val="0"/>
          <w:bCs w:val="0"/>
          <w:color w:val="auto"/>
          <w:szCs w:val="22"/>
          <w:lang w:val="el-GR" w:eastAsia="el-GR" w:bidi="ar-SA"/>
        </w:rPr>
      </w:pPr>
      <w:r w:rsidRPr="00FB01AA">
        <w:rPr>
          <w:sz w:val="18"/>
        </w:rPr>
        <w:fldChar w:fldCharType="begin"/>
      </w:r>
      <w:r w:rsidRPr="00FB01AA">
        <w:rPr>
          <w:sz w:val="18"/>
        </w:rPr>
        <w:instrText xml:space="preserve"> TOC \h \z \t "H_Heading 1;1;H_Heading 2;2;H_Heading 3;3" </w:instrText>
      </w:r>
      <w:r w:rsidRPr="00FB01AA">
        <w:rPr>
          <w:sz w:val="18"/>
        </w:rPr>
        <w:fldChar w:fldCharType="separate"/>
      </w:r>
      <w:hyperlink w:anchor="_Toc498506699" w:history="1">
        <w:r w:rsidR="008B3FC7" w:rsidRPr="00FB01AA">
          <w:rPr>
            <w:rStyle w:val="Hyperlink"/>
            <w:sz w:val="18"/>
          </w:rPr>
          <w:t>1</w:t>
        </w:r>
        <w:r w:rsidR="008B3FC7" w:rsidRPr="00FB01AA">
          <w:rPr>
            <w:rFonts w:asciiTheme="minorHAnsi" w:eastAsiaTheme="minorEastAsia" w:hAnsiTheme="minorHAnsi" w:cstheme="minorBidi"/>
            <w:b w:val="0"/>
            <w:bCs w:val="0"/>
            <w:color w:val="auto"/>
            <w:szCs w:val="22"/>
            <w:lang w:val="el-GR" w:eastAsia="el-GR" w:bidi="ar-SA"/>
          </w:rPr>
          <w:tab/>
        </w:r>
        <w:r w:rsidR="008B3FC7" w:rsidRPr="00FB01AA">
          <w:rPr>
            <w:rStyle w:val="Hyperlink"/>
            <w:sz w:val="18"/>
          </w:rPr>
          <w:t>Въведение</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_Toc498506699 \h </w:instrText>
        </w:r>
        <w:r w:rsidR="008B3FC7" w:rsidRPr="00FB01AA">
          <w:rPr>
            <w:webHidden/>
            <w:sz w:val="18"/>
          </w:rPr>
        </w:r>
        <w:r w:rsidR="008B3FC7" w:rsidRPr="00FB01AA">
          <w:rPr>
            <w:webHidden/>
            <w:sz w:val="18"/>
          </w:rPr>
          <w:fldChar w:fldCharType="separate"/>
        </w:r>
        <w:r w:rsidR="003876D5">
          <w:rPr>
            <w:webHidden/>
            <w:sz w:val="18"/>
          </w:rPr>
          <w:t>9</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6700" w:history="1">
        <w:r w:rsidR="008B3FC7" w:rsidRPr="00FB01AA">
          <w:rPr>
            <w:rStyle w:val="Hyperlink"/>
            <w:sz w:val="18"/>
          </w:rPr>
          <w:t>1.1</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Оценка на LEADER/ВОМР през новия програмен период 2014—2020 г.</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_Toc498506700 \h </w:instrText>
        </w:r>
        <w:r w:rsidR="008B3FC7" w:rsidRPr="00FB01AA">
          <w:rPr>
            <w:webHidden/>
            <w:sz w:val="18"/>
          </w:rPr>
        </w:r>
        <w:r w:rsidR="008B3FC7" w:rsidRPr="00FB01AA">
          <w:rPr>
            <w:webHidden/>
            <w:sz w:val="18"/>
          </w:rPr>
          <w:fldChar w:fldCharType="separate"/>
        </w:r>
        <w:r w:rsidR="003876D5">
          <w:rPr>
            <w:webHidden/>
            <w:sz w:val="18"/>
          </w:rPr>
          <w:t>9</w:t>
        </w:r>
        <w:r w:rsidR="008B3FC7" w:rsidRPr="00FB01AA">
          <w:rPr>
            <w:webHidden/>
            <w:sz w:val="18"/>
          </w:rPr>
          <w:fldChar w:fldCharType="end"/>
        </w:r>
      </w:hyperlink>
    </w:p>
    <w:p w:rsidR="008B3FC7" w:rsidRPr="00FB01AA" w:rsidRDefault="00763A21">
      <w:pPr>
        <w:pStyle w:val="TOC3"/>
        <w:rPr>
          <w:rFonts w:asciiTheme="minorHAnsi" w:eastAsiaTheme="minorEastAsia" w:hAnsiTheme="minorHAnsi" w:cstheme="minorBidi"/>
          <w:noProof/>
          <w:color w:val="auto"/>
          <w:lang w:val="el-GR" w:eastAsia="el-GR" w:bidi="ar-SA"/>
        </w:rPr>
      </w:pPr>
      <w:hyperlink w:anchor="_Toc498506701" w:history="1">
        <w:r w:rsidR="008B3FC7" w:rsidRPr="00FB01AA">
          <w:rPr>
            <w:rStyle w:val="Hyperlink"/>
            <w:noProof/>
            <w:sz w:val="18"/>
          </w:rPr>
          <w:t>1.1.1</w:t>
        </w:r>
        <w:r w:rsidR="008B3FC7" w:rsidRPr="00FB01AA">
          <w:rPr>
            <w:rFonts w:asciiTheme="minorHAnsi" w:eastAsiaTheme="minorEastAsia" w:hAnsiTheme="minorHAnsi" w:cstheme="minorBidi"/>
            <w:noProof/>
            <w:color w:val="auto"/>
            <w:lang w:val="el-GR" w:eastAsia="el-GR" w:bidi="ar-SA"/>
          </w:rPr>
          <w:tab/>
        </w:r>
        <w:r w:rsidR="008B3FC7" w:rsidRPr="00FB01AA">
          <w:rPr>
            <w:rStyle w:val="Hyperlink"/>
            <w:noProof/>
            <w:sz w:val="18"/>
          </w:rPr>
          <w:t>ВОМР: Кое е новото?</w:t>
        </w:r>
        <w:r w:rsidR="008B3FC7" w:rsidRPr="00FB01AA">
          <w:rPr>
            <w:noProof/>
            <w:webHidden/>
            <w:sz w:val="18"/>
          </w:rPr>
          <w:tab/>
        </w:r>
        <w:r w:rsidR="008B3FC7" w:rsidRPr="00FB01AA">
          <w:rPr>
            <w:noProof/>
            <w:webHidden/>
            <w:sz w:val="18"/>
          </w:rPr>
          <w:fldChar w:fldCharType="begin"/>
        </w:r>
        <w:r w:rsidR="008B3FC7" w:rsidRPr="00FB01AA">
          <w:rPr>
            <w:noProof/>
            <w:webHidden/>
            <w:sz w:val="18"/>
          </w:rPr>
          <w:instrText xml:space="preserve"> PAGEREF _Toc498506701 \h </w:instrText>
        </w:r>
        <w:r w:rsidR="008B3FC7" w:rsidRPr="00FB01AA">
          <w:rPr>
            <w:noProof/>
            <w:webHidden/>
            <w:sz w:val="18"/>
          </w:rPr>
        </w:r>
        <w:r w:rsidR="008B3FC7" w:rsidRPr="00FB01AA">
          <w:rPr>
            <w:noProof/>
            <w:webHidden/>
            <w:sz w:val="18"/>
          </w:rPr>
          <w:fldChar w:fldCharType="separate"/>
        </w:r>
        <w:r w:rsidR="003876D5">
          <w:rPr>
            <w:noProof/>
            <w:webHidden/>
            <w:sz w:val="18"/>
          </w:rPr>
          <w:t>9</w:t>
        </w:r>
        <w:r w:rsidR="008B3FC7" w:rsidRPr="00FB01AA">
          <w:rPr>
            <w:noProof/>
            <w:webHidden/>
            <w:sz w:val="18"/>
          </w:rPr>
          <w:fldChar w:fldCharType="end"/>
        </w:r>
      </w:hyperlink>
    </w:p>
    <w:p w:rsidR="008B3FC7" w:rsidRPr="00FB01AA" w:rsidRDefault="00763A21">
      <w:pPr>
        <w:pStyle w:val="TOC3"/>
        <w:rPr>
          <w:rFonts w:asciiTheme="minorHAnsi" w:eastAsiaTheme="minorEastAsia" w:hAnsiTheme="minorHAnsi" w:cstheme="minorBidi"/>
          <w:noProof/>
          <w:color w:val="auto"/>
          <w:lang w:val="el-GR" w:eastAsia="el-GR" w:bidi="ar-SA"/>
        </w:rPr>
      </w:pPr>
      <w:hyperlink w:anchor="_Toc498506702" w:history="1">
        <w:r w:rsidR="008B3FC7" w:rsidRPr="00FB01AA">
          <w:rPr>
            <w:rStyle w:val="Hyperlink"/>
            <w:noProof/>
            <w:sz w:val="18"/>
          </w:rPr>
          <w:t>1.1.2</w:t>
        </w:r>
        <w:r w:rsidR="008B3FC7" w:rsidRPr="00FB01AA">
          <w:rPr>
            <w:rFonts w:asciiTheme="minorHAnsi" w:eastAsiaTheme="minorEastAsia" w:hAnsiTheme="minorHAnsi" w:cstheme="minorBidi"/>
            <w:noProof/>
            <w:color w:val="auto"/>
            <w:lang w:val="el-GR" w:eastAsia="el-GR" w:bidi="ar-SA"/>
          </w:rPr>
          <w:tab/>
        </w:r>
        <w:r w:rsidR="008B3FC7" w:rsidRPr="00FB01AA">
          <w:rPr>
            <w:rStyle w:val="Hyperlink"/>
            <w:noProof/>
            <w:sz w:val="18"/>
          </w:rPr>
          <w:t>Цел на оценката</w:t>
        </w:r>
        <w:r w:rsidR="008B3FC7" w:rsidRPr="00FB01AA">
          <w:rPr>
            <w:noProof/>
            <w:webHidden/>
            <w:sz w:val="18"/>
          </w:rPr>
          <w:tab/>
        </w:r>
        <w:r w:rsidR="008B3FC7" w:rsidRPr="00FB01AA">
          <w:rPr>
            <w:noProof/>
            <w:webHidden/>
            <w:sz w:val="18"/>
          </w:rPr>
          <w:fldChar w:fldCharType="begin"/>
        </w:r>
        <w:r w:rsidR="008B3FC7" w:rsidRPr="00FB01AA">
          <w:rPr>
            <w:noProof/>
            <w:webHidden/>
            <w:sz w:val="18"/>
          </w:rPr>
          <w:instrText xml:space="preserve"> PAGEREF _Toc498506702 \h </w:instrText>
        </w:r>
        <w:r w:rsidR="008B3FC7" w:rsidRPr="00FB01AA">
          <w:rPr>
            <w:noProof/>
            <w:webHidden/>
            <w:sz w:val="18"/>
          </w:rPr>
        </w:r>
        <w:r w:rsidR="008B3FC7" w:rsidRPr="00FB01AA">
          <w:rPr>
            <w:noProof/>
            <w:webHidden/>
            <w:sz w:val="18"/>
          </w:rPr>
          <w:fldChar w:fldCharType="separate"/>
        </w:r>
        <w:r w:rsidR="003876D5">
          <w:rPr>
            <w:noProof/>
            <w:webHidden/>
            <w:sz w:val="18"/>
          </w:rPr>
          <w:t>11</w:t>
        </w:r>
        <w:r w:rsidR="008B3FC7" w:rsidRPr="00FB01AA">
          <w:rPr>
            <w:noProof/>
            <w:webHidden/>
            <w:sz w:val="18"/>
          </w:rPr>
          <w:fldChar w:fldCharType="end"/>
        </w:r>
      </w:hyperlink>
    </w:p>
    <w:p w:rsidR="008B3FC7" w:rsidRPr="00FB01AA" w:rsidRDefault="00763A21">
      <w:pPr>
        <w:pStyle w:val="TOC3"/>
        <w:rPr>
          <w:rFonts w:asciiTheme="minorHAnsi" w:eastAsiaTheme="minorEastAsia" w:hAnsiTheme="minorHAnsi" w:cstheme="minorBidi"/>
          <w:noProof/>
          <w:color w:val="auto"/>
          <w:lang w:val="el-GR" w:eastAsia="el-GR" w:bidi="ar-SA"/>
        </w:rPr>
      </w:pPr>
      <w:hyperlink w:anchor="_Toc498506703" w:history="1">
        <w:r w:rsidR="008B3FC7" w:rsidRPr="00FB01AA">
          <w:rPr>
            <w:rStyle w:val="Hyperlink"/>
            <w:noProof/>
            <w:sz w:val="18"/>
          </w:rPr>
          <w:t>1.1.3</w:t>
        </w:r>
        <w:r w:rsidR="008B3FC7" w:rsidRPr="00FB01AA">
          <w:rPr>
            <w:rFonts w:asciiTheme="minorHAnsi" w:eastAsiaTheme="minorEastAsia" w:hAnsiTheme="minorHAnsi" w:cstheme="minorBidi"/>
            <w:noProof/>
            <w:color w:val="auto"/>
            <w:lang w:val="el-GR" w:eastAsia="el-GR" w:bidi="ar-SA"/>
          </w:rPr>
          <w:tab/>
        </w:r>
        <w:r w:rsidR="008B3FC7" w:rsidRPr="00FB01AA">
          <w:rPr>
            <w:rStyle w:val="Hyperlink"/>
            <w:noProof/>
            <w:sz w:val="18"/>
          </w:rPr>
          <w:t>Правна рамка и указания за оценката</w:t>
        </w:r>
        <w:r w:rsidR="008B3FC7" w:rsidRPr="00FB01AA">
          <w:rPr>
            <w:noProof/>
            <w:webHidden/>
            <w:sz w:val="18"/>
          </w:rPr>
          <w:tab/>
        </w:r>
        <w:r w:rsidR="008B3FC7" w:rsidRPr="00FB01AA">
          <w:rPr>
            <w:noProof/>
            <w:webHidden/>
            <w:sz w:val="18"/>
          </w:rPr>
          <w:fldChar w:fldCharType="begin"/>
        </w:r>
        <w:r w:rsidR="008B3FC7" w:rsidRPr="00FB01AA">
          <w:rPr>
            <w:noProof/>
            <w:webHidden/>
            <w:sz w:val="18"/>
          </w:rPr>
          <w:instrText xml:space="preserve"> PAGEREF _Toc498506703 \h </w:instrText>
        </w:r>
        <w:r w:rsidR="008B3FC7" w:rsidRPr="00FB01AA">
          <w:rPr>
            <w:noProof/>
            <w:webHidden/>
            <w:sz w:val="18"/>
          </w:rPr>
        </w:r>
        <w:r w:rsidR="008B3FC7" w:rsidRPr="00FB01AA">
          <w:rPr>
            <w:noProof/>
            <w:webHidden/>
            <w:sz w:val="18"/>
          </w:rPr>
          <w:fldChar w:fldCharType="separate"/>
        </w:r>
        <w:r w:rsidR="003876D5">
          <w:rPr>
            <w:noProof/>
            <w:webHidden/>
            <w:sz w:val="18"/>
          </w:rPr>
          <w:t>13</w:t>
        </w:r>
        <w:r w:rsidR="008B3FC7" w:rsidRPr="00FB01AA">
          <w:rPr>
            <w:noProof/>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6704" w:history="1">
        <w:r w:rsidR="008B3FC7" w:rsidRPr="00FB01AA">
          <w:rPr>
            <w:rStyle w:val="Hyperlink"/>
            <w:sz w:val="18"/>
          </w:rPr>
          <w:t>1.2</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Изграждане на концепция за оценката на LEADER/ВОМР</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_Toc498506704 \h </w:instrText>
        </w:r>
        <w:r w:rsidR="008B3FC7" w:rsidRPr="00FB01AA">
          <w:rPr>
            <w:webHidden/>
            <w:sz w:val="18"/>
          </w:rPr>
        </w:r>
        <w:r w:rsidR="008B3FC7" w:rsidRPr="00FB01AA">
          <w:rPr>
            <w:webHidden/>
            <w:sz w:val="18"/>
          </w:rPr>
          <w:fldChar w:fldCharType="separate"/>
        </w:r>
        <w:r w:rsidR="003876D5">
          <w:rPr>
            <w:webHidden/>
            <w:sz w:val="18"/>
          </w:rPr>
          <w:t>15</w:t>
        </w:r>
        <w:r w:rsidR="008B3FC7" w:rsidRPr="00FB01AA">
          <w:rPr>
            <w:webHidden/>
            <w:sz w:val="18"/>
          </w:rPr>
          <w:fldChar w:fldCharType="end"/>
        </w:r>
      </w:hyperlink>
    </w:p>
    <w:p w:rsidR="008B3FC7" w:rsidRPr="00FB01AA" w:rsidRDefault="00763A21">
      <w:pPr>
        <w:pStyle w:val="TOC3"/>
        <w:rPr>
          <w:rFonts w:asciiTheme="minorHAnsi" w:eastAsiaTheme="minorEastAsia" w:hAnsiTheme="minorHAnsi" w:cstheme="minorBidi"/>
          <w:noProof/>
          <w:color w:val="auto"/>
          <w:lang w:val="el-GR" w:eastAsia="el-GR" w:bidi="ar-SA"/>
        </w:rPr>
      </w:pPr>
      <w:hyperlink w:anchor="_Toc498506705" w:history="1">
        <w:r w:rsidR="008B3FC7" w:rsidRPr="00FB01AA">
          <w:rPr>
            <w:rStyle w:val="Hyperlink"/>
            <w:noProof/>
            <w:sz w:val="18"/>
          </w:rPr>
          <w:t>1.2.1</w:t>
        </w:r>
        <w:r w:rsidR="008B3FC7" w:rsidRPr="00FB01AA">
          <w:rPr>
            <w:rFonts w:asciiTheme="minorHAnsi" w:eastAsiaTheme="minorEastAsia" w:hAnsiTheme="minorHAnsi" w:cstheme="minorBidi"/>
            <w:noProof/>
            <w:color w:val="auto"/>
            <w:lang w:val="el-GR" w:eastAsia="el-GR" w:bidi="ar-SA"/>
          </w:rPr>
          <w:tab/>
        </w:r>
        <w:r w:rsidR="008B3FC7" w:rsidRPr="00FB01AA">
          <w:rPr>
            <w:rStyle w:val="Hyperlink"/>
            <w:noProof/>
            <w:sz w:val="18"/>
          </w:rPr>
          <w:t>Оценка на LEADER/ВОМР на равнището на ПРСР</w:t>
        </w:r>
        <w:r w:rsidR="008B3FC7" w:rsidRPr="00FB01AA">
          <w:rPr>
            <w:noProof/>
            <w:webHidden/>
            <w:sz w:val="18"/>
          </w:rPr>
          <w:tab/>
        </w:r>
        <w:r w:rsidR="008B3FC7" w:rsidRPr="00FB01AA">
          <w:rPr>
            <w:noProof/>
            <w:webHidden/>
            <w:sz w:val="18"/>
          </w:rPr>
          <w:fldChar w:fldCharType="begin"/>
        </w:r>
        <w:r w:rsidR="008B3FC7" w:rsidRPr="00FB01AA">
          <w:rPr>
            <w:noProof/>
            <w:webHidden/>
            <w:sz w:val="18"/>
          </w:rPr>
          <w:instrText xml:space="preserve"> PAGEREF _Toc498506705 \h </w:instrText>
        </w:r>
        <w:r w:rsidR="008B3FC7" w:rsidRPr="00FB01AA">
          <w:rPr>
            <w:noProof/>
            <w:webHidden/>
            <w:sz w:val="18"/>
          </w:rPr>
        </w:r>
        <w:r w:rsidR="008B3FC7" w:rsidRPr="00FB01AA">
          <w:rPr>
            <w:noProof/>
            <w:webHidden/>
            <w:sz w:val="18"/>
          </w:rPr>
          <w:fldChar w:fldCharType="separate"/>
        </w:r>
        <w:r w:rsidR="003876D5">
          <w:rPr>
            <w:noProof/>
            <w:webHidden/>
            <w:sz w:val="18"/>
          </w:rPr>
          <w:t>16</w:t>
        </w:r>
        <w:r w:rsidR="008B3FC7" w:rsidRPr="00FB01AA">
          <w:rPr>
            <w:noProof/>
            <w:webHidden/>
            <w:sz w:val="18"/>
          </w:rPr>
          <w:fldChar w:fldCharType="end"/>
        </w:r>
      </w:hyperlink>
    </w:p>
    <w:p w:rsidR="008B3FC7" w:rsidRPr="00FB01AA" w:rsidRDefault="00763A21">
      <w:pPr>
        <w:pStyle w:val="TOC3"/>
        <w:rPr>
          <w:rFonts w:asciiTheme="minorHAnsi" w:eastAsiaTheme="minorEastAsia" w:hAnsiTheme="minorHAnsi" w:cstheme="minorBidi"/>
          <w:noProof/>
          <w:color w:val="auto"/>
          <w:lang w:val="el-GR" w:eastAsia="el-GR" w:bidi="ar-SA"/>
        </w:rPr>
      </w:pPr>
      <w:hyperlink w:anchor="_Toc498506706" w:history="1">
        <w:r w:rsidR="008B3FC7" w:rsidRPr="00FB01AA">
          <w:rPr>
            <w:rStyle w:val="Hyperlink"/>
            <w:noProof/>
            <w:sz w:val="18"/>
          </w:rPr>
          <w:t>1.2.2</w:t>
        </w:r>
        <w:r w:rsidR="008B3FC7" w:rsidRPr="00FB01AA">
          <w:rPr>
            <w:rFonts w:asciiTheme="minorHAnsi" w:eastAsiaTheme="minorEastAsia" w:hAnsiTheme="minorHAnsi" w:cstheme="minorBidi"/>
            <w:noProof/>
            <w:color w:val="auto"/>
            <w:lang w:val="el-GR" w:eastAsia="el-GR" w:bidi="ar-SA"/>
          </w:rPr>
          <w:tab/>
        </w:r>
        <w:r w:rsidR="008B3FC7" w:rsidRPr="00FB01AA">
          <w:rPr>
            <w:rStyle w:val="Hyperlink"/>
            <w:noProof/>
            <w:sz w:val="18"/>
          </w:rPr>
          <w:t>Оценка на LEADER/ВОМР на местно равнище</w:t>
        </w:r>
        <w:r w:rsidR="008B3FC7" w:rsidRPr="00FB01AA">
          <w:rPr>
            <w:noProof/>
            <w:webHidden/>
            <w:sz w:val="18"/>
          </w:rPr>
          <w:tab/>
        </w:r>
        <w:r w:rsidR="008B3FC7" w:rsidRPr="00FB01AA">
          <w:rPr>
            <w:noProof/>
            <w:webHidden/>
            <w:sz w:val="18"/>
          </w:rPr>
          <w:fldChar w:fldCharType="begin"/>
        </w:r>
        <w:r w:rsidR="008B3FC7" w:rsidRPr="00FB01AA">
          <w:rPr>
            <w:noProof/>
            <w:webHidden/>
            <w:sz w:val="18"/>
          </w:rPr>
          <w:instrText xml:space="preserve"> PAGEREF _Toc498506706 \h </w:instrText>
        </w:r>
        <w:r w:rsidR="008B3FC7" w:rsidRPr="00FB01AA">
          <w:rPr>
            <w:noProof/>
            <w:webHidden/>
            <w:sz w:val="18"/>
          </w:rPr>
        </w:r>
        <w:r w:rsidR="008B3FC7" w:rsidRPr="00FB01AA">
          <w:rPr>
            <w:noProof/>
            <w:webHidden/>
            <w:sz w:val="18"/>
          </w:rPr>
          <w:fldChar w:fldCharType="separate"/>
        </w:r>
        <w:r w:rsidR="003876D5">
          <w:rPr>
            <w:noProof/>
            <w:webHidden/>
            <w:sz w:val="18"/>
          </w:rPr>
          <w:t>18</w:t>
        </w:r>
        <w:r w:rsidR="008B3FC7" w:rsidRPr="00FB01AA">
          <w:rPr>
            <w:noProof/>
            <w:webHidden/>
            <w:sz w:val="18"/>
          </w:rPr>
          <w:fldChar w:fldCharType="end"/>
        </w:r>
      </w:hyperlink>
    </w:p>
    <w:p w:rsidR="008B3FC7" w:rsidRPr="00FB01AA" w:rsidRDefault="00763A21">
      <w:pPr>
        <w:pStyle w:val="TOC3"/>
        <w:rPr>
          <w:rFonts w:asciiTheme="minorHAnsi" w:eastAsiaTheme="minorEastAsia" w:hAnsiTheme="minorHAnsi" w:cstheme="minorBidi"/>
          <w:noProof/>
          <w:color w:val="auto"/>
          <w:lang w:val="el-GR" w:eastAsia="el-GR" w:bidi="ar-SA"/>
        </w:rPr>
      </w:pPr>
      <w:hyperlink w:anchor="_Toc498506707" w:history="1">
        <w:r w:rsidR="008B3FC7" w:rsidRPr="00FB01AA">
          <w:rPr>
            <w:rStyle w:val="Hyperlink"/>
            <w:noProof/>
            <w:sz w:val="18"/>
          </w:rPr>
          <w:t>1.2.3</w:t>
        </w:r>
        <w:r w:rsidR="008B3FC7" w:rsidRPr="00FB01AA">
          <w:rPr>
            <w:rFonts w:asciiTheme="minorHAnsi" w:eastAsiaTheme="minorEastAsia" w:hAnsiTheme="minorHAnsi" w:cstheme="minorBidi"/>
            <w:noProof/>
            <w:color w:val="auto"/>
            <w:lang w:val="el-GR" w:eastAsia="el-GR" w:bidi="ar-SA"/>
          </w:rPr>
          <w:tab/>
        </w:r>
        <w:r w:rsidR="008B3FC7" w:rsidRPr="00FB01AA">
          <w:rPr>
            <w:rStyle w:val="Hyperlink"/>
            <w:noProof/>
            <w:sz w:val="18"/>
          </w:rPr>
          <w:t>Основни термини: как да ги тълкуваме и как са свързани помежду си</w:t>
        </w:r>
        <w:r w:rsidR="008B3FC7" w:rsidRPr="00FB01AA">
          <w:rPr>
            <w:noProof/>
            <w:webHidden/>
            <w:sz w:val="18"/>
          </w:rPr>
          <w:tab/>
        </w:r>
        <w:r w:rsidR="008B3FC7" w:rsidRPr="00FB01AA">
          <w:rPr>
            <w:noProof/>
            <w:webHidden/>
            <w:sz w:val="18"/>
          </w:rPr>
          <w:fldChar w:fldCharType="begin"/>
        </w:r>
        <w:r w:rsidR="008B3FC7" w:rsidRPr="00FB01AA">
          <w:rPr>
            <w:noProof/>
            <w:webHidden/>
            <w:sz w:val="18"/>
          </w:rPr>
          <w:instrText xml:space="preserve"> PAGEREF _Toc498506707 \h </w:instrText>
        </w:r>
        <w:r w:rsidR="008B3FC7" w:rsidRPr="00FB01AA">
          <w:rPr>
            <w:noProof/>
            <w:webHidden/>
            <w:sz w:val="18"/>
          </w:rPr>
        </w:r>
        <w:r w:rsidR="008B3FC7" w:rsidRPr="00FB01AA">
          <w:rPr>
            <w:noProof/>
            <w:webHidden/>
            <w:sz w:val="18"/>
          </w:rPr>
          <w:fldChar w:fldCharType="separate"/>
        </w:r>
        <w:r w:rsidR="003876D5">
          <w:rPr>
            <w:noProof/>
            <w:webHidden/>
            <w:sz w:val="18"/>
          </w:rPr>
          <w:t>22</w:t>
        </w:r>
        <w:r w:rsidR="008B3FC7" w:rsidRPr="00FB01AA">
          <w:rPr>
            <w:noProof/>
            <w:webHidden/>
            <w:sz w:val="18"/>
          </w:rPr>
          <w:fldChar w:fldCharType="end"/>
        </w:r>
      </w:hyperlink>
    </w:p>
    <w:p w:rsidR="008B3FC7" w:rsidRPr="00FB01AA" w:rsidRDefault="00763A21">
      <w:pPr>
        <w:pStyle w:val="TOC1"/>
        <w:rPr>
          <w:rFonts w:asciiTheme="minorHAnsi" w:eastAsiaTheme="minorEastAsia" w:hAnsiTheme="minorHAnsi" w:cstheme="minorBidi"/>
          <w:b w:val="0"/>
          <w:bCs w:val="0"/>
          <w:color w:val="auto"/>
          <w:szCs w:val="22"/>
          <w:lang w:val="el-GR" w:eastAsia="el-GR" w:bidi="ar-SA"/>
        </w:rPr>
      </w:pPr>
      <w:hyperlink w:anchor="_Toc498506708" w:history="1">
        <w:r w:rsidR="008B3FC7" w:rsidRPr="00FB01AA">
          <w:rPr>
            <w:rStyle w:val="Hyperlink"/>
            <w:sz w:val="18"/>
          </w:rPr>
          <w:t>2</w:t>
        </w:r>
        <w:r w:rsidR="008B3FC7" w:rsidRPr="00FB01AA">
          <w:rPr>
            <w:rFonts w:asciiTheme="minorHAnsi" w:eastAsiaTheme="minorEastAsia" w:hAnsiTheme="minorHAnsi" w:cstheme="minorBidi"/>
            <w:b w:val="0"/>
            <w:bCs w:val="0"/>
            <w:color w:val="auto"/>
            <w:szCs w:val="22"/>
            <w:lang w:val="el-GR" w:eastAsia="el-GR" w:bidi="ar-SA"/>
          </w:rPr>
          <w:tab/>
        </w:r>
        <w:r w:rsidR="008B3FC7" w:rsidRPr="00FB01AA">
          <w:rPr>
            <w:rStyle w:val="Hyperlink"/>
            <w:sz w:val="18"/>
          </w:rPr>
          <w:t>Оценка на LEADER/ВОМР на равнището на ПРСР</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_Toc498506708 \h </w:instrText>
        </w:r>
        <w:r w:rsidR="008B3FC7" w:rsidRPr="00FB01AA">
          <w:rPr>
            <w:webHidden/>
            <w:sz w:val="18"/>
          </w:rPr>
        </w:r>
        <w:r w:rsidR="008B3FC7" w:rsidRPr="00FB01AA">
          <w:rPr>
            <w:webHidden/>
            <w:sz w:val="18"/>
          </w:rPr>
          <w:fldChar w:fldCharType="separate"/>
        </w:r>
        <w:r w:rsidR="003876D5">
          <w:rPr>
            <w:webHidden/>
            <w:sz w:val="18"/>
          </w:rPr>
          <w:t>25</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6709" w:history="1">
        <w:r w:rsidR="008B3FC7" w:rsidRPr="00FB01AA">
          <w:rPr>
            <w:rStyle w:val="Hyperlink"/>
            <w:sz w:val="18"/>
          </w:rPr>
          <w:t>2.1</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Какво и как да се оценява на равнището на ПРСР?</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_Toc498506709 \h </w:instrText>
        </w:r>
        <w:r w:rsidR="008B3FC7" w:rsidRPr="00FB01AA">
          <w:rPr>
            <w:webHidden/>
            <w:sz w:val="18"/>
          </w:rPr>
        </w:r>
        <w:r w:rsidR="008B3FC7" w:rsidRPr="00FB01AA">
          <w:rPr>
            <w:webHidden/>
            <w:sz w:val="18"/>
          </w:rPr>
          <w:fldChar w:fldCharType="separate"/>
        </w:r>
        <w:r w:rsidR="003876D5">
          <w:rPr>
            <w:webHidden/>
            <w:sz w:val="18"/>
          </w:rPr>
          <w:t>25</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6710" w:history="1">
        <w:r w:rsidR="008B3FC7" w:rsidRPr="00FB01AA">
          <w:rPr>
            <w:rStyle w:val="Hyperlink"/>
            <w:sz w:val="18"/>
          </w:rPr>
          <w:t>2.2</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Оценка на приноса на LEADER/ВОМР за свързаните с ОПА цели на ПРСР и за постигането на целите на стратегията на Съюза за интелигентен, устойчив и приобщаващ растеж (задължителна)</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_Toc498506710 \h </w:instrText>
        </w:r>
        <w:r w:rsidR="008B3FC7" w:rsidRPr="00FB01AA">
          <w:rPr>
            <w:webHidden/>
            <w:sz w:val="18"/>
          </w:rPr>
        </w:r>
        <w:r w:rsidR="008B3FC7" w:rsidRPr="00FB01AA">
          <w:rPr>
            <w:webHidden/>
            <w:sz w:val="18"/>
          </w:rPr>
          <w:fldChar w:fldCharType="separate"/>
        </w:r>
        <w:r w:rsidR="003876D5">
          <w:rPr>
            <w:webHidden/>
            <w:sz w:val="18"/>
          </w:rPr>
          <w:t>26</w:t>
        </w:r>
        <w:r w:rsidR="008B3FC7" w:rsidRPr="00FB01AA">
          <w:rPr>
            <w:webHidden/>
            <w:sz w:val="18"/>
          </w:rPr>
          <w:fldChar w:fldCharType="end"/>
        </w:r>
      </w:hyperlink>
    </w:p>
    <w:p w:rsidR="008B3FC7" w:rsidRPr="00FB01AA" w:rsidRDefault="00763A21">
      <w:pPr>
        <w:pStyle w:val="TOC3"/>
        <w:rPr>
          <w:rFonts w:asciiTheme="minorHAnsi" w:eastAsiaTheme="minorEastAsia" w:hAnsiTheme="minorHAnsi" w:cstheme="minorBidi"/>
          <w:noProof/>
          <w:color w:val="auto"/>
          <w:lang w:val="el-GR" w:eastAsia="el-GR" w:bidi="ar-SA"/>
        </w:rPr>
      </w:pPr>
      <w:hyperlink w:anchor="_Toc498506711" w:history="1">
        <w:r w:rsidR="008B3FC7" w:rsidRPr="00FB01AA">
          <w:rPr>
            <w:rStyle w:val="Hyperlink"/>
            <w:noProof/>
            <w:sz w:val="18"/>
          </w:rPr>
          <w:t>2.2.1</w:t>
        </w:r>
        <w:r w:rsidR="008B3FC7" w:rsidRPr="00FB01AA">
          <w:rPr>
            <w:rFonts w:asciiTheme="minorHAnsi" w:eastAsiaTheme="minorEastAsia" w:hAnsiTheme="minorHAnsi" w:cstheme="minorBidi"/>
            <w:noProof/>
            <w:color w:val="auto"/>
            <w:lang w:val="el-GR" w:eastAsia="el-GR" w:bidi="ar-SA"/>
          </w:rPr>
          <w:tab/>
        </w:r>
        <w:r w:rsidR="008B3FC7" w:rsidRPr="00FB01AA">
          <w:rPr>
            <w:rStyle w:val="Hyperlink"/>
            <w:noProof/>
            <w:sz w:val="18"/>
          </w:rPr>
          <w:t>Какво да се оценява?</w:t>
        </w:r>
        <w:r w:rsidR="008B3FC7" w:rsidRPr="00FB01AA">
          <w:rPr>
            <w:noProof/>
            <w:webHidden/>
            <w:sz w:val="18"/>
          </w:rPr>
          <w:tab/>
        </w:r>
        <w:r w:rsidR="008B3FC7" w:rsidRPr="00FB01AA">
          <w:rPr>
            <w:noProof/>
            <w:webHidden/>
            <w:sz w:val="18"/>
          </w:rPr>
          <w:fldChar w:fldCharType="begin"/>
        </w:r>
        <w:r w:rsidR="008B3FC7" w:rsidRPr="00FB01AA">
          <w:rPr>
            <w:noProof/>
            <w:webHidden/>
            <w:sz w:val="18"/>
          </w:rPr>
          <w:instrText xml:space="preserve"> PAGEREF _Toc498506711 \h </w:instrText>
        </w:r>
        <w:r w:rsidR="008B3FC7" w:rsidRPr="00FB01AA">
          <w:rPr>
            <w:noProof/>
            <w:webHidden/>
            <w:sz w:val="18"/>
          </w:rPr>
        </w:r>
        <w:r w:rsidR="008B3FC7" w:rsidRPr="00FB01AA">
          <w:rPr>
            <w:noProof/>
            <w:webHidden/>
            <w:sz w:val="18"/>
          </w:rPr>
          <w:fldChar w:fldCharType="separate"/>
        </w:r>
        <w:r w:rsidR="003876D5">
          <w:rPr>
            <w:noProof/>
            <w:webHidden/>
            <w:sz w:val="18"/>
          </w:rPr>
          <w:t>26</w:t>
        </w:r>
        <w:r w:rsidR="008B3FC7" w:rsidRPr="00FB01AA">
          <w:rPr>
            <w:noProof/>
            <w:webHidden/>
            <w:sz w:val="18"/>
          </w:rPr>
          <w:fldChar w:fldCharType="end"/>
        </w:r>
      </w:hyperlink>
    </w:p>
    <w:p w:rsidR="008B3FC7" w:rsidRPr="00FB01AA" w:rsidRDefault="00763A21">
      <w:pPr>
        <w:pStyle w:val="TOC3"/>
        <w:rPr>
          <w:rFonts w:asciiTheme="minorHAnsi" w:eastAsiaTheme="minorEastAsia" w:hAnsiTheme="minorHAnsi" w:cstheme="minorBidi"/>
          <w:noProof/>
          <w:color w:val="auto"/>
          <w:lang w:val="el-GR" w:eastAsia="el-GR" w:bidi="ar-SA"/>
        </w:rPr>
      </w:pPr>
      <w:hyperlink w:anchor="_Toc498506712" w:history="1">
        <w:r w:rsidR="008B3FC7" w:rsidRPr="00FB01AA">
          <w:rPr>
            <w:rStyle w:val="Hyperlink"/>
            <w:noProof/>
            <w:sz w:val="18"/>
          </w:rPr>
          <w:t>2.2.2</w:t>
        </w:r>
        <w:r w:rsidR="008B3FC7" w:rsidRPr="00FB01AA">
          <w:rPr>
            <w:rFonts w:asciiTheme="minorHAnsi" w:eastAsiaTheme="minorEastAsia" w:hAnsiTheme="minorHAnsi" w:cstheme="minorBidi"/>
            <w:noProof/>
            <w:color w:val="auto"/>
            <w:lang w:val="el-GR" w:eastAsia="el-GR" w:bidi="ar-SA"/>
          </w:rPr>
          <w:tab/>
        </w:r>
        <w:r w:rsidR="008B3FC7" w:rsidRPr="00FB01AA">
          <w:rPr>
            <w:rStyle w:val="Hyperlink"/>
            <w:noProof/>
            <w:sz w:val="18"/>
          </w:rPr>
          <w:t>Стъпка по стъпка: как да се оцени приносът на LEADER/ВОМР за целите на политиката?</w:t>
        </w:r>
        <w:r w:rsidR="008B3FC7" w:rsidRPr="00FB01AA">
          <w:rPr>
            <w:noProof/>
            <w:webHidden/>
            <w:sz w:val="18"/>
          </w:rPr>
          <w:tab/>
        </w:r>
        <w:r w:rsidR="008B3FC7" w:rsidRPr="00FB01AA">
          <w:rPr>
            <w:noProof/>
            <w:webHidden/>
            <w:sz w:val="18"/>
          </w:rPr>
          <w:fldChar w:fldCharType="begin"/>
        </w:r>
        <w:r w:rsidR="008B3FC7" w:rsidRPr="00FB01AA">
          <w:rPr>
            <w:noProof/>
            <w:webHidden/>
            <w:sz w:val="18"/>
          </w:rPr>
          <w:instrText xml:space="preserve"> PAGEREF _Toc498506712 \h </w:instrText>
        </w:r>
        <w:r w:rsidR="008B3FC7" w:rsidRPr="00FB01AA">
          <w:rPr>
            <w:noProof/>
            <w:webHidden/>
            <w:sz w:val="18"/>
          </w:rPr>
        </w:r>
        <w:r w:rsidR="008B3FC7" w:rsidRPr="00FB01AA">
          <w:rPr>
            <w:noProof/>
            <w:webHidden/>
            <w:sz w:val="18"/>
          </w:rPr>
          <w:fldChar w:fldCharType="separate"/>
        </w:r>
        <w:r w:rsidR="003876D5">
          <w:rPr>
            <w:noProof/>
            <w:webHidden/>
            <w:sz w:val="18"/>
          </w:rPr>
          <w:t>31</w:t>
        </w:r>
        <w:r w:rsidR="008B3FC7" w:rsidRPr="00FB01AA">
          <w:rPr>
            <w:noProof/>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6713" w:history="1">
        <w:r w:rsidR="008B3FC7" w:rsidRPr="00FB01AA">
          <w:rPr>
            <w:rStyle w:val="Hyperlink"/>
            <w:sz w:val="18"/>
          </w:rPr>
          <w:t>2.3</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Оценка на механизма за изпълнение на LEADER/ВОМР (препоръчително)</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_Toc498506713 \h </w:instrText>
        </w:r>
        <w:r w:rsidR="008B3FC7" w:rsidRPr="00FB01AA">
          <w:rPr>
            <w:webHidden/>
            <w:sz w:val="18"/>
          </w:rPr>
        </w:r>
        <w:r w:rsidR="008B3FC7" w:rsidRPr="00FB01AA">
          <w:rPr>
            <w:webHidden/>
            <w:sz w:val="18"/>
          </w:rPr>
          <w:fldChar w:fldCharType="separate"/>
        </w:r>
        <w:r w:rsidR="003876D5">
          <w:rPr>
            <w:webHidden/>
            <w:sz w:val="18"/>
          </w:rPr>
          <w:t>41</w:t>
        </w:r>
        <w:r w:rsidR="008B3FC7" w:rsidRPr="00FB01AA">
          <w:rPr>
            <w:webHidden/>
            <w:sz w:val="18"/>
          </w:rPr>
          <w:fldChar w:fldCharType="end"/>
        </w:r>
      </w:hyperlink>
    </w:p>
    <w:p w:rsidR="008B3FC7" w:rsidRPr="00FB01AA" w:rsidRDefault="00763A21">
      <w:pPr>
        <w:pStyle w:val="TOC3"/>
        <w:rPr>
          <w:rFonts w:asciiTheme="minorHAnsi" w:eastAsiaTheme="minorEastAsia" w:hAnsiTheme="minorHAnsi" w:cstheme="minorBidi"/>
          <w:noProof/>
          <w:color w:val="auto"/>
          <w:lang w:val="el-GR" w:eastAsia="el-GR" w:bidi="ar-SA"/>
        </w:rPr>
      </w:pPr>
      <w:hyperlink w:anchor="_Toc498506714" w:history="1">
        <w:r w:rsidR="008B3FC7" w:rsidRPr="00FB01AA">
          <w:rPr>
            <w:rStyle w:val="Hyperlink"/>
            <w:noProof/>
            <w:sz w:val="18"/>
          </w:rPr>
          <w:t>2.3.1</w:t>
        </w:r>
        <w:r w:rsidR="008B3FC7" w:rsidRPr="00FB01AA">
          <w:rPr>
            <w:rFonts w:asciiTheme="minorHAnsi" w:eastAsiaTheme="minorEastAsia" w:hAnsiTheme="minorHAnsi" w:cstheme="minorBidi"/>
            <w:noProof/>
            <w:color w:val="auto"/>
            <w:lang w:val="el-GR" w:eastAsia="el-GR" w:bidi="ar-SA"/>
          </w:rPr>
          <w:tab/>
        </w:r>
        <w:r w:rsidR="008B3FC7" w:rsidRPr="00FB01AA">
          <w:rPr>
            <w:rStyle w:val="Hyperlink"/>
            <w:noProof/>
            <w:sz w:val="18"/>
          </w:rPr>
          <w:t>Какво да се оценява?</w:t>
        </w:r>
        <w:r w:rsidR="008B3FC7" w:rsidRPr="00FB01AA">
          <w:rPr>
            <w:noProof/>
            <w:webHidden/>
            <w:sz w:val="18"/>
          </w:rPr>
          <w:tab/>
        </w:r>
        <w:r w:rsidR="008B3FC7" w:rsidRPr="00FB01AA">
          <w:rPr>
            <w:noProof/>
            <w:webHidden/>
            <w:sz w:val="18"/>
          </w:rPr>
          <w:fldChar w:fldCharType="begin"/>
        </w:r>
        <w:r w:rsidR="008B3FC7" w:rsidRPr="00FB01AA">
          <w:rPr>
            <w:noProof/>
            <w:webHidden/>
            <w:sz w:val="18"/>
          </w:rPr>
          <w:instrText xml:space="preserve"> PAGEREF _Toc498506714 \h </w:instrText>
        </w:r>
        <w:r w:rsidR="008B3FC7" w:rsidRPr="00FB01AA">
          <w:rPr>
            <w:noProof/>
            <w:webHidden/>
            <w:sz w:val="18"/>
          </w:rPr>
        </w:r>
        <w:r w:rsidR="008B3FC7" w:rsidRPr="00FB01AA">
          <w:rPr>
            <w:noProof/>
            <w:webHidden/>
            <w:sz w:val="18"/>
          </w:rPr>
          <w:fldChar w:fldCharType="separate"/>
        </w:r>
        <w:r w:rsidR="003876D5">
          <w:rPr>
            <w:noProof/>
            <w:webHidden/>
            <w:sz w:val="18"/>
          </w:rPr>
          <w:t>41</w:t>
        </w:r>
        <w:r w:rsidR="008B3FC7" w:rsidRPr="00FB01AA">
          <w:rPr>
            <w:noProof/>
            <w:webHidden/>
            <w:sz w:val="18"/>
          </w:rPr>
          <w:fldChar w:fldCharType="end"/>
        </w:r>
      </w:hyperlink>
    </w:p>
    <w:p w:rsidR="008B3FC7" w:rsidRPr="00FB01AA" w:rsidRDefault="00763A21">
      <w:pPr>
        <w:pStyle w:val="TOC3"/>
        <w:rPr>
          <w:rFonts w:asciiTheme="minorHAnsi" w:eastAsiaTheme="minorEastAsia" w:hAnsiTheme="minorHAnsi" w:cstheme="minorBidi"/>
          <w:noProof/>
          <w:color w:val="auto"/>
          <w:lang w:val="el-GR" w:eastAsia="el-GR" w:bidi="ar-SA"/>
        </w:rPr>
      </w:pPr>
      <w:hyperlink w:anchor="_Toc498506715" w:history="1">
        <w:r w:rsidR="008B3FC7" w:rsidRPr="00FB01AA">
          <w:rPr>
            <w:rStyle w:val="Hyperlink"/>
            <w:noProof/>
            <w:sz w:val="18"/>
          </w:rPr>
          <w:t>2.3.2</w:t>
        </w:r>
        <w:r w:rsidR="008B3FC7" w:rsidRPr="00FB01AA">
          <w:rPr>
            <w:rFonts w:asciiTheme="minorHAnsi" w:eastAsiaTheme="minorEastAsia" w:hAnsiTheme="minorHAnsi" w:cstheme="minorBidi"/>
            <w:noProof/>
            <w:color w:val="auto"/>
            <w:lang w:val="el-GR" w:eastAsia="el-GR" w:bidi="ar-SA"/>
          </w:rPr>
          <w:tab/>
        </w:r>
        <w:r w:rsidR="008B3FC7" w:rsidRPr="00FB01AA">
          <w:rPr>
            <w:rStyle w:val="Hyperlink"/>
            <w:noProof/>
            <w:sz w:val="18"/>
          </w:rPr>
          <w:t>Стъпка по стъпка: как да се оцени механизмът за изпълнение на LEADER/ВОМР?</w:t>
        </w:r>
        <w:r w:rsidR="008B3FC7" w:rsidRPr="00FB01AA">
          <w:rPr>
            <w:noProof/>
            <w:webHidden/>
            <w:sz w:val="18"/>
          </w:rPr>
          <w:tab/>
        </w:r>
        <w:r w:rsidR="008B3FC7" w:rsidRPr="00FB01AA">
          <w:rPr>
            <w:noProof/>
            <w:webHidden/>
            <w:sz w:val="18"/>
          </w:rPr>
          <w:fldChar w:fldCharType="begin"/>
        </w:r>
        <w:r w:rsidR="008B3FC7" w:rsidRPr="00FB01AA">
          <w:rPr>
            <w:noProof/>
            <w:webHidden/>
            <w:sz w:val="18"/>
          </w:rPr>
          <w:instrText xml:space="preserve"> PAGEREF _Toc498506715 \h </w:instrText>
        </w:r>
        <w:r w:rsidR="008B3FC7" w:rsidRPr="00FB01AA">
          <w:rPr>
            <w:noProof/>
            <w:webHidden/>
            <w:sz w:val="18"/>
          </w:rPr>
        </w:r>
        <w:r w:rsidR="008B3FC7" w:rsidRPr="00FB01AA">
          <w:rPr>
            <w:noProof/>
            <w:webHidden/>
            <w:sz w:val="18"/>
          </w:rPr>
          <w:fldChar w:fldCharType="separate"/>
        </w:r>
        <w:r w:rsidR="003876D5">
          <w:rPr>
            <w:noProof/>
            <w:webHidden/>
            <w:sz w:val="18"/>
          </w:rPr>
          <w:t>42</w:t>
        </w:r>
        <w:r w:rsidR="008B3FC7" w:rsidRPr="00FB01AA">
          <w:rPr>
            <w:noProof/>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6716" w:history="1">
        <w:r w:rsidR="008B3FC7" w:rsidRPr="00FB01AA">
          <w:rPr>
            <w:rStyle w:val="Hyperlink"/>
            <w:sz w:val="18"/>
          </w:rPr>
          <w:t>2.4</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Оценка на добавената стойност на LEADER/ВОМР (препоръчително)</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_Toc498506716 \h </w:instrText>
        </w:r>
        <w:r w:rsidR="008B3FC7" w:rsidRPr="00FB01AA">
          <w:rPr>
            <w:webHidden/>
            <w:sz w:val="18"/>
          </w:rPr>
        </w:r>
        <w:r w:rsidR="008B3FC7" w:rsidRPr="00FB01AA">
          <w:rPr>
            <w:webHidden/>
            <w:sz w:val="18"/>
          </w:rPr>
          <w:fldChar w:fldCharType="separate"/>
        </w:r>
        <w:r w:rsidR="003876D5">
          <w:rPr>
            <w:webHidden/>
            <w:sz w:val="18"/>
          </w:rPr>
          <w:t>46</w:t>
        </w:r>
        <w:r w:rsidR="008B3FC7" w:rsidRPr="00FB01AA">
          <w:rPr>
            <w:webHidden/>
            <w:sz w:val="18"/>
          </w:rPr>
          <w:fldChar w:fldCharType="end"/>
        </w:r>
      </w:hyperlink>
    </w:p>
    <w:p w:rsidR="008B3FC7" w:rsidRPr="00FB01AA" w:rsidRDefault="00763A21">
      <w:pPr>
        <w:pStyle w:val="TOC3"/>
        <w:rPr>
          <w:rFonts w:asciiTheme="minorHAnsi" w:eastAsiaTheme="minorEastAsia" w:hAnsiTheme="minorHAnsi" w:cstheme="minorBidi"/>
          <w:noProof/>
          <w:color w:val="auto"/>
          <w:lang w:val="el-GR" w:eastAsia="el-GR" w:bidi="ar-SA"/>
        </w:rPr>
      </w:pPr>
      <w:hyperlink w:anchor="_Toc498506717" w:history="1">
        <w:r w:rsidR="008B3FC7" w:rsidRPr="00FB01AA">
          <w:rPr>
            <w:rStyle w:val="Hyperlink"/>
            <w:noProof/>
            <w:sz w:val="18"/>
          </w:rPr>
          <w:t>2.4.1</w:t>
        </w:r>
        <w:r w:rsidR="008B3FC7" w:rsidRPr="00FB01AA">
          <w:rPr>
            <w:rFonts w:asciiTheme="minorHAnsi" w:eastAsiaTheme="minorEastAsia" w:hAnsiTheme="minorHAnsi" w:cstheme="minorBidi"/>
            <w:noProof/>
            <w:color w:val="auto"/>
            <w:lang w:val="el-GR" w:eastAsia="el-GR" w:bidi="ar-SA"/>
          </w:rPr>
          <w:tab/>
        </w:r>
        <w:r w:rsidR="008B3FC7" w:rsidRPr="00FB01AA">
          <w:rPr>
            <w:rStyle w:val="Hyperlink"/>
            <w:noProof/>
            <w:sz w:val="18"/>
          </w:rPr>
          <w:t>Какво да се оценява?</w:t>
        </w:r>
        <w:r w:rsidR="008B3FC7" w:rsidRPr="00FB01AA">
          <w:rPr>
            <w:noProof/>
            <w:webHidden/>
            <w:sz w:val="18"/>
          </w:rPr>
          <w:tab/>
        </w:r>
        <w:r w:rsidR="008B3FC7" w:rsidRPr="00FB01AA">
          <w:rPr>
            <w:noProof/>
            <w:webHidden/>
            <w:sz w:val="18"/>
          </w:rPr>
          <w:fldChar w:fldCharType="begin"/>
        </w:r>
        <w:r w:rsidR="008B3FC7" w:rsidRPr="00FB01AA">
          <w:rPr>
            <w:noProof/>
            <w:webHidden/>
            <w:sz w:val="18"/>
          </w:rPr>
          <w:instrText xml:space="preserve"> PAGEREF _Toc498506717 \h </w:instrText>
        </w:r>
        <w:r w:rsidR="008B3FC7" w:rsidRPr="00FB01AA">
          <w:rPr>
            <w:noProof/>
            <w:webHidden/>
            <w:sz w:val="18"/>
          </w:rPr>
        </w:r>
        <w:r w:rsidR="008B3FC7" w:rsidRPr="00FB01AA">
          <w:rPr>
            <w:noProof/>
            <w:webHidden/>
            <w:sz w:val="18"/>
          </w:rPr>
          <w:fldChar w:fldCharType="separate"/>
        </w:r>
        <w:r w:rsidR="003876D5">
          <w:rPr>
            <w:noProof/>
            <w:webHidden/>
            <w:sz w:val="18"/>
          </w:rPr>
          <w:t>46</w:t>
        </w:r>
        <w:r w:rsidR="008B3FC7" w:rsidRPr="00FB01AA">
          <w:rPr>
            <w:noProof/>
            <w:webHidden/>
            <w:sz w:val="18"/>
          </w:rPr>
          <w:fldChar w:fldCharType="end"/>
        </w:r>
      </w:hyperlink>
    </w:p>
    <w:p w:rsidR="008B3FC7" w:rsidRPr="00FB01AA" w:rsidRDefault="00763A21">
      <w:pPr>
        <w:pStyle w:val="TOC3"/>
        <w:rPr>
          <w:rFonts w:asciiTheme="minorHAnsi" w:eastAsiaTheme="minorEastAsia" w:hAnsiTheme="minorHAnsi" w:cstheme="minorBidi"/>
          <w:noProof/>
          <w:color w:val="auto"/>
          <w:lang w:val="el-GR" w:eastAsia="el-GR" w:bidi="ar-SA"/>
        </w:rPr>
      </w:pPr>
      <w:hyperlink w:anchor="_Toc498506718" w:history="1">
        <w:r w:rsidR="008B3FC7" w:rsidRPr="00FB01AA">
          <w:rPr>
            <w:rStyle w:val="Hyperlink"/>
            <w:noProof/>
            <w:sz w:val="18"/>
          </w:rPr>
          <w:t>2.4.2</w:t>
        </w:r>
        <w:r w:rsidR="008B3FC7" w:rsidRPr="00FB01AA">
          <w:rPr>
            <w:rFonts w:asciiTheme="minorHAnsi" w:eastAsiaTheme="minorEastAsia" w:hAnsiTheme="minorHAnsi" w:cstheme="minorBidi"/>
            <w:noProof/>
            <w:color w:val="auto"/>
            <w:lang w:val="el-GR" w:eastAsia="el-GR" w:bidi="ar-SA"/>
          </w:rPr>
          <w:tab/>
        </w:r>
        <w:r w:rsidR="008B3FC7" w:rsidRPr="00FB01AA">
          <w:rPr>
            <w:rStyle w:val="Hyperlink"/>
            <w:noProof/>
            <w:sz w:val="18"/>
          </w:rPr>
          <w:t>Стъпка по стъпка: как да се измери добавената стойност на LEADER/ВОМР?</w:t>
        </w:r>
        <w:r w:rsidR="008B3FC7" w:rsidRPr="00FB01AA">
          <w:rPr>
            <w:noProof/>
            <w:webHidden/>
            <w:sz w:val="18"/>
          </w:rPr>
          <w:tab/>
        </w:r>
        <w:r w:rsidR="008B3FC7" w:rsidRPr="00FB01AA">
          <w:rPr>
            <w:noProof/>
            <w:webHidden/>
            <w:sz w:val="18"/>
          </w:rPr>
          <w:fldChar w:fldCharType="begin"/>
        </w:r>
        <w:r w:rsidR="008B3FC7" w:rsidRPr="00FB01AA">
          <w:rPr>
            <w:noProof/>
            <w:webHidden/>
            <w:sz w:val="18"/>
          </w:rPr>
          <w:instrText xml:space="preserve"> PAGEREF _Toc498506718 \h </w:instrText>
        </w:r>
        <w:r w:rsidR="008B3FC7" w:rsidRPr="00FB01AA">
          <w:rPr>
            <w:noProof/>
            <w:webHidden/>
            <w:sz w:val="18"/>
          </w:rPr>
        </w:r>
        <w:r w:rsidR="008B3FC7" w:rsidRPr="00FB01AA">
          <w:rPr>
            <w:noProof/>
            <w:webHidden/>
            <w:sz w:val="18"/>
          </w:rPr>
          <w:fldChar w:fldCharType="separate"/>
        </w:r>
        <w:r w:rsidR="003876D5">
          <w:rPr>
            <w:noProof/>
            <w:webHidden/>
            <w:sz w:val="18"/>
          </w:rPr>
          <w:t>48</w:t>
        </w:r>
        <w:r w:rsidR="008B3FC7" w:rsidRPr="00FB01AA">
          <w:rPr>
            <w:noProof/>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6719" w:history="1">
        <w:r w:rsidR="008B3FC7" w:rsidRPr="00FB01AA">
          <w:rPr>
            <w:rStyle w:val="Hyperlink"/>
            <w:sz w:val="18"/>
          </w:rPr>
          <w:t>2.5</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Докладване на оценката на LEADER/ВОМР на равнището на ПРСР</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_Toc498506719 \h </w:instrText>
        </w:r>
        <w:r w:rsidR="008B3FC7" w:rsidRPr="00FB01AA">
          <w:rPr>
            <w:webHidden/>
            <w:sz w:val="18"/>
          </w:rPr>
        </w:r>
        <w:r w:rsidR="008B3FC7" w:rsidRPr="00FB01AA">
          <w:rPr>
            <w:webHidden/>
            <w:sz w:val="18"/>
          </w:rPr>
          <w:fldChar w:fldCharType="separate"/>
        </w:r>
        <w:r w:rsidR="003876D5">
          <w:rPr>
            <w:webHidden/>
            <w:sz w:val="18"/>
          </w:rPr>
          <w:t>50</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6720" w:history="1">
        <w:r w:rsidR="008B3FC7" w:rsidRPr="00FB01AA">
          <w:rPr>
            <w:rStyle w:val="Hyperlink"/>
            <w:sz w:val="18"/>
          </w:rPr>
          <w:t>2.6</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Разпространение на оценките на LEADER/ВОМР и последващи действия на равнището на ПРСР</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_Toc498506720 \h </w:instrText>
        </w:r>
        <w:r w:rsidR="008B3FC7" w:rsidRPr="00FB01AA">
          <w:rPr>
            <w:webHidden/>
            <w:sz w:val="18"/>
          </w:rPr>
        </w:r>
        <w:r w:rsidR="008B3FC7" w:rsidRPr="00FB01AA">
          <w:rPr>
            <w:webHidden/>
            <w:sz w:val="18"/>
          </w:rPr>
          <w:fldChar w:fldCharType="separate"/>
        </w:r>
        <w:r w:rsidR="003876D5">
          <w:rPr>
            <w:webHidden/>
            <w:sz w:val="18"/>
          </w:rPr>
          <w:t>52</w:t>
        </w:r>
        <w:r w:rsidR="008B3FC7" w:rsidRPr="00FB01AA">
          <w:rPr>
            <w:webHidden/>
            <w:sz w:val="18"/>
          </w:rPr>
          <w:fldChar w:fldCharType="end"/>
        </w:r>
      </w:hyperlink>
    </w:p>
    <w:p w:rsidR="008B3FC7" w:rsidRPr="00FB01AA" w:rsidRDefault="00763A21">
      <w:pPr>
        <w:pStyle w:val="TOC1"/>
        <w:rPr>
          <w:rFonts w:asciiTheme="minorHAnsi" w:eastAsiaTheme="minorEastAsia" w:hAnsiTheme="minorHAnsi" w:cstheme="minorBidi"/>
          <w:b w:val="0"/>
          <w:bCs w:val="0"/>
          <w:color w:val="auto"/>
          <w:szCs w:val="22"/>
          <w:lang w:val="el-GR" w:eastAsia="el-GR" w:bidi="ar-SA"/>
        </w:rPr>
      </w:pPr>
      <w:hyperlink w:anchor="_Toc498506721" w:history="1">
        <w:r w:rsidR="008B3FC7" w:rsidRPr="00FB01AA">
          <w:rPr>
            <w:rStyle w:val="Hyperlink"/>
            <w:sz w:val="18"/>
          </w:rPr>
          <w:t>3</w:t>
        </w:r>
        <w:r w:rsidR="008B3FC7" w:rsidRPr="00FB01AA">
          <w:rPr>
            <w:rFonts w:asciiTheme="minorHAnsi" w:eastAsiaTheme="minorEastAsia" w:hAnsiTheme="minorHAnsi" w:cstheme="minorBidi"/>
            <w:b w:val="0"/>
            <w:bCs w:val="0"/>
            <w:color w:val="auto"/>
            <w:szCs w:val="22"/>
            <w:lang w:val="el-GR" w:eastAsia="el-GR" w:bidi="ar-SA"/>
          </w:rPr>
          <w:tab/>
        </w:r>
        <w:r w:rsidR="008B3FC7" w:rsidRPr="00FB01AA">
          <w:rPr>
            <w:rStyle w:val="Hyperlink"/>
            <w:sz w:val="18"/>
          </w:rPr>
          <w:t>Оценка на LEADER/ВОМР на равнището на МГД</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_Toc498506721 \h </w:instrText>
        </w:r>
        <w:r w:rsidR="008B3FC7" w:rsidRPr="00FB01AA">
          <w:rPr>
            <w:webHidden/>
            <w:sz w:val="18"/>
          </w:rPr>
        </w:r>
        <w:r w:rsidR="008B3FC7" w:rsidRPr="00FB01AA">
          <w:rPr>
            <w:webHidden/>
            <w:sz w:val="18"/>
          </w:rPr>
          <w:fldChar w:fldCharType="separate"/>
        </w:r>
        <w:r w:rsidR="003876D5">
          <w:rPr>
            <w:webHidden/>
            <w:sz w:val="18"/>
          </w:rPr>
          <w:t>54</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6722" w:history="1">
        <w:r w:rsidR="008B3FC7" w:rsidRPr="00FB01AA">
          <w:rPr>
            <w:rStyle w:val="Hyperlink"/>
            <w:sz w:val="18"/>
          </w:rPr>
          <w:t>3.1</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Какво и как да се оценява на местно равнище?</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_Toc498506722 \h </w:instrText>
        </w:r>
        <w:r w:rsidR="008B3FC7" w:rsidRPr="00FB01AA">
          <w:rPr>
            <w:webHidden/>
            <w:sz w:val="18"/>
          </w:rPr>
        </w:r>
        <w:r w:rsidR="008B3FC7" w:rsidRPr="00FB01AA">
          <w:rPr>
            <w:webHidden/>
            <w:sz w:val="18"/>
          </w:rPr>
          <w:fldChar w:fldCharType="separate"/>
        </w:r>
        <w:r w:rsidR="003876D5">
          <w:rPr>
            <w:webHidden/>
            <w:sz w:val="18"/>
          </w:rPr>
          <w:t>54</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6723" w:history="1">
        <w:r w:rsidR="008B3FC7" w:rsidRPr="00FB01AA">
          <w:rPr>
            <w:rStyle w:val="Hyperlink"/>
            <w:sz w:val="18"/>
          </w:rPr>
          <w:t>3.2</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СТЪПКА 1: Планиране на дейностите за оценка на равнището на МГД</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_Toc498506723 \h </w:instrText>
        </w:r>
        <w:r w:rsidR="008B3FC7" w:rsidRPr="00FB01AA">
          <w:rPr>
            <w:webHidden/>
            <w:sz w:val="18"/>
          </w:rPr>
        </w:r>
        <w:r w:rsidR="008B3FC7" w:rsidRPr="00FB01AA">
          <w:rPr>
            <w:webHidden/>
            <w:sz w:val="18"/>
          </w:rPr>
          <w:fldChar w:fldCharType="separate"/>
        </w:r>
        <w:r w:rsidR="003876D5">
          <w:rPr>
            <w:webHidden/>
            <w:sz w:val="18"/>
          </w:rPr>
          <w:t>61</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6724" w:history="1">
        <w:r w:rsidR="008B3FC7" w:rsidRPr="00FB01AA">
          <w:rPr>
            <w:rStyle w:val="Hyperlink"/>
            <w:sz w:val="18"/>
          </w:rPr>
          <w:t>3.3</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СТЪПКА 2: Планиране на дейностите за оценка на равнището на МГД</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_Toc498506724 \h </w:instrText>
        </w:r>
        <w:r w:rsidR="008B3FC7" w:rsidRPr="00FB01AA">
          <w:rPr>
            <w:webHidden/>
            <w:sz w:val="18"/>
          </w:rPr>
        </w:r>
        <w:r w:rsidR="008B3FC7" w:rsidRPr="00FB01AA">
          <w:rPr>
            <w:webHidden/>
            <w:sz w:val="18"/>
          </w:rPr>
          <w:fldChar w:fldCharType="separate"/>
        </w:r>
        <w:r w:rsidR="003876D5">
          <w:rPr>
            <w:webHidden/>
            <w:sz w:val="18"/>
          </w:rPr>
          <w:t>65</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6725" w:history="1">
        <w:r w:rsidR="008B3FC7" w:rsidRPr="00FB01AA">
          <w:rPr>
            <w:rStyle w:val="Hyperlink"/>
            <w:sz w:val="18"/>
          </w:rPr>
          <w:t>3.4</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СТЪПКИ 3 и 4: Структуриране и извършване на оценката на равнището на МГД</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_Toc498506725 \h </w:instrText>
        </w:r>
        <w:r w:rsidR="008B3FC7" w:rsidRPr="00FB01AA">
          <w:rPr>
            <w:webHidden/>
            <w:sz w:val="18"/>
          </w:rPr>
        </w:r>
        <w:r w:rsidR="008B3FC7" w:rsidRPr="00FB01AA">
          <w:rPr>
            <w:webHidden/>
            <w:sz w:val="18"/>
          </w:rPr>
          <w:fldChar w:fldCharType="separate"/>
        </w:r>
        <w:r w:rsidR="003876D5">
          <w:rPr>
            <w:webHidden/>
            <w:sz w:val="18"/>
          </w:rPr>
          <w:t>75</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6726" w:history="1">
        <w:r w:rsidR="008B3FC7" w:rsidRPr="00FB01AA">
          <w:rPr>
            <w:rStyle w:val="Hyperlink"/>
            <w:sz w:val="18"/>
          </w:rPr>
          <w:t>3.5</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СТЪПКА 5: Докладване, разпространение на оценката и последващи действия на равнището на МГД</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_Toc498506726 \h </w:instrText>
        </w:r>
        <w:r w:rsidR="008B3FC7" w:rsidRPr="00FB01AA">
          <w:rPr>
            <w:webHidden/>
            <w:sz w:val="18"/>
          </w:rPr>
        </w:r>
        <w:r w:rsidR="008B3FC7" w:rsidRPr="00FB01AA">
          <w:rPr>
            <w:webHidden/>
            <w:sz w:val="18"/>
          </w:rPr>
          <w:fldChar w:fldCharType="separate"/>
        </w:r>
        <w:r w:rsidR="003876D5">
          <w:rPr>
            <w:webHidden/>
            <w:sz w:val="18"/>
          </w:rPr>
          <w:t>78</w:t>
        </w:r>
        <w:r w:rsidR="008B3FC7" w:rsidRPr="00FB01AA">
          <w:rPr>
            <w:webHidden/>
            <w:sz w:val="18"/>
          </w:rPr>
          <w:fldChar w:fldCharType="end"/>
        </w:r>
      </w:hyperlink>
    </w:p>
    <w:p w:rsidR="008B3FC7" w:rsidRPr="00FB01AA" w:rsidRDefault="00763A21">
      <w:pPr>
        <w:pStyle w:val="TOC1"/>
        <w:rPr>
          <w:rFonts w:asciiTheme="minorHAnsi" w:eastAsiaTheme="minorEastAsia" w:hAnsiTheme="minorHAnsi" w:cstheme="minorBidi"/>
          <w:b w:val="0"/>
          <w:bCs w:val="0"/>
          <w:color w:val="auto"/>
          <w:szCs w:val="22"/>
          <w:lang w:val="el-GR" w:eastAsia="el-GR" w:bidi="ar-SA"/>
        </w:rPr>
      </w:pPr>
      <w:hyperlink w:anchor="_Toc498506727" w:history="1">
        <w:r w:rsidR="008B3FC7" w:rsidRPr="00FB01AA">
          <w:rPr>
            <w:rStyle w:val="Hyperlink"/>
            <w:sz w:val="18"/>
          </w:rPr>
          <w:t>4</w:t>
        </w:r>
        <w:r w:rsidR="008B3FC7" w:rsidRPr="00FB01AA">
          <w:rPr>
            <w:rFonts w:asciiTheme="minorHAnsi" w:eastAsiaTheme="minorEastAsia" w:hAnsiTheme="minorHAnsi" w:cstheme="minorBidi"/>
            <w:b w:val="0"/>
            <w:bCs w:val="0"/>
            <w:color w:val="auto"/>
            <w:szCs w:val="22"/>
            <w:lang w:val="el-GR" w:eastAsia="el-GR" w:bidi="ar-SA"/>
          </w:rPr>
          <w:tab/>
        </w:r>
        <w:r w:rsidR="008B3FC7" w:rsidRPr="00FB01AA">
          <w:rPr>
            <w:rStyle w:val="Hyperlink"/>
            <w:sz w:val="18"/>
          </w:rPr>
          <w:t>Приложение</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_Toc498506727 \h </w:instrText>
        </w:r>
        <w:r w:rsidR="008B3FC7" w:rsidRPr="00FB01AA">
          <w:rPr>
            <w:webHidden/>
            <w:sz w:val="18"/>
          </w:rPr>
        </w:r>
        <w:r w:rsidR="008B3FC7" w:rsidRPr="00FB01AA">
          <w:rPr>
            <w:webHidden/>
            <w:sz w:val="18"/>
          </w:rPr>
          <w:fldChar w:fldCharType="separate"/>
        </w:r>
        <w:r w:rsidR="003876D5">
          <w:rPr>
            <w:webHidden/>
            <w:sz w:val="18"/>
          </w:rPr>
          <w:t>82</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6728" w:history="1">
        <w:r w:rsidR="008B3FC7" w:rsidRPr="00FB01AA">
          <w:rPr>
            <w:rStyle w:val="Hyperlink"/>
            <w:sz w:val="18"/>
          </w:rPr>
          <w:t>4.1</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Речник</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_Toc498506728 \h </w:instrText>
        </w:r>
        <w:r w:rsidR="008B3FC7" w:rsidRPr="00FB01AA">
          <w:rPr>
            <w:webHidden/>
            <w:sz w:val="18"/>
          </w:rPr>
        </w:r>
        <w:r w:rsidR="008B3FC7" w:rsidRPr="00FB01AA">
          <w:rPr>
            <w:webHidden/>
            <w:sz w:val="18"/>
          </w:rPr>
          <w:fldChar w:fldCharType="separate"/>
        </w:r>
        <w:r w:rsidR="003876D5">
          <w:rPr>
            <w:webHidden/>
            <w:sz w:val="18"/>
          </w:rPr>
          <w:t>82</w:t>
        </w:r>
        <w:r w:rsidR="008B3FC7" w:rsidRPr="00FB01AA">
          <w:rPr>
            <w:webHidden/>
            <w:sz w:val="18"/>
          </w:rPr>
          <w:fldChar w:fldCharType="end"/>
        </w:r>
      </w:hyperlink>
    </w:p>
    <w:p w:rsidR="00AF7A48" w:rsidRPr="00251DF4" w:rsidRDefault="001D4C98" w:rsidP="008B3FC7">
      <w:pPr>
        <w:pStyle w:val="TOCHeading"/>
        <w:rPr>
          <w:sz w:val="24"/>
          <w:lang w:val="en-GB"/>
        </w:rPr>
      </w:pPr>
      <w:r w:rsidRPr="00FB01AA">
        <w:rPr>
          <w:sz w:val="24"/>
        </w:rPr>
        <w:fldChar w:fldCharType="end"/>
      </w:r>
      <w:r w:rsidRPr="00FB01AA">
        <w:rPr>
          <w:sz w:val="24"/>
        </w:rPr>
        <w:t>Фигури</w:t>
      </w:r>
    </w:p>
    <w:p w:rsidR="008B3FC7" w:rsidRPr="00FB01AA" w:rsidRDefault="00D46DC0">
      <w:pPr>
        <w:pStyle w:val="TOC2"/>
        <w:rPr>
          <w:rFonts w:asciiTheme="minorHAnsi" w:eastAsiaTheme="minorEastAsia" w:hAnsiTheme="minorHAnsi" w:cstheme="minorBidi"/>
          <w:bCs w:val="0"/>
          <w:color w:val="auto"/>
          <w:lang w:val="el-GR" w:eastAsia="el-GR" w:bidi="ar-SA"/>
        </w:rPr>
      </w:pPr>
      <w:r w:rsidRPr="00FB01AA">
        <w:rPr>
          <w:sz w:val="18"/>
        </w:rPr>
        <w:fldChar w:fldCharType="begin"/>
      </w:r>
      <w:r w:rsidRPr="00FB01AA">
        <w:rPr>
          <w:sz w:val="18"/>
        </w:rPr>
        <w:instrText xml:space="preserve"> TOC \h \z \t "H_Heading_Figure;2" </w:instrText>
      </w:r>
      <w:r w:rsidRPr="00FB01AA">
        <w:rPr>
          <w:sz w:val="18"/>
        </w:rPr>
        <w:fldChar w:fldCharType="separate"/>
      </w:r>
      <w:hyperlink w:anchor="_Toc498507086" w:history="1">
        <w:r w:rsidR="008B3FC7" w:rsidRPr="00FB01AA">
          <w:rPr>
            <w:rStyle w:val="Hyperlink"/>
            <w:sz w:val="18"/>
          </w:rPr>
          <w:t>Фигура 1.</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ВОМР като част от структурата на политиките на ЕС за програмния период 2014—2020 г.</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_Toc498507086 \h </w:instrText>
        </w:r>
        <w:r w:rsidR="008B3FC7" w:rsidRPr="00FB01AA">
          <w:rPr>
            <w:webHidden/>
            <w:sz w:val="18"/>
          </w:rPr>
        </w:r>
        <w:r w:rsidR="008B3FC7" w:rsidRPr="00FB01AA">
          <w:rPr>
            <w:webHidden/>
            <w:sz w:val="18"/>
          </w:rPr>
          <w:fldChar w:fldCharType="separate"/>
        </w:r>
        <w:r w:rsidR="003876D5">
          <w:rPr>
            <w:webHidden/>
            <w:sz w:val="18"/>
          </w:rPr>
          <w:t>9</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7087" w:history="1">
        <w:r w:rsidR="008B3FC7" w:rsidRPr="00FB01AA">
          <w:rPr>
            <w:rStyle w:val="Hyperlink"/>
            <w:sz w:val="18"/>
          </w:rPr>
          <w:t>Фигура 2.</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Възможности за ВОМР в държавите членки</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_Toc498507087 \h </w:instrText>
        </w:r>
        <w:r w:rsidR="008B3FC7" w:rsidRPr="00FB01AA">
          <w:rPr>
            <w:webHidden/>
            <w:sz w:val="18"/>
          </w:rPr>
        </w:r>
        <w:r w:rsidR="008B3FC7" w:rsidRPr="00FB01AA">
          <w:rPr>
            <w:webHidden/>
            <w:sz w:val="18"/>
          </w:rPr>
          <w:fldChar w:fldCharType="separate"/>
        </w:r>
        <w:r w:rsidR="003876D5">
          <w:rPr>
            <w:webHidden/>
            <w:sz w:val="18"/>
          </w:rPr>
          <w:t>10</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7088" w:history="1">
        <w:r w:rsidR="008B3FC7" w:rsidRPr="00FB01AA">
          <w:rPr>
            <w:rStyle w:val="Hyperlink"/>
            <w:sz w:val="18"/>
          </w:rPr>
          <w:t>Фигура 3.</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Цели на оценката на LEADER/ВОМР</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_Toc498507088 \h </w:instrText>
        </w:r>
        <w:r w:rsidR="008B3FC7" w:rsidRPr="00FB01AA">
          <w:rPr>
            <w:webHidden/>
            <w:sz w:val="18"/>
          </w:rPr>
        </w:r>
        <w:r w:rsidR="008B3FC7" w:rsidRPr="00FB01AA">
          <w:rPr>
            <w:webHidden/>
            <w:sz w:val="18"/>
          </w:rPr>
          <w:fldChar w:fldCharType="separate"/>
        </w:r>
        <w:r w:rsidR="003876D5">
          <w:rPr>
            <w:webHidden/>
            <w:sz w:val="18"/>
          </w:rPr>
          <w:t>12</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7089" w:history="1">
        <w:r w:rsidR="008B3FC7" w:rsidRPr="00FB01AA">
          <w:rPr>
            <w:rStyle w:val="Hyperlink"/>
            <w:sz w:val="18"/>
          </w:rPr>
          <w:t>Фигура 4.</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Концепция за оценката на LEADER/ВОМР на равнището на ПРСР и на местно равнище</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_Toc498507089 \h </w:instrText>
        </w:r>
        <w:r w:rsidR="008B3FC7" w:rsidRPr="00FB01AA">
          <w:rPr>
            <w:webHidden/>
            <w:sz w:val="18"/>
          </w:rPr>
        </w:r>
        <w:r w:rsidR="008B3FC7" w:rsidRPr="00FB01AA">
          <w:rPr>
            <w:webHidden/>
            <w:sz w:val="18"/>
          </w:rPr>
          <w:fldChar w:fldCharType="separate"/>
        </w:r>
        <w:r w:rsidR="003876D5">
          <w:rPr>
            <w:webHidden/>
            <w:sz w:val="18"/>
          </w:rPr>
          <w:t>15</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7090" w:history="1">
        <w:r w:rsidR="008B3FC7" w:rsidRPr="00FB01AA">
          <w:rPr>
            <w:rStyle w:val="Hyperlink"/>
            <w:sz w:val="18"/>
          </w:rPr>
          <w:t>Фигура 5.</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Самооценка и независима оценка на местно равнище</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_Toc498507090 \h </w:instrText>
        </w:r>
        <w:r w:rsidR="008B3FC7" w:rsidRPr="00FB01AA">
          <w:rPr>
            <w:webHidden/>
            <w:sz w:val="18"/>
          </w:rPr>
        </w:r>
        <w:r w:rsidR="008B3FC7" w:rsidRPr="00FB01AA">
          <w:rPr>
            <w:webHidden/>
            <w:sz w:val="18"/>
          </w:rPr>
          <w:fldChar w:fldCharType="separate"/>
        </w:r>
        <w:r w:rsidR="003876D5">
          <w:rPr>
            <w:webHidden/>
            <w:sz w:val="18"/>
          </w:rPr>
          <w:t>19</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7091" w:history="1">
        <w:r w:rsidR="008B3FC7" w:rsidRPr="00FB01AA">
          <w:rPr>
            <w:rStyle w:val="Hyperlink"/>
            <w:sz w:val="18"/>
          </w:rPr>
          <w:t>Фигура 6.</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Видове стратегии</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_Toc498507091 \h </w:instrText>
        </w:r>
        <w:r w:rsidR="008B3FC7" w:rsidRPr="00FB01AA">
          <w:rPr>
            <w:webHidden/>
            <w:sz w:val="18"/>
          </w:rPr>
        </w:r>
        <w:r w:rsidR="008B3FC7" w:rsidRPr="00FB01AA">
          <w:rPr>
            <w:webHidden/>
            <w:sz w:val="18"/>
          </w:rPr>
          <w:fldChar w:fldCharType="separate"/>
        </w:r>
        <w:r w:rsidR="003876D5">
          <w:rPr>
            <w:webHidden/>
            <w:sz w:val="18"/>
          </w:rPr>
          <w:t>22</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7092" w:history="1">
        <w:r w:rsidR="008B3FC7" w:rsidRPr="00FB01AA">
          <w:rPr>
            <w:rStyle w:val="Hyperlink"/>
            <w:sz w:val="18"/>
          </w:rPr>
          <w:t>Фигура 7.</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Добавена стойност на LEADER/ВОМР</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_Toc498507092 \h </w:instrText>
        </w:r>
        <w:r w:rsidR="008B3FC7" w:rsidRPr="00FB01AA">
          <w:rPr>
            <w:webHidden/>
            <w:sz w:val="18"/>
          </w:rPr>
        </w:r>
        <w:r w:rsidR="008B3FC7" w:rsidRPr="00FB01AA">
          <w:rPr>
            <w:webHidden/>
            <w:sz w:val="18"/>
          </w:rPr>
          <w:fldChar w:fldCharType="separate"/>
        </w:r>
        <w:r w:rsidR="003876D5">
          <w:rPr>
            <w:webHidden/>
            <w:sz w:val="18"/>
          </w:rPr>
          <w:t>23</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7093" w:history="1">
        <w:r w:rsidR="008B3FC7" w:rsidRPr="00FB01AA">
          <w:rPr>
            <w:rStyle w:val="Hyperlink"/>
            <w:sz w:val="18"/>
          </w:rPr>
          <w:t>Фигура 8.</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Цикъл на оценяване на LEADER/ВОМР на равнището на ПРСР</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_Toc498507093 \h </w:instrText>
        </w:r>
        <w:r w:rsidR="008B3FC7" w:rsidRPr="00FB01AA">
          <w:rPr>
            <w:webHidden/>
            <w:sz w:val="18"/>
          </w:rPr>
        </w:r>
        <w:r w:rsidR="008B3FC7" w:rsidRPr="00FB01AA">
          <w:rPr>
            <w:webHidden/>
            <w:sz w:val="18"/>
          </w:rPr>
          <w:fldChar w:fldCharType="separate"/>
        </w:r>
        <w:r w:rsidR="003876D5">
          <w:rPr>
            <w:webHidden/>
            <w:sz w:val="18"/>
          </w:rPr>
          <w:t>26</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7094" w:history="1">
        <w:r w:rsidR="008B3FC7" w:rsidRPr="00FB01AA">
          <w:rPr>
            <w:rStyle w:val="Hyperlink"/>
            <w:sz w:val="18"/>
          </w:rPr>
          <w:t>Фигура 9.</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Вертикални и хоризонтални връзки между равнищата на изпълнение на ЕСИ фондове</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_Toc498507094 \h </w:instrText>
        </w:r>
        <w:r w:rsidR="008B3FC7" w:rsidRPr="00FB01AA">
          <w:rPr>
            <w:webHidden/>
            <w:sz w:val="18"/>
          </w:rPr>
        </w:r>
        <w:r w:rsidR="008B3FC7" w:rsidRPr="00FB01AA">
          <w:rPr>
            <w:webHidden/>
            <w:sz w:val="18"/>
          </w:rPr>
          <w:fldChar w:fldCharType="separate"/>
        </w:r>
        <w:r w:rsidR="003876D5">
          <w:rPr>
            <w:webHidden/>
            <w:sz w:val="18"/>
          </w:rPr>
          <w:t>30</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7095" w:history="1">
        <w:r w:rsidR="008B3FC7" w:rsidRPr="00FB01AA">
          <w:rPr>
            <w:rStyle w:val="Hyperlink"/>
            <w:sz w:val="18"/>
          </w:rPr>
          <w:t>Фигура 10.</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Пълната картина на обхвата на оценката</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_Toc498507095 \h </w:instrText>
        </w:r>
        <w:r w:rsidR="008B3FC7" w:rsidRPr="00FB01AA">
          <w:rPr>
            <w:webHidden/>
            <w:sz w:val="18"/>
          </w:rPr>
        </w:r>
        <w:r w:rsidR="008B3FC7" w:rsidRPr="00FB01AA">
          <w:rPr>
            <w:webHidden/>
            <w:sz w:val="18"/>
          </w:rPr>
          <w:fldChar w:fldCharType="separate"/>
        </w:r>
        <w:r w:rsidR="003876D5">
          <w:rPr>
            <w:webHidden/>
            <w:sz w:val="18"/>
          </w:rPr>
          <w:t>35</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7096" w:history="1">
        <w:r w:rsidR="008B3FC7" w:rsidRPr="00FB01AA">
          <w:rPr>
            <w:rStyle w:val="Hyperlink"/>
            <w:sz w:val="18"/>
          </w:rPr>
          <w:t>Фигура 11.</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Свързване на метода LEADER с механизма за изпълнение на LEADER/ВОМР на равнището на ПРСР</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_Toc498507096 \h </w:instrText>
        </w:r>
        <w:r w:rsidR="008B3FC7" w:rsidRPr="00FB01AA">
          <w:rPr>
            <w:webHidden/>
            <w:sz w:val="18"/>
          </w:rPr>
        </w:r>
        <w:r w:rsidR="008B3FC7" w:rsidRPr="00FB01AA">
          <w:rPr>
            <w:webHidden/>
            <w:sz w:val="18"/>
          </w:rPr>
          <w:fldChar w:fldCharType="separate"/>
        </w:r>
        <w:r w:rsidR="003876D5">
          <w:rPr>
            <w:webHidden/>
            <w:sz w:val="18"/>
          </w:rPr>
          <w:t>42</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7097" w:history="1">
        <w:r w:rsidR="008B3FC7" w:rsidRPr="00FB01AA">
          <w:rPr>
            <w:rStyle w:val="Hyperlink"/>
            <w:sz w:val="18"/>
          </w:rPr>
          <w:t>Фигура 12.</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Възможни ефекти на механизма за изпълнение на ПРСР на различните равнища</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_Toc498507097 \h </w:instrText>
        </w:r>
        <w:r w:rsidR="008B3FC7" w:rsidRPr="00FB01AA">
          <w:rPr>
            <w:webHidden/>
            <w:sz w:val="18"/>
          </w:rPr>
        </w:r>
        <w:r w:rsidR="008B3FC7" w:rsidRPr="00FB01AA">
          <w:rPr>
            <w:webHidden/>
            <w:sz w:val="18"/>
          </w:rPr>
          <w:fldChar w:fldCharType="separate"/>
        </w:r>
        <w:r w:rsidR="003876D5">
          <w:rPr>
            <w:webHidden/>
            <w:sz w:val="18"/>
          </w:rPr>
          <w:t>43</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7098" w:history="1">
        <w:r w:rsidR="008B3FC7" w:rsidRPr="00FB01AA">
          <w:rPr>
            <w:rStyle w:val="Hyperlink"/>
            <w:sz w:val="18"/>
          </w:rPr>
          <w:t>Фигура 13.</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Връзки между механизма за изпълнение, дейностите на МГД и добавената стойност</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_Toc498507098 \h </w:instrText>
        </w:r>
        <w:r w:rsidR="008B3FC7" w:rsidRPr="00FB01AA">
          <w:rPr>
            <w:webHidden/>
            <w:sz w:val="18"/>
          </w:rPr>
        </w:r>
        <w:r w:rsidR="008B3FC7" w:rsidRPr="00FB01AA">
          <w:rPr>
            <w:webHidden/>
            <w:sz w:val="18"/>
          </w:rPr>
          <w:fldChar w:fldCharType="separate"/>
        </w:r>
        <w:r w:rsidR="003876D5">
          <w:rPr>
            <w:webHidden/>
            <w:sz w:val="18"/>
          </w:rPr>
          <w:t>56</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7099" w:history="1">
        <w:r w:rsidR="008B3FC7" w:rsidRPr="00FB01AA">
          <w:rPr>
            <w:rStyle w:val="Hyperlink"/>
            <w:sz w:val="18"/>
          </w:rPr>
          <w:t>Фигура 14.</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Ключови въпроси, които трябва да получат отговори на етапите на извършване на оценката</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_Toc498507099 \h </w:instrText>
        </w:r>
        <w:r w:rsidR="008B3FC7" w:rsidRPr="00FB01AA">
          <w:rPr>
            <w:webHidden/>
            <w:sz w:val="18"/>
          </w:rPr>
        </w:r>
        <w:r w:rsidR="008B3FC7" w:rsidRPr="00FB01AA">
          <w:rPr>
            <w:webHidden/>
            <w:sz w:val="18"/>
          </w:rPr>
          <w:fldChar w:fldCharType="separate"/>
        </w:r>
        <w:r w:rsidR="003876D5">
          <w:rPr>
            <w:webHidden/>
            <w:sz w:val="18"/>
          </w:rPr>
          <w:t>60</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7100" w:history="1">
        <w:r w:rsidR="008B3FC7" w:rsidRPr="00FB01AA">
          <w:rPr>
            <w:rStyle w:val="Hyperlink"/>
            <w:sz w:val="18"/>
          </w:rPr>
          <w:t>Фигура 15.</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Планиране на комуникационните дейности във връзка с оценката</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_Toc498507100 \h </w:instrText>
        </w:r>
        <w:r w:rsidR="008B3FC7" w:rsidRPr="00FB01AA">
          <w:rPr>
            <w:webHidden/>
            <w:sz w:val="18"/>
          </w:rPr>
        </w:r>
        <w:r w:rsidR="008B3FC7" w:rsidRPr="00FB01AA">
          <w:rPr>
            <w:webHidden/>
            <w:sz w:val="18"/>
          </w:rPr>
          <w:fldChar w:fldCharType="separate"/>
        </w:r>
        <w:r w:rsidR="003876D5">
          <w:rPr>
            <w:webHidden/>
            <w:sz w:val="18"/>
          </w:rPr>
          <w:t>64</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7101" w:history="1">
        <w:r w:rsidR="008B3FC7" w:rsidRPr="00FB01AA">
          <w:rPr>
            <w:rStyle w:val="Hyperlink"/>
            <w:sz w:val="18"/>
          </w:rPr>
          <w:t>Фигура 16.</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Проверка на съгласуваността между интервенционната логика на ВОМР и оценъчните елементи</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_Toc498507101 \h </w:instrText>
        </w:r>
        <w:r w:rsidR="008B3FC7" w:rsidRPr="00FB01AA">
          <w:rPr>
            <w:webHidden/>
            <w:sz w:val="18"/>
          </w:rPr>
        </w:r>
        <w:r w:rsidR="008B3FC7" w:rsidRPr="00FB01AA">
          <w:rPr>
            <w:webHidden/>
            <w:sz w:val="18"/>
          </w:rPr>
          <w:fldChar w:fldCharType="separate"/>
        </w:r>
        <w:r w:rsidR="003876D5">
          <w:rPr>
            <w:webHidden/>
            <w:sz w:val="18"/>
          </w:rPr>
          <w:t>67</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7102" w:history="1">
        <w:r w:rsidR="008B3FC7" w:rsidRPr="00FB01AA">
          <w:rPr>
            <w:rStyle w:val="Hyperlink"/>
            <w:sz w:val="18"/>
          </w:rPr>
          <w:t>Фигура 17.</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Свързване на метода LEADER с механизма за изпълнение на LEADER/ВОМР на местно равнище (пример)</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_Toc498507102 \h </w:instrText>
        </w:r>
        <w:r w:rsidR="008B3FC7" w:rsidRPr="00FB01AA">
          <w:rPr>
            <w:webHidden/>
            <w:sz w:val="18"/>
          </w:rPr>
        </w:r>
        <w:r w:rsidR="008B3FC7" w:rsidRPr="00FB01AA">
          <w:rPr>
            <w:webHidden/>
            <w:sz w:val="18"/>
          </w:rPr>
          <w:fldChar w:fldCharType="separate"/>
        </w:r>
        <w:r w:rsidR="003876D5">
          <w:rPr>
            <w:webHidden/>
            <w:sz w:val="18"/>
          </w:rPr>
          <w:t>70</w:t>
        </w:r>
        <w:r w:rsidR="008B3FC7" w:rsidRPr="00FB01AA">
          <w:rPr>
            <w:webHidden/>
            <w:sz w:val="18"/>
          </w:rPr>
          <w:fldChar w:fldCharType="end"/>
        </w:r>
      </w:hyperlink>
    </w:p>
    <w:p w:rsidR="008B3FC7" w:rsidRPr="00FB01AA" w:rsidRDefault="00763A21">
      <w:pPr>
        <w:pStyle w:val="TOC2"/>
        <w:rPr>
          <w:rFonts w:asciiTheme="minorHAnsi" w:eastAsiaTheme="minorEastAsia" w:hAnsiTheme="minorHAnsi" w:cstheme="minorBidi"/>
          <w:bCs w:val="0"/>
          <w:color w:val="auto"/>
          <w:lang w:val="el-GR" w:eastAsia="el-GR" w:bidi="ar-SA"/>
        </w:rPr>
      </w:pPr>
      <w:hyperlink w:anchor="_Toc498507103" w:history="1">
        <w:r w:rsidR="008B3FC7" w:rsidRPr="00FB01AA">
          <w:rPr>
            <w:rStyle w:val="Hyperlink"/>
            <w:sz w:val="18"/>
          </w:rPr>
          <w:t>Фигура 18.</w:t>
        </w:r>
        <w:r w:rsidR="008B3FC7" w:rsidRPr="00FB01AA">
          <w:rPr>
            <w:rFonts w:asciiTheme="minorHAnsi" w:eastAsiaTheme="minorEastAsia" w:hAnsiTheme="minorHAnsi" w:cstheme="minorBidi"/>
            <w:bCs w:val="0"/>
            <w:color w:val="auto"/>
            <w:lang w:val="el-GR" w:eastAsia="el-GR" w:bidi="ar-SA"/>
          </w:rPr>
          <w:tab/>
        </w:r>
        <w:r w:rsidR="008B3FC7" w:rsidRPr="00FB01AA">
          <w:rPr>
            <w:rStyle w:val="Hyperlink"/>
            <w:sz w:val="18"/>
          </w:rPr>
          <w:t xml:space="preserve">Организиране на последващи действия във връзка с </w:t>
        </w:r>
        <w:r w:rsidR="00FB7164">
          <w:rPr>
            <w:rStyle w:val="Hyperlink"/>
            <w:sz w:val="18"/>
            <w:lang w:val="en-GB"/>
          </w:rPr>
          <w:t>констатаци</w:t>
        </w:r>
        <w:r w:rsidR="008B3FC7" w:rsidRPr="00FB01AA">
          <w:rPr>
            <w:rStyle w:val="Hyperlink"/>
            <w:sz w:val="18"/>
          </w:rPr>
          <w:t>ите от оценката</w:t>
        </w:r>
        <w:r w:rsidR="008B3FC7" w:rsidRPr="00FB01AA">
          <w:rPr>
            <w:webHidden/>
            <w:sz w:val="18"/>
          </w:rPr>
          <w:tab/>
        </w:r>
        <w:r w:rsidR="008B3FC7" w:rsidRPr="00FB01AA">
          <w:rPr>
            <w:webHidden/>
            <w:sz w:val="18"/>
          </w:rPr>
          <w:fldChar w:fldCharType="begin"/>
        </w:r>
        <w:r w:rsidR="008B3FC7" w:rsidRPr="00FB01AA">
          <w:rPr>
            <w:webHidden/>
            <w:sz w:val="18"/>
          </w:rPr>
          <w:instrText xml:space="preserve"> PAGEREF _Toc498507103 \h </w:instrText>
        </w:r>
        <w:r w:rsidR="008B3FC7" w:rsidRPr="00FB01AA">
          <w:rPr>
            <w:webHidden/>
            <w:sz w:val="18"/>
          </w:rPr>
        </w:r>
        <w:r w:rsidR="008B3FC7" w:rsidRPr="00FB01AA">
          <w:rPr>
            <w:webHidden/>
            <w:sz w:val="18"/>
          </w:rPr>
          <w:fldChar w:fldCharType="separate"/>
        </w:r>
        <w:r w:rsidR="003876D5">
          <w:rPr>
            <w:webHidden/>
            <w:sz w:val="18"/>
          </w:rPr>
          <w:t>80</w:t>
        </w:r>
        <w:r w:rsidR="008B3FC7" w:rsidRPr="00FB01AA">
          <w:rPr>
            <w:webHidden/>
            <w:sz w:val="18"/>
          </w:rPr>
          <w:fldChar w:fldCharType="end"/>
        </w:r>
      </w:hyperlink>
    </w:p>
    <w:p w:rsidR="00AF7A48" w:rsidRPr="00FB01AA" w:rsidRDefault="00D46DC0" w:rsidP="008B3FC7">
      <w:pPr>
        <w:pStyle w:val="TOCHeading"/>
        <w:rPr>
          <w:sz w:val="24"/>
        </w:rPr>
      </w:pPr>
      <w:r w:rsidRPr="00FB01AA">
        <w:rPr>
          <w:b w:val="0"/>
          <w:sz w:val="24"/>
        </w:rPr>
        <w:fldChar w:fldCharType="end"/>
      </w:r>
      <w:r w:rsidRPr="00FB01AA">
        <w:rPr>
          <w:sz w:val="24"/>
        </w:rPr>
        <w:t>Таблици</w:t>
      </w:r>
    </w:p>
    <w:p w:rsidR="00FB01AA" w:rsidRPr="00FB01AA" w:rsidRDefault="00D46DC0">
      <w:pPr>
        <w:pStyle w:val="TOC2"/>
        <w:rPr>
          <w:rFonts w:asciiTheme="minorHAnsi" w:eastAsiaTheme="minorEastAsia" w:hAnsiTheme="minorHAnsi" w:cstheme="minorBidi"/>
          <w:bCs w:val="0"/>
          <w:color w:val="auto"/>
          <w:lang w:val="el-GR" w:eastAsia="el-GR" w:bidi="ar-SA"/>
        </w:rPr>
      </w:pPr>
      <w:r w:rsidRPr="00FB01AA">
        <w:rPr>
          <w:sz w:val="18"/>
        </w:rPr>
        <w:fldChar w:fldCharType="begin"/>
      </w:r>
      <w:r w:rsidRPr="00FB01AA">
        <w:rPr>
          <w:sz w:val="18"/>
        </w:rPr>
        <w:instrText xml:space="preserve"> TOC \h \z \t "H-Table;2" </w:instrText>
      </w:r>
      <w:r w:rsidRPr="00FB01AA">
        <w:rPr>
          <w:sz w:val="18"/>
        </w:rPr>
        <w:fldChar w:fldCharType="separate"/>
      </w:r>
      <w:hyperlink w:anchor="_Toc498507394" w:history="1">
        <w:r w:rsidR="00FB01AA" w:rsidRPr="00FB01AA">
          <w:rPr>
            <w:rStyle w:val="Hyperlink"/>
            <w:sz w:val="18"/>
          </w:rPr>
          <w:t>Tаблица 1.</w:t>
        </w:r>
        <w:r w:rsidR="00FB01AA" w:rsidRPr="00FB01AA">
          <w:rPr>
            <w:rFonts w:asciiTheme="minorHAnsi" w:eastAsiaTheme="minorEastAsia" w:hAnsiTheme="minorHAnsi" w:cstheme="minorBidi"/>
            <w:bCs w:val="0"/>
            <w:color w:val="auto"/>
            <w:lang w:val="el-GR" w:eastAsia="el-GR" w:bidi="ar-SA"/>
          </w:rPr>
          <w:tab/>
        </w:r>
        <w:r w:rsidR="00FB01AA" w:rsidRPr="00FB01AA">
          <w:rPr>
            <w:rStyle w:val="Hyperlink"/>
            <w:sz w:val="18"/>
          </w:rPr>
          <w:t>Критерии за преценка и показатели за ОВО 17: „До каква степен интервенциите по ПРСР са подпомогнали местното развитие в селските райони?“</w:t>
        </w:r>
        <w:r w:rsidR="00FB01AA" w:rsidRPr="00FB01AA">
          <w:rPr>
            <w:webHidden/>
            <w:sz w:val="18"/>
          </w:rPr>
          <w:tab/>
        </w:r>
        <w:r w:rsidR="00FB01AA" w:rsidRPr="00FB01AA">
          <w:rPr>
            <w:webHidden/>
            <w:sz w:val="18"/>
          </w:rPr>
          <w:fldChar w:fldCharType="begin"/>
        </w:r>
        <w:r w:rsidR="00FB01AA" w:rsidRPr="00FB01AA">
          <w:rPr>
            <w:webHidden/>
            <w:sz w:val="18"/>
          </w:rPr>
          <w:instrText xml:space="preserve"> PAGEREF _Toc498507394 \h </w:instrText>
        </w:r>
        <w:r w:rsidR="00FB01AA" w:rsidRPr="00FB01AA">
          <w:rPr>
            <w:webHidden/>
            <w:sz w:val="18"/>
          </w:rPr>
        </w:r>
        <w:r w:rsidR="00FB01AA" w:rsidRPr="00FB01AA">
          <w:rPr>
            <w:webHidden/>
            <w:sz w:val="18"/>
          </w:rPr>
          <w:fldChar w:fldCharType="separate"/>
        </w:r>
        <w:r w:rsidR="003876D5">
          <w:rPr>
            <w:webHidden/>
            <w:sz w:val="18"/>
          </w:rPr>
          <w:t>32</w:t>
        </w:r>
        <w:r w:rsidR="00FB01AA" w:rsidRPr="00FB01AA">
          <w:rPr>
            <w:webHidden/>
            <w:sz w:val="18"/>
          </w:rPr>
          <w:fldChar w:fldCharType="end"/>
        </w:r>
      </w:hyperlink>
    </w:p>
    <w:p w:rsidR="00FB01AA" w:rsidRPr="00FB01AA" w:rsidRDefault="00763A21">
      <w:pPr>
        <w:pStyle w:val="TOC2"/>
        <w:rPr>
          <w:rFonts w:asciiTheme="minorHAnsi" w:eastAsiaTheme="minorEastAsia" w:hAnsiTheme="minorHAnsi" w:cstheme="minorBidi"/>
          <w:bCs w:val="0"/>
          <w:color w:val="auto"/>
          <w:lang w:val="el-GR" w:eastAsia="el-GR" w:bidi="ar-SA"/>
        </w:rPr>
      </w:pPr>
      <w:hyperlink w:anchor="_Toc498507395" w:history="1">
        <w:r w:rsidR="00FB01AA" w:rsidRPr="00FB01AA">
          <w:rPr>
            <w:rStyle w:val="Hyperlink"/>
            <w:sz w:val="18"/>
          </w:rPr>
          <w:t>Tаблица 2.</w:t>
        </w:r>
        <w:r w:rsidR="00FB01AA" w:rsidRPr="00FB01AA">
          <w:rPr>
            <w:rFonts w:asciiTheme="minorHAnsi" w:eastAsiaTheme="minorEastAsia" w:hAnsiTheme="minorHAnsi" w:cstheme="minorBidi"/>
            <w:bCs w:val="0"/>
            <w:color w:val="auto"/>
            <w:lang w:val="el-GR" w:eastAsia="el-GR" w:bidi="ar-SA"/>
          </w:rPr>
          <w:tab/>
        </w:r>
        <w:r w:rsidR="00FB01AA" w:rsidRPr="00FB01AA">
          <w:rPr>
            <w:rStyle w:val="Hyperlink"/>
            <w:sz w:val="18"/>
          </w:rPr>
          <w:t>Общ показател за крайни продукти и цели за LEADER</w:t>
        </w:r>
        <w:r w:rsidR="00FB01AA" w:rsidRPr="00FB01AA">
          <w:rPr>
            <w:webHidden/>
            <w:sz w:val="18"/>
          </w:rPr>
          <w:tab/>
        </w:r>
        <w:r w:rsidR="00FB01AA" w:rsidRPr="00FB01AA">
          <w:rPr>
            <w:webHidden/>
            <w:sz w:val="18"/>
          </w:rPr>
          <w:fldChar w:fldCharType="begin"/>
        </w:r>
        <w:r w:rsidR="00FB01AA" w:rsidRPr="00FB01AA">
          <w:rPr>
            <w:webHidden/>
            <w:sz w:val="18"/>
          </w:rPr>
          <w:instrText xml:space="preserve"> PAGEREF _Toc498507395 \h </w:instrText>
        </w:r>
        <w:r w:rsidR="00FB01AA" w:rsidRPr="00FB01AA">
          <w:rPr>
            <w:webHidden/>
            <w:sz w:val="18"/>
          </w:rPr>
        </w:r>
        <w:r w:rsidR="00FB01AA" w:rsidRPr="00FB01AA">
          <w:rPr>
            <w:webHidden/>
            <w:sz w:val="18"/>
          </w:rPr>
          <w:fldChar w:fldCharType="separate"/>
        </w:r>
        <w:r w:rsidR="003876D5">
          <w:rPr>
            <w:webHidden/>
            <w:sz w:val="18"/>
          </w:rPr>
          <w:t>32</w:t>
        </w:r>
        <w:r w:rsidR="00FB01AA" w:rsidRPr="00FB01AA">
          <w:rPr>
            <w:webHidden/>
            <w:sz w:val="18"/>
          </w:rPr>
          <w:fldChar w:fldCharType="end"/>
        </w:r>
      </w:hyperlink>
    </w:p>
    <w:p w:rsidR="00FB01AA" w:rsidRPr="00FB01AA" w:rsidRDefault="00763A21">
      <w:pPr>
        <w:pStyle w:val="TOC2"/>
        <w:rPr>
          <w:rFonts w:asciiTheme="minorHAnsi" w:eastAsiaTheme="minorEastAsia" w:hAnsiTheme="minorHAnsi" w:cstheme="minorBidi"/>
          <w:bCs w:val="0"/>
          <w:color w:val="auto"/>
          <w:lang w:val="el-GR" w:eastAsia="el-GR" w:bidi="ar-SA"/>
        </w:rPr>
      </w:pPr>
      <w:hyperlink w:anchor="_Toc498507396" w:history="1">
        <w:r w:rsidR="00FB01AA" w:rsidRPr="00FB01AA">
          <w:rPr>
            <w:rStyle w:val="Hyperlink"/>
            <w:sz w:val="18"/>
          </w:rPr>
          <w:t>Tаблица 3.</w:t>
        </w:r>
        <w:r w:rsidR="00FB01AA" w:rsidRPr="00FB01AA">
          <w:rPr>
            <w:rFonts w:asciiTheme="minorHAnsi" w:eastAsiaTheme="minorEastAsia" w:hAnsiTheme="minorHAnsi" w:cstheme="minorBidi"/>
            <w:bCs w:val="0"/>
            <w:color w:val="auto"/>
            <w:lang w:val="el-GR" w:eastAsia="el-GR" w:bidi="ar-SA"/>
          </w:rPr>
          <w:tab/>
        </w:r>
        <w:r w:rsidR="00FB01AA" w:rsidRPr="00FB01AA">
          <w:rPr>
            <w:rStyle w:val="Hyperlink"/>
            <w:sz w:val="18"/>
          </w:rPr>
          <w:t>Определяне на количествени и качествени методи</w:t>
        </w:r>
        <w:r w:rsidR="00FB01AA" w:rsidRPr="00FB01AA">
          <w:rPr>
            <w:webHidden/>
            <w:sz w:val="18"/>
          </w:rPr>
          <w:tab/>
        </w:r>
        <w:r w:rsidR="00FB01AA" w:rsidRPr="00FB01AA">
          <w:rPr>
            <w:webHidden/>
            <w:sz w:val="18"/>
          </w:rPr>
          <w:fldChar w:fldCharType="begin"/>
        </w:r>
        <w:r w:rsidR="00FB01AA" w:rsidRPr="00FB01AA">
          <w:rPr>
            <w:webHidden/>
            <w:sz w:val="18"/>
          </w:rPr>
          <w:instrText xml:space="preserve"> PAGEREF _Toc498507396 \h </w:instrText>
        </w:r>
        <w:r w:rsidR="00FB01AA" w:rsidRPr="00FB01AA">
          <w:rPr>
            <w:webHidden/>
            <w:sz w:val="18"/>
          </w:rPr>
        </w:r>
        <w:r w:rsidR="00FB01AA" w:rsidRPr="00FB01AA">
          <w:rPr>
            <w:webHidden/>
            <w:sz w:val="18"/>
          </w:rPr>
          <w:fldChar w:fldCharType="separate"/>
        </w:r>
        <w:r w:rsidR="003876D5">
          <w:rPr>
            <w:webHidden/>
            <w:sz w:val="18"/>
          </w:rPr>
          <w:t>38</w:t>
        </w:r>
        <w:r w:rsidR="00FB01AA" w:rsidRPr="00FB01AA">
          <w:rPr>
            <w:webHidden/>
            <w:sz w:val="18"/>
          </w:rPr>
          <w:fldChar w:fldCharType="end"/>
        </w:r>
      </w:hyperlink>
    </w:p>
    <w:p w:rsidR="00FB01AA" w:rsidRPr="00FB01AA" w:rsidRDefault="00763A21">
      <w:pPr>
        <w:pStyle w:val="TOC2"/>
        <w:rPr>
          <w:rFonts w:asciiTheme="minorHAnsi" w:eastAsiaTheme="minorEastAsia" w:hAnsiTheme="minorHAnsi" w:cstheme="minorBidi"/>
          <w:bCs w:val="0"/>
          <w:color w:val="auto"/>
          <w:lang w:val="el-GR" w:eastAsia="el-GR" w:bidi="ar-SA"/>
        </w:rPr>
      </w:pPr>
      <w:hyperlink w:anchor="_Toc498507397" w:history="1">
        <w:r w:rsidR="00FB01AA" w:rsidRPr="00FB01AA">
          <w:rPr>
            <w:rStyle w:val="Hyperlink"/>
            <w:sz w:val="18"/>
          </w:rPr>
          <w:t>Tаблица 4.</w:t>
        </w:r>
        <w:r w:rsidR="00FB01AA" w:rsidRPr="00FB01AA">
          <w:rPr>
            <w:rFonts w:asciiTheme="minorHAnsi" w:eastAsiaTheme="minorEastAsia" w:hAnsiTheme="minorHAnsi" w:cstheme="minorBidi"/>
            <w:bCs w:val="0"/>
            <w:color w:val="auto"/>
            <w:lang w:val="el-GR" w:eastAsia="el-GR" w:bidi="ar-SA"/>
          </w:rPr>
          <w:tab/>
        </w:r>
        <w:r w:rsidR="00FB01AA" w:rsidRPr="00FB01AA">
          <w:rPr>
            <w:rStyle w:val="Hyperlink"/>
            <w:sz w:val="18"/>
          </w:rPr>
          <w:t>Общ преглед на докладването за LEADER/ВОМР, отговорности за докладване и целеви групи.</w:t>
        </w:r>
        <w:r w:rsidR="00FB01AA" w:rsidRPr="00FB01AA">
          <w:rPr>
            <w:webHidden/>
            <w:sz w:val="18"/>
          </w:rPr>
          <w:tab/>
        </w:r>
        <w:r w:rsidR="00FB01AA" w:rsidRPr="00FB01AA">
          <w:rPr>
            <w:webHidden/>
            <w:sz w:val="18"/>
          </w:rPr>
          <w:fldChar w:fldCharType="begin"/>
        </w:r>
        <w:r w:rsidR="00FB01AA" w:rsidRPr="00FB01AA">
          <w:rPr>
            <w:webHidden/>
            <w:sz w:val="18"/>
          </w:rPr>
          <w:instrText xml:space="preserve"> PAGEREF _Toc498507397 \h </w:instrText>
        </w:r>
        <w:r w:rsidR="00FB01AA" w:rsidRPr="00FB01AA">
          <w:rPr>
            <w:webHidden/>
            <w:sz w:val="18"/>
          </w:rPr>
        </w:r>
        <w:r w:rsidR="00FB01AA" w:rsidRPr="00FB01AA">
          <w:rPr>
            <w:webHidden/>
            <w:sz w:val="18"/>
          </w:rPr>
          <w:fldChar w:fldCharType="separate"/>
        </w:r>
        <w:r w:rsidR="003876D5">
          <w:rPr>
            <w:webHidden/>
            <w:sz w:val="18"/>
          </w:rPr>
          <w:t>51</w:t>
        </w:r>
        <w:r w:rsidR="00FB01AA" w:rsidRPr="00FB01AA">
          <w:rPr>
            <w:webHidden/>
            <w:sz w:val="18"/>
          </w:rPr>
          <w:fldChar w:fldCharType="end"/>
        </w:r>
      </w:hyperlink>
    </w:p>
    <w:p w:rsidR="00AF7A48" w:rsidRPr="00FB01AA" w:rsidRDefault="00D46DC0">
      <w:pPr>
        <w:pStyle w:val="TOC2"/>
        <w:rPr>
          <w:rFonts w:asciiTheme="minorHAnsi" w:eastAsiaTheme="minorEastAsia" w:hAnsiTheme="minorHAnsi" w:cstheme="minorBidi"/>
          <w:bCs w:val="0"/>
          <w:color w:val="auto"/>
        </w:rPr>
      </w:pPr>
      <w:r w:rsidRPr="00FB01AA">
        <w:rPr>
          <w:rFonts w:eastAsiaTheme="majorEastAsia" w:cstheme="majorBidi"/>
          <w:b/>
          <w:noProof w:val="0"/>
          <w:color w:val="DF6532"/>
          <w:sz w:val="24"/>
          <w:szCs w:val="28"/>
        </w:rPr>
        <w:fldChar w:fldCharType="end"/>
      </w:r>
      <w:r w:rsidRPr="00FB01AA">
        <w:rPr>
          <w:sz w:val="18"/>
        </w:rPr>
        <w:t xml:space="preserve"> </w:t>
      </w:r>
    </w:p>
    <w:p w:rsidR="00F61BF0" w:rsidRPr="00FB01AA" w:rsidRDefault="00F61BF0" w:rsidP="00B34448">
      <w:pPr>
        <w:pStyle w:val="Normal22PT"/>
        <w:rPr>
          <w:sz w:val="36"/>
        </w:rPr>
      </w:pPr>
      <w:r w:rsidRPr="00FB01AA">
        <w:rPr>
          <w:sz w:val="36"/>
        </w:rPr>
        <w:br w:type="page"/>
      </w:r>
    </w:p>
    <w:p w:rsidR="00B34448" w:rsidRPr="00FB01AA" w:rsidRDefault="00B34448" w:rsidP="00B34448">
      <w:pPr>
        <w:pStyle w:val="Normal22PT"/>
        <w:rPr>
          <w:caps/>
          <w:smallCaps w:val="0"/>
          <w:sz w:val="36"/>
        </w:rPr>
      </w:pPr>
      <w:r w:rsidRPr="00FB01AA">
        <w:rPr>
          <w:caps/>
          <w:smallCaps w:val="0"/>
          <w:sz w:val="36"/>
        </w:rPr>
        <w:lastRenderedPageBreak/>
        <w:t>списък на съкращенията</w:t>
      </w:r>
    </w:p>
    <w:tbl>
      <w:tblPr>
        <w:tblW w:w="0" w:type="auto"/>
        <w:tblInd w:w="-108" w:type="dxa"/>
        <w:tblLayout w:type="fixed"/>
        <w:tblLook w:val="0000" w:firstRow="0" w:lastRow="0" w:firstColumn="0" w:lastColumn="0" w:noHBand="0" w:noVBand="0"/>
      </w:tblPr>
      <w:tblGrid>
        <w:gridCol w:w="2371"/>
        <w:gridCol w:w="6623"/>
      </w:tblGrid>
      <w:tr w:rsidR="00C82878" w:rsidRPr="00BD0D14" w:rsidTr="00B34448">
        <w:trPr>
          <w:trHeight w:val="84"/>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ГДИ</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Годишен доклад за изпълнение</w:t>
            </w:r>
          </w:p>
        </w:tc>
      </w:tr>
      <w:tr w:rsidR="00C82878" w:rsidRPr="00BD0D14" w:rsidTr="00B34448">
        <w:trPr>
          <w:trHeight w:val="201"/>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ОСП </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Обща селскостопанска политика </w:t>
            </w:r>
          </w:p>
        </w:tc>
      </w:tr>
      <w:tr w:rsidR="00C82878" w:rsidRPr="00BD0D14" w:rsidTr="00B34448">
        <w:trPr>
          <w:trHeight w:val="84"/>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ОКП </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Общи контекстуални показатели </w:t>
            </w:r>
          </w:p>
        </w:tc>
      </w:tr>
      <w:tr w:rsidR="00C82878" w:rsidRPr="00BD0D14" w:rsidTr="00B34448">
        <w:trPr>
          <w:trHeight w:val="84"/>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ОВО </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Общ въпрос за оценка </w:t>
            </w:r>
          </w:p>
        </w:tc>
      </w:tr>
      <w:tr w:rsidR="00C82878" w:rsidRPr="00BD0D14" w:rsidTr="00B34448">
        <w:trPr>
          <w:trHeight w:val="189"/>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КФ </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Кохезионен фонд </w:t>
            </w:r>
          </w:p>
        </w:tc>
      </w:tr>
      <w:tr w:rsidR="00C82878" w:rsidRPr="00BD0D14" w:rsidTr="00B34448">
        <w:trPr>
          <w:trHeight w:val="84"/>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ВОМР </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Водено от общностите местно развитие </w:t>
            </w:r>
          </w:p>
        </w:tc>
      </w:tr>
      <w:tr w:rsidR="00C82878" w:rsidRPr="00BD0D14" w:rsidTr="00B34448">
        <w:trPr>
          <w:trHeight w:val="84"/>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ОРМО </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Обща рамка за мониторинг и оценка </w:t>
            </w:r>
          </w:p>
        </w:tc>
      </w:tr>
      <w:tr w:rsidR="00C82878" w:rsidRPr="00BD0D14" w:rsidTr="00B34448">
        <w:trPr>
          <w:trHeight w:val="84"/>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ОСМО </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Обща система за мониторинг и оценка</w:t>
            </w:r>
          </w:p>
        </w:tc>
      </w:tr>
      <w:tr w:rsidR="00C82878" w:rsidRPr="00BD0D14" w:rsidTr="00B34448">
        <w:trPr>
          <w:trHeight w:val="84"/>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ОСР </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Обща стратегическа рамка </w:t>
            </w:r>
          </w:p>
        </w:tc>
      </w:tr>
      <w:tr w:rsidR="00C82878" w:rsidRPr="00BD0D14" w:rsidTr="00B34448">
        <w:trPr>
          <w:trHeight w:val="224"/>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ГД „Земеделие и развитие на селските райони“ </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Генерална дирекция „Земеделие и развитие на селските райони“ </w:t>
            </w:r>
          </w:p>
        </w:tc>
      </w:tr>
      <w:tr w:rsidR="00C82878" w:rsidRPr="00BD0D14" w:rsidTr="00B34448">
        <w:trPr>
          <w:trHeight w:val="225"/>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ГД „Трудова заетост, социални въпроси и приобщаване“ </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Генерална дирекция „Трудова заетост, социални въпроси и приобщаване“ </w:t>
            </w:r>
          </w:p>
        </w:tc>
      </w:tr>
      <w:tr w:rsidR="00C82878" w:rsidRPr="00BD0D14" w:rsidTr="00B34448">
        <w:trPr>
          <w:trHeight w:val="84"/>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ГД „Морско дело и рибарство“ </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Генерална дирекция „Морско дело и рибарство“ </w:t>
            </w:r>
          </w:p>
        </w:tc>
      </w:tr>
      <w:tr w:rsidR="00C82878" w:rsidRPr="00BD0D14" w:rsidTr="00B34448">
        <w:trPr>
          <w:trHeight w:val="84"/>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ГД „Регионална и селищна политика“ </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Генерална дирекция „Регионална и селищна политика“ </w:t>
            </w:r>
          </w:p>
        </w:tc>
      </w:tr>
      <w:tr w:rsidR="00C82878" w:rsidRPr="00BD0D14" w:rsidTr="00B34448">
        <w:trPr>
          <w:trHeight w:val="84"/>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ЕЗФРСР </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Европейски земеделски фонд за развитие на селските райони </w:t>
            </w:r>
          </w:p>
        </w:tc>
      </w:tr>
      <w:tr w:rsidR="00C82878" w:rsidRPr="00BD0D14" w:rsidTr="00B34448">
        <w:trPr>
          <w:trHeight w:val="84"/>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ЕК </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Европейска комисия </w:t>
            </w:r>
          </w:p>
        </w:tc>
      </w:tr>
      <w:tr w:rsidR="00C82878" w:rsidRPr="00BD0D14" w:rsidTr="00B34448">
        <w:trPr>
          <w:trHeight w:val="84"/>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ЕПИ </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Европейско партньорство за иновации </w:t>
            </w:r>
          </w:p>
        </w:tc>
      </w:tr>
      <w:tr w:rsidR="00C82878" w:rsidRPr="00BD0D14" w:rsidTr="00B34448">
        <w:trPr>
          <w:trHeight w:val="84"/>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ЕФМДР </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Европейски фонд за морско дело и рибарство </w:t>
            </w:r>
          </w:p>
        </w:tc>
      </w:tr>
      <w:tr w:rsidR="00C82878" w:rsidRPr="00BD0D14" w:rsidTr="00B34448">
        <w:trPr>
          <w:trHeight w:val="84"/>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ЕМРСР </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Европейска мрежа за развитие на селските райони</w:t>
            </w:r>
          </w:p>
        </w:tc>
      </w:tr>
      <w:tr w:rsidR="00C82878" w:rsidRPr="00BD0D14" w:rsidTr="00B34448">
        <w:trPr>
          <w:trHeight w:val="84"/>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ПО</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План за оценка</w:t>
            </w:r>
          </w:p>
        </w:tc>
      </w:tr>
      <w:tr w:rsidR="00C82878" w:rsidRPr="00BD0D14" w:rsidTr="00B34448">
        <w:trPr>
          <w:trHeight w:val="84"/>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ВО</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Въпрос за оценка</w:t>
            </w:r>
          </w:p>
        </w:tc>
      </w:tr>
      <w:tr w:rsidR="00C82878" w:rsidRPr="00BD0D14" w:rsidTr="00B34448">
        <w:trPr>
          <w:trHeight w:val="84"/>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ЕФРР </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Европейски фонд за регионално развитие </w:t>
            </w:r>
          </w:p>
        </w:tc>
      </w:tr>
      <w:tr w:rsidR="00C82878" w:rsidRPr="00BD0D14" w:rsidTr="00B34448">
        <w:trPr>
          <w:trHeight w:val="84"/>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ЕСФ </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Европейски социален фонд </w:t>
            </w:r>
          </w:p>
        </w:tc>
      </w:tr>
      <w:tr w:rsidR="00C82878" w:rsidRPr="00BD0D14" w:rsidTr="00B34448">
        <w:trPr>
          <w:trHeight w:val="84"/>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ЕСИ фондове </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Европейски структурни и инвестиционни фондове </w:t>
            </w:r>
          </w:p>
        </w:tc>
      </w:tr>
      <w:tr w:rsidR="00C82878" w:rsidRPr="00BD0D14" w:rsidTr="00B34448">
        <w:trPr>
          <w:trHeight w:val="84"/>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ЕС</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Европейски съюз </w:t>
            </w:r>
          </w:p>
        </w:tc>
      </w:tr>
      <w:tr w:rsidR="00C82878" w:rsidRPr="00BD0D14" w:rsidTr="00B34448">
        <w:trPr>
          <w:trHeight w:val="84"/>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ОПА </w:t>
            </w:r>
          </w:p>
        </w:tc>
        <w:tc>
          <w:tcPr>
            <w:tcW w:w="6623" w:type="dxa"/>
          </w:tcPr>
          <w:p w:rsidR="00C82878" w:rsidRPr="00BD0D14" w:rsidRDefault="00C82878"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Област с поставен акцент</w:t>
            </w:r>
          </w:p>
        </w:tc>
      </w:tr>
      <w:tr w:rsidR="00C82878" w:rsidRPr="00BD0D14" w:rsidTr="00B34448">
        <w:trPr>
          <w:trHeight w:val="84"/>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МРГД</w:t>
            </w:r>
          </w:p>
        </w:tc>
        <w:tc>
          <w:tcPr>
            <w:tcW w:w="6623" w:type="dxa"/>
          </w:tcPr>
          <w:p w:rsidR="00C82878" w:rsidRPr="00BD0D14" w:rsidRDefault="00C82878"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Местна рибарска група за действие</w:t>
            </w:r>
          </w:p>
        </w:tc>
      </w:tr>
      <w:tr w:rsidR="00C82878" w:rsidRPr="00BD0D14" w:rsidTr="00B34448">
        <w:trPr>
          <w:trHeight w:val="84"/>
        </w:trPr>
        <w:tc>
          <w:tcPr>
            <w:tcW w:w="2371" w:type="dxa"/>
          </w:tcPr>
          <w:p w:rsidR="00C82878" w:rsidRPr="00BD0D14" w:rsidRDefault="00C82878" w:rsidP="00B3444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ЕПРВ</w:t>
            </w:r>
          </w:p>
        </w:tc>
        <w:tc>
          <w:tcPr>
            <w:tcW w:w="6623" w:type="dxa"/>
          </w:tcPr>
          <w:p w:rsidR="00C82878" w:rsidRPr="00BD0D14" w:rsidRDefault="00C82878" w:rsidP="00B3444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Еквивалент на пълно работно време </w:t>
            </w:r>
          </w:p>
        </w:tc>
      </w:tr>
      <w:tr w:rsidR="00C82878" w:rsidRPr="00BD0D14" w:rsidTr="00B34448">
        <w:trPr>
          <w:trHeight w:val="84"/>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БВП</w:t>
            </w:r>
          </w:p>
        </w:tc>
        <w:tc>
          <w:tcPr>
            <w:tcW w:w="6623" w:type="dxa"/>
          </w:tcPr>
          <w:p w:rsidR="00C82878" w:rsidRPr="00BD0D14" w:rsidRDefault="00C82878"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Брутен вътрешен продукт </w:t>
            </w:r>
          </w:p>
        </w:tc>
      </w:tr>
      <w:tr w:rsidR="00746324" w:rsidRPr="00BD0D14" w:rsidTr="00B34448">
        <w:trPr>
          <w:trHeight w:val="84"/>
        </w:trPr>
        <w:tc>
          <w:tcPr>
            <w:tcW w:w="2371" w:type="dxa"/>
          </w:tcPr>
          <w:p w:rsidR="00746324" w:rsidRPr="00BD0D14" w:rsidRDefault="00746324" w:rsidP="00746324">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МГД</w:t>
            </w:r>
          </w:p>
        </w:tc>
        <w:tc>
          <w:tcPr>
            <w:tcW w:w="6623" w:type="dxa"/>
          </w:tcPr>
          <w:p w:rsidR="00746324" w:rsidRPr="00BD0D14" w:rsidRDefault="00746324" w:rsidP="00746324">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Местна група за действие</w:t>
            </w:r>
          </w:p>
        </w:tc>
      </w:tr>
      <w:tr w:rsidR="00746324" w:rsidRPr="00BD0D14" w:rsidTr="00B34448">
        <w:trPr>
          <w:trHeight w:val="84"/>
        </w:trPr>
        <w:tc>
          <w:tcPr>
            <w:tcW w:w="2371" w:type="dxa"/>
          </w:tcPr>
          <w:p w:rsidR="00746324" w:rsidRPr="00BD0D14" w:rsidRDefault="00746324" w:rsidP="00746324">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LEADER</w:t>
            </w:r>
          </w:p>
        </w:tc>
        <w:tc>
          <w:tcPr>
            <w:tcW w:w="6623" w:type="dxa"/>
          </w:tcPr>
          <w:p w:rsidR="00746324" w:rsidRPr="00BD0D14" w:rsidRDefault="00746324" w:rsidP="00746324">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Връзка между действията за развитие на икономиката на селските райони (Liaison Entre Actions de Développement de l'Économie Rurale)</w:t>
            </w:r>
          </w:p>
        </w:tc>
      </w:tr>
      <w:tr w:rsidR="00746324" w:rsidRPr="00BD0D14" w:rsidTr="00B34448">
        <w:trPr>
          <w:trHeight w:val="84"/>
        </w:trPr>
        <w:tc>
          <w:tcPr>
            <w:tcW w:w="2371" w:type="dxa"/>
          </w:tcPr>
          <w:p w:rsidR="00746324" w:rsidRPr="00BD0D14" w:rsidRDefault="00746324"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М</w:t>
            </w:r>
          </w:p>
        </w:tc>
        <w:tc>
          <w:tcPr>
            <w:tcW w:w="6623" w:type="dxa"/>
          </w:tcPr>
          <w:p w:rsidR="00746324" w:rsidRPr="00BD0D14" w:rsidRDefault="00746324"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Мярка</w:t>
            </w:r>
          </w:p>
        </w:tc>
      </w:tr>
      <w:tr w:rsidR="00C82878" w:rsidRPr="00BD0D14" w:rsidTr="00B34448">
        <w:trPr>
          <w:trHeight w:val="84"/>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УО</w:t>
            </w:r>
          </w:p>
        </w:tc>
        <w:tc>
          <w:tcPr>
            <w:tcW w:w="6623" w:type="dxa"/>
          </w:tcPr>
          <w:p w:rsidR="00C82878" w:rsidRPr="00BD0D14" w:rsidRDefault="00C82878"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Управляващ орган</w:t>
            </w:r>
          </w:p>
        </w:tc>
      </w:tr>
      <w:tr w:rsidR="00C82878" w:rsidRPr="00BD0D14" w:rsidTr="00B34448">
        <w:trPr>
          <w:trHeight w:val="84"/>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МОВПП</w:t>
            </w:r>
          </w:p>
        </w:tc>
        <w:tc>
          <w:tcPr>
            <w:tcW w:w="6623" w:type="dxa"/>
          </w:tcPr>
          <w:p w:rsidR="00C82878" w:rsidRPr="00BD0D14" w:rsidRDefault="00C82878"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Метод за оценка на въздействието на програма и проект</w:t>
            </w:r>
          </w:p>
        </w:tc>
      </w:tr>
      <w:tr w:rsidR="00C82878" w:rsidRPr="00BD0D14" w:rsidTr="00B34448">
        <w:trPr>
          <w:trHeight w:val="84"/>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КМ</w:t>
            </w:r>
          </w:p>
        </w:tc>
        <w:tc>
          <w:tcPr>
            <w:tcW w:w="6623" w:type="dxa"/>
          </w:tcPr>
          <w:p w:rsidR="00C82878" w:rsidRPr="00BD0D14" w:rsidRDefault="00C82878"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Комитет за мониторинг</w:t>
            </w:r>
          </w:p>
        </w:tc>
      </w:tr>
      <w:tr w:rsidR="00C82878" w:rsidRPr="00BD0D14" w:rsidTr="00B34448">
        <w:trPr>
          <w:trHeight w:val="84"/>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ДЧ</w:t>
            </w:r>
          </w:p>
        </w:tc>
        <w:tc>
          <w:tcPr>
            <w:tcW w:w="6623" w:type="dxa"/>
          </w:tcPr>
          <w:p w:rsidR="00C82878" w:rsidRPr="00BD0D14" w:rsidRDefault="00C82878"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Държава членка</w:t>
            </w:r>
          </w:p>
        </w:tc>
      </w:tr>
      <w:tr w:rsidR="00C82878" w:rsidRPr="00BD0D14" w:rsidTr="00B34448">
        <w:trPr>
          <w:trHeight w:val="84"/>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НПО</w:t>
            </w:r>
          </w:p>
        </w:tc>
        <w:tc>
          <w:tcPr>
            <w:tcW w:w="6623" w:type="dxa"/>
          </w:tcPr>
          <w:p w:rsidR="00C82878" w:rsidRPr="00BD0D14" w:rsidRDefault="00C82878"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Неправителствена организация</w:t>
            </w:r>
          </w:p>
        </w:tc>
      </w:tr>
      <w:tr w:rsidR="00C82878" w:rsidRPr="00BD0D14" w:rsidTr="00B34448">
        <w:trPr>
          <w:trHeight w:val="84"/>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lastRenderedPageBreak/>
              <w:t>НМСР</w:t>
            </w:r>
          </w:p>
        </w:tc>
        <w:tc>
          <w:tcPr>
            <w:tcW w:w="6623" w:type="dxa"/>
          </w:tcPr>
          <w:p w:rsidR="00C82878" w:rsidRPr="00BD0D14" w:rsidRDefault="00C82878"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Национална мрежа за селските райони</w:t>
            </w:r>
          </w:p>
        </w:tc>
      </w:tr>
      <w:tr w:rsidR="00C82878" w:rsidRPr="00BD0D14" w:rsidTr="00B34448">
        <w:trPr>
          <w:trHeight w:val="84"/>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КП</w:t>
            </w:r>
          </w:p>
        </w:tc>
        <w:tc>
          <w:tcPr>
            <w:tcW w:w="6623" w:type="dxa"/>
          </w:tcPr>
          <w:p w:rsidR="00C82878" w:rsidRPr="00BD0D14" w:rsidRDefault="00C82878"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Краен продукт</w:t>
            </w:r>
          </w:p>
        </w:tc>
      </w:tr>
      <w:tr w:rsidR="00C82878" w:rsidRPr="00BD0D14" w:rsidTr="00B34448">
        <w:trPr>
          <w:trHeight w:val="84"/>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ПКП</w:t>
            </w:r>
          </w:p>
        </w:tc>
        <w:tc>
          <w:tcPr>
            <w:tcW w:w="6623" w:type="dxa"/>
          </w:tcPr>
          <w:p w:rsidR="00C82878" w:rsidRPr="00BD0D14" w:rsidRDefault="00C82878"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Показатели за крайни продукти</w:t>
            </w:r>
          </w:p>
        </w:tc>
      </w:tr>
      <w:tr w:rsidR="00C82878" w:rsidRPr="00BD0D14" w:rsidTr="00B34448">
        <w:trPr>
          <w:trHeight w:val="84"/>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ОП</w:t>
            </w:r>
          </w:p>
        </w:tc>
        <w:tc>
          <w:tcPr>
            <w:tcW w:w="6623" w:type="dxa"/>
          </w:tcPr>
          <w:p w:rsidR="00C82878" w:rsidRPr="00BD0D14" w:rsidRDefault="00C82878"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Оперативна програма </w:t>
            </w:r>
          </w:p>
        </w:tc>
      </w:tr>
      <w:tr w:rsidR="00C82878" w:rsidRPr="00BD0D14" w:rsidTr="00B34448">
        <w:trPr>
          <w:trHeight w:val="84"/>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РА</w:t>
            </w:r>
          </w:p>
        </w:tc>
        <w:tc>
          <w:tcPr>
            <w:tcW w:w="6623" w:type="dxa"/>
          </w:tcPr>
          <w:p w:rsidR="00C82878" w:rsidRPr="00BD0D14" w:rsidRDefault="00C82878"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Разплащателна агенция</w:t>
            </w:r>
          </w:p>
        </w:tc>
      </w:tr>
      <w:tr w:rsidR="00C82878" w:rsidRPr="00BD0D14" w:rsidTr="00B34448">
        <w:trPr>
          <w:trHeight w:val="84"/>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PROMIS</w:t>
            </w:r>
          </w:p>
        </w:tc>
        <w:tc>
          <w:tcPr>
            <w:tcW w:w="6623" w:type="dxa"/>
          </w:tcPr>
          <w:p w:rsidR="00C82878" w:rsidRPr="00BD0D14" w:rsidRDefault="00C82878"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Информационна система за управление, ориентирана към резултатите от проектите</w:t>
            </w:r>
          </w:p>
        </w:tc>
      </w:tr>
      <w:tr w:rsidR="00C82878" w:rsidRPr="00BD0D14" w:rsidTr="00B34448">
        <w:trPr>
          <w:trHeight w:val="84"/>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СПВО</w:t>
            </w:r>
          </w:p>
        </w:tc>
        <w:tc>
          <w:tcPr>
            <w:tcW w:w="6623" w:type="dxa"/>
          </w:tcPr>
          <w:p w:rsidR="00C82878" w:rsidRPr="00BD0D14" w:rsidRDefault="00AE39F4"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Специфичен за програмата въпрос за оценка</w:t>
            </w:r>
          </w:p>
        </w:tc>
      </w:tr>
      <w:tr w:rsidR="00C82878" w:rsidRPr="00BD0D14" w:rsidTr="00B34448">
        <w:trPr>
          <w:trHeight w:val="84"/>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Р</w:t>
            </w:r>
          </w:p>
        </w:tc>
        <w:tc>
          <w:tcPr>
            <w:tcW w:w="6623" w:type="dxa"/>
          </w:tcPr>
          <w:p w:rsidR="00C82878" w:rsidRPr="00BD0D14" w:rsidRDefault="00C82878"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Резултат</w:t>
            </w:r>
          </w:p>
        </w:tc>
      </w:tr>
      <w:tr w:rsidR="00C82878" w:rsidRPr="00BD0D14" w:rsidTr="00B34448">
        <w:trPr>
          <w:trHeight w:val="84"/>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ПРСР</w:t>
            </w:r>
          </w:p>
        </w:tc>
        <w:tc>
          <w:tcPr>
            <w:tcW w:w="6623" w:type="dxa"/>
          </w:tcPr>
          <w:p w:rsidR="00C82878" w:rsidRPr="00BD0D14" w:rsidRDefault="00C82878"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Програма за развитие на селските райони</w:t>
            </w:r>
          </w:p>
        </w:tc>
      </w:tr>
      <w:tr w:rsidR="00C82878" w:rsidRPr="00BD0D14" w:rsidTr="00B34448">
        <w:trPr>
          <w:trHeight w:val="84"/>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ПР</w:t>
            </w:r>
          </w:p>
        </w:tc>
        <w:tc>
          <w:tcPr>
            <w:tcW w:w="6623" w:type="dxa"/>
          </w:tcPr>
          <w:p w:rsidR="00C82878" w:rsidRPr="00BD0D14" w:rsidRDefault="00C82878"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Показатели за резултати</w:t>
            </w:r>
          </w:p>
        </w:tc>
      </w:tr>
      <w:tr w:rsidR="00C82878" w:rsidRPr="00BD0D14" w:rsidTr="00B34448">
        <w:trPr>
          <w:trHeight w:val="84"/>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SFC</w:t>
            </w:r>
          </w:p>
        </w:tc>
        <w:tc>
          <w:tcPr>
            <w:tcW w:w="6623" w:type="dxa"/>
          </w:tcPr>
          <w:p w:rsidR="00C82878" w:rsidRPr="00BD0D14" w:rsidRDefault="00A759EF" w:rsidP="00A759EF">
            <w:pPr>
              <w:pStyle w:val="Default"/>
              <w:spacing w:before="60" w:after="60"/>
              <w:jc w:val="both"/>
              <w:rPr>
                <w:rFonts w:ascii="Arial" w:hAnsi="Arial" w:cs="Arial"/>
                <w:color w:val="373737" w:themeColor="background1" w:themeShade="40"/>
                <w:sz w:val="18"/>
                <w:szCs w:val="18"/>
              </w:rPr>
            </w:pPr>
            <w:r w:rsidRPr="00251DF4">
              <w:rPr>
                <w:rFonts w:ascii="Arial" w:hAnsi="Arial"/>
                <w:color w:val="373737" w:themeColor="background1" w:themeShade="40"/>
                <w:sz w:val="18"/>
              </w:rPr>
              <w:t>Обща</w:t>
            </w:r>
            <w:r w:rsidR="00C82878" w:rsidRPr="00BD0D14">
              <w:rPr>
                <w:rFonts w:ascii="Arial" w:hAnsi="Arial"/>
                <w:color w:val="373737" w:themeColor="background1" w:themeShade="40"/>
                <w:sz w:val="18"/>
              </w:rPr>
              <w:t xml:space="preserve"> система за </w:t>
            </w:r>
            <w:r w:rsidRPr="00251DF4">
              <w:rPr>
                <w:rFonts w:ascii="Arial" w:hAnsi="Arial"/>
                <w:color w:val="373737" w:themeColor="background1" w:themeShade="40"/>
                <w:sz w:val="18"/>
              </w:rPr>
              <w:t xml:space="preserve">споделено </w:t>
            </w:r>
            <w:r w:rsidR="00C82878" w:rsidRPr="00BD0D14">
              <w:rPr>
                <w:rFonts w:ascii="Arial" w:hAnsi="Arial"/>
                <w:color w:val="373737" w:themeColor="background1" w:themeShade="40"/>
                <w:sz w:val="18"/>
              </w:rPr>
              <w:t>управление на фондове</w:t>
            </w:r>
          </w:p>
        </w:tc>
      </w:tr>
      <w:tr w:rsidR="00C82878" w:rsidRPr="00BD0D14" w:rsidTr="00B34448">
        <w:trPr>
          <w:trHeight w:val="84"/>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МСП</w:t>
            </w:r>
          </w:p>
        </w:tc>
        <w:tc>
          <w:tcPr>
            <w:tcW w:w="6623" w:type="dxa"/>
          </w:tcPr>
          <w:p w:rsidR="00C82878" w:rsidRPr="00BD0D14" w:rsidRDefault="00C82878"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Малки и средни предприятия</w:t>
            </w:r>
          </w:p>
        </w:tc>
      </w:tr>
      <w:tr w:rsidR="00C82878" w:rsidRPr="00BD0D14" w:rsidTr="00B34448">
        <w:trPr>
          <w:trHeight w:val="58"/>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SWOT анализ</w:t>
            </w:r>
          </w:p>
        </w:tc>
        <w:tc>
          <w:tcPr>
            <w:tcW w:w="6623" w:type="dxa"/>
          </w:tcPr>
          <w:p w:rsidR="00C82878" w:rsidRPr="00BD0D14" w:rsidRDefault="00C82878"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Силни страни, слабости, възможности и заплахи</w:t>
            </w:r>
          </w:p>
        </w:tc>
      </w:tr>
      <w:tr w:rsidR="00C82878" w:rsidRPr="00BD0D14" w:rsidTr="00B34448">
        <w:trPr>
          <w:trHeight w:val="58"/>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Ц </w:t>
            </w:r>
          </w:p>
        </w:tc>
        <w:tc>
          <w:tcPr>
            <w:tcW w:w="6623" w:type="dxa"/>
          </w:tcPr>
          <w:p w:rsidR="00C82878" w:rsidRPr="00BD0D14" w:rsidRDefault="00C82878"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Цел</w:t>
            </w:r>
          </w:p>
        </w:tc>
      </w:tr>
      <w:tr w:rsidR="00C82878" w:rsidRPr="00BD0D14" w:rsidTr="00B34448">
        <w:trPr>
          <w:trHeight w:val="58"/>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ТЦ</w:t>
            </w:r>
          </w:p>
        </w:tc>
        <w:tc>
          <w:tcPr>
            <w:tcW w:w="6623" w:type="dxa"/>
          </w:tcPr>
          <w:p w:rsidR="00C82878" w:rsidRPr="00BD0D14" w:rsidRDefault="00C82878"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 xml:space="preserve">Тематични цели </w:t>
            </w:r>
          </w:p>
        </w:tc>
      </w:tr>
      <w:tr w:rsidR="00C82878" w:rsidRPr="00BD0D14" w:rsidTr="00B34448">
        <w:trPr>
          <w:trHeight w:val="58"/>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r w:rsidRPr="00BD0D14">
              <w:rPr>
                <w:rFonts w:ascii="Arial" w:hAnsi="Arial"/>
                <w:color w:val="373737" w:themeColor="background1" w:themeShade="40"/>
                <w:sz w:val="18"/>
              </w:rPr>
              <w:t>РД</w:t>
            </w:r>
          </w:p>
        </w:tc>
        <w:tc>
          <w:tcPr>
            <w:tcW w:w="6623" w:type="dxa"/>
          </w:tcPr>
          <w:p w:rsidR="00C82878" w:rsidRPr="00BD0D14" w:rsidRDefault="00C82878" w:rsidP="00C82878">
            <w:pPr>
              <w:pStyle w:val="Default"/>
              <w:spacing w:before="60" w:after="60"/>
              <w:jc w:val="both"/>
              <w:rPr>
                <w:rFonts w:ascii="Arial" w:hAnsi="Arial" w:cs="Arial"/>
                <w:color w:val="373737" w:themeColor="background1" w:themeShade="40"/>
                <w:sz w:val="18"/>
                <w:szCs w:val="18"/>
              </w:rPr>
            </w:pPr>
            <w:r w:rsidRPr="00BD0D14">
              <w:rPr>
                <w:rFonts w:ascii="Arial" w:hAnsi="Arial"/>
                <w:color w:val="373737" w:themeColor="background1" w:themeShade="40"/>
                <w:sz w:val="18"/>
              </w:rPr>
              <w:t>Работен документ</w:t>
            </w:r>
          </w:p>
        </w:tc>
      </w:tr>
      <w:tr w:rsidR="00C82878" w:rsidRPr="00BD0D14" w:rsidTr="00B34448">
        <w:trPr>
          <w:trHeight w:val="458"/>
        </w:trPr>
        <w:tc>
          <w:tcPr>
            <w:tcW w:w="2371" w:type="dxa"/>
          </w:tcPr>
          <w:p w:rsidR="00C82878" w:rsidRPr="00BD0D14" w:rsidRDefault="00C82878" w:rsidP="00C82878">
            <w:pPr>
              <w:pStyle w:val="Default"/>
              <w:spacing w:before="60" w:after="60"/>
              <w:rPr>
                <w:rFonts w:ascii="Arial" w:hAnsi="Arial" w:cs="Arial"/>
                <w:color w:val="373737" w:themeColor="background1" w:themeShade="40"/>
                <w:sz w:val="18"/>
                <w:szCs w:val="18"/>
              </w:rPr>
            </w:pPr>
          </w:p>
        </w:tc>
        <w:tc>
          <w:tcPr>
            <w:tcW w:w="6623" w:type="dxa"/>
          </w:tcPr>
          <w:p w:rsidR="00C82878" w:rsidRPr="00BD0D14" w:rsidRDefault="00C82878" w:rsidP="00C82878">
            <w:pPr>
              <w:pStyle w:val="Default"/>
              <w:spacing w:before="60" w:after="60"/>
              <w:rPr>
                <w:rFonts w:ascii="Arial" w:hAnsi="Arial" w:cs="Arial"/>
                <w:color w:val="373737" w:themeColor="background1" w:themeShade="40"/>
                <w:sz w:val="18"/>
                <w:szCs w:val="18"/>
              </w:rPr>
            </w:pPr>
          </w:p>
        </w:tc>
      </w:tr>
    </w:tbl>
    <w:p w:rsidR="00D46DC0" w:rsidRPr="00FB01AA" w:rsidRDefault="00D46DC0" w:rsidP="00B34448">
      <w:pPr>
        <w:pStyle w:val="Normal22PT"/>
        <w:rPr>
          <w:caps/>
          <w:smallCaps w:val="0"/>
          <w:sz w:val="36"/>
        </w:rPr>
      </w:pPr>
      <w:r w:rsidRPr="00FB01AA">
        <w:rPr>
          <w:sz w:val="36"/>
        </w:rPr>
        <w:br w:type="page"/>
      </w:r>
    </w:p>
    <w:p w:rsidR="009F15D6" w:rsidRPr="00FB01AA" w:rsidRDefault="009F15D6" w:rsidP="00D46DC0">
      <w:pPr>
        <w:pStyle w:val="Normal22PT"/>
        <w:rPr>
          <w:caps/>
          <w:smallCaps w:val="0"/>
          <w:sz w:val="36"/>
        </w:rPr>
        <w:sectPr w:rsidR="009F15D6" w:rsidRPr="00FB01AA" w:rsidSect="008C59E3">
          <w:pgSz w:w="11906" w:h="16838"/>
          <w:pgMar w:top="1418" w:right="1418" w:bottom="1418" w:left="1418" w:header="709" w:footer="709" w:gutter="0"/>
          <w:cols w:space="708"/>
          <w:docGrid w:linePitch="360"/>
        </w:sectPr>
      </w:pPr>
    </w:p>
    <w:p w:rsidR="00D46DC0" w:rsidRPr="00FB01AA" w:rsidRDefault="00D46DC0" w:rsidP="00D46DC0">
      <w:pPr>
        <w:pStyle w:val="Normal22PT"/>
        <w:rPr>
          <w:caps/>
          <w:smallCaps w:val="0"/>
          <w:sz w:val="36"/>
        </w:rPr>
      </w:pPr>
      <w:r w:rsidRPr="00FB01AA">
        <w:rPr>
          <w:caps/>
          <w:smallCaps w:val="0"/>
          <w:sz w:val="36"/>
        </w:rPr>
        <w:lastRenderedPageBreak/>
        <w:t>предговор</w:t>
      </w:r>
    </w:p>
    <w:p w:rsidR="00D46DC0" w:rsidRPr="00FB01AA" w:rsidRDefault="00D46DC0" w:rsidP="00D46DC0">
      <w:pPr>
        <w:pStyle w:val="HHeading5"/>
        <w:spacing w:before="0" w:after="120" w:line="280" w:lineRule="atLeast"/>
        <w:rPr>
          <w:sz w:val="18"/>
        </w:rPr>
      </w:pPr>
      <w:r w:rsidRPr="00FB01AA">
        <w:rPr>
          <w:sz w:val="18"/>
        </w:rPr>
        <w:t>Защо са необходими насоки?</w:t>
      </w:r>
    </w:p>
    <w:p w:rsidR="00D46DC0" w:rsidRPr="00FB01AA" w:rsidRDefault="00D46DC0" w:rsidP="009F15D6">
      <w:pPr>
        <w:pStyle w:val="HStandard"/>
        <w:rPr>
          <w:sz w:val="18"/>
        </w:rPr>
      </w:pPr>
      <w:r w:rsidRPr="00FB01AA">
        <w:rPr>
          <w:sz w:val="18"/>
        </w:rPr>
        <w:t xml:space="preserve">Въпреки че заинтересованите страни вече имат натрупан в продължение на няколко години опит с оценката на LEADER, през новия програмен период 2014—2020 г. правилната оценка на въздействието на LEADER/ВОМР на равнището на ЕС, на държавите членки, както и на регионално и местно равнище е свързана с нови предизвикателства. </w:t>
      </w:r>
    </w:p>
    <w:p w:rsidR="00D46DC0" w:rsidRPr="00FB01AA" w:rsidRDefault="00D46DC0" w:rsidP="009F15D6">
      <w:pPr>
        <w:pStyle w:val="HStandard"/>
        <w:rPr>
          <w:sz w:val="18"/>
        </w:rPr>
      </w:pPr>
      <w:r w:rsidRPr="00FB01AA">
        <w:rPr>
          <w:b/>
          <w:sz w:val="18"/>
        </w:rPr>
        <w:t xml:space="preserve">Важността на оценката се повиши </w:t>
      </w:r>
      <w:r w:rsidRPr="00FB01AA">
        <w:rPr>
          <w:sz w:val="18"/>
        </w:rPr>
        <w:t>поради разработването на нови изисквания за мониторинг и оценка в рамките на политиката за развитие на селските райони за периода 2014—2020 г. (вж. глава 1.1.3) и поради възможността за гъвкаво планиране на LEADER/ВОМР като част от ПРСР. Ето защо заинтересованите страни може да имат нужда да получат указания за изпълнението на новите задачи, свързани с оценяването, като оценката на първичния и вторичния принос на LEADER/ВОМР за постигането на целите на политиката, резултатите и въздействията на ПРСР, както и мониторинга и оценката на стратегиите за ВОМР</w:t>
      </w:r>
      <w:r w:rsidRPr="00FB01AA">
        <w:rPr>
          <w:rStyle w:val="FootnoteReference"/>
          <w:sz w:val="18"/>
        </w:rPr>
        <w:footnoteReference w:id="1"/>
      </w:r>
      <w:r w:rsidRPr="00FB01AA">
        <w:rPr>
          <w:sz w:val="18"/>
        </w:rPr>
        <w:t xml:space="preserve">. </w:t>
      </w:r>
    </w:p>
    <w:p w:rsidR="00D46DC0" w:rsidRPr="00FB01AA" w:rsidRDefault="00D46DC0" w:rsidP="009F15D6">
      <w:pPr>
        <w:pStyle w:val="HStandard"/>
        <w:rPr>
          <w:spacing w:val="-4"/>
          <w:sz w:val="18"/>
        </w:rPr>
      </w:pPr>
      <w:r w:rsidRPr="00FB01AA">
        <w:rPr>
          <w:spacing w:val="-4"/>
          <w:sz w:val="18"/>
        </w:rPr>
        <w:t xml:space="preserve">Въз основа на съществуващата правна рамка и указания настоящите насоки имат за цел да подпомогнат заинтересованите страни при оценката на интервенциите по LEADER/ВОМР и при докладването на тези дейности. За тази цел насоките предлагат практически съвети относно подготовката и извършването на дейностите за оценка на LEADER/ВОМР, когато последните се осъществяват като част от оценката на ПРСР, но също така и когато оценката/самооценката се изпълнява на местно равнище. </w:t>
      </w:r>
    </w:p>
    <w:p w:rsidR="00D46DC0" w:rsidRPr="00FB01AA" w:rsidRDefault="00D46DC0" w:rsidP="009F15D6">
      <w:pPr>
        <w:pStyle w:val="HStandard"/>
        <w:rPr>
          <w:sz w:val="18"/>
        </w:rPr>
      </w:pPr>
      <w:r w:rsidRPr="00FB01AA">
        <w:rPr>
          <w:b/>
          <w:sz w:val="18"/>
        </w:rPr>
        <w:t>Насоките бяха изготвени от екип от експерти</w:t>
      </w:r>
      <w:r w:rsidRPr="00FB01AA">
        <w:rPr>
          <w:sz w:val="18"/>
        </w:rPr>
        <w:t xml:space="preserve"> на Европейското бюро за оценка в областта на развитието на селските райони (Vincenzo Angrisani, Jean-Michel Courades, Robert Lukesch, Julija Marosek, Matteo Metta, Marili Parissaki, Magda Porta, Carlo Ricci, Jela Tvrdonova и Hannes Wimmer). Представители на ГД „Земеделие и </w:t>
      </w:r>
      <w:r w:rsidRPr="00FB01AA">
        <w:rPr>
          <w:sz w:val="18"/>
        </w:rPr>
        <w:t xml:space="preserve">развитие на селските райони“ гарантираха съответствието на насоките с рамката на ЕС в областта на политиката. Представители от държавите членки коментираха </w:t>
      </w:r>
      <w:r w:rsidR="00F93F82" w:rsidRPr="00251DF4">
        <w:rPr>
          <w:sz w:val="18"/>
        </w:rPr>
        <w:t>проектовариантите</w:t>
      </w:r>
      <w:r w:rsidRPr="00FB01AA">
        <w:rPr>
          <w:sz w:val="18"/>
        </w:rPr>
        <w:t xml:space="preserve"> на насоките на </w:t>
      </w:r>
      <w:r w:rsidRPr="00FB01AA">
        <w:rPr>
          <w:sz w:val="18"/>
          <w:vertAlign w:val="superscript"/>
        </w:rPr>
        <w:t>9-ото</w:t>
      </w:r>
      <w:r w:rsidRPr="00FB01AA">
        <w:rPr>
          <w:sz w:val="18"/>
        </w:rPr>
        <w:t xml:space="preserve"> заседание на експертната група за мониторинг и оценка на ОСП, както и по време на заседанията на група</w:t>
      </w:r>
      <w:r w:rsidR="00B21206" w:rsidRPr="00251DF4">
        <w:rPr>
          <w:sz w:val="18"/>
        </w:rPr>
        <w:t>та за отзвук</w:t>
      </w:r>
      <w:r w:rsidRPr="00FB01AA">
        <w:rPr>
          <w:rStyle w:val="FootnoteReference"/>
          <w:sz w:val="18"/>
        </w:rPr>
        <w:footnoteReference w:id="2"/>
      </w:r>
      <w:r w:rsidRPr="00FB01AA">
        <w:rPr>
          <w:sz w:val="18"/>
        </w:rPr>
        <w:t xml:space="preserve">. Звеното за контакт на ЕМРСР и центърът за услуги на ЕПИ също бяха поканени да коментират насоките. </w:t>
      </w:r>
    </w:p>
    <w:p w:rsidR="00D46DC0" w:rsidRPr="00FB01AA" w:rsidRDefault="00D46DC0" w:rsidP="00D46DC0">
      <w:pPr>
        <w:pStyle w:val="HHeading5"/>
        <w:spacing w:before="0" w:after="120" w:line="280" w:lineRule="atLeast"/>
        <w:rPr>
          <w:sz w:val="18"/>
        </w:rPr>
      </w:pPr>
      <w:r w:rsidRPr="00FB01AA">
        <w:rPr>
          <w:sz w:val="18"/>
        </w:rPr>
        <w:t>Кои са целевите групи, за които се отнасят настоящите насоки?</w:t>
      </w:r>
    </w:p>
    <w:p w:rsidR="00D46DC0" w:rsidRPr="00FB01AA" w:rsidRDefault="00D46DC0" w:rsidP="00D46DC0">
      <w:pPr>
        <w:pStyle w:val="HStandard"/>
        <w:rPr>
          <w:sz w:val="18"/>
        </w:rPr>
      </w:pPr>
      <w:r w:rsidRPr="00FB01AA">
        <w:rPr>
          <w:sz w:val="18"/>
        </w:rPr>
        <w:t>Насоките за оценката на LEADER/ВОМР са изготвени за различни групи заинтересовани страни, които са ангажирани с развитието на селските райони:</w:t>
      </w:r>
    </w:p>
    <w:p w:rsidR="00D46DC0" w:rsidRPr="00FB01AA" w:rsidRDefault="00D46DC0" w:rsidP="00370643">
      <w:pPr>
        <w:pStyle w:val="Hlistbullet"/>
        <w:rPr>
          <w:sz w:val="18"/>
        </w:rPr>
      </w:pPr>
      <w:r w:rsidRPr="00FB01AA">
        <w:rPr>
          <w:b/>
          <w:sz w:val="18"/>
        </w:rPr>
        <w:t>Управляващите органи</w:t>
      </w:r>
      <w:r w:rsidRPr="00FB01AA">
        <w:rPr>
          <w:sz w:val="18"/>
        </w:rPr>
        <w:t xml:space="preserve"> ще намерят информация за оценката на LEADER/ВОМР на равнището на ПРСР: правната рамка и целта и фокуса на оценката. В практическите указания се посочват начините за подготовка, управление и координиране на оценката на приноса на интервенциите по LEADER/ВОМР, както и </w:t>
      </w:r>
      <w:r w:rsidR="00B21206" w:rsidRPr="00251DF4">
        <w:rPr>
          <w:sz w:val="18"/>
        </w:rPr>
        <w:t xml:space="preserve">начините </w:t>
      </w:r>
      <w:r w:rsidRPr="00FB01AA">
        <w:rPr>
          <w:sz w:val="18"/>
        </w:rPr>
        <w:t xml:space="preserve">за докладване, разпространение и последващи действия във връзка с </w:t>
      </w:r>
      <w:r w:rsidR="00C138FC" w:rsidRPr="00251DF4">
        <w:rPr>
          <w:sz w:val="18"/>
        </w:rPr>
        <w:t>констатаци</w:t>
      </w:r>
      <w:r w:rsidRPr="00FB01AA">
        <w:rPr>
          <w:sz w:val="18"/>
        </w:rPr>
        <w:t>ите от оценката. Освен това управляващите органи ще намерят ценна информация за това как да подкрепят МГД, когато последните извършват дейности за оценка на местно равнище. Разплащателните агенции могат да намерят подходяща информация за своите бази данни за операциите.</w:t>
      </w:r>
    </w:p>
    <w:p w:rsidR="00D46DC0" w:rsidRPr="00FB01AA" w:rsidRDefault="00D46DC0" w:rsidP="00D46DC0">
      <w:pPr>
        <w:pStyle w:val="Hlistbullet"/>
        <w:rPr>
          <w:spacing w:val="-4"/>
          <w:sz w:val="18"/>
        </w:rPr>
      </w:pPr>
      <w:r w:rsidRPr="00FB01AA">
        <w:rPr>
          <w:b/>
          <w:spacing w:val="-4"/>
          <w:sz w:val="18"/>
        </w:rPr>
        <w:t>НМСР</w:t>
      </w:r>
      <w:r w:rsidRPr="00FB01AA">
        <w:rPr>
          <w:spacing w:val="-4"/>
          <w:sz w:val="18"/>
        </w:rPr>
        <w:t xml:space="preserve"> ще намерят указания относно вида на подкрепата, която могат да предоставят на МГД във връзка с извършването на техните задачи за оценка. </w:t>
      </w:r>
    </w:p>
    <w:p w:rsidR="00D46DC0" w:rsidRPr="00FB01AA" w:rsidRDefault="00D46DC0" w:rsidP="00D46DC0">
      <w:pPr>
        <w:pStyle w:val="Hlistbullet"/>
        <w:rPr>
          <w:sz w:val="18"/>
        </w:rPr>
      </w:pPr>
      <w:r w:rsidRPr="00FB01AA">
        <w:rPr>
          <w:b/>
          <w:sz w:val="18"/>
        </w:rPr>
        <w:t>Оценителите</w:t>
      </w:r>
      <w:r w:rsidRPr="00FB01AA">
        <w:rPr>
          <w:sz w:val="18"/>
        </w:rPr>
        <w:t xml:space="preserve"> ще намерят изчерпателни разяснения по всички относими правни текстове и цялостната обосновка на изискванията. Насоките представят подходи за оценка на приноса на LEADER/ВОМР за </w:t>
      </w:r>
      <w:r w:rsidRPr="00FB01AA">
        <w:rPr>
          <w:sz w:val="18"/>
        </w:rPr>
        <w:lastRenderedPageBreak/>
        <w:t xml:space="preserve">постигането на резултатите, въздействието и целите на ПРСР, както и подходи за оценката на LEADER/ВОМР на местно равнище. </w:t>
      </w:r>
    </w:p>
    <w:p w:rsidR="00D46DC0" w:rsidRPr="00FB01AA" w:rsidRDefault="00D46DC0" w:rsidP="00D46DC0">
      <w:pPr>
        <w:pStyle w:val="Hlistbullet"/>
        <w:rPr>
          <w:sz w:val="18"/>
        </w:rPr>
      </w:pPr>
      <w:r w:rsidRPr="00FB01AA">
        <w:rPr>
          <w:b/>
          <w:sz w:val="18"/>
        </w:rPr>
        <w:t>Служителите на ГД „Земеделие и развитие на селските райони“</w:t>
      </w:r>
      <w:r w:rsidRPr="00FB01AA">
        <w:rPr>
          <w:sz w:val="18"/>
        </w:rPr>
        <w:t xml:space="preserve"> може да използват насоките като референтен документ по всички въпроси, които възникват във връзка с оценката на LEADER/ВОМР.</w:t>
      </w:r>
    </w:p>
    <w:p w:rsidR="00D46DC0" w:rsidRPr="00FB01AA" w:rsidRDefault="00D46DC0" w:rsidP="00D46DC0">
      <w:pPr>
        <w:pStyle w:val="Hlistbullet"/>
        <w:rPr>
          <w:sz w:val="18"/>
        </w:rPr>
      </w:pPr>
      <w:r w:rsidRPr="00FB01AA">
        <w:rPr>
          <w:b/>
          <w:sz w:val="18"/>
        </w:rPr>
        <w:t>МГД</w:t>
      </w:r>
      <w:r w:rsidRPr="00FB01AA">
        <w:rPr>
          <w:sz w:val="18"/>
        </w:rPr>
        <w:t xml:space="preserve"> ще намерят препоръки относно това как да извършват дейностите за оценка на местно равнище. Предоставена е информация за това как оценката на LEADER/ВОМР на равнището на ПРСР е свързана с дейностите за оценка на равнището на МГД и </w:t>
      </w:r>
      <w:r w:rsidR="00E97096" w:rsidRPr="00251DF4">
        <w:rPr>
          <w:sz w:val="18"/>
        </w:rPr>
        <w:t>каква</w:t>
      </w:r>
      <w:r w:rsidRPr="00FB01AA">
        <w:rPr>
          <w:sz w:val="18"/>
        </w:rPr>
        <w:t xml:space="preserve"> подкрепа би могла да им бъде предоставена от УО и други заинтересовани страни. </w:t>
      </w:r>
    </w:p>
    <w:p w:rsidR="00D46DC0" w:rsidRPr="00FB01AA" w:rsidRDefault="00D46DC0" w:rsidP="00D46DC0">
      <w:pPr>
        <w:pStyle w:val="HHeading5"/>
        <w:spacing w:before="0" w:after="120" w:line="280" w:lineRule="atLeast"/>
        <w:rPr>
          <w:sz w:val="18"/>
        </w:rPr>
      </w:pPr>
      <w:r w:rsidRPr="00FB01AA">
        <w:rPr>
          <w:sz w:val="18"/>
        </w:rPr>
        <w:t>Как са структурирани насоките?</w:t>
      </w:r>
    </w:p>
    <w:p w:rsidR="00D46DC0" w:rsidRPr="00FB01AA" w:rsidRDefault="00D46DC0" w:rsidP="00D46DC0">
      <w:pPr>
        <w:pStyle w:val="HStandard"/>
        <w:rPr>
          <w:sz w:val="18"/>
        </w:rPr>
      </w:pPr>
      <w:r w:rsidRPr="00FB01AA">
        <w:rPr>
          <w:sz w:val="18"/>
        </w:rPr>
        <w:t xml:space="preserve">Насоките се състоят от четири части. </w:t>
      </w:r>
    </w:p>
    <w:p w:rsidR="00D46DC0" w:rsidRPr="00FB01AA" w:rsidRDefault="00D46DC0" w:rsidP="00D46DC0">
      <w:pPr>
        <w:pStyle w:val="HStandard"/>
        <w:rPr>
          <w:sz w:val="18"/>
        </w:rPr>
      </w:pPr>
      <w:r w:rsidRPr="00FB01AA">
        <w:rPr>
          <w:b/>
          <w:color w:val="F07E31" w:themeColor="background2"/>
          <w:sz w:val="18"/>
        </w:rPr>
        <w:t xml:space="preserve">ЧАСТ 1 </w:t>
      </w:r>
      <w:r w:rsidRPr="00FB01AA">
        <w:rPr>
          <w:color w:val="373737" w:themeColor="background1" w:themeShade="40"/>
          <w:sz w:val="18"/>
        </w:rPr>
        <w:t>представя LEADER/ВОМР като част от политиката за развитие на селските райони и показва връзките на подхода с други инструменти на ВОМР, финансирани от ЕСИ фондове.</w:t>
      </w:r>
      <w:r w:rsidRPr="00FB01AA">
        <w:rPr>
          <w:b/>
          <w:color w:val="373737" w:themeColor="background1" w:themeShade="40"/>
          <w:sz w:val="18"/>
        </w:rPr>
        <w:t xml:space="preserve"> </w:t>
      </w:r>
      <w:r w:rsidRPr="00FB01AA">
        <w:rPr>
          <w:color w:val="373737" w:themeColor="background1" w:themeShade="40"/>
          <w:sz w:val="18"/>
        </w:rPr>
        <w:t>В нея</w:t>
      </w:r>
      <w:r w:rsidRPr="00FB01AA">
        <w:rPr>
          <w:color w:val="F07E31" w:themeColor="background2"/>
          <w:sz w:val="18"/>
        </w:rPr>
        <w:t xml:space="preserve"> </w:t>
      </w:r>
      <w:r w:rsidRPr="00FB01AA">
        <w:rPr>
          <w:sz w:val="18"/>
        </w:rPr>
        <w:t xml:space="preserve">се разискват целта и правната рамка за оценката. Представени са също така концепцията за оценката и ролята на различните заинтересовани страни в процеса на оценяване. </w:t>
      </w:r>
    </w:p>
    <w:p w:rsidR="00D46DC0" w:rsidRPr="00FB01AA" w:rsidRDefault="00D46DC0" w:rsidP="00D46DC0">
      <w:pPr>
        <w:pStyle w:val="HStandard"/>
        <w:rPr>
          <w:sz w:val="18"/>
        </w:rPr>
      </w:pPr>
      <w:r w:rsidRPr="00FB01AA">
        <w:rPr>
          <w:b/>
          <w:color w:val="F07E31" w:themeColor="background2"/>
          <w:sz w:val="18"/>
        </w:rPr>
        <w:t>В ЧАСТ 2</w:t>
      </w:r>
      <w:r w:rsidRPr="00FB01AA">
        <w:rPr>
          <w:sz w:val="18"/>
        </w:rPr>
        <w:t xml:space="preserve"> се разяснява цикълът на оценяване на равнището на ПРСР и се описва начинът на оценяване на приноса на LEADER/ВОМР за изпълнението на целите на ЕС, на държавите членки и на ПРСР. Това включва оценката на първичния и вторичния принос на операциите по LEADER/ВОМР за областите с поставен акцент, свързани с развитието на селските райони. Освен това в тази част се описва оценката на механизма за изпълнение и на добавената стойност на LEADER/ВОМР. </w:t>
      </w:r>
    </w:p>
    <w:p w:rsidR="00D46DC0" w:rsidRPr="00FB01AA" w:rsidRDefault="00D46DC0" w:rsidP="00D46DC0">
      <w:pPr>
        <w:pStyle w:val="HStandard"/>
        <w:rPr>
          <w:sz w:val="18"/>
        </w:rPr>
      </w:pPr>
      <w:r w:rsidRPr="00FB01AA">
        <w:rPr>
          <w:b/>
          <w:color w:val="F07E31" w:themeColor="background2"/>
          <w:sz w:val="18"/>
        </w:rPr>
        <w:t>В ЧАСТ 3</w:t>
      </w:r>
      <w:r w:rsidRPr="00FB01AA">
        <w:rPr>
          <w:sz w:val="18"/>
        </w:rPr>
        <w:t xml:space="preserve"> са отправени препоръки към МГД относно това как да извършват дейностите за оценка на местно равнище и относно видовете подкрепа, които УО, НМСР и други заинтересовани страни може да предоставят на МГД за тази цел. В тази част са описани също редица инструменти и примери, които може да се използват за оценката на LEADER/ВОМР на местно равнище. Тя насочва вниманието към стратегии, финансирани изключително от ЕЗФРСР (т.е. МГД, които са финансирани само от ЕЗФРСР).</w:t>
      </w:r>
    </w:p>
    <w:p w:rsidR="008B3FC7" w:rsidRPr="00FB01AA" w:rsidRDefault="00D46DC0" w:rsidP="00D46DC0">
      <w:pPr>
        <w:pStyle w:val="HStandard"/>
        <w:rPr>
          <w:sz w:val="18"/>
        </w:rPr>
      </w:pPr>
      <w:r w:rsidRPr="00FB01AA">
        <w:rPr>
          <w:b/>
          <w:color w:val="F07E31" w:themeColor="background2"/>
          <w:sz w:val="18"/>
        </w:rPr>
        <w:t>ЧАСТ 4</w:t>
      </w:r>
      <w:r w:rsidRPr="00FB01AA">
        <w:rPr>
          <w:sz w:val="18"/>
        </w:rPr>
        <w:t xml:space="preserve"> (Приложение) включва речника.</w:t>
      </w:r>
    </w:p>
    <w:p w:rsidR="00D46DC0" w:rsidRPr="00FB01AA" w:rsidRDefault="00D46DC0" w:rsidP="00D46DC0">
      <w:pPr>
        <w:pStyle w:val="HStandard"/>
        <w:rPr>
          <w:sz w:val="18"/>
        </w:rPr>
      </w:pPr>
    </w:p>
    <w:p w:rsidR="009F15D6" w:rsidRPr="00FB01AA" w:rsidRDefault="009F15D6" w:rsidP="00D46DC0">
      <w:pPr>
        <w:pStyle w:val="HStandard"/>
        <w:rPr>
          <w:rFonts w:cs="Arial"/>
          <w:sz w:val="18"/>
        </w:rPr>
        <w:sectPr w:rsidR="009F15D6" w:rsidRPr="00FB01AA" w:rsidSect="009F15D6">
          <w:type w:val="continuous"/>
          <w:pgSz w:w="11906" w:h="16838"/>
          <w:pgMar w:top="1418" w:right="1418" w:bottom="1418" w:left="1418" w:header="709" w:footer="709" w:gutter="0"/>
          <w:cols w:num="2" w:space="397"/>
          <w:docGrid w:linePitch="360"/>
        </w:sectPr>
      </w:pPr>
    </w:p>
    <w:p w:rsidR="00D46DC0" w:rsidRPr="00FB01AA" w:rsidRDefault="00D46DC0" w:rsidP="00D46DC0">
      <w:pPr>
        <w:pStyle w:val="HStandard"/>
        <w:rPr>
          <w:rFonts w:cs="Arial"/>
          <w:sz w:val="18"/>
        </w:rPr>
      </w:pPr>
    </w:p>
    <w:p w:rsidR="00D46DC0" w:rsidRPr="00FB01AA" w:rsidRDefault="00D46DC0" w:rsidP="00487C2E">
      <w:pPr>
        <w:pStyle w:val="HHeading1"/>
        <w:tabs>
          <w:tab w:val="clear" w:pos="474"/>
          <w:tab w:val="clear" w:pos="510"/>
        </w:tabs>
        <w:rPr>
          <w:sz w:val="28"/>
        </w:rPr>
      </w:pPr>
      <w:bookmarkStart w:id="0" w:name="_Toc475030371"/>
      <w:bookmarkStart w:id="1" w:name="_Toc493497696"/>
      <w:bookmarkStart w:id="2" w:name="_Toc498506699"/>
      <w:r w:rsidRPr="00FB01AA">
        <w:rPr>
          <w:sz w:val="28"/>
        </w:rPr>
        <w:lastRenderedPageBreak/>
        <w:t>Въведение</w:t>
      </w:r>
      <w:bookmarkEnd w:id="0"/>
      <w:bookmarkEnd w:id="1"/>
      <w:bookmarkEnd w:id="2"/>
    </w:p>
    <w:p w:rsidR="00D46DC0" w:rsidRPr="00FB01AA" w:rsidRDefault="00D46DC0" w:rsidP="009F15D6">
      <w:pPr>
        <w:pStyle w:val="HHeading2"/>
        <w:tabs>
          <w:tab w:val="clear" w:pos="360"/>
          <w:tab w:val="clear" w:pos="510"/>
        </w:tabs>
        <w:ind w:left="567" w:hanging="567"/>
        <w:rPr>
          <w:sz w:val="18"/>
        </w:rPr>
      </w:pPr>
      <w:bookmarkStart w:id="3" w:name="_Toc475030372"/>
      <w:bookmarkStart w:id="4" w:name="_Toc493497697"/>
      <w:bookmarkStart w:id="5" w:name="_Toc498506700"/>
      <w:r w:rsidRPr="00FB01AA">
        <w:rPr>
          <w:sz w:val="18"/>
        </w:rPr>
        <w:t>Оценка на LEADER/ВОМР през новия програмен период 2014—2020 г.</w:t>
      </w:r>
      <w:bookmarkEnd w:id="3"/>
      <w:bookmarkEnd w:id="4"/>
      <w:bookmarkEnd w:id="5"/>
    </w:p>
    <w:p w:rsidR="00D46DC0" w:rsidRPr="00FB01AA" w:rsidRDefault="00D46DC0" w:rsidP="00493310">
      <w:pPr>
        <w:pStyle w:val="HHeading3"/>
        <w:framePr w:wrap="auto" w:vAnchor="margin" w:yAlign="inline"/>
        <w:rPr>
          <w:sz w:val="18"/>
        </w:rPr>
      </w:pPr>
      <w:bookmarkStart w:id="6" w:name="_Toc475030373"/>
      <w:bookmarkStart w:id="7" w:name="_Toc493497698"/>
      <w:bookmarkStart w:id="8" w:name="_Toc498506701"/>
      <w:r w:rsidRPr="00FB01AA">
        <w:rPr>
          <w:sz w:val="18"/>
        </w:rPr>
        <w:t>ВОМР: Кое е новото?</w:t>
      </w:r>
      <w:bookmarkEnd w:id="6"/>
      <w:bookmarkEnd w:id="7"/>
      <w:bookmarkEnd w:id="8"/>
      <w:r w:rsidRPr="00FB01AA">
        <w:rPr>
          <w:sz w:val="18"/>
        </w:rPr>
        <w:t xml:space="preserve"> </w:t>
      </w:r>
    </w:p>
    <w:p w:rsidR="00D46DC0" w:rsidRPr="00FB01AA" w:rsidRDefault="000E4F39" w:rsidP="00D46DC0">
      <w:pPr>
        <w:pStyle w:val="HHeading5"/>
        <w:rPr>
          <w:sz w:val="18"/>
        </w:rPr>
      </w:pPr>
      <w:r w:rsidRPr="00FB01AA">
        <w:rPr>
          <w:sz w:val="18"/>
        </w:rPr>
        <w:t xml:space="preserve">Нов инструмент </w:t>
      </w:r>
      <w:r w:rsidR="002664F4" w:rsidRPr="00251DF4">
        <w:rPr>
          <w:sz w:val="18"/>
        </w:rPr>
        <w:t xml:space="preserve">в структурата </w:t>
      </w:r>
      <w:r w:rsidRPr="00FB01AA">
        <w:rPr>
          <w:sz w:val="18"/>
        </w:rPr>
        <w:t>на политиката на ЕС</w:t>
      </w:r>
    </w:p>
    <w:p w:rsidR="00A74DFD" w:rsidRPr="00FB01AA" w:rsidRDefault="00A74DFD" w:rsidP="00A74DFD">
      <w:pPr>
        <w:pStyle w:val="HStandard"/>
        <w:rPr>
          <w:color w:val="373737" w:themeColor="background1" w:themeShade="40"/>
          <w:sz w:val="18"/>
        </w:rPr>
      </w:pPr>
      <w:r w:rsidRPr="00291418">
        <w:rPr>
          <w:b/>
          <w:color w:val="373737" w:themeColor="background1" w:themeShade="40"/>
          <w:spacing w:val="-4"/>
          <w:sz w:val="18"/>
        </w:rPr>
        <w:t>Воденото от общностите местно развитие</w:t>
      </w:r>
      <w:r w:rsidRPr="00291418">
        <w:rPr>
          <w:color w:val="373737" w:themeColor="background1" w:themeShade="40"/>
          <w:spacing w:val="-4"/>
          <w:sz w:val="18"/>
        </w:rPr>
        <w:t xml:space="preserve"> (ВОМР) беше въведено като нов инструмент на политиката, чиято цел е да подкрепи териториалното сближаване през програмния период 2014—2020 г. ВОМР подкрепя действия, ориентирани към местните потребности в градските, селските и рибарските райони, както и към специфичните потребности на избрани целеви групи. Този подход мобилизира местния потенциал и укрепва връзките между участниците в рамките на подпомаганите райони. В по-общ план ВОМР допринася за стратегията „Европа 2020“, като отключва възможностите за интелигентен</w:t>
      </w:r>
      <w:r w:rsidRPr="00FB01AA">
        <w:rPr>
          <w:color w:val="373737" w:themeColor="background1" w:themeShade="40"/>
          <w:sz w:val="18"/>
        </w:rPr>
        <w:t>, устойчив и приобщаващ растеж в целия ЕС.</w:t>
      </w:r>
    </w:p>
    <w:p w:rsidR="00A74DFD" w:rsidRPr="00291418" w:rsidRDefault="00A74DFD" w:rsidP="00A74DFD">
      <w:pPr>
        <w:pStyle w:val="HStandard"/>
        <w:rPr>
          <w:spacing w:val="-4"/>
          <w:sz w:val="18"/>
        </w:rPr>
      </w:pPr>
      <w:r w:rsidRPr="00291418">
        <w:rPr>
          <w:b/>
          <w:spacing w:val="-4"/>
          <w:sz w:val="18"/>
        </w:rPr>
        <w:t xml:space="preserve">ВОМР </w:t>
      </w:r>
      <w:r w:rsidR="00AF24A9" w:rsidRPr="00251DF4">
        <w:rPr>
          <w:b/>
          <w:spacing w:val="-4"/>
          <w:sz w:val="18"/>
        </w:rPr>
        <w:t>се основава на</w:t>
      </w:r>
      <w:r w:rsidRPr="00291418">
        <w:rPr>
          <w:b/>
          <w:spacing w:val="-4"/>
          <w:sz w:val="18"/>
        </w:rPr>
        <w:t xml:space="preserve"> опита от подхода LEADER</w:t>
      </w:r>
      <w:r w:rsidRPr="00291418">
        <w:rPr>
          <w:spacing w:val="-4"/>
          <w:sz w:val="18"/>
        </w:rPr>
        <w:t xml:space="preserve">, като допълнително насърчава проекти, изпълнявани от местни партньорства чрез </w:t>
      </w:r>
      <w:r w:rsidRPr="00291418">
        <w:rPr>
          <w:color w:val="auto"/>
          <w:spacing w:val="-4"/>
          <w:sz w:val="18"/>
        </w:rPr>
        <w:t xml:space="preserve">ориентиран „от долу </w:t>
      </w:r>
      <w:r w:rsidRPr="00291418">
        <w:rPr>
          <w:spacing w:val="-4"/>
          <w:sz w:val="18"/>
        </w:rPr>
        <w:t xml:space="preserve">нагоре“ подход по линия на многосекторни стратегии за местно развитие, основани на характеристиките на района. ВОМР подкрепя засилването на местната икономика, като създава устойчиви работни места, използва местни ресурси, засилва социалното </w:t>
      </w:r>
      <w:r w:rsidRPr="00291418">
        <w:rPr>
          <w:spacing w:val="-4"/>
          <w:sz w:val="18"/>
        </w:rPr>
        <w:t>сближаване, изграждането на мрежи, сътрудничеството и иновациите. Благодарение на ясната си връзка със селските райони LEADER ще продължи да се използва в рамките на ЕЗФРСР като LEADER/ВОМР.</w:t>
      </w:r>
    </w:p>
    <w:p w:rsidR="00D46DC0" w:rsidRPr="00291418" w:rsidRDefault="00A74DFD" w:rsidP="00BA0A31">
      <w:pPr>
        <w:pStyle w:val="HStandard"/>
        <w:rPr>
          <w:spacing w:val="-4"/>
          <w:w w:val="95"/>
          <w:sz w:val="18"/>
        </w:rPr>
      </w:pPr>
      <w:r w:rsidRPr="00291418">
        <w:rPr>
          <w:color w:val="373737" w:themeColor="background1" w:themeShade="40"/>
          <w:spacing w:val="-4"/>
          <w:w w:val="95"/>
          <w:sz w:val="18"/>
        </w:rPr>
        <w:t>Планирането на ВОМР е част от Споразумението за партньорство и от съответните национални/регионални програми по ЕСИ фондове. На местно равнище в една стратегия за ВОМР могат да бъдат обединени различни политики, за да се постигнат резултати, допринасящи за изпълнението на по-широките цели на ЕС, които излизат извън фокуса на една-единствена политика (вж. фигурата по-долу).</w:t>
      </w:r>
    </w:p>
    <w:p w:rsidR="00D46DC0" w:rsidRPr="00FB01AA" w:rsidRDefault="00D46DC0" w:rsidP="00D46DC0">
      <w:pPr>
        <w:pStyle w:val="HHeading5"/>
        <w:rPr>
          <w:sz w:val="18"/>
        </w:rPr>
      </w:pPr>
      <w:r w:rsidRPr="00FB01AA">
        <w:rPr>
          <w:sz w:val="18"/>
        </w:rPr>
        <w:t xml:space="preserve">Гъвкавост при </w:t>
      </w:r>
      <w:r w:rsidR="000806DD">
        <w:rPr>
          <w:sz w:val="18"/>
        </w:rPr>
        <w:t>задовол</w:t>
      </w:r>
      <w:r w:rsidR="00D37580">
        <w:rPr>
          <w:sz w:val="18"/>
        </w:rPr>
        <w:t>я</w:t>
      </w:r>
      <w:r w:rsidR="00DC57AF">
        <w:rPr>
          <w:sz w:val="18"/>
        </w:rPr>
        <w:t>в</w:t>
      </w:r>
      <w:r w:rsidRPr="00FB01AA">
        <w:rPr>
          <w:sz w:val="18"/>
        </w:rPr>
        <w:t>ането на местните потребности и насърчаването на местния потенциал</w:t>
      </w:r>
    </w:p>
    <w:p w:rsidR="00D46DC0" w:rsidRPr="00FB01AA" w:rsidRDefault="00D46DC0" w:rsidP="00D46DC0">
      <w:pPr>
        <w:pStyle w:val="HStandard"/>
        <w:rPr>
          <w:sz w:val="18"/>
        </w:rPr>
      </w:pPr>
      <w:r w:rsidRPr="00FB01AA">
        <w:rPr>
          <w:b/>
          <w:sz w:val="18"/>
        </w:rPr>
        <w:t>Структурата на ВОМР предлага гъвкавост</w:t>
      </w:r>
      <w:r w:rsidRPr="00FB01AA">
        <w:rPr>
          <w:sz w:val="18"/>
        </w:rPr>
        <w:t xml:space="preserve"> при </w:t>
      </w:r>
      <w:r w:rsidR="000806DD">
        <w:rPr>
          <w:sz w:val="18"/>
        </w:rPr>
        <w:t>задоволя</w:t>
      </w:r>
      <w:r w:rsidR="00D37580">
        <w:rPr>
          <w:sz w:val="18"/>
        </w:rPr>
        <w:t>в</w:t>
      </w:r>
      <w:r w:rsidRPr="00FB01AA">
        <w:rPr>
          <w:sz w:val="18"/>
        </w:rPr>
        <w:t xml:space="preserve">ане на специфичните потребности на местно равнище. Държавите членки могат да избират измежду широк спектър от мерки на политиката, подкрепяни от различни ЕСИ фондове. </w:t>
      </w:r>
      <w:r w:rsidR="003947D1" w:rsidRPr="00251DF4">
        <w:rPr>
          <w:sz w:val="18"/>
        </w:rPr>
        <w:t>Държавите членки</w:t>
      </w:r>
      <w:r w:rsidRPr="00FB01AA">
        <w:rPr>
          <w:sz w:val="18"/>
        </w:rPr>
        <w:t xml:space="preserve"> могат да възприемат два възможни сценария: да използват само един фонд (</w:t>
      </w:r>
      <w:r w:rsidR="003947D1" w:rsidRPr="00251DF4">
        <w:rPr>
          <w:sz w:val="18"/>
        </w:rPr>
        <w:t>ед</w:t>
      </w:r>
      <w:r w:rsidRPr="00FB01AA">
        <w:rPr>
          <w:sz w:val="18"/>
        </w:rPr>
        <w:t>нофондово финансиране) или няколко фонда (м</w:t>
      </w:r>
      <w:r w:rsidR="003947D1" w:rsidRPr="00251DF4">
        <w:rPr>
          <w:sz w:val="18"/>
        </w:rPr>
        <w:t>ного</w:t>
      </w:r>
      <w:r w:rsidRPr="00FB01AA">
        <w:rPr>
          <w:sz w:val="18"/>
        </w:rPr>
        <w:t xml:space="preserve">фондово финансиране). ВОМР обаче е задължително само по линия на ЕЗФРСР под формата на LEADER. В случай че държавите членки изберат да използват няколко фонда, те могат да прилагат различни комбинации, за да задоволят териториалните си потребности. </w:t>
      </w:r>
    </w:p>
    <w:p w:rsidR="00126250" w:rsidRPr="00FB01AA" w:rsidRDefault="00126250" w:rsidP="00364213">
      <w:pPr>
        <w:pStyle w:val="HHeadingFigure"/>
        <w:rPr>
          <w:sz w:val="14"/>
        </w:rPr>
        <w:sectPr w:rsidR="00126250" w:rsidRPr="00FB01AA" w:rsidSect="00126250">
          <w:headerReference w:type="default" r:id="rId21"/>
          <w:type w:val="continuous"/>
          <w:pgSz w:w="11906" w:h="16838"/>
          <w:pgMar w:top="1418" w:right="1418" w:bottom="1418" w:left="1418" w:header="709" w:footer="709" w:gutter="0"/>
          <w:cols w:num="2" w:space="397"/>
          <w:docGrid w:linePitch="360"/>
        </w:sectPr>
      </w:pPr>
      <w:bookmarkStart w:id="9" w:name="_Toc475030411"/>
    </w:p>
    <w:p w:rsidR="00BA0A31" w:rsidRPr="00FB01AA" w:rsidRDefault="00BA0A31" w:rsidP="00291418">
      <w:pPr>
        <w:pStyle w:val="HHeadingFigure"/>
        <w:spacing w:after="120"/>
        <w:ind w:left="641" w:hanging="357"/>
        <w:rPr>
          <w:sz w:val="14"/>
        </w:rPr>
      </w:pPr>
      <w:bookmarkStart w:id="10" w:name="_Toc493497726"/>
      <w:bookmarkStart w:id="11" w:name="_Toc498507086"/>
      <w:bookmarkEnd w:id="9"/>
      <w:r w:rsidRPr="00FB01AA">
        <w:rPr>
          <w:sz w:val="14"/>
        </w:rPr>
        <w:t>ВОМР като част от структурата на политиките на ЕС за програмния период 2014—2020 г.</w:t>
      </w:r>
      <w:bookmarkStart w:id="12" w:name="_Toc479681911"/>
      <w:bookmarkEnd w:id="10"/>
      <w:bookmarkEnd w:id="11"/>
    </w:p>
    <w:p w:rsidR="00BA0A31" w:rsidRPr="00FB01AA" w:rsidRDefault="00FB01AA" w:rsidP="00BA0A31">
      <w:pPr>
        <w:pStyle w:val="HStandard"/>
        <w:jc w:val="center"/>
        <w:rPr>
          <w:sz w:val="18"/>
        </w:rPr>
      </w:pPr>
      <w:r w:rsidRPr="00FB01AA">
        <w:rPr>
          <w:noProof/>
          <w:lang w:val="en-GB" w:eastAsia="en-GB" w:bidi="ar-SA"/>
        </w:rPr>
        <w:drawing>
          <wp:inline distT="0" distB="0" distL="0" distR="0" wp14:anchorId="08DD3D69" wp14:editId="2A89A596">
            <wp:extent cx="4810125" cy="28261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24533" cy="2834654"/>
                    </a:xfrm>
                    <a:prstGeom prst="rect">
                      <a:avLst/>
                    </a:prstGeom>
                    <a:noFill/>
                    <a:ln>
                      <a:noFill/>
                    </a:ln>
                  </pic:spPr>
                </pic:pic>
              </a:graphicData>
            </a:graphic>
          </wp:inline>
        </w:drawing>
      </w:r>
      <w:r w:rsidRPr="00FB01AA">
        <w:rPr>
          <w:lang w:bidi="ar-SA"/>
        </w:rPr>
        <w:t xml:space="preserve"> </w:t>
      </w:r>
    </w:p>
    <w:p w:rsidR="00BA0A31" w:rsidRPr="00FB01AA" w:rsidRDefault="00BA0A31" w:rsidP="00BA0A31">
      <w:pPr>
        <w:pStyle w:val="HSource"/>
        <w:rPr>
          <w:sz w:val="14"/>
        </w:rPr>
      </w:pPr>
      <w:r w:rsidRPr="00FB01AA">
        <w:rPr>
          <w:sz w:val="14"/>
        </w:rPr>
        <w:lastRenderedPageBreak/>
        <w:t>Източник: Европейско бюро за оценка в областта на развитието на селските райони, 2017 г.</w:t>
      </w:r>
    </w:p>
    <w:p w:rsidR="00BA0A31" w:rsidRPr="00FB01AA" w:rsidRDefault="00BA0A31" w:rsidP="009142D4">
      <w:pPr>
        <w:pStyle w:val="HHeadingFigure"/>
        <w:rPr>
          <w:sz w:val="14"/>
        </w:rPr>
      </w:pPr>
      <w:bookmarkStart w:id="13" w:name="_Toc493497727"/>
      <w:bookmarkStart w:id="14" w:name="_Toc498507087"/>
      <w:bookmarkEnd w:id="12"/>
      <w:r w:rsidRPr="00FB01AA">
        <w:rPr>
          <w:sz w:val="14"/>
        </w:rPr>
        <w:t>Възможности за ВОМР в държавите членки</w:t>
      </w:r>
      <w:bookmarkEnd w:id="13"/>
      <w:bookmarkEnd w:id="14"/>
    </w:p>
    <w:p w:rsidR="006750D1" w:rsidRDefault="004B58B9" w:rsidP="00710D62">
      <w:pPr>
        <w:pStyle w:val="HSource"/>
        <w:rPr>
          <w:noProof/>
          <w:lang w:val="el-GR" w:eastAsia="el-GR" w:bidi="ar-SA"/>
        </w:rPr>
      </w:pPr>
      <w:r>
        <w:rPr>
          <w:noProof/>
          <w:lang w:val="en-GB" w:eastAsia="en-GB" w:bidi="ar-SA"/>
        </w:rPr>
        <w:drawing>
          <wp:inline distT="0" distB="0" distL="0" distR="0" wp14:anchorId="7DA2270F" wp14:editId="50C153CC">
            <wp:extent cx="5687305" cy="3004458"/>
            <wp:effectExtent l="0" t="0" r="889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9621" cy="3016247"/>
                    </a:xfrm>
                    <a:prstGeom prst="rect">
                      <a:avLst/>
                    </a:prstGeom>
                    <a:noFill/>
                  </pic:spPr>
                </pic:pic>
              </a:graphicData>
            </a:graphic>
          </wp:inline>
        </w:drawing>
      </w:r>
    </w:p>
    <w:p w:rsidR="00BA0A31" w:rsidRPr="00FB01AA" w:rsidRDefault="00FB01AA" w:rsidP="00710D62">
      <w:pPr>
        <w:pStyle w:val="HSource"/>
        <w:rPr>
          <w:sz w:val="14"/>
        </w:rPr>
      </w:pPr>
      <w:r w:rsidRPr="00FB01AA">
        <w:rPr>
          <w:lang w:bidi="ar-SA"/>
        </w:rPr>
        <w:t xml:space="preserve"> </w:t>
      </w:r>
      <w:r w:rsidR="00BA0A31" w:rsidRPr="00FB01AA">
        <w:rPr>
          <w:sz w:val="14"/>
        </w:rPr>
        <w:t xml:space="preserve"> Източник: Европейско бюро за оценка в областта на развитието на селските райони, 2017 г.</w:t>
      </w:r>
    </w:p>
    <w:p w:rsidR="00710D62" w:rsidRPr="00FB01AA" w:rsidRDefault="00710D62" w:rsidP="00BA0A31">
      <w:pPr>
        <w:pStyle w:val="HStandard"/>
        <w:rPr>
          <w:sz w:val="18"/>
        </w:rPr>
        <w:sectPr w:rsidR="00710D62" w:rsidRPr="00FB01AA" w:rsidSect="009F15D6">
          <w:type w:val="continuous"/>
          <w:pgSz w:w="11906" w:h="16838"/>
          <w:pgMar w:top="1418" w:right="1418" w:bottom="1418" w:left="1418" w:header="709" w:footer="709" w:gutter="0"/>
          <w:cols w:space="708"/>
          <w:docGrid w:linePitch="360"/>
        </w:sectPr>
      </w:pPr>
    </w:p>
    <w:p w:rsidR="00D46DC0" w:rsidRPr="00FB01AA" w:rsidRDefault="00D46DC0" w:rsidP="00D46DC0">
      <w:pPr>
        <w:pStyle w:val="HHeading5"/>
        <w:rPr>
          <w:sz w:val="18"/>
        </w:rPr>
      </w:pPr>
      <w:r w:rsidRPr="00FB01AA">
        <w:rPr>
          <w:sz w:val="18"/>
        </w:rPr>
        <w:t>Укрепване на подхода LEADER</w:t>
      </w:r>
    </w:p>
    <w:p w:rsidR="00D46DC0" w:rsidRPr="00FB01AA" w:rsidRDefault="00261CD9" w:rsidP="00D46DC0">
      <w:pPr>
        <w:pStyle w:val="HStandard"/>
        <w:rPr>
          <w:sz w:val="18"/>
        </w:rPr>
      </w:pPr>
      <w:r w:rsidRPr="00FB01AA">
        <w:rPr>
          <w:sz w:val="18"/>
        </w:rPr>
        <w:t xml:space="preserve">LEADER/ВОМР се изпълнява чрез </w:t>
      </w:r>
      <w:r w:rsidRPr="00FB01AA">
        <w:rPr>
          <w:b/>
          <w:sz w:val="18"/>
        </w:rPr>
        <w:t xml:space="preserve">водено от общностите местно развитие (ВОМР) </w:t>
      </w:r>
      <w:r w:rsidRPr="00FB01AA">
        <w:rPr>
          <w:sz w:val="18"/>
        </w:rPr>
        <w:t>въз основа на конкретни характеристики. През миналия програмен период тези характеристики бяха известни като „метода на LEADER“ или „седемте принципа на LEADER“. В настоящите насоки тези характеристики се наричат „метод на LEADER“. Основните елементи на ВОМР са</w:t>
      </w:r>
      <w:r w:rsidRPr="00FB01AA">
        <w:rPr>
          <w:rStyle w:val="FootnoteReference"/>
          <w:sz w:val="18"/>
        </w:rPr>
        <w:footnoteReference w:id="3"/>
      </w:r>
      <w:r w:rsidRPr="00FB01AA">
        <w:rPr>
          <w:sz w:val="18"/>
        </w:rPr>
        <w:t>:</w:t>
      </w:r>
    </w:p>
    <w:p w:rsidR="00D46DC0" w:rsidRPr="00291418" w:rsidRDefault="00D46DC0" w:rsidP="00D46DC0">
      <w:pPr>
        <w:pStyle w:val="Hlistbullet"/>
        <w:rPr>
          <w:spacing w:val="-4"/>
          <w:sz w:val="18"/>
        </w:rPr>
      </w:pPr>
      <w:r w:rsidRPr="00291418">
        <w:rPr>
          <w:b/>
          <w:spacing w:val="-4"/>
          <w:sz w:val="18"/>
        </w:rPr>
        <w:t xml:space="preserve">акцент върху конкретни подрегионални райони </w:t>
      </w:r>
      <w:r w:rsidRPr="00291418">
        <w:rPr>
          <w:spacing w:val="-4"/>
          <w:sz w:val="18"/>
        </w:rPr>
        <w:t>и територии, определени от местното население чрез</w:t>
      </w:r>
      <w:r w:rsidRPr="00291418">
        <w:rPr>
          <w:b/>
          <w:spacing w:val="-4"/>
          <w:sz w:val="18"/>
        </w:rPr>
        <w:t xml:space="preserve"> </w:t>
      </w:r>
      <w:r w:rsidRPr="00291418">
        <w:rPr>
          <w:spacing w:val="-4"/>
          <w:sz w:val="18"/>
        </w:rPr>
        <w:t>ориентиран „от долу нагоре“ подход;</w:t>
      </w:r>
    </w:p>
    <w:p w:rsidR="00D46DC0" w:rsidRPr="00291418" w:rsidRDefault="00D46DC0" w:rsidP="00D46DC0">
      <w:pPr>
        <w:pStyle w:val="Hlistbullet"/>
        <w:rPr>
          <w:spacing w:val="-4"/>
          <w:sz w:val="18"/>
        </w:rPr>
      </w:pPr>
      <w:r w:rsidRPr="00291418">
        <w:rPr>
          <w:b/>
          <w:spacing w:val="-4"/>
          <w:sz w:val="18"/>
        </w:rPr>
        <w:t>публично-частно партньорство = местна група за действие (МГД)</w:t>
      </w:r>
      <w:r w:rsidRPr="00291418">
        <w:rPr>
          <w:spacing w:val="-4"/>
          <w:sz w:val="18"/>
        </w:rPr>
        <w:t>, което представлява територията и нейното население и води процеса на развитие и в което нито групите на заинтересованите страни, нито публичните органи имат мнозинство в процеса на вземане на решения;</w:t>
      </w:r>
    </w:p>
    <w:p w:rsidR="00912EA9" w:rsidRPr="00291418" w:rsidRDefault="00D46DC0" w:rsidP="00D46DC0">
      <w:pPr>
        <w:pStyle w:val="Hlistbullet"/>
        <w:rPr>
          <w:spacing w:val="-4"/>
          <w:sz w:val="18"/>
        </w:rPr>
      </w:pPr>
      <w:r w:rsidRPr="00291418">
        <w:rPr>
          <w:b/>
          <w:spacing w:val="-4"/>
          <w:sz w:val="18"/>
        </w:rPr>
        <w:t>стратегия, основана на характеристиките на района</w:t>
      </w:r>
      <w:r w:rsidRPr="00291418">
        <w:rPr>
          <w:spacing w:val="-4"/>
          <w:sz w:val="18"/>
        </w:rPr>
        <w:t xml:space="preserve">, която е създадена и се изпълнява чрез ориентиран „от долу нагоре“ и основан на участието процес на вземане на решения и която е организирана от МГД с цел </w:t>
      </w:r>
      <w:r w:rsidR="000806DD">
        <w:rPr>
          <w:spacing w:val="-4"/>
          <w:sz w:val="18"/>
        </w:rPr>
        <w:t>задовол</w:t>
      </w:r>
      <w:r w:rsidR="00D37580">
        <w:rPr>
          <w:spacing w:val="-4"/>
          <w:sz w:val="18"/>
        </w:rPr>
        <w:t>яв</w:t>
      </w:r>
      <w:r w:rsidRPr="00291418">
        <w:rPr>
          <w:spacing w:val="-4"/>
          <w:sz w:val="18"/>
        </w:rPr>
        <w:t xml:space="preserve">ане на най-неотложните потребности на района; </w:t>
      </w:r>
    </w:p>
    <w:p w:rsidR="00D46DC0" w:rsidRPr="00291418" w:rsidRDefault="00912EA9" w:rsidP="00D46DC0">
      <w:pPr>
        <w:pStyle w:val="Hlistbullet"/>
        <w:rPr>
          <w:spacing w:val="-4"/>
          <w:sz w:val="18"/>
        </w:rPr>
      </w:pPr>
      <w:r w:rsidRPr="00291418">
        <w:rPr>
          <w:b/>
          <w:spacing w:val="-4"/>
          <w:sz w:val="18"/>
        </w:rPr>
        <w:t>многосекторна стратегия за местно развитие</w:t>
      </w:r>
      <w:r w:rsidRPr="00291418">
        <w:rPr>
          <w:spacing w:val="-4"/>
          <w:sz w:val="18"/>
        </w:rPr>
        <w:t xml:space="preserve">, която да насърчава и да свързва местния потенциал за развитие на различни сектори в името на постигането на местните цели; </w:t>
      </w:r>
    </w:p>
    <w:p w:rsidR="00D46DC0" w:rsidRPr="00FB01AA" w:rsidRDefault="00D46DC0" w:rsidP="00D46DC0">
      <w:pPr>
        <w:pStyle w:val="Hlistbullet"/>
        <w:rPr>
          <w:sz w:val="18"/>
        </w:rPr>
      </w:pPr>
      <w:r w:rsidRPr="00FB01AA">
        <w:rPr>
          <w:b/>
          <w:sz w:val="18"/>
        </w:rPr>
        <w:t xml:space="preserve">иновации </w:t>
      </w:r>
      <w:r w:rsidRPr="00FB01AA">
        <w:rPr>
          <w:sz w:val="18"/>
        </w:rPr>
        <w:t xml:space="preserve">като междусекторна цел за развитието на територията на МГД; </w:t>
      </w:r>
    </w:p>
    <w:p w:rsidR="00D46DC0" w:rsidRPr="00FB01AA" w:rsidRDefault="00D46DC0" w:rsidP="00D46DC0">
      <w:pPr>
        <w:pStyle w:val="Hlistbullet"/>
        <w:rPr>
          <w:sz w:val="18"/>
        </w:rPr>
      </w:pPr>
      <w:r w:rsidRPr="00FB01AA">
        <w:rPr>
          <w:b/>
          <w:sz w:val="18"/>
        </w:rPr>
        <w:t>изграждане на мрежи</w:t>
      </w:r>
      <w:r w:rsidRPr="00FB01AA">
        <w:rPr>
          <w:sz w:val="18"/>
        </w:rPr>
        <w:t xml:space="preserve"> между участниците в рамките на територията на МГД, между МГД и други публично-частни партньорства с цел изграждане на по-надеждна основа за трансфера на знания и обмена на опит; </w:t>
      </w:r>
    </w:p>
    <w:p w:rsidR="00D46DC0" w:rsidRPr="00FB01AA" w:rsidRDefault="00D46DC0" w:rsidP="00D46DC0">
      <w:pPr>
        <w:pStyle w:val="Hlistbullet"/>
        <w:rPr>
          <w:sz w:val="18"/>
        </w:rPr>
      </w:pPr>
      <w:r w:rsidRPr="00FB01AA">
        <w:rPr>
          <w:b/>
          <w:sz w:val="18"/>
        </w:rPr>
        <w:t>сътрудничество</w:t>
      </w:r>
      <w:r w:rsidRPr="00FB01AA">
        <w:rPr>
          <w:sz w:val="18"/>
        </w:rPr>
        <w:t xml:space="preserve"> между местните участници и между МГД от различни територии в рамките на държавата членка, </w:t>
      </w:r>
      <w:r w:rsidR="00F365BE" w:rsidRPr="00251DF4">
        <w:rPr>
          <w:sz w:val="18"/>
        </w:rPr>
        <w:t xml:space="preserve">в </w:t>
      </w:r>
      <w:r w:rsidRPr="00FB01AA">
        <w:rPr>
          <w:sz w:val="18"/>
        </w:rPr>
        <w:t xml:space="preserve">ЕС и извън него. </w:t>
      </w:r>
    </w:p>
    <w:p w:rsidR="00D46DC0" w:rsidRPr="00FB01AA" w:rsidRDefault="00D46DC0" w:rsidP="00D46DC0">
      <w:pPr>
        <w:pStyle w:val="HStandard"/>
        <w:rPr>
          <w:rFonts w:cs="Arial"/>
          <w:sz w:val="18"/>
        </w:rPr>
      </w:pPr>
      <w:r w:rsidRPr="00FB01AA">
        <w:rPr>
          <w:sz w:val="18"/>
        </w:rPr>
        <w:t xml:space="preserve">В настоящия програмен период тези елементи бяха засилени допълнително чрез: </w:t>
      </w:r>
    </w:p>
    <w:p w:rsidR="00D46DC0" w:rsidRPr="00FB01AA" w:rsidRDefault="00D46DC0" w:rsidP="00D46DC0">
      <w:pPr>
        <w:pStyle w:val="Hlistbullet"/>
        <w:ind w:left="426" w:hanging="426"/>
        <w:rPr>
          <w:sz w:val="18"/>
        </w:rPr>
      </w:pPr>
      <w:r w:rsidRPr="00FB01AA">
        <w:rPr>
          <w:sz w:val="18"/>
        </w:rPr>
        <w:t>засилване на подкрепата за местните партньорства на етапа на подготовка (например изграждане на капацитет, обучение и изграждане на мрежи с цел да се постигне по-добра подготовка и изпълнение на стратегиите за местно развитие);</w:t>
      </w:r>
    </w:p>
    <w:p w:rsidR="00D46DC0" w:rsidRPr="00FB01AA" w:rsidRDefault="00D46DC0" w:rsidP="00D46DC0">
      <w:pPr>
        <w:pStyle w:val="Hlistbullet"/>
        <w:ind w:left="426" w:hanging="426"/>
        <w:rPr>
          <w:sz w:val="18"/>
        </w:rPr>
      </w:pPr>
      <w:r w:rsidRPr="00FB01AA">
        <w:rPr>
          <w:sz w:val="18"/>
        </w:rPr>
        <w:lastRenderedPageBreak/>
        <w:t>укрепване на ролята на МГД в управлението на селските територии (например повече местни решения за действия, подкрепяни от стратегиите за ВОМР, и по-гъвкави финансови правила</w:t>
      </w:r>
      <w:r w:rsidRPr="00FB01AA">
        <w:rPr>
          <w:rStyle w:val="FootnoteReference"/>
          <w:sz w:val="18"/>
        </w:rPr>
        <w:footnoteReference w:id="4"/>
      </w:r>
      <w:r w:rsidRPr="00FB01AA">
        <w:rPr>
          <w:sz w:val="18"/>
        </w:rPr>
        <w:t xml:space="preserve"> за изпълнението на LEADER/ВОМР на местно равнище); </w:t>
      </w:r>
    </w:p>
    <w:p w:rsidR="00D46DC0" w:rsidRPr="00FB01AA" w:rsidRDefault="00D46DC0" w:rsidP="00D46DC0">
      <w:pPr>
        <w:pStyle w:val="Hlistbullet"/>
        <w:ind w:left="426" w:hanging="426"/>
        <w:rPr>
          <w:sz w:val="18"/>
        </w:rPr>
      </w:pPr>
      <w:r w:rsidRPr="00FB01AA">
        <w:rPr>
          <w:sz w:val="18"/>
        </w:rPr>
        <w:t xml:space="preserve">интегриране на </w:t>
      </w:r>
      <w:r w:rsidR="00F365BE" w:rsidRPr="00251DF4">
        <w:rPr>
          <w:sz w:val="18"/>
        </w:rPr>
        <w:t>механизм</w:t>
      </w:r>
      <w:r w:rsidR="000E6AD0" w:rsidRPr="00251DF4">
        <w:rPr>
          <w:sz w:val="18"/>
        </w:rPr>
        <w:t>а</w:t>
      </w:r>
      <w:r w:rsidRPr="00FB01AA">
        <w:rPr>
          <w:sz w:val="18"/>
        </w:rPr>
        <w:t xml:space="preserve"> за мониторинг и оценка в стратегиите за ВОМР с цел подобряване на тяхното разработване и изпълнение;</w:t>
      </w:r>
    </w:p>
    <w:p w:rsidR="00D46DC0" w:rsidRPr="00FB01AA" w:rsidRDefault="00D46DC0" w:rsidP="00D46DC0">
      <w:pPr>
        <w:pStyle w:val="Hlistbullet"/>
        <w:ind w:left="426" w:hanging="426"/>
        <w:rPr>
          <w:sz w:val="18"/>
        </w:rPr>
      </w:pPr>
      <w:r w:rsidRPr="00FB01AA">
        <w:rPr>
          <w:sz w:val="18"/>
        </w:rPr>
        <w:t>поставяне на по-силен акцент върху популяризирането, за да се създаде възможност за по-</w:t>
      </w:r>
      <w:r w:rsidR="00027C3E" w:rsidRPr="00251DF4">
        <w:rPr>
          <w:sz w:val="18"/>
        </w:rPr>
        <w:t>голям</w:t>
      </w:r>
      <w:r w:rsidRPr="00FB01AA">
        <w:rPr>
          <w:sz w:val="18"/>
        </w:rPr>
        <w:t xml:space="preserve"> обмен и сътрудничество между заинтересованите страни (например изрично разпределяне на средства за популяризиране); </w:t>
      </w:r>
    </w:p>
    <w:p w:rsidR="00D46DC0" w:rsidRPr="00FB01AA" w:rsidRDefault="00D46DC0" w:rsidP="00D46DC0">
      <w:pPr>
        <w:pStyle w:val="Hlistbullet"/>
        <w:ind w:left="426" w:hanging="426"/>
        <w:rPr>
          <w:sz w:val="18"/>
        </w:rPr>
      </w:pPr>
      <w:r w:rsidRPr="00FB01AA">
        <w:rPr>
          <w:sz w:val="18"/>
        </w:rPr>
        <w:t>засилване на участието на частния сектор в партньорството (чрез специално правило, изискващо участие на партньори от частния сектор във вземането на решенията за подбор на проекти);</w:t>
      </w:r>
    </w:p>
    <w:p w:rsidR="00D46DC0" w:rsidRPr="00FB01AA" w:rsidRDefault="00D46DC0" w:rsidP="00D46DC0">
      <w:pPr>
        <w:pStyle w:val="Hlistbullet"/>
        <w:ind w:left="426" w:hanging="426"/>
        <w:rPr>
          <w:sz w:val="18"/>
        </w:rPr>
      </w:pPr>
      <w:r w:rsidRPr="00FB01AA">
        <w:rPr>
          <w:sz w:val="18"/>
        </w:rPr>
        <w:t>рационализиране на транснационалното сътрудничество (например чрез общи правила относно публикуването на процедури</w:t>
      </w:r>
      <w:r w:rsidR="004B6F0A">
        <w:rPr>
          <w:sz w:val="18"/>
        </w:rPr>
        <w:t>те</w:t>
      </w:r>
      <w:r w:rsidRPr="00FB01AA">
        <w:rPr>
          <w:sz w:val="18"/>
        </w:rPr>
        <w:t xml:space="preserve"> </w:t>
      </w:r>
      <w:r w:rsidR="00027C3E" w:rsidRPr="00251DF4">
        <w:rPr>
          <w:sz w:val="18"/>
        </w:rPr>
        <w:t xml:space="preserve">за подбор </w:t>
      </w:r>
      <w:r w:rsidRPr="00FB01AA">
        <w:rPr>
          <w:sz w:val="18"/>
        </w:rPr>
        <w:t xml:space="preserve">и </w:t>
      </w:r>
      <w:r w:rsidR="004B6F0A">
        <w:rPr>
          <w:sz w:val="18"/>
        </w:rPr>
        <w:t xml:space="preserve">на </w:t>
      </w:r>
      <w:r w:rsidRPr="00FB01AA">
        <w:rPr>
          <w:sz w:val="18"/>
        </w:rPr>
        <w:t>срокове</w:t>
      </w:r>
      <w:r w:rsidR="004B6F0A">
        <w:rPr>
          <w:sz w:val="18"/>
        </w:rPr>
        <w:t>те</w:t>
      </w:r>
      <w:r w:rsidRPr="00FB01AA">
        <w:rPr>
          <w:sz w:val="18"/>
        </w:rPr>
        <w:t xml:space="preserve"> за подбор на проекти). </w:t>
      </w:r>
    </w:p>
    <w:p w:rsidR="00D46DC0" w:rsidRPr="00FB01AA" w:rsidRDefault="00D46DC0" w:rsidP="00746324">
      <w:pPr>
        <w:pStyle w:val="HHeading3"/>
        <w:framePr w:wrap="notBeside"/>
        <w:rPr>
          <w:sz w:val="18"/>
        </w:rPr>
      </w:pPr>
      <w:bookmarkStart w:id="15" w:name="_Toc475030374"/>
      <w:bookmarkStart w:id="16" w:name="_Toc493497699"/>
      <w:bookmarkStart w:id="17" w:name="_Toc498506702"/>
      <w:r w:rsidRPr="00FB01AA">
        <w:rPr>
          <w:sz w:val="18"/>
        </w:rPr>
        <w:t>Цел на оценката</w:t>
      </w:r>
      <w:bookmarkEnd w:id="15"/>
      <w:bookmarkEnd w:id="16"/>
      <w:bookmarkEnd w:id="17"/>
      <w:r w:rsidRPr="00FB01AA">
        <w:rPr>
          <w:sz w:val="18"/>
        </w:rPr>
        <w:t xml:space="preserve"> </w:t>
      </w:r>
    </w:p>
    <w:p w:rsidR="00126250" w:rsidRPr="00FB01AA" w:rsidRDefault="00D46DC0" w:rsidP="00710D62">
      <w:pPr>
        <w:pStyle w:val="HStandard"/>
        <w:rPr>
          <w:sz w:val="18"/>
        </w:rPr>
        <w:sectPr w:rsidR="00126250" w:rsidRPr="00FB01AA" w:rsidSect="00126250">
          <w:type w:val="continuous"/>
          <w:pgSz w:w="11906" w:h="16838"/>
          <w:pgMar w:top="1418" w:right="1418" w:bottom="1418" w:left="1418" w:header="709" w:footer="709" w:gutter="0"/>
          <w:cols w:num="2" w:space="397"/>
          <w:docGrid w:linePitch="360"/>
        </w:sectPr>
      </w:pPr>
      <w:r w:rsidRPr="00FB01AA">
        <w:rPr>
          <w:b/>
          <w:sz w:val="18"/>
        </w:rPr>
        <w:t>Оценката на LEADER/ВОМР помага</w:t>
      </w:r>
      <w:r w:rsidRPr="00FB01AA">
        <w:rPr>
          <w:sz w:val="18"/>
        </w:rPr>
        <w:t xml:space="preserve"> на създателите на политики, програмните ръководители, МГД и бенефициерите да използват по-добре ресурсите си при </w:t>
      </w:r>
      <w:r w:rsidR="000806DD">
        <w:rPr>
          <w:sz w:val="18"/>
        </w:rPr>
        <w:t>задовол</w:t>
      </w:r>
      <w:r w:rsidR="00D37580">
        <w:rPr>
          <w:sz w:val="18"/>
        </w:rPr>
        <w:t>яв</w:t>
      </w:r>
      <w:r w:rsidRPr="00FB01AA">
        <w:rPr>
          <w:sz w:val="18"/>
        </w:rPr>
        <w:t xml:space="preserve">ане на потребностите на местното население. В това отношение оценката на LEADER/ВОМР има обобщаваща (отчетност и прозрачност) и образователна функция (колективно придобиване на знания). </w:t>
      </w:r>
      <w:bookmarkStart w:id="18" w:name="_Toc475030412"/>
      <w:bookmarkStart w:id="19" w:name="_Toc465701911"/>
    </w:p>
    <w:p w:rsidR="00710D62" w:rsidRPr="00FB01AA" w:rsidRDefault="00710D62" w:rsidP="00710D62">
      <w:pPr>
        <w:pStyle w:val="HHeadingFigure"/>
        <w:rPr>
          <w:sz w:val="14"/>
        </w:rPr>
      </w:pPr>
      <w:bookmarkStart w:id="20" w:name="_Toc493497728"/>
      <w:bookmarkStart w:id="21" w:name="_Toc498507088"/>
      <w:bookmarkStart w:id="22" w:name="_Toc475030375"/>
      <w:bookmarkEnd w:id="18"/>
      <w:bookmarkEnd w:id="19"/>
      <w:r w:rsidRPr="00FB01AA">
        <w:rPr>
          <w:sz w:val="14"/>
        </w:rPr>
        <w:lastRenderedPageBreak/>
        <w:t>Цели на оценката на LEADER/ВОМР</w:t>
      </w:r>
      <w:bookmarkEnd w:id="20"/>
      <w:bookmarkEnd w:id="21"/>
      <w:r w:rsidRPr="00FB01AA">
        <w:rPr>
          <w:sz w:val="14"/>
        </w:rPr>
        <w:t xml:space="preserve"> </w:t>
      </w:r>
    </w:p>
    <w:p w:rsidR="00710D62" w:rsidRPr="00FB01AA" w:rsidRDefault="00291418" w:rsidP="00C85221">
      <w:pPr>
        <w:jc w:val="center"/>
        <w:rPr>
          <w:sz w:val="28"/>
        </w:rPr>
      </w:pPr>
      <w:r w:rsidRPr="00291418">
        <w:rPr>
          <w:noProof/>
          <w:lang w:val="en-GB" w:eastAsia="en-GB" w:bidi="ar-SA"/>
        </w:rPr>
        <w:drawing>
          <wp:inline distT="0" distB="0" distL="0" distR="0" wp14:anchorId="08E22EEF" wp14:editId="682F2B63">
            <wp:extent cx="5775438" cy="33084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75438" cy="3308400"/>
                    </a:xfrm>
                    <a:prstGeom prst="rect">
                      <a:avLst/>
                    </a:prstGeom>
                    <a:noFill/>
                    <a:ln>
                      <a:noFill/>
                    </a:ln>
                  </pic:spPr>
                </pic:pic>
              </a:graphicData>
            </a:graphic>
          </wp:inline>
        </w:drawing>
      </w:r>
    </w:p>
    <w:p w:rsidR="00710D62" w:rsidRPr="00FB01AA" w:rsidRDefault="00710D62" w:rsidP="00710D62">
      <w:pPr>
        <w:pStyle w:val="HSource"/>
        <w:rPr>
          <w:sz w:val="14"/>
        </w:rPr>
      </w:pPr>
      <w:r w:rsidRPr="00FB01AA">
        <w:rPr>
          <w:sz w:val="14"/>
        </w:rPr>
        <w:t>Източник: Европейско бюро за оценка в областта на развитието на селските райони, 2017 г.</w:t>
      </w:r>
    </w:p>
    <w:p w:rsidR="00710D62" w:rsidRPr="00FB01AA" w:rsidRDefault="009142D4" w:rsidP="009142D4">
      <w:pPr>
        <w:spacing w:after="0" w:line="240" w:lineRule="auto"/>
        <w:rPr>
          <w:sz w:val="28"/>
        </w:rPr>
      </w:pPr>
      <w:r w:rsidRPr="00FB01AA">
        <w:rPr>
          <w:sz w:val="28"/>
        </w:rPr>
        <w:br w:type="page"/>
      </w:r>
    </w:p>
    <w:p w:rsidR="00126250" w:rsidRPr="00FB01AA" w:rsidRDefault="00126250" w:rsidP="00D46DC0">
      <w:pPr>
        <w:pStyle w:val="HHeading3"/>
        <w:framePr w:wrap="notBeside"/>
        <w:rPr>
          <w:sz w:val="18"/>
        </w:rPr>
        <w:sectPr w:rsidR="00126250" w:rsidRPr="00FB01AA" w:rsidSect="009F15D6">
          <w:type w:val="continuous"/>
          <w:pgSz w:w="11906" w:h="16838"/>
          <w:pgMar w:top="1418" w:right="1418" w:bottom="1418" w:left="1418" w:header="709" w:footer="709" w:gutter="0"/>
          <w:cols w:space="708"/>
          <w:docGrid w:linePitch="360"/>
        </w:sectPr>
      </w:pPr>
    </w:p>
    <w:p w:rsidR="00D46DC0" w:rsidRPr="00FB01AA" w:rsidRDefault="00D46DC0" w:rsidP="00D46DC0">
      <w:pPr>
        <w:pStyle w:val="HHeading3"/>
        <w:framePr w:wrap="notBeside"/>
        <w:rPr>
          <w:sz w:val="18"/>
        </w:rPr>
      </w:pPr>
      <w:bookmarkStart w:id="23" w:name="_Toc493497700"/>
      <w:bookmarkStart w:id="24" w:name="_Toc498506703"/>
      <w:r w:rsidRPr="00FB01AA">
        <w:rPr>
          <w:sz w:val="18"/>
        </w:rPr>
        <w:lastRenderedPageBreak/>
        <w:t>Правна рамка и указания за оценката</w:t>
      </w:r>
      <w:bookmarkEnd w:id="22"/>
      <w:bookmarkEnd w:id="23"/>
      <w:bookmarkEnd w:id="24"/>
      <w:r w:rsidRPr="00FB01AA">
        <w:rPr>
          <w:sz w:val="18"/>
        </w:rPr>
        <w:t xml:space="preserve"> </w:t>
      </w:r>
    </w:p>
    <w:p w:rsidR="00D46DC0" w:rsidRPr="00FB01AA" w:rsidRDefault="0053463F" w:rsidP="00D46DC0">
      <w:pPr>
        <w:pStyle w:val="HStandard"/>
        <w:rPr>
          <w:color w:val="373737" w:themeColor="background1" w:themeShade="40"/>
          <w:sz w:val="18"/>
        </w:rPr>
      </w:pPr>
      <w:r w:rsidRPr="00FB01AA">
        <w:rPr>
          <w:color w:val="373737" w:themeColor="background1" w:themeShade="40"/>
          <w:sz w:val="18"/>
        </w:rPr>
        <w:t>ВОМР е един от двата инструмента</w:t>
      </w:r>
      <w:r w:rsidRPr="00FB01AA">
        <w:rPr>
          <w:rStyle w:val="FootnoteReference"/>
          <w:color w:val="373737" w:themeColor="background1" w:themeShade="40"/>
          <w:sz w:val="18"/>
        </w:rPr>
        <w:footnoteReference w:id="5"/>
      </w:r>
      <w:r w:rsidRPr="00FB01AA">
        <w:rPr>
          <w:color w:val="373737" w:themeColor="background1" w:themeShade="40"/>
          <w:sz w:val="18"/>
        </w:rPr>
        <w:t xml:space="preserve"> на ЕСИ фондове, чиято цел е да насърчават интегрирани подходи за териториално развитие. Освен това ВОМР насърчава </w:t>
      </w:r>
      <w:r w:rsidR="00EA5D22" w:rsidRPr="00251DF4">
        <w:rPr>
          <w:color w:val="373737" w:themeColor="background1" w:themeShade="40"/>
          <w:sz w:val="18"/>
        </w:rPr>
        <w:t>ангажираността</w:t>
      </w:r>
      <w:r w:rsidRPr="00FB01AA">
        <w:rPr>
          <w:color w:val="373737" w:themeColor="background1" w:themeShade="40"/>
          <w:sz w:val="18"/>
        </w:rPr>
        <w:t xml:space="preserve"> на регионалните/местните участници и местните общности </w:t>
      </w:r>
      <w:r w:rsidR="00EA5D22" w:rsidRPr="00251DF4">
        <w:rPr>
          <w:color w:val="373737" w:themeColor="background1" w:themeShade="40"/>
          <w:sz w:val="18"/>
        </w:rPr>
        <w:t>с</w:t>
      </w:r>
      <w:r w:rsidRPr="00FB01AA">
        <w:rPr>
          <w:color w:val="373737" w:themeColor="background1" w:themeShade="40"/>
          <w:sz w:val="18"/>
        </w:rPr>
        <w:t xml:space="preserve"> изпълнението на програмите</w:t>
      </w:r>
      <w:r w:rsidRPr="00FB01AA">
        <w:rPr>
          <w:rStyle w:val="FootnoteReference"/>
          <w:color w:val="373737" w:themeColor="background1" w:themeShade="40"/>
          <w:sz w:val="18"/>
        </w:rPr>
        <w:footnoteReference w:id="6"/>
      </w:r>
      <w:r w:rsidRPr="00FB01AA">
        <w:rPr>
          <w:color w:val="373737" w:themeColor="background1" w:themeShade="40"/>
          <w:sz w:val="18"/>
        </w:rPr>
        <w:t xml:space="preserve">. </w:t>
      </w:r>
    </w:p>
    <w:p w:rsidR="00D46DC0" w:rsidRPr="00FB01AA" w:rsidRDefault="00D46DC0" w:rsidP="00D46DC0">
      <w:pPr>
        <w:pStyle w:val="HStandard"/>
        <w:rPr>
          <w:sz w:val="18"/>
        </w:rPr>
      </w:pPr>
      <w:r w:rsidRPr="00FB01AA">
        <w:rPr>
          <w:b/>
          <w:sz w:val="18"/>
        </w:rPr>
        <w:t>В Регламента относно общоприложимите разпоредби</w:t>
      </w:r>
      <w:r w:rsidRPr="00FB01AA">
        <w:rPr>
          <w:sz w:val="18"/>
        </w:rPr>
        <w:t xml:space="preserve"> се уточнява, че ВОМР</w:t>
      </w:r>
      <w:r w:rsidRPr="00FB01AA">
        <w:rPr>
          <w:rStyle w:val="FootnoteReference"/>
          <w:color w:val="535353" w:themeColor="text1" w:themeShade="BF"/>
          <w:sz w:val="18"/>
        </w:rPr>
        <w:footnoteReference w:id="7"/>
      </w:r>
      <w:r w:rsidRPr="00FB01AA">
        <w:rPr>
          <w:sz w:val="18"/>
        </w:rPr>
        <w:t xml:space="preserve">: </w:t>
      </w:r>
    </w:p>
    <w:p w:rsidR="00D46DC0" w:rsidRPr="00FB01AA" w:rsidRDefault="00D46DC0" w:rsidP="00D46DC0">
      <w:pPr>
        <w:pStyle w:val="Hlistbullet"/>
        <w:rPr>
          <w:sz w:val="18"/>
        </w:rPr>
      </w:pPr>
      <w:r w:rsidRPr="00FB01AA">
        <w:rPr>
          <w:b/>
          <w:sz w:val="18"/>
        </w:rPr>
        <w:t xml:space="preserve">е насочено към конкретни подрегионални райони, водено </w:t>
      </w:r>
      <w:r w:rsidR="0008146B" w:rsidRPr="00251DF4">
        <w:rPr>
          <w:b/>
          <w:sz w:val="18"/>
        </w:rPr>
        <w:t xml:space="preserve">е </w:t>
      </w:r>
      <w:r w:rsidRPr="00FB01AA">
        <w:rPr>
          <w:b/>
          <w:sz w:val="18"/>
        </w:rPr>
        <w:t>от местни групи за действие</w:t>
      </w:r>
      <w:r w:rsidRPr="00FB01AA">
        <w:rPr>
          <w:sz w:val="18"/>
        </w:rPr>
        <w:t xml:space="preserve"> (МГД) и се извършва чрез интегрирани и многосекторни </w:t>
      </w:r>
      <w:r w:rsidRPr="00FB01AA">
        <w:rPr>
          <w:b/>
          <w:sz w:val="18"/>
        </w:rPr>
        <w:t>стратегии за местно развитие, основани на характеристиките на района</w:t>
      </w:r>
      <w:r w:rsidRPr="00FB01AA">
        <w:rPr>
          <w:sz w:val="18"/>
        </w:rPr>
        <w:t xml:space="preserve">, </w:t>
      </w:r>
      <w:r w:rsidR="0008146B" w:rsidRPr="00251DF4">
        <w:rPr>
          <w:sz w:val="18"/>
        </w:rPr>
        <w:t xml:space="preserve">и </w:t>
      </w:r>
      <w:r w:rsidRPr="00FB01AA">
        <w:rPr>
          <w:sz w:val="18"/>
        </w:rPr>
        <w:t>е разработено, като се имат предвид местните потребности и потенциал, включително иновативни елементи, изграждане на мрежи и сътрудничество;</w:t>
      </w:r>
    </w:p>
    <w:p w:rsidR="00D46DC0" w:rsidRPr="00FB01AA" w:rsidRDefault="00D46DC0" w:rsidP="00D46DC0">
      <w:pPr>
        <w:pStyle w:val="Hlistbullet"/>
        <w:rPr>
          <w:sz w:val="18"/>
        </w:rPr>
      </w:pPr>
      <w:r w:rsidRPr="00FB01AA">
        <w:rPr>
          <w:b/>
          <w:sz w:val="18"/>
        </w:rPr>
        <w:t xml:space="preserve">получава подкрепа </w:t>
      </w:r>
      <w:r w:rsidRPr="00FB01AA">
        <w:rPr>
          <w:sz w:val="18"/>
        </w:rPr>
        <w:t xml:space="preserve">от ЕЗФРСР под формата на LEADER/ВОМР; и </w:t>
      </w:r>
    </w:p>
    <w:p w:rsidR="00D46DC0" w:rsidRPr="00FB01AA" w:rsidRDefault="00D46DC0" w:rsidP="00D46DC0">
      <w:pPr>
        <w:pStyle w:val="Hlistbullet"/>
        <w:rPr>
          <w:sz w:val="18"/>
        </w:rPr>
      </w:pPr>
      <w:r w:rsidRPr="00FB01AA">
        <w:rPr>
          <w:b/>
          <w:sz w:val="18"/>
        </w:rPr>
        <w:t xml:space="preserve">може да получава подкрепа също и </w:t>
      </w:r>
      <w:r w:rsidRPr="00FB01AA">
        <w:rPr>
          <w:sz w:val="18"/>
        </w:rPr>
        <w:t>от ЕФРР, ЕСФ и ЕФМДР.</w:t>
      </w:r>
    </w:p>
    <w:p w:rsidR="00D46DC0" w:rsidRPr="00FB01AA" w:rsidRDefault="00D46DC0" w:rsidP="00D46DC0">
      <w:pPr>
        <w:pStyle w:val="Hlistbullet"/>
        <w:numPr>
          <w:ilvl w:val="0"/>
          <w:numId w:val="0"/>
        </w:numPr>
        <w:rPr>
          <w:rFonts w:cs="Arial"/>
          <w:b/>
          <w:color w:val="57825E"/>
          <w:sz w:val="18"/>
        </w:rPr>
      </w:pPr>
      <w:r w:rsidRPr="00FB01AA">
        <w:rPr>
          <w:b/>
          <w:color w:val="57825E"/>
          <w:sz w:val="18"/>
        </w:rPr>
        <w:t>Правни разпоредби за мониторинга и оценката на стратегиите за ВОМР</w:t>
      </w:r>
    </w:p>
    <w:p w:rsidR="00D46DC0" w:rsidRPr="00FB01AA" w:rsidRDefault="00D46DC0" w:rsidP="00FA72BA">
      <w:pPr>
        <w:pStyle w:val="H-Standard"/>
        <w:rPr>
          <w:sz w:val="18"/>
        </w:rPr>
      </w:pPr>
      <w:r w:rsidRPr="00FB01AA">
        <w:rPr>
          <w:sz w:val="18"/>
        </w:rPr>
        <w:t>С Регламент</w:t>
      </w:r>
      <w:r w:rsidR="0008146B" w:rsidRPr="00251DF4">
        <w:rPr>
          <w:sz w:val="18"/>
        </w:rPr>
        <w:t>а</w:t>
      </w:r>
      <w:r w:rsidRPr="00FB01AA">
        <w:rPr>
          <w:sz w:val="18"/>
        </w:rPr>
        <w:t xml:space="preserve"> относно общоприложимите разпоредби се предвижда, че всяка МГД извършва специфични дейности за мониторинг и оценка, свързани със стратегията за ВОМР</w:t>
      </w:r>
      <w:r w:rsidRPr="00FB01AA">
        <w:rPr>
          <w:rStyle w:val="FootnoteReference"/>
          <w:sz w:val="18"/>
          <w14:textFill>
            <w14:solidFill>
              <w14:schemeClr w14:val="tx1">
                <w14:lumMod w14:val="75000"/>
                <w14:lumMod w14:val="75000"/>
                <w14:lumMod w14:val="75000"/>
              </w14:schemeClr>
            </w14:solidFill>
          </w14:textFill>
        </w:rPr>
        <w:footnoteReference w:id="8"/>
      </w:r>
      <w:r w:rsidRPr="00FB01AA">
        <w:rPr>
          <w:sz w:val="18"/>
        </w:rPr>
        <w:t xml:space="preserve">. За тази цел от МГД се изисква да включват в своята стратегия за ВОМР описание на </w:t>
      </w:r>
      <w:r w:rsidR="00F365BE" w:rsidRPr="00251DF4">
        <w:rPr>
          <w:sz w:val="18"/>
        </w:rPr>
        <w:t>механизм</w:t>
      </w:r>
      <w:r w:rsidR="000E6AD0" w:rsidRPr="00251DF4">
        <w:rPr>
          <w:sz w:val="18"/>
        </w:rPr>
        <w:t>а</w:t>
      </w:r>
      <w:r w:rsidR="005150DD">
        <w:rPr>
          <w:sz w:val="18"/>
        </w:rPr>
        <w:t xml:space="preserve"> (</w:t>
      </w:r>
      <w:r w:rsidRPr="00FB01AA">
        <w:rPr>
          <w:sz w:val="18"/>
        </w:rPr>
        <w:t>уредбата</w:t>
      </w:r>
      <w:r w:rsidR="005150DD">
        <w:rPr>
          <w:sz w:val="18"/>
        </w:rPr>
        <w:t>)</w:t>
      </w:r>
      <w:r w:rsidRPr="00FB01AA">
        <w:rPr>
          <w:sz w:val="18"/>
        </w:rPr>
        <w:t xml:space="preserve"> за мониторинг и оценка</w:t>
      </w:r>
      <w:r w:rsidRPr="00FB01AA">
        <w:rPr>
          <w:rStyle w:val="FootnoteReference"/>
          <w:sz w:val="18"/>
          <w14:textFill>
            <w14:solidFill>
              <w14:schemeClr w14:val="tx1">
                <w14:lumMod w14:val="75000"/>
                <w14:lumMod w14:val="75000"/>
                <w14:lumMod w14:val="75000"/>
              </w14:schemeClr>
            </w14:solidFill>
          </w14:textFill>
        </w:rPr>
        <w:footnoteReference w:id="9"/>
      </w:r>
      <w:r w:rsidRPr="00FB01AA">
        <w:rPr>
          <w:sz w:val="18"/>
        </w:rPr>
        <w:t xml:space="preserve">. Разходите, свързани с мониторинга и оценката на стратегията за ВОМР, могат да </w:t>
      </w:r>
      <w:r w:rsidR="0008146B" w:rsidRPr="00251DF4">
        <w:rPr>
          <w:sz w:val="18"/>
        </w:rPr>
        <w:t>се покриват от</w:t>
      </w:r>
      <w:r w:rsidRPr="00FB01AA">
        <w:rPr>
          <w:sz w:val="18"/>
        </w:rPr>
        <w:t xml:space="preserve"> бюджета за текущи разходи на МГД</w:t>
      </w:r>
      <w:r w:rsidRPr="00FB01AA">
        <w:rPr>
          <w:rStyle w:val="FootnoteReference"/>
          <w:color w:val="535353" w:themeColor="text1" w:themeShade="BF"/>
          <w:sz w:val="18"/>
          <w14:textFill>
            <w14:solidFill>
              <w14:schemeClr w14:val="tx1">
                <w14:lumMod w14:val="75000"/>
                <w14:lumMod w14:val="75000"/>
              </w14:schemeClr>
            </w14:solidFill>
          </w14:textFill>
        </w:rPr>
        <w:footnoteReference w:id="10"/>
      </w:r>
      <w:r w:rsidRPr="00FB01AA">
        <w:rPr>
          <w:sz w:val="18"/>
        </w:rPr>
        <w:t>.</w:t>
      </w:r>
    </w:p>
    <w:p w:rsidR="00FA72BA" w:rsidRPr="00FB01AA" w:rsidRDefault="00FA72BA" w:rsidP="00D46DC0">
      <w:pPr>
        <w:pStyle w:val="HStandard"/>
        <w:rPr>
          <w:sz w:val="18"/>
        </w:rPr>
      </w:pPr>
      <w:r w:rsidRPr="00FB01AA">
        <w:rPr>
          <w:noProof/>
          <w:sz w:val="18"/>
          <w:lang w:val="en-GB" w:eastAsia="en-GB" w:bidi="ar-SA"/>
        </w:rPr>
        <mc:AlternateContent>
          <mc:Choice Requires="wps">
            <w:drawing>
              <wp:inline distT="0" distB="0" distL="0" distR="0" wp14:anchorId="2CB3FF0E" wp14:editId="104C9315">
                <wp:extent cx="2762250" cy="3467100"/>
                <wp:effectExtent l="0" t="0" r="19050" b="19050"/>
                <wp:docPr id="90" name="Rectangle: Diagonal Corners Rounded 90"/>
                <wp:cNvGraphicFramePr/>
                <a:graphic xmlns:a="http://schemas.openxmlformats.org/drawingml/2006/main">
                  <a:graphicData uri="http://schemas.microsoft.com/office/word/2010/wordprocessingShape">
                    <wps:wsp>
                      <wps:cNvSpPr/>
                      <wps:spPr>
                        <a:xfrm>
                          <a:off x="0" y="0"/>
                          <a:ext cx="2762250" cy="346710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DBF" w:rsidRPr="00C06709" w:rsidRDefault="00D21DBF" w:rsidP="00126250">
                            <w:pPr>
                              <w:jc w:val="both"/>
                              <w:rPr>
                                <w:color w:val="373737"/>
                              </w:rPr>
                            </w:pPr>
                            <w:r>
                              <w:rPr>
                                <w:noProof/>
                                <w:lang w:val="en-GB" w:eastAsia="en-GB" w:bidi="ar-SA"/>
                              </w:rPr>
                              <w:drawing>
                                <wp:inline distT="0" distB="0" distL="0" distR="0" wp14:anchorId="0A5536A4" wp14:editId="021DEDC0">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Правното изискване за извършването на оценките от вътрешни или външни експерти, които са функционално независими от органите, отговарящи за изпълнението на програмата, посочени в член 54, параграф 3 от Регламент (ЕС) № 1303/2013</w:t>
                            </w:r>
                            <w:r>
                              <w:rPr>
                                <w:rFonts w:ascii="Arial" w:hAnsi="Arial"/>
                                <w:color w:val="373737"/>
                                <w:sz w:val="20"/>
                                <w:u w:val="single"/>
                              </w:rPr>
                              <w:t>, не се прилага за стратегиите за ВОМР</w:t>
                            </w:r>
                            <w:r>
                              <w:rPr>
                                <w:rFonts w:ascii="Arial" w:hAnsi="Arial"/>
                                <w:color w:val="373737"/>
                                <w:sz w:val="20"/>
                              </w:rPr>
                              <w:t>. Член 54, параграф 1 се прилага за „оперативните програми“ и „програмите за развитие на селските райони“, а не за „стратегиите за водено от общностите местно развитие“.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2CB3FF0E" id="Rectangle: Diagonal Corners Rounded 90" o:spid="_x0000_s1030" style="width:217.5pt;height:273pt;visibility:visible;mso-wrap-style:square;mso-left-percent:-10001;mso-top-percent:-10001;mso-position-horizontal:absolute;mso-position-horizontal-relative:char;mso-position-vertical:absolute;mso-position-vertical-relative:line;mso-left-percent:-10001;mso-top-percent:-10001;v-text-anchor:middle" coordsize="2762250,3467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" adj="-11796480,,5400" path="m460384,l2762250,r,l2762250,3006716v,254263,-206121,460384,-460384,460384l,3467100r,l,460384c,206121,206121,,460384,xe" filled="f" strokecolor="#be4a35 [3205]" strokeweight="2pt">
                <v:stroke joinstyle="miter"/>
                <v:formulas/>
                <v:path arrowok="t" o:connecttype="custom" o:connectlocs="460384,0;2762250,0;2762250,0;2762250,3006716;2301866,3467100;0,3467100;0,3467100;0,460384;460384,0" o:connectangles="0,0,0,0,0,0,0,0,0" textboxrect="0,0,2762250,3467100"/>
                <v:textbox>
                  <w:txbxContent>
                    <w:p w:rsidR="00D21DBF" w:rsidRPr="00C06709" w:rsidRDefault="00D21DBF" w:rsidP="00126250">
                      <w:pPr>
                        <w:jc w:val="both"/>
                        <w:rPr>
                          <w:color w:val="373737"/>
                        </w:rPr>
                      </w:pPr>
                      <w:r>
                        <w:rPr>
                          <w:noProof/>
                          <w:lang w:val="en-GB" w:eastAsia="en-GB" w:bidi="ar-SA"/>
                        </w:rPr>
                        <w:drawing>
                          <wp:inline distT="0" distB="0" distL="0" distR="0" wp14:anchorId="0A5536A4" wp14:editId="021DEDC0">
                            <wp:extent cx="664845" cy="487680"/>
                            <wp:effectExtent l="0" t="0" r="0" b="7620"/>
                            <wp:docPr id="91" name="Picture 9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Правното изискване за извършването на оценките от вътрешни или външни експерти, които са функционално независими от органите, отговарящи за изпълнението на програмата, посочени в член 54, параграф 3 от Регламент (ЕС) № 1303/2013</w:t>
                      </w:r>
                      <w:r>
                        <w:rPr>
                          <w:rFonts w:ascii="Arial" w:hAnsi="Arial"/>
                          <w:color w:val="373737"/>
                          <w:sz w:val="20"/>
                          <w:u w:val="single"/>
                        </w:rPr>
                        <w:t>, не се прилага за стратегиите за ВОМР</w:t>
                      </w:r>
                      <w:r>
                        <w:rPr>
                          <w:rFonts w:ascii="Arial" w:hAnsi="Arial"/>
                          <w:color w:val="373737"/>
                          <w:sz w:val="20"/>
                        </w:rPr>
                        <w:t>. Член 54, параграф 1 се прилага за „оперативните програми“ и „програмите за развитие на селските райони“, а не за „стратегиите за водено от общностите местно развитие“.</w:t>
                      </w:r>
                    </w:p>
                  </w:txbxContent>
                </v:textbox>
                <w10:anchorlock/>
              </v:shape>
            </w:pict>
          </mc:Fallback>
        </mc:AlternateContent>
      </w:r>
    </w:p>
    <w:p w:rsidR="00D46DC0" w:rsidRPr="00FB01AA" w:rsidRDefault="00F62B74" w:rsidP="00FA72BA">
      <w:pPr>
        <w:pStyle w:val="H-Standard"/>
        <w:rPr>
          <w:sz w:val="18"/>
        </w:rPr>
      </w:pPr>
      <w:r w:rsidRPr="00FB01AA">
        <w:rPr>
          <w:sz w:val="18"/>
        </w:rPr>
        <w:t>Освен това съгласно Регламента за изпълнение на Комисията относно подпомагането от ЕЗФРСР се изисква от УО да опишат в плана за оценка</w:t>
      </w:r>
      <w:r w:rsidRPr="00FB01AA">
        <w:rPr>
          <w:rStyle w:val="FootnoteReference"/>
          <w:sz w:val="18"/>
          <w14:textFill>
            <w14:solidFill>
              <w14:schemeClr w14:val="tx1">
                <w14:lumMod w14:val="75000"/>
                <w14:lumMod w14:val="25000"/>
                <w14:lumMod w14:val="75000"/>
                <w14:lumMod w14:val="75000"/>
              </w14:schemeClr>
            </w14:solidFill>
          </w14:textFill>
        </w:rPr>
        <w:footnoteReference w:id="11"/>
      </w:r>
      <w:r w:rsidRPr="00FB01AA">
        <w:rPr>
          <w:sz w:val="18"/>
        </w:rPr>
        <w:t xml:space="preserve">: </w:t>
      </w:r>
    </w:p>
    <w:p w:rsidR="00D46DC0" w:rsidRPr="00FB01AA" w:rsidRDefault="00D46DC0" w:rsidP="00D46DC0">
      <w:pPr>
        <w:pStyle w:val="Hlistbullet"/>
        <w:rPr>
          <w:sz w:val="18"/>
        </w:rPr>
      </w:pPr>
      <w:r w:rsidRPr="00FB01AA">
        <w:rPr>
          <w:sz w:val="18"/>
        </w:rPr>
        <w:t xml:space="preserve">дейностите, необходими за оценката на приноса на стратегиите за ВОМР за целите на развитието на селските райони; </w:t>
      </w:r>
    </w:p>
    <w:p w:rsidR="00D46DC0" w:rsidRPr="00FB01AA" w:rsidRDefault="00D46DC0" w:rsidP="00D46DC0">
      <w:pPr>
        <w:pStyle w:val="Hlistbullet"/>
        <w:rPr>
          <w:sz w:val="18"/>
        </w:rPr>
      </w:pPr>
      <w:r w:rsidRPr="00FB01AA">
        <w:rPr>
          <w:sz w:val="18"/>
        </w:rPr>
        <w:t xml:space="preserve">планираната подкрепа за оценката на равнището на МГД. </w:t>
      </w:r>
    </w:p>
    <w:p w:rsidR="00D46DC0" w:rsidRPr="00FB01AA" w:rsidRDefault="00D46DC0" w:rsidP="00D46DC0">
      <w:pPr>
        <w:pStyle w:val="HStandard"/>
        <w:rPr>
          <w:sz w:val="18"/>
        </w:rPr>
      </w:pPr>
      <w:r w:rsidRPr="00FB01AA">
        <w:rPr>
          <w:sz w:val="18"/>
        </w:rPr>
        <w:t xml:space="preserve">Съгласно Регламента за развитие на селските райони се изисква също така информацията, събрана в резултат на дейностите за оценка, да бъде включена в </w:t>
      </w:r>
      <w:r w:rsidRPr="00FB01AA">
        <w:rPr>
          <w:b/>
          <w:sz w:val="18"/>
        </w:rPr>
        <w:t>годишните доклади за изпълнение (ГДИ)</w:t>
      </w:r>
      <w:r w:rsidRPr="00FB01AA">
        <w:rPr>
          <w:sz w:val="18"/>
        </w:rPr>
        <w:t>, подадени през 2017 г. и през 2019 г.</w:t>
      </w:r>
      <w:r w:rsidRPr="00FB01AA">
        <w:rPr>
          <w:rStyle w:val="FootnoteReference"/>
          <w:color w:val="535353" w:themeColor="text1" w:themeShade="BF"/>
          <w:sz w:val="18"/>
        </w:rPr>
        <w:footnoteReference w:id="12"/>
      </w:r>
      <w:r w:rsidRPr="00FB01AA">
        <w:rPr>
          <w:sz w:val="18"/>
        </w:rPr>
        <w:t>, а именно:</w:t>
      </w:r>
    </w:p>
    <w:p w:rsidR="00D46DC0" w:rsidRPr="00FB01AA" w:rsidRDefault="00D46DC0" w:rsidP="00D46DC0">
      <w:pPr>
        <w:pStyle w:val="Hlistbullet"/>
        <w:rPr>
          <w:sz w:val="18"/>
        </w:rPr>
      </w:pPr>
      <w:r w:rsidRPr="00FB01AA">
        <w:rPr>
          <w:b/>
          <w:sz w:val="18"/>
        </w:rPr>
        <w:t>през 2017 г.:</w:t>
      </w:r>
      <w:r w:rsidRPr="00FB01AA">
        <w:rPr>
          <w:sz w:val="18"/>
        </w:rPr>
        <w:t xml:space="preserve"> количественото изражение на постиженията на програмата чрез оценка на допълнителните показатели за резултати и </w:t>
      </w:r>
      <w:r w:rsidR="00176F79" w:rsidRPr="00251DF4">
        <w:rPr>
          <w:sz w:val="18"/>
        </w:rPr>
        <w:t xml:space="preserve">отговор на </w:t>
      </w:r>
      <w:r w:rsidRPr="00FB01AA">
        <w:rPr>
          <w:sz w:val="18"/>
        </w:rPr>
        <w:t>съответните въпроси за оценка;</w:t>
      </w:r>
    </w:p>
    <w:p w:rsidR="00FA72BA" w:rsidRPr="00FB01AA" w:rsidRDefault="00D46DC0" w:rsidP="00CB5FC3">
      <w:pPr>
        <w:pStyle w:val="Hlistbullet"/>
        <w:rPr>
          <w:sz w:val="18"/>
        </w:rPr>
      </w:pPr>
      <w:r w:rsidRPr="00FB01AA">
        <w:rPr>
          <w:b/>
          <w:sz w:val="18"/>
        </w:rPr>
        <w:t>през 2019 г. също и:</w:t>
      </w:r>
      <w:r w:rsidRPr="00FB01AA">
        <w:rPr>
          <w:sz w:val="18"/>
        </w:rPr>
        <w:t xml:space="preserve"> приносът за постигането на целите на стратегията на Съюза за интелигентен, устойчив и приобщаващ растеж, наред с другото, и посредством оценката на нетния принос на програмата за промени в </w:t>
      </w:r>
      <w:r w:rsidRPr="00FB01AA">
        <w:rPr>
          <w:sz w:val="18"/>
        </w:rPr>
        <w:lastRenderedPageBreak/>
        <w:t xml:space="preserve">стойностите на показателя за въздействие на ОСП и съответните въпроси за оценка. </w:t>
      </w:r>
    </w:p>
    <w:p w:rsidR="00D46DC0" w:rsidRPr="00FB01AA" w:rsidRDefault="00D46DC0" w:rsidP="00FA72BA">
      <w:pPr>
        <w:pStyle w:val="H-Standard"/>
        <w:rPr>
          <w:sz w:val="18"/>
        </w:rPr>
      </w:pPr>
      <w:r w:rsidRPr="00FB01AA">
        <w:rPr>
          <w:sz w:val="18"/>
        </w:rPr>
        <w:t xml:space="preserve">Това означава, че в глава 7 на тези два ГДИ се включва информация за приноса на операциите, изпълнявани съгласно стратегиите за ВОМР, за целите на развитието на селските райони. ГДИ трябва да съдържа количествено изражение на показателите за резултати и отговорите на ОВО. Това изисква да се направи оценка на онези области с поставен акцент (ОПА), свързани с развитието на селските райони, в които изпълняваните чрез стратегии за ВОМР операции показват първичен и вторичен принос. </w:t>
      </w:r>
    </w:p>
    <w:p w:rsidR="00D46DC0" w:rsidRPr="00FB01AA" w:rsidRDefault="00D46DC0" w:rsidP="00FA72BA">
      <w:pPr>
        <w:pStyle w:val="H-Standard"/>
        <w:rPr>
          <w:sz w:val="18"/>
        </w:rPr>
      </w:pPr>
      <w:r w:rsidRPr="00FB01AA">
        <w:rPr>
          <w:sz w:val="18"/>
        </w:rPr>
        <w:t xml:space="preserve">Освен това с регламента за изпълнение на Комисията се определя </w:t>
      </w:r>
      <w:r w:rsidRPr="00FB01AA">
        <w:rPr>
          <w:b/>
          <w:sz w:val="18"/>
        </w:rPr>
        <w:t xml:space="preserve">общата система за мониторинг и оценка </w:t>
      </w:r>
      <w:r w:rsidRPr="00FB01AA">
        <w:rPr>
          <w:sz w:val="18"/>
        </w:rPr>
        <w:t xml:space="preserve">(ОСМО) </w:t>
      </w:r>
      <w:r w:rsidRPr="00FB01AA">
        <w:rPr>
          <w:b/>
          <w:sz w:val="18"/>
        </w:rPr>
        <w:t>за развитието на селските райони</w:t>
      </w:r>
      <w:r w:rsidRPr="00FB01AA">
        <w:rPr>
          <w:rStyle w:val="FootnoteReference"/>
          <w:color w:val="535353" w:themeColor="text1" w:themeShade="BF"/>
          <w:sz w:val="18"/>
          <w14:textFill>
            <w14:solidFill>
              <w14:schemeClr w14:val="tx1">
                <w14:lumMod w14:val="75000"/>
                <w14:lumMod w14:val="75000"/>
              </w14:schemeClr>
            </w14:solidFill>
          </w14:textFill>
        </w:rPr>
        <w:footnoteReference w:id="13"/>
      </w:r>
      <w:r w:rsidRPr="00FB01AA">
        <w:rPr>
          <w:sz w:val="18"/>
        </w:rPr>
        <w:t>, установена с Регламента за развитие на селските райони</w:t>
      </w:r>
      <w:r w:rsidRPr="00FB01AA">
        <w:rPr>
          <w:rStyle w:val="FootnoteReference"/>
          <w:color w:val="535353" w:themeColor="text1" w:themeShade="BF"/>
          <w:sz w:val="18"/>
          <w14:textFill>
            <w14:solidFill>
              <w14:schemeClr w14:val="tx1">
                <w14:lumMod w14:val="75000"/>
                <w14:lumMod w14:val="75000"/>
              </w14:schemeClr>
            </w14:solidFill>
          </w14:textFill>
        </w:rPr>
        <w:footnoteReference w:id="14"/>
      </w:r>
      <w:r w:rsidRPr="00FB01AA">
        <w:rPr>
          <w:sz w:val="18"/>
        </w:rPr>
        <w:t>. ОСМО предвижда минимален набор от елементи, които трябва да се използват при оценката на ПРСР (включително интервенциите, осъществявани чрез LEADER/ВОМР). ОСМО и нейните елементи са описани в Наръчника относно общата рамка за мониторинг и оценка (ОРМО) и приложенията към него</w:t>
      </w:r>
      <w:r w:rsidRPr="00FB01AA">
        <w:rPr>
          <w:rStyle w:val="FootnoteReference"/>
          <w:sz w:val="18"/>
          <w14:textFill>
            <w14:solidFill>
              <w14:schemeClr w14:val="tx1">
                <w14:lumMod w14:val="75000"/>
                <w14:lumMod w14:val="75000"/>
                <w14:lumMod w14:val="75000"/>
              </w14:schemeClr>
            </w14:solidFill>
          </w14:textFill>
        </w:rPr>
        <w:footnoteReference w:id="15"/>
      </w:r>
      <w:r w:rsidRPr="00FB01AA">
        <w:rPr>
          <w:sz w:val="18"/>
        </w:rPr>
        <w:t>, както и в различни указания</w:t>
      </w:r>
      <w:r w:rsidRPr="00FB01AA">
        <w:rPr>
          <w:rStyle w:val="FootnoteReference"/>
          <w:color w:val="535353" w:themeColor="text1" w:themeShade="BF"/>
          <w:sz w:val="18"/>
          <w14:textFill>
            <w14:solidFill>
              <w14:schemeClr w14:val="tx1">
                <w14:lumMod w14:val="75000"/>
                <w14:lumMod w14:val="75000"/>
              </w14:schemeClr>
            </w14:solidFill>
          </w14:textFill>
        </w:rPr>
        <w:footnoteReference w:id="16"/>
      </w:r>
      <w:r w:rsidRPr="00FB01AA">
        <w:rPr>
          <w:sz w:val="18"/>
        </w:rPr>
        <w:t xml:space="preserve">. </w:t>
      </w:r>
    </w:p>
    <w:p w:rsidR="00D46DC0" w:rsidRPr="00FB01AA" w:rsidRDefault="00D46DC0" w:rsidP="00D46DC0">
      <w:pPr>
        <w:pStyle w:val="HStandard"/>
        <w:rPr>
          <w:sz w:val="18"/>
        </w:rPr>
      </w:pPr>
      <w:r w:rsidRPr="00FB01AA">
        <w:rPr>
          <w:sz w:val="18"/>
        </w:rPr>
        <w:t xml:space="preserve">За LEADER/ВОМР ОСМО предвижда: </w:t>
      </w:r>
    </w:p>
    <w:p w:rsidR="00D46DC0" w:rsidRPr="00FB01AA" w:rsidRDefault="00D46DC0" w:rsidP="00D46DC0">
      <w:pPr>
        <w:pStyle w:val="Hlistbullet"/>
        <w:rPr>
          <w:sz w:val="18"/>
        </w:rPr>
      </w:pPr>
      <w:r w:rsidRPr="00FB01AA">
        <w:rPr>
          <w:b/>
          <w:sz w:val="18"/>
        </w:rPr>
        <w:t>интервенционна логика</w:t>
      </w:r>
      <w:r w:rsidRPr="00FB01AA">
        <w:rPr>
          <w:sz w:val="18"/>
        </w:rPr>
        <w:t xml:space="preserve"> за ПРСР, съгласно която </w:t>
      </w:r>
      <w:r w:rsidR="00CC035F">
        <w:rPr>
          <w:sz w:val="18"/>
        </w:rPr>
        <w:t xml:space="preserve">основно се планира </w:t>
      </w:r>
      <w:r w:rsidRPr="00FB01AA">
        <w:rPr>
          <w:sz w:val="18"/>
        </w:rPr>
        <w:t xml:space="preserve">LEADER/ВОМР </w:t>
      </w:r>
      <w:r w:rsidR="0086223D">
        <w:rPr>
          <w:sz w:val="18"/>
        </w:rPr>
        <w:t>в рамките на</w:t>
      </w:r>
      <w:r w:rsidRPr="00FB01AA">
        <w:rPr>
          <w:sz w:val="18"/>
        </w:rPr>
        <w:t xml:space="preserve"> област с поставен акцент 6Б и има принос към други ОПА</w:t>
      </w:r>
      <w:r w:rsidRPr="00FB01AA">
        <w:rPr>
          <w:rStyle w:val="FootnoteReference"/>
          <w:color w:val="535353" w:themeColor="text1" w:themeShade="BF"/>
          <w:sz w:val="18"/>
        </w:rPr>
        <w:footnoteReference w:id="17"/>
      </w:r>
      <w:r w:rsidRPr="00FB01AA">
        <w:rPr>
          <w:sz w:val="18"/>
        </w:rPr>
        <w:t>;</w:t>
      </w:r>
    </w:p>
    <w:p w:rsidR="00D46DC0" w:rsidRPr="00FB01AA" w:rsidRDefault="00D46DC0" w:rsidP="00D46DC0">
      <w:pPr>
        <w:pStyle w:val="Hlistbullet"/>
        <w:rPr>
          <w:sz w:val="18"/>
        </w:rPr>
      </w:pPr>
      <w:r w:rsidRPr="00FB01AA">
        <w:rPr>
          <w:sz w:val="18"/>
        </w:rPr>
        <w:t xml:space="preserve">набор от конкретни </w:t>
      </w:r>
      <w:r w:rsidRPr="00FB01AA">
        <w:rPr>
          <w:b/>
          <w:sz w:val="18"/>
        </w:rPr>
        <w:t>общи показатели за крайни продукти и цели</w:t>
      </w:r>
      <w:r w:rsidRPr="00FB01AA">
        <w:rPr>
          <w:sz w:val="18"/>
        </w:rPr>
        <w:t xml:space="preserve">, които следва да се използват за събиране на данни от мониторинга на изпълнението на LEADER/ВОМР. Информацията относно допълнителните общи показатели за резултати, свързани с ОПА, следва да се използва и за оценката на приноса на </w:t>
      </w:r>
      <w:r w:rsidRPr="00FB01AA">
        <w:rPr>
          <w:sz w:val="18"/>
        </w:rPr>
        <w:t>операциите, изпълнявани по стратегиите за ВОМР</w:t>
      </w:r>
      <w:r w:rsidRPr="00FB01AA">
        <w:rPr>
          <w:rStyle w:val="FootnoteReference"/>
          <w:color w:val="535353" w:themeColor="text1" w:themeShade="BF"/>
          <w:sz w:val="18"/>
        </w:rPr>
        <w:footnoteReference w:id="18"/>
      </w:r>
      <w:r w:rsidRPr="00FB01AA">
        <w:rPr>
          <w:sz w:val="18"/>
        </w:rPr>
        <w:t xml:space="preserve">; </w:t>
      </w:r>
    </w:p>
    <w:p w:rsidR="00D46DC0" w:rsidRPr="00FB01AA" w:rsidRDefault="00D46DC0" w:rsidP="00D46DC0">
      <w:pPr>
        <w:pStyle w:val="Hlistbullet"/>
        <w:rPr>
          <w:sz w:val="18"/>
        </w:rPr>
      </w:pPr>
      <w:r w:rsidRPr="00FB01AA">
        <w:rPr>
          <w:b/>
          <w:sz w:val="18"/>
        </w:rPr>
        <w:t>общи въпроси за оценка</w:t>
      </w:r>
      <w:r w:rsidRPr="00FB01AA">
        <w:rPr>
          <w:sz w:val="18"/>
        </w:rPr>
        <w:t xml:space="preserve"> (ОВО), и преди всичко ОВО № 17, който е свързан с ОПА 6Б и с целите на ПРСР, за които допринася LEADER/ВОМР</w:t>
      </w:r>
      <w:r w:rsidRPr="00FB01AA">
        <w:rPr>
          <w:rStyle w:val="FootnoteReference"/>
          <w:color w:val="535353" w:themeColor="text1" w:themeShade="BF"/>
          <w:sz w:val="18"/>
        </w:rPr>
        <w:footnoteReference w:id="19"/>
      </w:r>
      <w:r w:rsidRPr="00FB01AA">
        <w:rPr>
          <w:sz w:val="18"/>
        </w:rPr>
        <w:t>;</w:t>
      </w:r>
    </w:p>
    <w:p w:rsidR="00D46DC0" w:rsidRPr="00FB01AA" w:rsidRDefault="00D46DC0" w:rsidP="00D46DC0">
      <w:pPr>
        <w:pStyle w:val="Hlistbullet"/>
        <w:rPr>
          <w:sz w:val="18"/>
        </w:rPr>
      </w:pPr>
      <w:r w:rsidRPr="00FB01AA">
        <w:rPr>
          <w:b/>
          <w:sz w:val="18"/>
        </w:rPr>
        <w:t>данни за LEADER/ВОМР</w:t>
      </w:r>
      <w:r w:rsidRPr="00FB01AA">
        <w:rPr>
          <w:sz w:val="18"/>
        </w:rPr>
        <w:t>, включени в базата данни за операциите по стълб II, които се събират чрез системата за мониторинг във връзка с показателите за крайните продукти и целите</w:t>
      </w:r>
      <w:r w:rsidRPr="00FB01AA">
        <w:rPr>
          <w:rStyle w:val="FootnoteReference"/>
          <w:color w:val="535353" w:themeColor="text1" w:themeShade="BF"/>
          <w:sz w:val="18"/>
        </w:rPr>
        <w:footnoteReference w:id="20"/>
      </w:r>
      <w:r w:rsidRPr="00FB01AA">
        <w:rPr>
          <w:sz w:val="18"/>
        </w:rPr>
        <w:t>;</w:t>
      </w:r>
    </w:p>
    <w:p w:rsidR="00D46DC0" w:rsidRPr="00FB01AA" w:rsidRDefault="00D46DC0" w:rsidP="00B02F8C">
      <w:pPr>
        <w:pStyle w:val="Hlistbullet"/>
        <w:rPr>
          <w:sz w:val="18"/>
        </w:rPr>
      </w:pPr>
      <w:r w:rsidRPr="00FB01AA">
        <w:rPr>
          <w:sz w:val="18"/>
        </w:rPr>
        <w:t>специфични</w:t>
      </w:r>
      <w:r w:rsidRPr="00FB01AA">
        <w:rPr>
          <w:b/>
          <w:sz w:val="18"/>
        </w:rPr>
        <w:t xml:space="preserve"> указания, свързани с LEADER/ВОМР,</w:t>
      </w:r>
      <w:r w:rsidRPr="00FB01AA">
        <w:rPr>
          <w:sz w:val="18"/>
        </w:rPr>
        <w:t xml:space="preserve"> в различни документи на Бюрото за оценка (например </w:t>
      </w:r>
      <w:r w:rsidR="0040753D">
        <w:rPr>
          <w:sz w:val="18"/>
        </w:rPr>
        <w:t xml:space="preserve">насоките </w:t>
      </w:r>
      <w:hyperlink r:id="rId26">
        <w:r w:rsidR="0040753D">
          <w:rPr>
            <w:rStyle w:val="Hyperlink"/>
            <w:sz w:val="18"/>
          </w:rPr>
          <w:t>„Оценка на резултатите от ПРСР“</w:t>
        </w:r>
      </w:hyperlink>
      <w:r w:rsidRPr="00FB01AA">
        <w:rPr>
          <w:sz w:val="18"/>
        </w:rPr>
        <w:t xml:space="preserve">, </w:t>
      </w:r>
      <w:hyperlink r:id="rId27">
        <w:r w:rsidR="0040753D">
          <w:rPr>
            <w:rStyle w:val="Hyperlink"/>
            <w:sz w:val="18"/>
          </w:rPr>
          <w:t>„Изготвяне и изпълнение на плана за оценка на ПРСР за периода 2014—2020 г.“</w:t>
        </w:r>
      </w:hyperlink>
      <w:r w:rsidRPr="00FB01AA">
        <w:rPr>
          <w:sz w:val="18"/>
        </w:rPr>
        <w:t xml:space="preserve"> и т.н.)</w:t>
      </w:r>
      <w:r w:rsidRPr="00FB01AA">
        <w:rPr>
          <w:rStyle w:val="FootnoteReference"/>
          <w:color w:val="535353" w:themeColor="text1" w:themeShade="BF"/>
          <w:sz w:val="18"/>
        </w:rPr>
        <w:footnoteReference w:id="21"/>
      </w:r>
      <w:r w:rsidRPr="00FB01AA">
        <w:rPr>
          <w:sz w:val="18"/>
        </w:rPr>
        <w:t>.</w:t>
      </w:r>
    </w:p>
    <w:p w:rsidR="00D46DC0" w:rsidRPr="00FB01AA" w:rsidRDefault="00943C21" w:rsidP="000940AE">
      <w:pPr>
        <w:pStyle w:val="HHeading2"/>
        <w:tabs>
          <w:tab w:val="clear" w:pos="360"/>
        </w:tabs>
        <w:ind w:left="567" w:hanging="567"/>
        <w:rPr>
          <w:sz w:val="18"/>
        </w:rPr>
      </w:pPr>
      <w:bookmarkStart w:id="25" w:name="_Toc475030376"/>
      <w:r w:rsidRPr="00FB01AA">
        <w:rPr>
          <w:sz w:val="18"/>
        </w:rPr>
        <w:br w:type="column"/>
      </w:r>
      <w:bookmarkStart w:id="26" w:name="_Toc493497701"/>
      <w:bookmarkStart w:id="27" w:name="_Toc498506704"/>
      <w:r w:rsidRPr="00FB01AA">
        <w:rPr>
          <w:sz w:val="18"/>
        </w:rPr>
        <w:lastRenderedPageBreak/>
        <w:t>Изграждане на концепция за оценката на LEADER/ВОМР</w:t>
      </w:r>
      <w:bookmarkEnd w:id="25"/>
      <w:bookmarkEnd w:id="26"/>
      <w:bookmarkEnd w:id="27"/>
      <w:r w:rsidRPr="00FB01AA">
        <w:rPr>
          <w:sz w:val="18"/>
        </w:rPr>
        <w:t xml:space="preserve"> </w:t>
      </w:r>
    </w:p>
    <w:p w:rsidR="00D46DC0" w:rsidRPr="00FB01AA" w:rsidRDefault="00F62B74" w:rsidP="00943C21">
      <w:pPr>
        <w:pStyle w:val="H-Standard"/>
        <w:rPr>
          <w:sz w:val="18"/>
        </w:rPr>
      </w:pPr>
      <w:r w:rsidRPr="00FB01AA">
        <w:rPr>
          <w:sz w:val="18"/>
        </w:rPr>
        <w:t xml:space="preserve">Използването на ВОМР е предвидено в Споразумението за партньорство, както и в съответните програми на ЕСИ фондове и се изпълнява на равнището на МГД чрез прилагане на метода LEADER (вж. глава 1.1.1.): </w:t>
      </w:r>
    </w:p>
    <w:p w:rsidR="00D46DC0" w:rsidRPr="00FB01AA" w:rsidRDefault="00D46DC0" w:rsidP="00D46DC0">
      <w:pPr>
        <w:pStyle w:val="Hlistbullet"/>
        <w:rPr>
          <w:b/>
          <w:sz w:val="18"/>
        </w:rPr>
      </w:pPr>
      <w:r w:rsidRPr="00FB01AA">
        <w:rPr>
          <w:b/>
          <w:sz w:val="18"/>
        </w:rPr>
        <w:t xml:space="preserve">На програмно равнище: </w:t>
      </w:r>
      <w:r w:rsidRPr="00FB01AA">
        <w:rPr>
          <w:sz w:val="18"/>
        </w:rPr>
        <w:t>за ЕЗФРСР LEADER е самостоятелна мярка, свързана със специфичните приоритети на програмата.</w:t>
      </w:r>
    </w:p>
    <w:p w:rsidR="00D46DC0" w:rsidRPr="00FB01AA" w:rsidRDefault="00D46DC0" w:rsidP="00D46DC0">
      <w:pPr>
        <w:pStyle w:val="Hlistbullet"/>
        <w:rPr>
          <w:sz w:val="18"/>
        </w:rPr>
      </w:pPr>
      <w:r w:rsidRPr="00FB01AA">
        <w:rPr>
          <w:b/>
          <w:sz w:val="18"/>
        </w:rPr>
        <w:t xml:space="preserve">На местно равнище: </w:t>
      </w:r>
      <w:r w:rsidRPr="00FB01AA">
        <w:rPr>
          <w:sz w:val="18"/>
        </w:rPr>
        <w:t>един или няколко ЕСИ фонда могат да се използват за подпомагане на операциите, осъществявани чрез стратегията за ВОМР, и на дейностите на МГД в рамките на територията на тази МГД. Целите на стратегията за ВОМР трябва да съответстват на целите на използвания(те) ЕСИ фонд(ове).</w:t>
      </w:r>
    </w:p>
    <w:p w:rsidR="00F107B3" w:rsidRPr="00FB01AA" w:rsidRDefault="00225FB5" w:rsidP="00FA72BA">
      <w:pPr>
        <w:pStyle w:val="H-Standard"/>
        <w:rPr>
          <w:sz w:val="18"/>
        </w:rPr>
      </w:pPr>
      <w:r w:rsidRPr="00FB01AA">
        <w:rPr>
          <w:sz w:val="18"/>
        </w:rPr>
        <w:t>На фигура 4 по-долу са показани гореописаните компоненти на LEADER/ВОМР на равнището на ПРСР и на местно равнище.</w:t>
      </w:r>
    </w:p>
    <w:p w:rsidR="00943C21" w:rsidRPr="00FB01AA" w:rsidRDefault="00943C21" w:rsidP="009C09A7">
      <w:pPr>
        <w:pStyle w:val="HHeadingFigure"/>
        <w:rPr>
          <w:sz w:val="14"/>
        </w:rPr>
        <w:sectPr w:rsidR="00943C21" w:rsidRPr="00FB01AA" w:rsidSect="00FA72BA">
          <w:type w:val="continuous"/>
          <w:pgSz w:w="11906" w:h="16838"/>
          <w:pgMar w:top="1418" w:right="1418" w:bottom="1418" w:left="1418" w:header="709" w:footer="709" w:gutter="0"/>
          <w:cols w:num="2" w:space="397"/>
          <w:docGrid w:linePitch="360"/>
        </w:sectPr>
      </w:pPr>
      <w:bookmarkStart w:id="28" w:name="_Toc475030413"/>
    </w:p>
    <w:p w:rsidR="00056A0D" w:rsidRPr="00FB01AA" w:rsidRDefault="00056A0D" w:rsidP="00056A0D">
      <w:pPr>
        <w:pStyle w:val="HStandard"/>
        <w:rPr>
          <w:sz w:val="18"/>
        </w:rPr>
      </w:pPr>
    </w:p>
    <w:p w:rsidR="00D46DC0" w:rsidRPr="00FB01AA" w:rsidRDefault="00D46DC0" w:rsidP="009C09A7">
      <w:pPr>
        <w:pStyle w:val="HHeadingFigure"/>
        <w:rPr>
          <w:sz w:val="14"/>
        </w:rPr>
      </w:pPr>
      <w:bookmarkStart w:id="29" w:name="_Toc493497729"/>
      <w:bookmarkStart w:id="30" w:name="_Toc498507089"/>
      <w:r w:rsidRPr="00FB01AA">
        <w:rPr>
          <w:sz w:val="14"/>
        </w:rPr>
        <w:t>Концепция за оценката на LEADER/ВОМР на равнището на ПРСР и на местно равнище</w:t>
      </w:r>
      <w:bookmarkEnd w:id="28"/>
      <w:bookmarkEnd w:id="29"/>
      <w:bookmarkEnd w:id="30"/>
      <w:r w:rsidRPr="00FB01AA">
        <w:rPr>
          <w:sz w:val="14"/>
        </w:rPr>
        <w:t xml:space="preserve"> </w:t>
      </w:r>
    </w:p>
    <w:p w:rsidR="002737FC" w:rsidRDefault="00BD0D14" w:rsidP="003D0FEB">
      <w:pPr>
        <w:pStyle w:val="HStandard"/>
        <w:jc w:val="center"/>
        <w:rPr>
          <w:sz w:val="18"/>
        </w:rPr>
      </w:pPr>
      <w:r>
        <w:rPr>
          <w:noProof/>
          <w:sz w:val="18"/>
          <w:lang w:val="en-GB" w:eastAsia="en-GB" w:bidi="ar-SA"/>
        </w:rPr>
        <w:drawing>
          <wp:inline distT="0" distB="0" distL="0" distR="0" wp14:anchorId="4B18BF9D" wp14:editId="0F7BB81D">
            <wp:extent cx="5000206" cy="5407200"/>
            <wp:effectExtent l="0" t="0" r="0" b="317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8">
                      <a:extLst>
                        <a:ext uri="{28A0092B-C50C-407E-A947-70E740481C1C}">
                          <a14:useLocalDpi xmlns:a14="http://schemas.microsoft.com/office/drawing/2010/main" val="0"/>
                        </a:ext>
                      </a:extLst>
                    </a:blip>
                    <a:srcRect b="13489"/>
                    <a:stretch/>
                  </pic:blipFill>
                  <pic:spPr bwMode="auto">
                    <a:xfrm>
                      <a:off x="0" y="0"/>
                      <a:ext cx="5000206" cy="5407200"/>
                    </a:xfrm>
                    <a:prstGeom prst="rect">
                      <a:avLst/>
                    </a:prstGeom>
                    <a:noFill/>
                    <a:ln>
                      <a:noFill/>
                    </a:ln>
                    <a:extLst>
                      <a:ext uri="{53640926-AAD7-44D8-BBD7-CCE9431645EC}">
                        <a14:shadowObscured xmlns:a14="http://schemas.microsoft.com/office/drawing/2010/main"/>
                      </a:ext>
                    </a:extLst>
                  </pic:spPr>
                </pic:pic>
              </a:graphicData>
            </a:graphic>
          </wp:inline>
        </w:drawing>
      </w:r>
    </w:p>
    <w:p w:rsidR="00D46DC0" w:rsidRPr="00FB01AA" w:rsidRDefault="00D46DC0" w:rsidP="00D46DC0">
      <w:pPr>
        <w:pStyle w:val="HSource"/>
        <w:rPr>
          <w:sz w:val="14"/>
        </w:rPr>
      </w:pPr>
      <w:r w:rsidRPr="00FB01AA">
        <w:rPr>
          <w:sz w:val="14"/>
        </w:rPr>
        <w:t>Източник: Европейско бюро за оценка в областта на развитието на селските райони, 2017 г.</w:t>
      </w:r>
    </w:p>
    <w:p w:rsidR="00710D62" w:rsidRPr="00FB01AA" w:rsidRDefault="00710D62" w:rsidP="00F107B3">
      <w:pPr>
        <w:pStyle w:val="HStandard"/>
        <w:rPr>
          <w:b/>
          <w:sz w:val="18"/>
        </w:rPr>
        <w:sectPr w:rsidR="00710D62" w:rsidRPr="00FB01AA" w:rsidSect="00943C21">
          <w:type w:val="continuous"/>
          <w:pgSz w:w="11906" w:h="16838"/>
          <w:pgMar w:top="1418" w:right="1418" w:bottom="1418" w:left="1418" w:header="709" w:footer="709" w:gutter="0"/>
          <w:cols w:space="720"/>
          <w:docGrid w:linePitch="360"/>
        </w:sectPr>
      </w:pPr>
    </w:p>
    <w:p w:rsidR="002E2144" w:rsidRPr="00FB01AA" w:rsidRDefault="002E2144" w:rsidP="00F107B3">
      <w:pPr>
        <w:pStyle w:val="HStandard"/>
        <w:rPr>
          <w:b/>
          <w:sz w:val="18"/>
        </w:rPr>
        <w:sectPr w:rsidR="002E2144" w:rsidRPr="00FB01AA" w:rsidSect="00943C21">
          <w:type w:val="continuous"/>
          <w:pgSz w:w="11906" w:h="16838"/>
          <w:pgMar w:top="1418" w:right="1418" w:bottom="1418" w:left="1418" w:header="709" w:footer="709" w:gutter="0"/>
          <w:cols w:space="720"/>
          <w:docGrid w:linePitch="360"/>
        </w:sectPr>
      </w:pPr>
    </w:p>
    <w:p w:rsidR="00F107B3" w:rsidRPr="00FB01AA" w:rsidRDefault="00F107B3" w:rsidP="00F107B3">
      <w:pPr>
        <w:pStyle w:val="HStandard"/>
        <w:rPr>
          <w:sz w:val="18"/>
        </w:rPr>
      </w:pPr>
      <w:r w:rsidRPr="00FB01AA">
        <w:rPr>
          <w:b/>
          <w:sz w:val="18"/>
        </w:rPr>
        <w:lastRenderedPageBreak/>
        <w:t>В рамките на ПРСР</w:t>
      </w:r>
      <w:r w:rsidRPr="00FB01AA">
        <w:rPr>
          <w:sz w:val="18"/>
        </w:rPr>
        <w:t xml:space="preserve"> ВОМР се планира като LEADER/ВОМР по ОПА 6Б</w:t>
      </w:r>
      <w:r w:rsidRPr="00FB01AA">
        <w:rPr>
          <w:rStyle w:val="FootnoteReference"/>
          <w:sz w:val="18"/>
        </w:rPr>
        <w:footnoteReference w:id="22"/>
      </w:r>
      <w:r w:rsidRPr="00FB01AA">
        <w:rPr>
          <w:sz w:val="18"/>
        </w:rPr>
        <w:t>, но може да допринася за коя да е от областите с поставен акцент на ПРСР, както и за междусекторните цели в областта на иновациите, околната среда и изменението на климата. Посредством ПРСР ВОМР допринася също и за постигането на целите на ОСП — балансирано териториално развитие на селските райони, а по този начин и за тематичните/водещите цели на стратегията „Европа 2020“.</w:t>
      </w:r>
    </w:p>
    <w:p w:rsidR="00F107B3" w:rsidRPr="00FB01AA" w:rsidRDefault="00F107B3" w:rsidP="00F107B3">
      <w:pPr>
        <w:pStyle w:val="HStandard"/>
        <w:rPr>
          <w:sz w:val="18"/>
        </w:rPr>
      </w:pPr>
      <w:r w:rsidRPr="00FB01AA">
        <w:rPr>
          <w:b/>
          <w:sz w:val="18"/>
        </w:rPr>
        <w:t>На местно равнище</w:t>
      </w:r>
      <w:r w:rsidRPr="00FB01AA">
        <w:rPr>
          <w:sz w:val="18"/>
        </w:rPr>
        <w:t xml:space="preserve"> LEADER/ВОМР се изпълнява чрез дейностите на МГД, </w:t>
      </w:r>
      <w:r w:rsidR="0038736E">
        <w:rPr>
          <w:sz w:val="18"/>
        </w:rPr>
        <w:t xml:space="preserve">чрез </w:t>
      </w:r>
      <w:r w:rsidRPr="00FB01AA">
        <w:rPr>
          <w:sz w:val="18"/>
        </w:rPr>
        <w:t>стратеги</w:t>
      </w:r>
      <w:r w:rsidR="0038736E">
        <w:rPr>
          <w:sz w:val="18"/>
        </w:rPr>
        <w:t>я</w:t>
      </w:r>
      <w:r w:rsidRPr="00FB01AA">
        <w:rPr>
          <w:sz w:val="18"/>
        </w:rPr>
        <w:t>т</w:t>
      </w:r>
      <w:r w:rsidR="0038736E">
        <w:rPr>
          <w:sz w:val="18"/>
        </w:rPr>
        <w:t>а</w:t>
      </w:r>
      <w:r w:rsidRPr="00FB01AA">
        <w:rPr>
          <w:sz w:val="18"/>
        </w:rPr>
        <w:t xml:space="preserve"> за ВОМР, функционирането на МГД и популяризирането/изграждането на капацитет</w:t>
      </w:r>
      <w:r w:rsidRPr="00FB01AA">
        <w:rPr>
          <w:rStyle w:val="FootnoteReference"/>
          <w:sz w:val="18"/>
        </w:rPr>
        <w:footnoteReference w:id="23"/>
      </w:r>
      <w:r w:rsidRPr="00FB01AA">
        <w:rPr>
          <w:sz w:val="18"/>
        </w:rPr>
        <w:t xml:space="preserve">. Най-важната дейност е подготовката и изпълнението на стратегията за ВОМР, която действа като малка програма на подрегионално равнище. Тя има собствена интервенционна логика, включваща местни цели и действия/групи операции, насочени към </w:t>
      </w:r>
      <w:r w:rsidR="000806DD">
        <w:rPr>
          <w:sz w:val="18"/>
        </w:rPr>
        <w:t>задовол</w:t>
      </w:r>
      <w:r w:rsidR="00D37580">
        <w:rPr>
          <w:sz w:val="18"/>
        </w:rPr>
        <w:t>яв</w:t>
      </w:r>
      <w:r w:rsidRPr="00FB01AA">
        <w:rPr>
          <w:sz w:val="18"/>
        </w:rPr>
        <w:t xml:space="preserve">ане на местните потребности на територията на МГД. </w:t>
      </w:r>
    </w:p>
    <w:p w:rsidR="00F107B3" w:rsidRPr="00FB01AA" w:rsidRDefault="00F107B3" w:rsidP="003D0FEB">
      <w:pPr>
        <w:pStyle w:val="HStandard"/>
        <w:spacing w:after="240"/>
        <w:rPr>
          <w:sz w:val="18"/>
        </w:rPr>
      </w:pPr>
      <w:r w:rsidRPr="00FB01AA">
        <w:rPr>
          <w:sz w:val="18"/>
        </w:rPr>
        <w:t>ВОМР се изпълнява съгласно</w:t>
      </w:r>
      <w:r w:rsidRPr="00FB01AA">
        <w:rPr>
          <w:b/>
          <w:sz w:val="18"/>
        </w:rPr>
        <w:t xml:space="preserve"> специфичен метод</w:t>
      </w:r>
      <w:r w:rsidRPr="00FB01AA">
        <w:rPr>
          <w:sz w:val="18"/>
        </w:rPr>
        <w:t xml:space="preserve">, който, ако бъде приложен правилно, </w:t>
      </w:r>
      <w:r w:rsidRPr="00FB01AA">
        <w:rPr>
          <w:b/>
          <w:sz w:val="18"/>
        </w:rPr>
        <w:t>създава добавена стойност</w:t>
      </w:r>
      <w:r w:rsidRPr="00FB01AA">
        <w:rPr>
          <w:sz w:val="18"/>
        </w:rPr>
        <w:t xml:space="preserve"> под формата на подобряване на социалния капитал, подобряване на управлението и засилване на резултатите и въздействията от изпълнението на програмата/стратегията в сравнение с изпълнението без метода LEADER (вж. фигура 7 в глава 1.2.3). </w:t>
      </w:r>
    </w:p>
    <w:p w:rsidR="00D46DC0" w:rsidRPr="00FB01AA" w:rsidRDefault="007E1014" w:rsidP="009142D4">
      <w:pPr>
        <w:pStyle w:val="HHeading3"/>
        <w:framePr w:wrap="notBeside"/>
        <w:spacing w:before="0"/>
        <w:rPr>
          <w:sz w:val="18"/>
        </w:rPr>
      </w:pPr>
      <w:bookmarkStart w:id="31" w:name="_Toc475030377"/>
      <w:bookmarkStart w:id="32" w:name="_Toc493497702"/>
      <w:bookmarkStart w:id="33" w:name="_Toc498506705"/>
      <w:r w:rsidRPr="00FB01AA">
        <w:rPr>
          <w:sz w:val="18"/>
        </w:rPr>
        <w:t>Оценка на LEADER/ВОМР на равнището на ПРСР</w:t>
      </w:r>
      <w:bookmarkEnd w:id="31"/>
      <w:bookmarkEnd w:id="32"/>
      <w:bookmarkEnd w:id="33"/>
    </w:p>
    <w:p w:rsidR="00CA13A6" w:rsidRPr="00FB01AA" w:rsidRDefault="00CA13A6" w:rsidP="00D46DC0">
      <w:pPr>
        <w:pStyle w:val="HStandard"/>
        <w:spacing w:before="240"/>
        <w:rPr>
          <w:b/>
          <w:sz w:val="18"/>
        </w:rPr>
      </w:pPr>
      <w:r w:rsidRPr="00FB01AA">
        <w:rPr>
          <w:b/>
          <w:color w:val="57825E"/>
          <w:sz w:val="18"/>
        </w:rPr>
        <w:t>Кой отгов</w:t>
      </w:r>
      <w:r w:rsidR="009B7BF8">
        <w:rPr>
          <w:b/>
          <w:color w:val="57825E"/>
          <w:sz w:val="18"/>
        </w:rPr>
        <w:t>а</w:t>
      </w:r>
      <w:r w:rsidRPr="00FB01AA">
        <w:rPr>
          <w:b/>
          <w:color w:val="57825E"/>
          <w:sz w:val="18"/>
        </w:rPr>
        <w:t>ря за оценката на равнището на ПРСР?</w:t>
      </w:r>
    </w:p>
    <w:p w:rsidR="002E2144" w:rsidRPr="00FB01AA" w:rsidRDefault="00D46DC0" w:rsidP="00D46DC0">
      <w:pPr>
        <w:pStyle w:val="HStandard"/>
        <w:spacing w:before="240"/>
        <w:rPr>
          <w:sz w:val="18"/>
        </w:rPr>
        <w:sectPr w:rsidR="002E2144" w:rsidRPr="00FB01AA" w:rsidSect="002E2144">
          <w:type w:val="continuous"/>
          <w:pgSz w:w="11906" w:h="16838"/>
          <w:pgMar w:top="1418" w:right="1418" w:bottom="1418" w:left="1418" w:header="709" w:footer="709" w:gutter="0"/>
          <w:cols w:num="2" w:space="397"/>
          <w:docGrid w:linePitch="360"/>
        </w:sectPr>
      </w:pPr>
      <w:r w:rsidRPr="00FB01AA">
        <w:rPr>
          <w:b/>
          <w:sz w:val="18"/>
        </w:rPr>
        <w:t>Отговорността</w:t>
      </w:r>
      <w:r w:rsidRPr="00FB01AA">
        <w:rPr>
          <w:sz w:val="18"/>
        </w:rPr>
        <w:t xml:space="preserve"> за оценката на LEADER/ВОМР като част от ПРСР се носи от УО, който следва </w:t>
      </w:r>
      <w:r w:rsidRPr="00FB01AA">
        <w:rPr>
          <w:b/>
          <w:sz w:val="18"/>
        </w:rPr>
        <w:t>да сключи договор с външен оценител или</w:t>
      </w:r>
      <w:r w:rsidRPr="00FB01AA">
        <w:rPr>
          <w:sz w:val="18"/>
        </w:rPr>
        <w:t xml:space="preserve"> да назначи</w:t>
      </w:r>
      <w:r w:rsidRPr="00FB01AA">
        <w:rPr>
          <w:b/>
          <w:sz w:val="18"/>
        </w:rPr>
        <w:t xml:space="preserve"> вътрешен оценител </w:t>
      </w:r>
      <w:r w:rsidRPr="00FB01AA">
        <w:rPr>
          <w:sz w:val="18"/>
        </w:rPr>
        <w:t xml:space="preserve">, който е функционално независим от органите, отговорни за разработването и изпълнението на програмата. </w:t>
      </w:r>
      <w:r w:rsidRPr="00FB01AA">
        <w:rPr>
          <w:b/>
          <w:sz w:val="18"/>
        </w:rPr>
        <w:t>УО</w:t>
      </w:r>
      <w:r w:rsidRPr="00FB01AA">
        <w:rPr>
          <w:sz w:val="18"/>
        </w:rPr>
        <w:t xml:space="preserve"> играе ключова роля в планирането и подготовката на оценката на LEADER/ВОМР. Това </w:t>
      </w:r>
      <w:r w:rsidRPr="00FB01AA">
        <w:rPr>
          <w:sz w:val="18"/>
        </w:rPr>
        <w:t xml:space="preserve">включва установяване на съответните потребности, свързани с оценката, и създаване на система за мониторинг и оценка, която да гарантира наличието на данни и информация за оценката. УО отговаря за качеството на оценката, както и за докладването, разпространението на </w:t>
      </w:r>
      <w:r w:rsidR="00C138FC" w:rsidRPr="00251DF4">
        <w:rPr>
          <w:sz w:val="18"/>
        </w:rPr>
        <w:t>констатаци</w:t>
      </w:r>
      <w:r w:rsidRPr="00FB01AA">
        <w:rPr>
          <w:sz w:val="18"/>
        </w:rPr>
        <w:t>ите от оценката и последващите действия</w:t>
      </w:r>
      <w:r w:rsidR="00FB7164" w:rsidRPr="00251DF4">
        <w:rPr>
          <w:sz w:val="18"/>
        </w:rPr>
        <w:t xml:space="preserve"> във връзка с тези констатации</w:t>
      </w:r>
      <w:r w:rsidRPr="00FB01AA">
        <w:rPr>
          <w:sz w:val="18"/>
        </w:rPr>
        <w:t xml:space="preserve">. Оценката на LEADER/ВОМР може да бъде част от оценката на ПРСР или да се извърши самостоятелно. </w:t>
      </w:r>
    </w:p>
    <w:p w:rsidR="002737FC" w:rsidRPr="00FB01AA" w:rsidRDefault="00CA13A6" w:rsidP="0064682C">
      <w:pPr>
        <w:pStyle w:val="HStandard"/>
        <w:keepNext/>
        <w:rPr>
          <w:rFonts w:cs="Arial"/>
          <w:b/>
          <w:color w:val="57825E"/>
          <w:sz w:val="18"/>
        </w:rPr>
      </w:pPr>
      <w:r w:rsidRPr="00FB01AA">
        <w:rPr>
          <w:b/>
          <w:color w:val="57825E"/>
          <w:sz w:val="18"/>
        </w:rPr>
        <w:lastRenderedPageBreak/>
        <w:t>Какъв е акцентът на оценката на LEADER/ВОМР на равнището на ПРСР?</w:t>
      </w:r>
    </w:p>
    <w:p w:rsidR="003D0FEB" w:rsidRDefault="006750D1" w:rsidP="0064682C">
      <w:pPr>
        <w:pStyle w:val="HStandard"/>
        <w:keepNext/>
        <w:rPr>
          <w:b/>
          <w:color w:val="57825E"/>
          <w:sz w:val="18"/>
        </w:rPr>
      </w:pPr>
      <w:r>
        <w:rPr>
          <w:b/>
          <w:noProof/>
          <w:color w:val="57825E"/>
          <w:sz w:val="18"/>
          <w:lang w:val="en-GB" w:eastAsia="en-GB" w:bidi="ar-SA"/>
        </w:rPr>
        <w:drawing>
          <wp:inline distT="0" distB="0" distL="0" distR="0" wp14:anchorId="150BBD54" wp14:editId="7E6AECEB">
            <wp:extent cx="5736052" cy="256507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50938" cy="2571727"/>
                    </a:xfrm>
                    <a:prstGeom prst="rect">
                      <a:avLst/>
                    </a:prstGeom>
                    <a:noFill/>
                  </pic:spPr>
                </pic:pic>
              </a:graphicData>
            </a:graphic>
          </wp:inline>
        </w:drawing>
      </w:r>
    </w:p>
    <w:p w:rsidR="003D0FEB" w:rsidRPr="00FB01AA" w:rsidRDefault="003D0FEB" w:rsidP="0064682C">
      <w:pPr>
        <w:pStyle w:val="HStandard"/>
        <w:keepNext/>
        <w:rPr>
          <w:sz w:val="18"/>
        </w:rPr>
      </w:pPr>
    </w:p>
    <w:p w:rsidR="002E2144" w:rsidRPr="00FB01AA" w:rsidRDefault="002E2144" w:rsidP="00D46DC0">
      <w:pPr>
        <w:pStyle w:val="HStandard"/>
        <w:rPr>
          <w:sz w:val="18"/>
        </w:rPr>
        <w:sectPr w:rsidR="002E2144" w:rsidRPr="00FB01AA" w:rsidSect="009F15D6">
          <w:type w:val="continuous"/>
          <w:pgSz w:w="11906" w:h="16838"/>
          <w:pgMar w:top="1418" w:right="1418" w:bottom="1418" w:left="1418" w:header="709" w:footer="709" w:gutter="0"/>
          <w:cols w:space="708"/>
          <w:docGrid w:linePitch="360"/>
        </w:sectPr>
      </w:pPr>
    </w:p>
    <w:p w:rsidR="00D46DC0" w:rsidRPr="00B17A60" w:rsidRDefault="00D46DC0" w:rsidP="00D46DC0">
      <w:pPr>
        <w:pStyle w:val="HStandard"/>
        <w:rPr>
          <w:spacing w:val="-4"/>
          <w:sz w:val="18"/>
        </w:rPr>
      </w:pPr>
      <w:r w:rsidRPr="00B17A60">
        <w:rPr>
          <w:spacing w:val="-4"/>
          <w:sz w:val="18"/>
        </w:rPr>
        <w:t xml:space="preserve">Акцентът на оценката на равнището на ПРСР е ясно определен в правните актове (вж. също глава 1.1.3):  </w:t>
      </w:r>
    </w:p>
    <w:p w:rsidR="00D46DC0" w:rsidRPr="00B17A60" w:rsidRDefault="00D46DC0" w:rsidP="00D46DC0">
      <w:pPr>
        <w:pStyle w:val="Hlistbullet"/>
        <w:rPr>
          <w:spacing w:val="-4"/>
          <w:sz w:val="18"/>
        </w:rPr>
      </w:pPr>
      <w:r w:rsidRPr="00B17A60">
        <w:rPr>
          <w:b/>
          <w:spacing w:val="-4"/>
          <w:sz w:val="18"/>
        </w:rPr>
        <w:t>Оценка на приноса на LEADER/ВОМР за свързаните с ОПА цели</w:t>
      </w:r>
      <w:r w:rsidRPr="00B17A60">
        <w:rPr>
          <w:spacing w:val="-4"/>
          <w:sz w:val="18"/>
        </w:rPr>
        <w:t xml:space="preserve"> на ПРСР</w:t>
      </w:r>
      <w:r w:rsidRPr="00B17A60">
        <w:rPr>
          <w:rStyle w:val="FootnoteReference"/>
          <w:spacing w:val="-4"/>
          <w:sz w:val="18"/>
        </w:rPr>
        <w:footnoteReference w:id="24"/>
      </w:r>
      <w:r w:rsidRPr="00B17A60">
        <w:rPr>
          <w:spacing w:val="-4"/>
          <w:sz w:val="18"/>
        </w:rPr>
        <w:t>. Тази оценка обхваща анализа на приноса на операциите, изпълнявани чрез стратегиите за ВОМР, включително проектите за сътрудничество</w:t>
      </w:r>
      <w:r w:rsidRPr="00B17A60">
        <w:rPr>
          <w:rStyle w:val="FootnoteReference"/>
          <w:spacing w:val="-4"/>
          <w:sz w:val="18"/>
        </w:rPr>
        <w:footnoteReference w:id="25"/>
      </w:r>
      <w:r w:rsidRPr="00B17A60">
        <w:rPr>
          <w:spacing w:val="-4"/>
          <w:sz w:val="18"/>
        </w:rPr>
        <w:t xml:space="preserve">, както и тяхната ефективност и ефикасност. </w:t>
      </w:r>
      <w:r w:rsidRPr="00B17A60">
        <w:rPr>
          <w:b/>
          <w:spacing w:val="-4"/>
          <w:sz w:val="18"/>
        </w:rPr>
        <w:t xml:space="preserve">Ефективността </w:t>
      </w:r>
      <w:r w:rsidRPr="00B17A60">
        <w:rPr>
          <w:spacing w:val="-4"/>
          <w:sz w:val="18"/>
        </w:rPr>
        <w:t>е свързана</w:t>
      </w:r>
      <w:r w:rsidRPr="00B17A60">
        <w:rPr>
          <w:b/>
          <w:spacing w:val="-4"/>
          <w:sz w:val="18"/>
        </w:rPr>
        <w:t xml:space="preserve"> </w:t>
      </w:r>
      <w:r w:rsidRPr="00B17A60">
        <w:rPr>
          <w:spacing w:val="-4"/>
          <w:sz w:val="18"/>
        </w:rPr>
        <w:t xml:space="preserve">със степента, в която LEADER/ВОМР е допринесъл за изпълнението на целите на ПРСР. </w:t>
      </w:r>
      <w:r w:rsidRPr="00B17A60">
        <w:rPr>
          <w:b/>
          <w:spacing w:val="-4"/>
          <w:sz w:val="18"/>
        </w:rPr>
        <w:t>Ефикасността</w:t>
      </w:r>
      <w:r w:rsidRPr="00B17A60">
        <w:rPr>
          <w:spacing w:val="-4"/>
          <w:sz w:val="18"/>
        </w:rPr>
        <w:t xml:space="preserve"> е свързана с разходите за този принос. Ефективността и ефикасността се измерват посредством общи, допълнителни и специфични за програмата показатели за резултати</w:t>
      </w:r>
      <w:r w:rsidRPr="00B17A60">
        <w:rPr>
          <w:rStyle w:val="FootnoteReference"/>
          <w:spacing w:val="-4"/>
          <w:sz w:val="18"/>
        </w:rPr>
        <w:footnoteReference w:id="26"/>
      </w:r>
      <w:r w:rsidRPr="00B17A60">
        <w:rPr>
          <w:spacing w:val="-4"/>
          <w:sz w:val="18"/>
        </w:rPr>
        <w:t xml:space="preserve">, свързани със съответните ОПА. </w:t>
      </w:r>
      <w:r w:rsidRPr="00B17A60">
        <w:rPr>
          <w:b/>
          <w:spacing w:val="-4"/>
          <w:sz w:val="18"/>
        </w:rPr>
        <w:t>Количественото изражение</w:t>
      </w:r>
      <w:r w:rsidRPr="00B17A60">
        <w:rPr>
          <w:spacing w:val="-4"/>
          <w:sz w:val="18"/>
        </w:rPr>
        <w:t xml:space="preserve"> </w:t>
      </w:r>
      <w:r w:rsidRPr="00B17A60">
        <w:rPr>
          <w:b/>
          <w:spacing w:val="-4"/>
          <w:sz w:val="18"/>
        </w:rPr>
        <w:t>на вторичния принос не е задължително</w:t>
      </w:r>
      <w:r w:rsidRPr="00B17A60">
        <w:rPr>
          <w:spacing w:val="-4"/>
          <w:sz w:val="18"/>
        </w:rPr>
        <w:t xml:space="preserve">. То обаче е много полезно, за да се покажат цялостните постижения на LEADER/ВОМР. Делът на приноса на LEADER/ВОМР следва да се отчита </w:t>
      </w:r>
      <w:r w:rsidRPr="00B17A60">
        <w:rPr>
          <w:spacing w:val="-4"/>
          <w:sz w:val="18"/>
        </w:rPr>
        <w:t xml:space="preserve">отделно при изчисляването на брутните стойности на общите допълнителни показатели за резултати. По желание този дял може да бъде изчислен и за други общи, допълнителни и специфични за програмата показатели, които се използват за оценката на резултатите от ПРСР по ОПА 2А, 5А, 5Б, 5В, 5Г. </w:t>
      </w:r>
    </w:p>
    <w:p w:rsidR="00D46DC0" w:rsidRPr="00FB01AA" w:rsidRDefault="00D46DC0" w:rsidP="00D46DC0">
      <w:pPr>
        <w:pStyle w:val="Hlistbullet"/>
        <w:rPr>
          <w:sz w:val="18"/>
        </w:rPr>
      </w:pPr>
      <w:r w:rsidRPr="00FB01AA">
        <w:rPr>
          <w:b/>
          <w:sz w:val="18"/>
        </w:rPr>
        <w:t>Оценка на приноса на LEADER/ВОМР за постигане на целите на стратегията на Съюза</w:t>
      </w:r>
      <w:r w:rsidRPr="00FB01AA">
        <w:rPr>
          <w:sz w:val="18"/>
        </w:rPr>
        <w:t xml:space="preserve"> за интелигентен, устойчив и приобщаващ растеж. Тази оценка се прави за ГДИ през 2019 г. и за последващата оценка, наред с другото, посредством оценка на нетния принос на програмата към промените в стойностите на показателя за въздействие в ОСП (например I14 — равнище на заетост в селските райони, I15 — равнище на бедност в селските райони, и I16 — БВП на глава от населението в селските райони). </w:t>
      </w:r>
      <w:r w:rsidR="00FB7164" w:rsidRPr="00251DF4">
        <w:rPr>
          <w:sz w:val="18"/>
        </w:rPr>
        <w:t>Констатаци</w:t>
      </w:r>
      <w:r w:rsidRPr="00FB01AA">
        <w:rPr>
          <w:sz w:val="18"/>
        </w:rPr>
        <w:t xml:space="preserve">ите от оценката следва да се използват в отговорите на общите и специфичните за програмата въпроси за оценка, които са свързани с целите на ЕС и като цяло със специфичните цели на ПРСР. </w:t>
      </w:r>
    </w:p>
    <w:p w:rsidR="00D46DC0" w:rsidRPr="00FB01AA" w:rsidRDefault="00D46DC0" w:rsidP="00D46DC0">
      <w:pPr>
        <w:pStyle w:val="Hlistbullet"/>
        <w:numPr>
          <w:ilvl w:val="0"/>
          <w:numId w:val="0"/>
        </w:numPr>
        <w:rPr>
          <w:sz w:val="18"/>
        </w:rPr>
      </w:pPr>
      <w:r w:rsidRPr="00FB01AA">
        <w:rPr>
          <w:sz w:val="18"/>
        </w:rPr>
        <w:t xml:space="preserve">Освен това е </w:t>
      </w:r>
      <w:r w:rsidRPr="00FB01AA">
        <w:rPr>
          <w:b/>
          <w:sz w:val="18"/>
        </w:rPr>
        <w:t xml:space="preserve">препоръчително </w:t>
      </w:r>
      <w:r w:rsidRPr="00FB01AA">
        <w:rPr>
          <w:sz w:val="18"/>
        </w:rPr>
        <w:t>да се включат следните аспекти:</w:t>
      </w:r>
    </w:p>
    <w:p w:rsidR="00D46DC0" w:rsidRPr="00B17A60" w:rsidRDefault="00D46DC0" w:rsidP="00D46DC0">
      <w:pPr>
        <w:pStyle w:val="Hlistbullet"/>
        <w:rPr>
          <w:rFonts w:eastAsiaTheme="majorEastAsia"/>
          <w:w w:val="98"/>
          <w:sz w:val="18"/>
        </w:rPr>
      </w:pPr>
      <w:r w:rsidRPr="00B17A60">
        <w:rPr>
          <w:b/>
          <w:w w:val="98"/>
          <w:sz w:val="18"/>
        </w:rPr>
        <w:t xml:space="preserve">Оценката на механизма за изпълнение на LEADER/ВОМР </w:t>
      </w:r>
      <w:r w:rsidRPr="00B17A60">
        <w:rPr>
          <w:w w:val="98"/>
          <w:sz w:val="18"/>
        </w:rPr>
        <w:t xml:space="preserve">разглежда степента, в която администраторът на програмата и участващите заинтересовани страни са гарантирали </w:t>
      </w:r>
      <w:r w:rsidRPr="00B17A60">
        <w:rPr>
          <w:w w:val="98"/>
          <w:sz w:val="18"/>
        </w:rPr>
        <w:lastRenderedPageBreak/>
        <w:t>прилагането на метода LEADER при изпълнението на LEADER/ВОМР посредством различни правила и процедури. Това засяга решенията относно м</w:t>
      </w:r>
      <w:r w:rsidR="003947D1" w:rsidRPr="00251DF4">
        <w:rPr>
          <w:w w:val="98"/>
          <w:sz w:val="18"/>
        </w:rPr>
        <w:t>ного</w:t>
      </w:r>
      <w:r w:rsidRPr="00B17A60">
        <w:rPr>
          <w:w w:val="98"/>
          <w:sz w:val="18"/>
        </w:rPr>
        <w:t xml:space="preserve">фондовото или </w:t>
      </w:r>
      <w:r w:rsidR="003947D1" w:rsidRPr="00251DF4">
        <w:rPr>
          <w:w w:val="98"/>
          <w:sz w:val="18"/>
        </w:rPr>
        <w:t>ед</w:t>
      </w:r>
      <w:r w:rsidRPr="00B17A60">
        <w:rPr>
          <w:w w:val="98"/>
          <w:sz w:val="18"/>
        </w:rPr>
        <w:t>нофондовото финансиране, процеса на подбор на МГД, улесняването на транснационалното сътрудничество, степента на свобода на МГД при избора и изпълнението на видовете операции и при разработването на собствени действия/групи операции, степента на участие на МГД в подбора и финансирането на проектите, обхвата на дейностите на МГД за популяризиране, както и критериите за подбор на проекти за сътрудничество и т.н.</w:t>
      </w:r>
    </w:p>
    <w:p w:rsidR="00D46DC0" w:rsidRPr="00FB01AA" w:rsidRDefault="00D46DC0" w:rsidP="00D46DC0">
      <w:pPr>
        <w:pStyle w:val="Hlistbullet"/>
        <w:rPr>
          <w:sz w:val="18"/>
        </w:rPr>
      </w:pPr>
      <w:r w:rsidRPr="00FB01AA">
        <w:rPr>
          <w:b/>
          <w:sz w:val="18"/>
        </w:rPr>
        <w:t xml:space="preserve">Оценката на </w:t>
      </w:r>
      <w:bookmarkStart w:id="34" w:name="value"/>
      <w:r w:rsidRPr="00FB01AA">
        <w:rPr>
          <w:b/>
          <w:sz w:val="18"/>
        </w:rPr>
        <w:t>добавената стойност на LEADER/ВОМР</w:t>
      </w:r>
      <w:bookmarkEnd w:id="34"/>
      <w:r w:rsidRPr="00FB01AA">
        <w:rPr>
          <w:b/>
          <w:sz w:val="18"/>
        </w:rPr>
        <w:t xml:space="preserve"> </w:t>
      </w:r>
      <w:r w:rsidRPr="00FB01AA">
        <w:rPr>
          <w:sz w:val="18"/>
        </w:rPr>
        <w:t xml:space="preserve">се отнася до ползите, които са постигнати в резултат на правилното прилагане на метода LEADER, сравнени с ползите, които биха били постигнати без прилагането на този метод. Добавената стойност на LEADER/ВОМР на програмно равнище може да бъде изразена във вид на подобряване на социалния капитал, подобряване на управлението и засилване на резултатите и въздействията на ПРСР. </w:t>
      </w:r>
    </w:p>
    <w:p w:rsidR="00337B5B" w:rsidRPr="00FB01AA" w:rsidRDefault="00337B5B" w:rsidP="00027772">
      <w:pPr>
        <w:pStyle w:val="HHeading3"/>
        <w:framePr w:wrap="auto" w:vAnchor="margin" w:yAlign="inline"/>
        <w:tabs>
          <w:tab w:val="clear" w:pos="851"/>
          <w:tab w:val="clear" w:pos="1004"/>
        </w:tabs>
        <w:rPr>
          <w:sz w:val="18"/>
        </w:rPr>
      </w:pPr>
      <w:bookmarkStart w:id="35" w:name="_Toc493497703"/>
      <w:bookmarkStart w:id="36" w:name="_Toc498506706"/>
      <w:bookmarkStart w:id="37" w:name="_Toc475030378"/>
      <w:r w:rsidRPr="00FB01AA">
        <w:rPr>
          <w:sz w:val="18"/>
        </w:rPr>
        <w:t>Оценка на LEADER/ВОМР на местно равнище</w:t>
      </w:r>
      <w:bookmarkEnd w:id="35"/>
      <w:bookmarkEnd w:id="36"/>
      <w:r w:rsidRPr="00FB01AA">
        <w:rPr>
          <w:sz w:val="18"/>
        </w:rPr>
        <w:t xml:space="preserve"> </w:t>
      </w:r>
    </w:p>
    <w:p w:rsidR="00CA13A6" w:rsidRPr="00FB01AA" w:rsidRDefault="00CA13A6" w:rsidP="00CA13A6">
      <w:pPr>
        <w:pStyle w:val="HHeading5"/>
        <w:rPr>
          <w:sz w:val="18"/>
        </w:rPr>
      </w:pPr>
      <w:r w:rsidRPr="00FB01AA">
        <w:rPr>
          <w:sz w:val="18"/>
        </w:rPr>
        <w:t xml:space="preserve">Кой отговаря за дейностите </w:t>
      </w:r>
      <w:r w:rsidR="007D7B25">
        <w:rPr>
          <w:sz w:val="18"/>
        </w:rPr>
        <w:t xml:space="preserve">за оценка </w:t>
      </w:r>
      <w:r w:rsidRPr="00FB01AA">
        <w:rPr>
          <w:sz w:val="18"/>
        </w:rPr>
        <w:t>на местно равнище?</w:t>
      </w:r>
    </w:p>
    <w:p w:rsidR="00FB31E6" w:rsidRPr="00B17A60" w:rsidRDefault="007D7B25" w:rsidP="00B17A60">
      <w:pPr>
        <w:pStyle w:val="HStandard"/>
        <w:spacing w:before="120"/>
        <w:rPr>
          <w:spacing w:val="-4"/>
          <w:sz w:val="18"/>
        </w:rPr>
      </w:pPr>
      <w:r>
        <w:rPr>
          <w:spacing w:val="-4"/>
          <w:sz w:val="18"/>
        </w:rPr>
        <w:t>Д</w:t>
      </w:r>
      <w:r w:rsidR="00994721" w:rsidRPr="00B17A60">
        <w:rPr>
          <w:spacing w:val="-4"/>
          <w:sz w:val="18"/>
        </w:rPr>
        <w:t>ейностите</w:t>
      </w:r>
      <w:r>
        <w:rPr>
          <w:spacing w:val="-4"/>
          <w:sz w:val="18"/>
        </w:rPr>
        <w:t xml:space="preserve"> за мониторинг и оценка</w:t>
      </w:r>
      <w:r w:rsidR="00994721" w:rsidRPr="00B17A60">
        <w:rPr>
          <w:spacing w:val="-4"/>
          <w:sz w:val="18"/>
        </w:rPr>
        <w:t xml:space="preserve">, свързани със стратегията за ВОМР, на местно равнище са отговорност на съответната </w:t>
      </w:r>
      <w:r w:rsidR="00994721" w:rsidRPr="00B17A60">
        <w:rPr>
          <w:b/>
          <w:spacing w:val="-4"/>
          <w:sz w:val="18"/>
        </w:rPr>
        <w:t>МГД</w:t>
      </w:r>
      <w:r w:rsidR="00994721" w:rsidRPr="00B17A60">
        <w:rPr>
          <w:rStyle w:val="FootnoteReference"/>
          <w:b/>
          <w:spacing w:val="-4"/>
          <w:sz w:val="18"/>
        </w:rPr>
        <w:footnoteReference w:id="27"/>
      </w:r>
      <w:r w:rsidR="00994721" w:rsidRPr="00B17A60">
        <w:rPr>
          <w:spacing w:val="-4"/>
          <w:sz w:val="18"/>
        </w:rPr>
        <w:t xml:space="preserve"> (вж. правните разпоредби в глава 1.1.3). МГД разполага със следните възможности да извърши </w:t>
      </w:r>
      <w:r w:rsidR="00994721" w:rsidRPr="00B17A60">
        <w:rPr>
          <w:b/>
          <w:spacing w:val="-4"/>
          <w:sz w:val="18"/>
        </w:rPr>
        <w:t>дейностите за оценка</w:t>
      </w:r>
      <w:r w:rsidR="00994721" w:rsidRPr="00B17A60">
        <w:rPr>
          <w:spacing w:val="-4"/>
          <w:sz w:val="18"/>
        </w:rPr>
        <w:t xml:space="preserve">: </w:t>
      </w:r>
    </w:p>
    <w:p w:rsidR="00176B01" w:rsidRPr="00FB01AA" w:rsidRDefault="00176B01" w:rsidP="00250412">
      <w:pPr>
        <w:pStyle w:val="Hlistbullet"/>
        <w:rPr>
          <w:sz w:val="18"/>
        </w:rPr>
      </w:pPr>
      <w:r w:rsidRPr="00FB01AA">
        <w:rPr>
          <w:b/>
          <w:sz w:val="18"/>
        </w:rPr>
        <w:t>Самооценка</w:t>
      </w:r>
      <w:r w:rsidRPr="00FB01AA">
        <w:rPr>
          <w:sz w:val="18"/>
        </w:rPr>
        <w:t xml:space="preserve">: когато оценката се прави от МГД, и по-специално от тези, които </w:t>
      </w:r>
      <w:r w:rsidRPr="00FB01AA">
        <w:rPr>
          <w:b/>
          <w:sz w:val="18"/>
        </w:rPr>
        <w:t>участват в/отговарят</w:t>
      </w:r>
      <w:r w:rsidRPr="00FB01AA">
        <w:rPr>
          <w:sz w:val="18"/>
        </w:rPr>
        <w:t xml:space="preserve"> за разработването и изпълнението на стратегията (членове на МГД, ор</w:t>
      </w:r>
      <w:r w:rsidR="007D7B25">
        <w:rPr>
          <w:sz w:val="18"/>
        </w:rPr>
        <w:t>г</w:t>
      </w:r>
      <w:r w:rsidRPr="00FB01AA">
        <w:rPr>
          <w:sz w:val="18"/>
        </w:rPr>
        <w:t>ан с правомощие за вземане на решения, ръководство на МГД и т.н.).</w:t>
      </w:r>
    </w:p>
    <w:p w:rsidR="00FB31E6" w:rsidRPr="00B17A60" w:rsidRDefault="00AA7C62" w:rsidP="00250412">
      <w:pPr>
        <w:pStyle w:val="Hlistbullet"/>
        <w:rPr>
          <w:spacing w:val="-4"/>
          <w:sz w:val="18"/>
        </w:rPr>
      </w:pPr>
      <w:r w:rsidRPr="00B17A60">
        <w:rPr>
          <w:b/>
          <w:spacing w:val="-4"/>
          <w:sz w:val="18"/>
        </w:rPr>
        <w:t>Оценка</w:t>
      </w:r>
      <w:r w:rsidRPr="00B17A60">
        <w:rPr>
          <w:spacing w:val="-4"/>
          <w:sz w:val="18"/>
        </w:rPr>
        <w:t xml:space="preserve">: когато оценката на местно равнище се прави от </w:t>
      </w:r>
      <w:r w:rsidRPr="00B17A60">
        <w:rPr>
          <w:b/>
          <w:spacing w:val="-4"/>
          <w:sz w:val="18"/>
        </w:rPr>
        <w:t xml:space="preserve">независим </w:t>
      </w:r>
      <w:r w:rsidRPr="00B17A60">
        <w:rPr>
          <w:spacing w:val="-4"/>
          <w:sz w:val="18"/>
        </w:rPr>
        <w:t xml:space="preserve">орган с опит в оценяването, който </w:t>
      </w:r>
      <w:r w:rsidRPr="00B17A60">
        <w:rPr>
          <w:b/>
          <w:spacing w:val="-4"/>
          <w:sz w:val="18"/>
        </w:rPr>
        <w:t>не участва в/не отговаря</w:t>
      </w:r>
      <w:r w:rsidRPr="00B17A60">
        <w:rPr>
          <w:spacing w:val="-4"/>
          <w:sz w:val="18"/>
        </w:rPr>
        <w:t xml:space="preserve"> </w:t>
      </w:r>
      <w:r w:rsidRPr="00B17A60">
        <w:rPr>
          <w:b/>
          <w:spacing w:val="-4"/>
          <w:sz w:val="18"/>
        </w:rPr>
        <w:t>за</w:t>
      </w:r>
      <w:r w:rsidRPr="00B17A60">
        <w:rPr>
          <w:spacing w:val="-4"/>
          <w:sz w:val="18"/>
        </w:rPr>
        <w:t xml:space="preserve"> разработването и изпълнението на стратегията </w:t>
      </w:r>
      <w:r w:rsidRPr="00B17A60">
        <w:rPr>
          <w:spacing w:val="-4"/>
          <w:sz w:val="18"/>
        </w:rPr>
        <w:t>и на другите дейности на МГД. В такъв случай става дума за външен оценяващ експерт.</w:t>
      </w:r>
    </w:p>
    <w:p w:rsidR="00423A0E" w:rsidRPr="00FB01AA" w:rsidRDefault="00AD561A" w:rsidP="008F4194">
      <w:pPr>
        <w:pStyle w:val="Hlistbullet"/>
        <w:rPr>
          <w:sz w:val="18"/>
        </w:rPr>
      </w:pPr>
      <w:r w:rsidRPr="00FB01AA">
        <w:rPr>
          <w:b/>
          <w:sz w:val="18"/>
        </w:rPr>
        <w:t xml:space="preserve">Комбинация от самооценка и оценка: </w:t>
      </w:r>
      <w:r w:rsidRPr="00FB01AA">
        <w:rPr>
          <w:sz w:val="18"/>
        </w:rPr>
        <w:t>МГД може да на</w:t>
      </w:r>
      <w:r w:rsidR="00336FB8">
        <w:rPr>
          <w:sz w:val="18"/>
        </w:rPr>
        <w:t>еме</w:t>
      </w:r>
      <w:r w:rsidRPr="00FB01AA">
        <w:rPr>
          <w:sz w:val="18"/>
        </w:rPr>
        <w:t xml:space="preserve"> </w:t>
      </w:r>
      <w:r w:rsidRPr="00FB01AA">
        <w:rPr>
          <w:b/>
          <w:sz w:val="18"/>
        </w:rPr>
        <w:t>външен експерт</w:t>
      </w:r>
      <w:r w:rsidRPr="00FB01AA">
        <w:rPr>
          <w:sz w:val="18"/>
        </w:rPr>
        <w:t>, който да води и улеснява процеса на самооценка. Този експерт може да играе само роля на модератор, но може също така да изпълнява ролята на експерт и да формулира преценки и съвети. Всъщност между практиките на самооценка и оценката с образователна цел съществува логична връзка. От МГД зависи да изб</w:t>
      </w:r>
      <w:r w:rsidR="00953794">
        <w:rPr>
          <w:sz w:val="18"/>
        </w:rPr>
        <w:t>ере</w:t>
      </w:r>
      <w:r w:rsidRPr="00FB01AA">
        <w:rPr>
          <w:sz w:val="18"/>
        </w:rPr>
        <w:t xml:space="preserve"> подходящия </w:t>
      </w:r>
      <w:r w:rsidR="00953794">
        <w:rPr>
          <w:sz w:val="18"/>
        </w:rPr>
        <w:t xml:space="preserve">вид </w:t>
      </w:r>
      <w:r w:rsidRPr="00FB01AA">
        <w:rPr>
          <w:sz w:val="18"/>
        </w:rPr>
        <w:t xml:space="preserve">стратегически </w:t>
      </w:r>
      <w:r w:rsidR="00E51885">
        <w:rPr>
          <w:sz w:val="18"/>
        </w:rPr>
        <w:t>анализ</w:t>
      </w:r>
      <w:r w:rsidRPr="00FB01AA">
        <w:rPr>
          <w:sz w:val="18"/>
        </w:rPr>
        <w:t xml:space="preserve"> и точно да определи ролята, която трябва да изпълнява координаторът. </w:t>
      </w:r>
    </w:p>
    <w:p w:rsidR="00233810" w:rsidRPr="00FB01AA" w:rsidRDefault="00A87409" w:rsidP="00E506C2">
      <w:pPr>
        <w:pStyle w:val="Hlistbullet"/>
        <w:numPr>
          <w:ilvl w:val="0"/>
          <w:numId w:val="0"/>
        </w:numPr>
        <w:rPr>
          <w:sz w:val="18"/>
        </w:rPr>
        <w:sectPr w:rsidR="00233810" w:rsidRPr="00FB01AA" w:rsidSect="002E2144">
          <w:type w:val="continuous"/>
          <w:pgSz w:w="11906" w:h="16838"/>
          <w:pgMar w:top="1418" w:right="1418" w:bottom="1418" w:left="1418" w:header="709" w:footer="709" w:gutter="0"/>
          <w:cols w:num="2" w:space="397"/>
          <w:docGrid w:linePitch="360"/>
        </w:sectPr>
      </w:pPr>
      <w:r w:rsidRPr="00FB01AA">
        <w:rPr>
          <w:sz w:val="18"/>
        </w:rPr>
        <w:t xml:space="preserve">На следващата фигура са описани връзките и разликите между самооценката и оценката. </w:t>
      </w:r>
    </w:p>
    <w:p w:rsidR="00233810" w:rsidRPr="00FB01AA" w:rsidRDefault="00233810" w:rsidP="00233810">
      <w:pPr>
        <w:pStyle w:val="HHeadingFigure"/>
        <w:rPr>
          <w:sz w:val="14"/>
        </w:rPr>
      </w:pPr>
      <w:bookmarkStart w:id="38" w:name="_Toc493497730"/>
      <w:bookmarkStart w:id="39" w:name="_Toc498507090"/>
      <w:r w:rsidRPr="00FB01AA">
        <w:rPr>
          <w:sz w:val="14"/>
        </w:rPr>
        <w:lastRenderedPageBreak/>
        <w:t>Самооценка и независима оценка на местно равнище</w:t>
      </w:r>
      <w:bookmarkEnd w:id="38"/>
      <w:bookmarkEnd w:id="39"/>
      <w:r w:rsidRPr="00FB01AA">
        <w:rPr>
          <w:sz w:val="14"/>
        </w:rPr>
        <w:t xml:space="preserve"> </w:t>
      </w:r>
    </w:p>
    <w:p w:rsidR="00233810" w:rsidRDefault="00BD0D14" w:rsidP="00B17A60">
      <w:pPr>
        <w:pStyle w:val="HStandard"/>
        <w:rPr>
          <w:sz w:val="18"/>
        </w:rPr>
      </w:pPr>
      <w:r>
        <w:rPr>
          <w:noProof/>
          <w:sz w:val="18"/>
          <w:lang w:val="en-GB" w:eastAsia="en-GB" w:bidi="ar-SA"/>
        </w:rPr>
        <w:drawing>
          <wp:inline distT="0" distB="0" distL="0" distR="0" wp14:anchorId="45EEC816" wp14:editId="747EDCBD">
            <wp:extent cx="6073570" cy="3504313"/>
            <wp:effectExtent l="0" t="0" r="3810" b="127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113169" cy="3527160"/>
                    </a:xfrm>
                    <a:prstGeom prst="rect">
                      <a:avLst/>
                    </a:prstGeom>
                    <a:noFill/>
                  </pic:spPr>
                </pic:pic>
              </a:graphicData>
            </a:graphic>
          </wp:inline>
        </w:drawing>
      </w:r>
    </w:p>
    <w:p w:rsidR="00BD0D14" w:rsidRPr="00FB01AA" w:rsidRDefault="00BD0D14" w:rsidP="00B17A60">
      <w:pPr>
        <w:pStyle w:val="HStandard"/>
        <w:rPr>
          <w:sz w:val="18"/>
        </w:rPr>
      </w:pPr>
    </w:p>
    <w:p w:rsidR="00233810" w:rsidRPr="00FB01AA" w:rsidRDefault="00233810" w:rsidP="00233810">
      <w:pPr>
        <w:pStyle w:val="HSource"/>
        <w:rPr>
          <w:sz w:val="14"/>
        </w:rPr>
      </w:pPr>
      <w:r w:rsidRPr="00FB01AA">
        <w:rPr>
          <w:sz w:val="14"/>
        </w:rPr>
        <w:t>Източник: Европейско бюро за оценка в областта на развитието на селските райони, 2017 г.</w:t>
      </w:r>
    </w:p>
    <w:p w:rsidR="00233810" w:rsidRPr="00FB01AA" w:rsidRDefault="00233810" w:rsidP="00E506C2">
      <w:pPr>
        <w:pStyle w:val="Hlistbullet"/>
        <w:numPr>
          <w:ilvl w:val="0"/>
          <w:numId w:val="0"/>
        </w:numPr>
        <w:rPr>
          <w:sz w:val="18"/>
        </w:rPr>
        <w:sectPr w:rsidR="00233810" w:rsidRPr="00FB01AA" w:rsidSect="00233810">
          <w:type w:val="continuous"/>
          <w:pgSz w:w="11906" w:h="16838"/>
          <w:pgMar w:top="1418" w:right="1418" w:bottom="1418" w:left="1418" w:header="709" w:footer="709" w:gutter="0"/>
          <w:cols w:space="397"/>
          <w:docGrid w:linePitch="360"/>
        </w:sectPr>
      </w:pPr>
    </w:p>
    <w:p w:rsidR="00E506C2" w:rsidRPr="00FB01AA" w:rsidRDefault="00D21DBF" w:rsidP="00E506C2">
      <w:pPr>
        <w:pStyle w:val="Hlistbullet"/>
        <w:numPr>
          <w:ilvl w:val="0"/>
          <w:numId w:val="0"/>
        </w:numPr>
        <w:rPr>
          <w:sz w:val="18"/>
        </w:rPr>
      </w:pPr>
      <w:r w:rsidRPr="00FB01AA">
        <w:rPr>
          <w:noProof/>
          <w:sz w:val="18"/>
          <w:lang w:val="en-GB" w:eastAsia="en-GB" w:bidi="ar-SA"/>
        </w:rPr>
        <mc:AlternateContent>
          <mc:Choice Requires="wps">
            <w:drawing>
              <wp:anchor distT="0" distB="0" distL="114300" distR="114300" simplePos="0" relativeHeight="251656192" behindDoc="0" locked="0" layoutInCell="1" allowOverlap="1" wp14:anchorId="41E73C51" wp14:editId="5F01BA6D">
                <wp:simplePos x="0" y="0"/>
                <wp:positionH relativeFrom="column">
                  <wp:posOffset>-53975</wp:posOffset>
                </wp:positionH>
                <wp:positionV relativeFrom="paragraph">
                  <wp:posOffset>1570355</wp:posOffset>
                </wp:positionV>
                <wp:extent cx="2735580" cy="2543175"/>
                <wp:effectExtent l="0" t="0" r="26670" b="28575"/>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543175"/>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DBF" w:rsidRPr="00233810" w:rsidRDefault="00D21DBF"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6858CA92" wp14:editId="31603947">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Ако в уредбата за мониторинга и оценката на стратегията за ВОМР се изисква и оценка, и самооценка, се препоръчва за двете дейности да се използва един и същи набор от въпроси и показатели за оценка и данните да се събират само веднъж. Резултатите от оценката може да са полезни за самооценката и обратно.</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73C51" id="Rectangle: Diagonal Corners Rounded 92" o:spid="_x0000_s1031" style="position:absolute;left:0;text-align:left;margin-left:-4.25pt;margin-top:123.65pt;width:215.4pt;height:200.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5431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" adj="-11796480,,5400" path="m423871,l2735580,r,l2735580,2119304v,234097,-189774,423871,-423871,423871l,2543175r,l,423871c,189774,189774,,423871,xe" fillcolor="white [3204]" strokecolor="#be4a35 [3205]" strokeweight="2pt">
                <v:stroke joinstyle="miter"/>
                <v:formulas/>
                <v:path arrowok="t" o:connecttype="custom" o:connectlocs="423871,0;2735580,0;2735580,0;2735580,2119304;2311709,2543175;0,2543175;0,2543175;0,423871;423871,0" o:connectangles="0,0,0,0,0,0,0,0,0" textboxrect="0,0,2735580,2543175"/>
                <v:textbox>
                  <w:txbxContent>
                    <w:p w:rsidR="00D21DBF" w:rsidRPr="00233810" w:rsidRDefault="00D21DBF" w:rsidP="00233810">
                      <w:pPr>
                        <w:jc w:val="both"/>
                        <w:rPr>
                          <w:color w:val="373737"/>
                        </w:rPr>
                      </w:pPr>
                      <w:r>
                        <w:rPr>
                          <w:rFonts w:ascii="Arial" w:hAnsi="Arial" w:cs="Arial"/>
                          <w:noProof/>
                          <w:color w:val="57825E" w:themeColor="accent4"/>
                          <w:sz w:val="20"/>
                          <w:szCs w:val="20"/>
                          <w:lang w:val="en-GB" w:eastAsia="en-GB" w:bidi="ar-SA"/>
                        </w:rPr>
                        <w:drawing>
                          <wp:inline distT="0" distB="0" distL="0" distR="0" wp14:anchorId="6858CA92" wp14:editId="31603947">
                            <wp:extent cx="665188" cy="4876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Ако в уредбата за мониторинга и оценката на стратегията за ВОМР се изисква и оценка, и самооценка, се препоръчва за двете дейности да се използва един и същи набор от въпроси и показатели за оценка и данните да се събират само веднъж. Резултатите от оценката може да са полезни за самооценката и обратно.</w:t>
                      </w:r>
                    </w:p>
                  </w:txbxContent>
                </v:textbox>
                <w10:wrap type="square"/>
              </v:shape>
            </w:pict>
          </mc:Fallback>
        </mc:AlternateContent>
      </w:r>
      <w:r w:rsidR="00806631" w:rsidRPr="00FB01AA">
        <w:rPr>
          <w:sz w:val="18"/>
        </w:rPr>
        <w:t xml:space="preserve">Решението дали да се извърши самооценка и/или оценка трябва да съответства на </w:t>
      </w:r>
      <w:r w:rsidR="00806631" w:rsidRPr="00FB01AA">
        <w:rPr>
          <w:b/>
          <w:sz w:val="18"/>
        </w:rPr>
        <w:t>това, което е било заложено в стратегията за ВОМР.</w:t>
      </w:r>
      <w:r w:rsidR="00806631" w:rsidRPr="00FB01AA">
        <w:rPr>
          <w:sz w:val="18"/>
        </w:rPr>
        <w:t xml:space="preserve"> МГД може да оценяват както задължителните части (стратегията за ВОМР), така и незадължителните части (действията на МГД за популяризиране, механизма за изпълнение на LEADER/ВОМР и добавената стойност). </w:t>
      </w:r>
    </w:p>
    <w:p w:rsidR="0050265D" w:rsidRPr="00FB01AA" w:rsidRDefault="00E506C2" w:rsidP="002E2144">
      <w:pPr>
        <w:pStyle w:val="Hlistbullet"/>
        <w:numPr>
          <w:ilvl w:val="0"/>
          <w:numId w:val="0"/>
        </w:numPr>
        <w:rPr>
          <w:sz w:val="18"/>
        </w:rPr>
      </w:pPr>
      <w:r w:rsidRPr="00FB01AA">
        <w:rPr>
          <w:sz w:val="18"/>
        </w:rPr>
        <w:t>В случай че МГД е избрала да се извърши оценка, на</w:t>
      </w:r>
      <w:r w:rsidRPr="00FB01AA">
        <w:rPr>
          <w:b/>
          <w:sz w:val="18"/>
        </w:rPr>
        <w:t xml:space="preserve"> местно равнище може да възникнат</w:t>
      </w:r>
      <w:r w:rsidRPr="00FB01AA">
        <w:rPr>
          <w:sz w:val="18"/>
        </w:rPr>
        <w:t xml:space="preserve"> следните договорни ситуации: </w:t>
      </w:r>
    </w:p>
    <w:p w:rsidR="0021513B" w:rsidRPr="00FB01AA" w:rsidRDefault="008B3597" w:rsidP="002E02E3">
      <w:pPr>
        <w:numPr>
          <w:ilvl w:val="0"/>
          <w:numId w:val="17"/>
        </w:numPr>
        <w:spacing w:before="60"/>
        <w:ind w:left="426" w:hanging="426"/>
        <w:jc w:val="both"/>
        <w:rPr>
          <w:rFonts w:ascii="Arial" w:hAnsi="Arial" w:cs="Arial"/>
          <w:sz w:val="18"/>
          <w:szCs w:val="20"/>
        </w:rPr>
      </w:pPr>
      <w:r w:rsidRPr="00FB01AA">
        <w:rPr>
          <w:rFonts w:ascii="Arial" w:hAnsi="Arial"/>
          <w:color w:val="373737" w:themeColor="background1" w:themeShade="40"/>
          <w:sz w:val="18"/>
        </w:rPr>
        <w:t>Една МГД на</w:t>
      </w:r>
      <w:r w:rsidR="00561A5D">
        <w:rPr>
          <w:rFonts w:ascii="Arial" w:hAnsi="Arial"/>
          <w:color w:val="373737" w:themeColor="background1" w:themeShade="40"/>
          <w:sz w:val="18"/>
        </w:rPr>
        <w:t>ема</w:t>
      </w:r>
      <w:r w:rsidRPr="00FB01AA">
        <w:rPr>
          <w:rFonts w:ascii="Arial" w:hAnsi="Arial"/>
          <w:color w:val="373737" w:themeColor="background1" w:themeShade="40"/>
          <w:sz w:val="18"/>
        </w:rPr>
        <w:t xml:space="preserve"> оценител. В този случай възнаграждението на оценителя се плаща от бюджета за текущи разходи на МГД. </w:t>
      </w:r>
    </w:p>
    <w:p w:rsidR="00AD5C82" w:rsidRPr="00FB01AA" w:rsidRDefault="0050265D" w:rsidP="00B17A60">
      <w:pPr>
        <w:numPr>
          <w:ilvl w:val="0"/>
          <w:numId w:val="17"/>
        </w:numPr>
        <w:spacing w:before="60" w:after="60"/>
        <w:ind w:left="426" w:hanging="426"/>
        <w:jc w:val="both"/>
        <w:rPr>
          <w:rFonts w:ascii="Arial" w:hAnsi="Arial"/>
          <w:color w:val="373737" w:themeColor="background1" w:themeShade="40"/>
          <w:sz w:val="18"/>
          <w:szCs w:val="20"/>
        </w:rPr>
      </w:pPr>
      <w:r w:rsidRPr="00FB01AA">
        <w:rPr>
          <w:rFonts w:ascii="Arial" w:hAnsi="Arial"/>
          <w:color w:val="373737" w:themeColor="background1" w:themeShade="40"/>
          <w:sz w:val="18"/>
        </w:rPr>
        <w:t xml:space="preserve">Няколко МГД (със или без намесата на НМСР или на междинно звено) решават да обявят </w:t>
      </w:r>
      <w:r w:rsidR="00561A5D">
        <w:rPr>
          <w:rFonts w:ascii="Arial" w:hAnsi="Arial"/>
          <w:color w:val="373737" w:themeColor="background1" w:themeShade="40"/>
          <w:sz w:val="18"/>
        </w:rPr>
        <w:t>тръжна процедура</w:t>
      </w:r>
      <w:r w:rsidRPr="00FB01AA">
        <w:rPr>
          <w:rFonts w:ascii="Arial" w:hAnsi="Arial"/>
          <w:color w:val="373737" w:themeColor="background1" w:themeShade="40"/>
          <w:sz w:val="18"/>
        </w:rPr>
        <w:t xml:space="preserve"> за външна оценка. В този случай една МГД може да бъде обявена за водеща и да действа от името на цялата група. Този вариант дава възможност за сравнение на </w:t>
      </w:r>
      <w:r w:rsidR="005F29E7" w:rsidRPr="00251DF4">
        <w:rPr>
          <w:rFonts w:ascii="Arial" w:hAnsi="Arial"/>
          <w:color w:val="373737" w:themeColor="background1" w:themeShade="40"/>
          <w:sz w:val="18"/>
        </w:rPr>
        <w:t>констатаци</w:t>
      </w:r>
      <w:r w:rsidRPr="00FB01AA">
        <w:rPr>
          <w:rFonts w:ascii="Arial" w:hAnsi="Arial"/>
          <w:color w:val="373737" w:themeColor="background1" w:themeShade="40"/>
          <w:sz w:val="18"/>
        </w:rPr>
        <w:t>ите от оценките на различните МГД (например управление и ръководство и интервенции в тематични области). В т</w:t>
      </w:r>
      <w:r w:rsidR="00561A5D">
        <w:rPr>
          <w:rFonts w:ascii="Arial" w:hAnsi="Arial"/>
          <w:color w:val="373737" w:themeColor="background1" w:themeShade="40"/>
          <w:sz w:val="18"/>
        </w:rPr>
        <w:t>ози</w:t>
      </w:r>
      <w:r w:rsidRPr="00FB01AA">
        <w:rPr>
          <w:rFonts w:ascii="Arial" w:hAnsi="Arial"/>
          <w:color w:val="373737" w:themeColor="background1" w:themeShade="40"/>
          <w:sz w:val="18"/>
        </w:rPr>
        <w:t xml:space="preserve"> случай възнаграждението на оценителя се </w:t>
      </w:r>
      <w:r w:rsidR="00561A5D">
        <w:rPr>
          <w:rFonts w:ascii="Arial" w:hAnsi="Arial"/>
          <w:color w:val="373737" w:themeColor="background1" w:themeShade="40"/>
          <w:sz w:val="18"/>
        </w:rPr>
        <w:t>разпре</w:t>
      </w:r>
      <w:r w:rsidRPr="00FB01AA">
        <w:rPr>
          <w:rFonts w:ascii="Arial" w:hAnsi="Arial"/>
          <w:color w:val="373737" w:themeColor="background1" w:themeShade="40"/>
          <w:sz w:val="18"/>
        </w:rPr>
        <w:t xml:space="preserve">деля между всички МГД от бюджетите им за текущи разходи. </w:t>
      </w:r>
    </w:p>
    <w:p w:rsidR="0050265D" w:rsidRPr="00FB01AA" w:rsidRDefault="00E34AD0" w:rsidP="00B17A60">
      <w:pPr>
        <w:pStyle w:val="H-Standard"/>
        <w:spacing w:after="60"/>
        <w:rPr>
          <w:sz w:val="18"/>
        </w:rPr>
      </w:pPr>
      <w:r w:rsidRPr="00FB01AA">
        <w:rPr>
          <w:sz w:val="18"/>
        </w:rPr>
        <w:t xml:space="preserve">При </w:t>
      </w:r>
      <w:r w:rsidRPr="00FB01AA">
        <w:rPr>
          <w:b/>
          <w:sz w:val="18"/>
        </w:rPr>
        <w:t>провеждането на тръжни процедури и при подбора на външни оценяващи експерти</w:t>
      </w:r>
      <w:r w:rsidRPr="00FB01AA">
        <w:rPr>
          <w:sz w:val="18"/>
        </w:rPr>
        <w:t xml:space="preserve"> в държавите членки е необходимо да се спазват специфичните правила в областта на обществените поръчки, когато това е приложимо. Договарящата страна следва да установи </w:t>
      </w:r>
      <w:r w:rsidRPr="00FB01AA">
        <w:rPr>
          <w:sz w:val="18"/>
        </w:rPr>
        <w:lastRenderedPageBreak/>
        <w:t xml:space="preserve">прозрачни критерии за подбор, които обхващат опита в оценяването, капацитета за оценка, способността за събиране и използване на информация и данни. </w:t>
      </w:r>
    </w:p>
    <w:p w:rsidR="00FB31E6" w:rsidRPr="00FB01AA" w:rsidRDefault="00FB31E6" w:rsidP="00B17A60">
      <w:pPr>
        <w:pStyle w:val="H-Standard"/>
        <w:spacing w:after="60"/>
        <w:rPr>
          <w:sz w:val="18"/>
        </w:rPr>
      </w:pPr>
      <w:r w:rsidRPr="00FB01AA">
        <w:rPr>
          <w:sz w:val="18"/>
        </w:rPr>
        <w:t xml:space="preserve">УО на ПРСР играе важна роля при подпомагането на МГД във връзка със задачата на последните да извършват мониторинг на съответните си стратегии за ВОМР и да подготвят дейностите за оценка (например УО може да предостави стандартен модел на техническо задание, в който да се определят минималните изисквания за оценката). УО може също така да реши да делегира </w:t>
      </w:r>
      <w:r w:rsidR="00C376A4">
        <w:rPr>
          <w:sz w:val="18"/>
        </w:rPr>
        <w:t>някои помощни</w:t>
      </w:r>
      <w:r w:rsidRPr="00FB01AA">
        <w:rPr>
          <w:sz w:val="18"/>
        </w:rPr>
        <w:t xml:space="preserve"> задачи на други заинтересовани страни. НМСР например би могла да предоставя обучения в областта на оценяването на МГД, разплащателната агенция би могла да </w:t>
      </w:r>
      <w:r w:rsidR="0077011F">
        <w:rPr>
          <w:sz w:val="18"/>
        </w:rPr>
        <w:t>оказва помощ</w:t>
      </w:r>
      <w:r w:rsidRPr="00FB01AA">
        <w:rPr>
          <w:sz w:val="18"/>
        </w:rPr>
        <w:t xml:space="preserve"> </w:t>
      </w:r>
      <w:r w:rsidR="0077011F">
        <w:rPr>
          <w:sz w:val="18"/>
        </w:rPr>
        <w:t xml:space="preserve">на </w:t>
      </w:r>
      <w:r w:rsidRPr="00FB01AA">
        <w:rPr>
          <w:sz w:val="18"/>
        </w:rPr>
        <w:t>МГД при разработването на интегрирана/споделена база данни с ПРСР (т.е. база данни за операциите на МГД)</w:t>
      </w:r>
      <w:r w:rsidRPr="00FB01AA">
        <w:rPr>
          <w:rStyle w:val="FootnoteReference"/>
          <w:color w:val="535353" w:themeColor="text1" w:themeShade="BF"/>
          <w:sz w:val="18"/>
          <w14:textFill>
            <w14:solidFill>
              <w14:schemeClr w14:val="tx1">
                <w14:lumMod w14:val="75000"/>
                <w14:lumMod w14:val="75000"/>
              </w14:schemeClr>
            </w14:solidFill>
          </w14:textFill>
        </w:rPr>
        <w:footnoteReference w:id="28"/>
      </w:r>
      <w:r w:rsidRPr="00FB01AA">
        <w:rPr>
          <w:sz w:val="18"/>
        </w:rPr>
        <w:t xml:space="preserve">. </w:t>
      </w:r>
      <w:bookmarkEnd w:id="37"/>
    </w:p>
    <w:p w:rsidR="0050265D" w:rsidRPr="00FB01AA" w:rsidRDefault="00EE3EF4" w:rsidP="0050265D">
      <w:pPr>
        <w:pStyle w:val="HStandard"/>
        <w:rPr>
          <w:sz w:val="18"/>
        </w:rPr>
      </w:pPr>
      <w:r w:rsidRPr="00FB01AA">
        <w:rPr>
          <w:sz w:val="18"/>
        </w:rPr>
        <w:t xml:space="preserve">Особено полезно за дейностите за оценка на местно равнище е </w:t>
      </w:r>
      <w:r w:rsidRPr="00FB01AA">
        <w:rPr>
          <w:b/>
          <w:sz w:val="18"/>
        </w:rPr>
        <w:t>участието на заинтересовани страни,</w:t>
      </w:r>
      <w:r w:rsidRPr="00FB01AA">
        <w:rPr>
          <w:sz w:val="18"/>
        </w:rPr>
        <w:t xml:space="preserve"> както и на по-широката общественост (служители на МГД, членове на МГД, междинни звена и бенефициери). Участието на тези групи помага за повишаване на прозрачността и за придобиване на знания. Местните участници могат да бъдат включени в дейностите за оценка чрез насърчаване на участието им в местния комитет за мониторинг и/или в местната ръководна група за оценка. В идеалния случай тези органи следва да бъдат приобщавани на ранен етап от изпълнението на стратегията за ВОМР.</w:t>
      </w:r>
    </w:p>
    <w:p w:rsidR="00C268EA" w:rsidRPr="00FB01AA" w:rsidRDefault="00CA13A6" w:rsidP="003509A9">
      <w:pPr>
        <w:pStyle w:val="HHeading5"/>
        <w:rPr>
          <w:sz w:val="18"/>
        </w:rPr>
      </w:pPr>
      <w:r w:rsidRPr="00FB01AA">
        <w:rPr>
          <w:sz w:val="18"/>
        </w:rPr>
        <w:t xml:space="preserve">Какъв е акцентът на дейностите за оценка на LEADER/ВОМР на местно равнище? </w:t>
      </w:r>
    </w:p>
    <w:p w:rsidR="00B17A60" w:rsidRDefault="00C268EA" w:rsidP="00AD2535">
      <w:pPr>
        <w:pStyle w:val="HStandard"/>
        <w:spacing w:before="240"/>
        <w:rPr>
          <w:sz w:val="18"/>
        </w:rPr>
      </w:pPr>
      <w:r w:rsidRPr="00FB01AA">
        <w:rPr>
          <w:sz w:val="18"/>
        </w:rPr>
        <w:t xml:space="preserve">На местно равнище съществуват както задължителни, така и препоръчителни дейности за оценка. Задължителната задача на МГД е да предоставят описание на </w:t>
      </w:r>
      <w:r w:rsidR="00F365BE" w:rsidRPr="00251DF4">
        <w:rPr>
          <w:sz w:val="18"/>
        </w:rPr>
        <w:t>механизма</w:t>
      </w:r>
      <w:r w:rsidRPr="00FB01AA">
        <w:rPr>
          <w:sz w:val="18"/>
        </w:rPr>
        <w:t xml:space="preserve"> за управление и мониторинг на стратегията и </w:t>
      </w:r>
      <w:r w:rsidRPr="00FB01AA">
        <w:t>описание на специфичн</w:t>
      </w:r>
      <w:r w:rsidR="00F365BE" w:rsidRPr="00251DF4">
        <w:t>ия</w:t>
      </w:r>
      <w:r w:rsidRPr="00FB01AA">
        <w:t xml:space="preserve"> </w:t>
      </w:r>
      <w:r w:rsidR="00F365BE" w:rsidRPr="00251DF4">
        <w:t>механизъм</w:t>
      </w:r>
      <w:r w:rsidRPr="00FB01AA">
        <w:t xml:space="preserve"> за оценка, както и</w:t>
      </w:r>
      <w:r w:rsidRPr="00FB01AA">
        <w:rPr>
          <w:rStyle w:val="apple-converted-space"/>
          <w:rFonts w:eastAsiaTheme="majorEastAsia"/>
        </w:rPr>
        <w:t> </w:t>
      </w:r>
      <w:r w:rsidRPr="00FB01AA">
        <w:rPr>
          <w:b/>
          <w:sz w:val="18"/>
        </w:rPr>
        <w:t xml:space="preserve">да извършат конкретни дейности за мониторинг и оценка, свързани </w:t>
      </w:r>
      <w:r w:rsidRPr="00FB01AA">
        <w:rPr>
          <w:b/>
          <w:sz w:val="18"/>
        </w:rPr>
        <w:t>със стратегията за ВОМР</w:t>
      </w:r>
      <w:r w:rsidRPr="00FB01AA">
        <w:rPr>
          <w:sz w:val="18"/>
        </w:rPr>
        <w:t xml:space="preserve">. Извън </w:t>
      </w:r>
      <w:r w:rsidR="005E5916">
        <w:rPr>
          <w:sz w:val="18"/>
        </w:rPr>
        <w:t>гореизложеното,</w:t>
      </w:r>
      <w:r w:rsidRPr="00FB01AA">
        <w:rPr>
          <w:sz w:val="18"/>
        </w:rPr>
        <w:t xml:space="preserve"> </w:t>
      </w:r>
      <w:r w:rsidR="005E5916">
        <w:rPr>
          <w:sz w:val="18"/>
        </w:rPr>
        <w:t xml:space="preserve">в правните актове не са дадени други уточнения за </w:t>
      </w:r>
      <w:r w:rsidRPr="00FB01AA">
        <w:rPr>
          <w:sz w:val="18"/>
        </w:rPr>
        <w:t>фокус</w:t>
      </w:r>
      <w:r w:rsidR="005E5916">
        <w:rPr>
          <w:sz w:val="18"/>
        </w:rPr>
        <w:t>а</w:t>
      </w:r>
      <w:r w:rsidRPr="00FB01AA">
        <w:rPr>
          <w:sz w:val="18"/>
        </w:rPr>
        <w:t xml:space="preserve"> на оценката на местно равнище (вж. глава 1.1.3).</w:t>
      </w:r>
    </w:p>
    <w:p w:rsidR="00DB6CE1" w:rsidRPr="00FB01AA" w:rsidRDefault="00DB6CE1" w:rsidP="00AD2535">
      <w:pPr>
        <w:pStyle w:val="HStandard"/>
        <w:spacing w:before="240"/>
        <w:rPr>
          <w:sz w:val="18"/>
        </w:rPr>
      </w:pPr>
    </w:p>
    <w:p w:rsidR="002E2144" w:rsidRPr="00FB01AA" w:rsidRDefault="002E2144" w:rsidP="00502968">
      <w:pPr>
        <w:pStyle w:val="HStandard"/>
        <w:spacing w:before="240"/>
        <w:jc w:val="center"/>
        <w:rPr>
          <w:sz w:val="18"/>
        </w:rPr>
        <w:sectPr w:rsidR="002E2144" w:rsidRPr="00FB01AA" w:rsidSect="002E2144">
          <w:type w:val="continuous"/>
          <w:pgSz w:w="11906" w:h="16838"/>
          <w:pgMar w:top="1418" w:right="1418" w:bottom="1418" w:left="1418" w:header="709" w:footer="709" w:gutter="0"/>
          <w:cols w:num="2" w:space="397"/>
          <w:docGrid w:linePitch="360"/>
        </w:sectPr>
      </w:pPr>
    </w:p>
    <w:p w:rsidR="006750D1" w:rsidRDefault="006750D1" w:rsidP="00502968">
      <w:pPr>
        <w:pStyle w:val="HStandard"/>
        <w:spacing w:before="240"/>
        <w:jc w:val="center"/>
        <w:rPr>
          <w:lang w:bidi="ar-SA"/>
        </w:rPr>
      </w:pPr>
      <w:r>
        <w:rPr>
          <w:noProof/>
          <w:lang w:val="en-GB" w:eastAsia="en-GB" w:bidi="ar-SA"/>
        </w:rPr>
        <w:lastRenderedPageBreak/>
        <w:drawing>
          <wp:inline distT="0" distB="0" distL="0" distR="0" wp14:anchorId="0A6E2726" wp14:editId="3EE08F75">
            <wp:extent cx="5210614" cy="2422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10614" cy="2422800"/>
                    </a:xfrm>
                    <a:prstGeom prst="rect">
                      <a:avLst/>
                    </a:prstGeom>
                    <a:noFill/>
                  </pic:spPr>
                </pic:pic>
              </a:graphicData>
            </a:graphic>
          </wp:inline>
        </w:drawing>
      </w:r>
    </w:p>
    <w:p w:rsidR="00646CBD" w:rsidRPr="00FB01AA" w:rsidRDefault="00B17A60" w:rsidP="00502968">
      <w:pPr>
        <w:pStyle w:val="HStandard"/>
        <w:spacing w:before="240"/>
        <w:jc w:val="center"/>
        <w:rPr>
          <w:sz w:val="18"/>
        </w:rPr>
      </w:pPr>
      <w:r w:rsidRPr="00B17A60">
        <w:rPr>
          <w:lang w:bidi="ar-SA"/>
        </w:rPr>
        <w:t xml:space="preserve"> </w:t>
      </w:r>
    </w:p>
    <w:p w:rsidR="002E2144" w:rsidRPr="00FB01AA" w:rsidRDefault="002E2144" w:rsidP="00B4201E">
      <w:pPr>
        <w:pStyle w:val="HStandard"/>
        <w:spacing w:before="240"/>
        <w:rPr>
          <w:rFonts w:cs="Arial"/>
          <w:szCs w:val="21"/>
        </w:rPr>
        <w:sectPr w:rsidR="002E2144" w:rsidRPr="00FB01AA" w:rsidSect="009F15D6">
          <w:type w:val="continuous"/>
          <w:pgSz w:w="11906" w:h="16838"/>
          <w:pgMar w:top="1418" w:right="1418" w:bottom="1418" w:left="1418" w:header="709" w:footer="709" w:gutter="0"/>
          <w:cols w:space="708"/>
          <w:docGrid w:linePitch="360"/>
        </w:sectPr>
      </w:pPr>
    </w:p>
    <w:p w:rsidR="00B4201E" w:rsidRPr="00FB01AA" w:rsidRDefault="00B4201E" w:rsidP="00B4201E">
      <w:pPr>
        <w:pStyle w:val="HStandard"/>
        <w:spacing w:before="240"/>
        <w:rPr>
          <w:rFonts w:cs="Arial"/>
          <w:sz w:val="18"/>
        </w:rPr>
      </w:pPr>
      <w:r w:rsidRPr="00FB01AA">
        <w:rPr>
          <w:sz w:val="18"/>
        </w:rPr>
        <w:t>Що се отнася до задължителния акцент,</w:t>
      </w:r>
      <w:r w:rsidRPr="00FB01AA">
        <w:rPr>
          <w:b/>
          <w:sz w:val="18"/>
        </w:rPr>
        <w:t xml:space="preserve"> оценката на стратегията за ВОМР </w:t>
      </w:r>
      <w:r w:rsidRPr="00FB01AA">
        <w:rPr>
          <w:sz w:val="18"/>
        </w:rPr>
        <w:t>се отнася до:</w:t>
      </w:r>
    </w:p>
    <w:p w:rsidR="00B4201E" w:rsidRPr="00FB01AA" w:rsidRDefault="00B4201E" w:rsidP="002E2144">
      <w:pPr>
        <w:pStyle w:val="Hlistbullet"/>
        <w:ind w:left="426" w:hanging="426"/>
        <w:rPr>
          <w:rFonts w:cs="Arial"/>
          <w:sz w:val="18"/>
        </w:rPr>
      </w:pPr>
      <w:r w:rsidRPr="00FB01AA">
        <w:rPr>
          <w:b/>
          <w:sz w:val="18"/>
        </w:rPr>
        <w:t>оценката на съгласуваността на стратегията за ВОМР</w:t>
      </w:r>
      <w:r w:rsidRPr="00FB01AA">
        <w:rPr>
          <w:sz w:val="18"/>
        </w:rPr>
        <w:t xml:space="preserve">: вътрешна — между целите на стратегията, планираните </w:t>
      </w:r>
      <w:r w:rsidR="00C207A1">
        <w:rPr>
          <w:sz w:val="18"/>
        </w:rPr>
        <w:t>входящи ресурси</w:t>
      </w:r>
      <w:r w:rsidRPr="00FB01AA">
        <w:rPr>
          <w:sz w:val="18"/>
        </w:rPr>
        <w:t>, комбинацията от интервенции и очакваните крайни продукти, резултати и въздействия; външна — между различните инструменти, които се изпълняват едновременно в рамките на една и съща територия); и на</w:t>
      </w:r>
      <w:r w:rsidRPr="00FB01AA">
        <w:rPr>
          <w:b/>
          <w:sz w:val="18"/>
        </w:rPr>
        <w:t xml:space="preserve"> нейната </w:t>
      </w:r>
      <w:r w:rsidR="00413ECE">
        <w:rPr>
          <w:b/>
          <w:sz w:val="18"/>
        </w:rPr>
        <w:t>умес</w:t>
      </w:r>
      <w:r w:rsidRPr="00FB01AA">
        <w:rPr>
          <w:b/>
          <w:sz w:val="18"/>
        </w:rPr>
        <w:t>тност</w:t>
      </w:r>
      <w:r w:rsidRPr="00FB01AA">
        <w:rPr>
          <w:sz w:val="18"/>
        </w:rPr>
        <w:t xml:space="preserve"> за </w:t>
      </w:r>
      <w:r w:rsidR="000806DD">
        <w:rPr>
          <w:sz w:val="18"/>
        </w:rPr>
        <w:t>задовол</w:t>
      </w:r>
      <w:r w:rsidR="00D37580">
        <w:rPr>
          <w:sz w:val="18"/>
        </w:rPr>
        <w:t>яв</w:t>
      </w:r>
      <w:r w:rsidRPr="00FB01AA">
        <w:rPr>
          <w:sz w:val="18"/>
        </w:rPr>
        <w:t xml:space="preserve">ане на най-важните потребности на територията на МГД въз основа на SWOT анализа и на оценката на потребностите; </w:t>
      </w:r>
    </w:p>
    <w:p w:rsidR="00B4201E" w:rsidRPr="00B17A60" w:rsidRDefault="00B4201E" w:rsidP="002E2144">
      <w:pPr>
        <w:pStyle w:val="Hlistbullet"/>
        <w:ind w:left="426" w:hanging="426"/>
        <w:rPr>
          <w:rFonts w:cs="Arial"/>
          <w:spacing w:val="-4"/>
          <w:sz w:val="18"/>
        </w:rPr>
      </w:pPr>
      <w:r w:rsidRPr="00B17A60">
        <w:rPr>
          <w:b/>
          <w:spacing w:val="-4"/>
          <w:sz w:val="18"/>
        </w:rPr>
        <w:t>оценката на приноса на операциите по стратегията за ВОМР</w:t>
      </w:r>
      <w:r w:rsidRPr="00B17A60">
        <w:rPr>
          <w:spacing w:val="-4"/>
          <w:sz w:val="18"/>
        </w:rPr>
        <w:t xml:space="preserve"> (включително проектите за сътрудничество) </w:t>
      </w:r>
      <w:r w:rsidRPr="00B17A60">
        <w:rPr>
          <w:b/>
          <w:spacing w:val="-4"/>
          <w:sz w:val="18"/>
        </w:rPr>
        <w:t>за постигането на целите на стратегията за ВОМР</w:t>
      </w:r>
      <w:r w:rsidRPr="00B17A60">
        <w:rPr>
          <w:spacing w:val="-4"/>
          <w:sz w:val="18"/>
        </w:rPr>
        <w:t xml:space="preserve"> и ефективността и ефикасността на този принос; </w:t>
      </w:r>
    </w:p>
    <w:p w:rsidR="00B4201E" w:rsidRPr="00FB01AA" w:rsidRDefault="00B4201E" w:rsidP="00943C21">
      <w:pPr>
        <w:pStyle w:val="Hlistbullet"/>
        <w:rPr>
          <w:color w:val="373737"/>
          <w:sz w:val="18"/>
        </w:rPr>
      </w:pPr>
      <w:r w:rsidRPr="00FB01AA">
        <w:rPr>
          <w:color w:val="373737"/>
          <w:sz w:val="18"/>
        </w:rPr>
        <w:t>анализ на факторите за успех и неуспех във връзка с постигането на целите на стратегията за ВОМР.</w:t>
      </w:r>
    </w:p>
    <w:p w:rsidR="00B4201E" w:rsidRPr="00FB01AA" w:rsidRDefault="00531CF9" w:rsidP="00B4201E">
      <w:pPr>
        <w:pStyle w:val="Hlistbullet"/>
        <w:numPr>
          <w:ilvl w:val="0"/>
          <w:numId w:val="0"/>
        </w:numPr>
        <w:rPr>
          <w:rFonts w:cs="Arial"/>
          <w:color w:val="373737"/>
          <w:sz w:val="18"/>
        </w:rPr>
      </w:pPr>
      <w:r w:rsidRPr="00FB01AA">
        <w:rPr>
          <w:color w:val="373737"/>
          <w:sz w:val="18"/>
        </w:rPr>
        <w:t xml:space="preserve">В допълнение към задължителната оценка на стратегията за ВОМР в </w:t>
      </w:r>
      <w:r w:rsidRPr="00FB01AA">
        <w:rPr>
          <w:b/>
          <w:color w:val="373737"/>
          <w:sz w:val="18"/>
        </w:rPr>
        <w:t>насоките</w:t>
      </w:r>
      <w:r w:rsidRPr="00FB01AA">
        <w:rPr>
          <w:color w:val="373737"/>
          <w:sz w:val="18"/>
        </w:rPr>
        <w:t xml:space="preserve"> се препоръчва на местно равнище да се включат също:</w:t>
      </w:r>
    </w:p>
    <w:p w:rsidR="00172DF0" w:rsidRPr="00B17A60" w:rsidRDefault="00172DF0" w:rsidP="00943C21">
      <w:pPr>
        <w:pStyle w:val="Hlistbullet"/>
        <w:rPr>
          <w:spacing w:val="-4"/>
          <w:sz w:val="18"/>
        </w:rPr>
      </w:pPr>
      <w:r w:rsidRPr="00B17A60">
        <w:rPr>
          <w:b/>
          <w:spacing w:val="-4"/>
          <w:sz w:val="18"/>
        </w:rPr>
        <w:t>оценката на дейностите на МГД за популяризиране</w:t>
      </w:r>
      <w:r w:rsidRPr="00B17A60">
        <w:rPr>
          <w:spacing w:val="-4"/>
          <w:sz w:val="18"/>
        </w:rPr>
        <w:t xml:space="preserve">, т.е. способността на МГД да извършва действия за популяризиране с цел повишаване на осведомеността, готовността на местните хора, сътрудничеството между тях и изграждането на мрежи; </w:t>
      </w:r>
    </w:p>
    <w:p w:rsidR="00B4201E" w:rsidRPr="00FB01AA" w:rsidRDefault="00B4201E" w:rsidP="00943C21">
      <w:pPr>
        <w:pStyle w:val="Hlistbullet"/>
        <w:rPr>
          <w:sz w:val="18"/>
        </w:rPr>
      </w:pPr>
      <w:r w:rsidRPr="00FB01AA">
        <w:rPr>
          <w:b/>
          <w:sz w:val="18"/>
        </w:rPr>
        <w:t>оценката на</w:t>
      </w:r>
      <w:r w:rsidRPr="00FB01AA">
        <w:rPr>
          <w:sz w:val="18"/>
        </w:rPr>
        <w:t xml:space="preserve"> </w:t>
      </w:r>
      <w:r w:rsidRPr="00FB01AA">
        <w:rPr>
          <w:b/>
          <w:sz w:val="18"/>
        </w:rPr>
        <w:t xml:space="preserve">механизма за изпълнение на LEADER/ВОМР </w:t>
      </w:r>
      <w:r w:rsidRPr="00FB01AA">
        <w:rPr>
          <w:sz w:val="18"/>
        </w:rPr>
        <w:t xml:space="preserve">за гарантиране на прилагането на метода LEADER (например балансирано участие и представителство на местното население в структурите за вземане на решения на МГД, управленските структури на МГД, правилата и процедурите за подготовка и изпълнение на стратегията за ВОМР и проектите за сътрудничество); </w:t>
      </w:r>
    </w:p>
    <w:p w:rsidR="00B4201E" w:rsidRPr="00FB01AA" w:rsidRDefault="00B4201E" w:rsidP="00943C21">
      <w:pPr>
        <w:pStyle w:val="Hlistbullet"/>
        <w:rPr>
          <w:sz w:val="18"/>
        </w:rPr>
      </w:pPr>
      <w:r w:rsidRPr="00FB01AA">
        <w:rPr>
          <w:b/>
          <w:sz w:val="18"/>
        </w:rPr>
        <w:t>оценката на добавената стойност</w:t>
      </w:r>
      <w:r w:rsidRPr="00FB01AA">
        <w:rPr>
          <w:sz w:val="18"/>
        </w:rPr>
        <w:t xml:space="preserve">, създадена посредством механизма за изпълнение и действията за популяризиране, т.е. </w:t>
      </w:r>
      <w:r w:rsidRPr="00FB01AA">
        <w:rPr>
          <w:b/>
          <w:sz w:val="18"/>
        </w:rPr>
        <w:t>при правилното прилагане на метода LEADER</w:t>
      </w:r>
      <w:r w:rsidRPr="00FB01AA">
        <w:rPr>
          <w:sz w:val="18"/>
        </w:rPr>
        <w:t xml:space="preserve"> (например промени в поведението на хората, водещи до подобряване на социалния капитал и местното управление, както и до засилване на резултатите, допринасящи в крайна сметка за постигането на структурни промени в района на МГД).</w:t>
      </w:r>
    </w:p>
    <w:p w:rsidR="00D46DC0" w:rsidRPr="00FB01AA" w:rsidRDefault="00D46DC0" w:rsidP="00D46DC0">
      <w:pPr>
        <w:pStyle w:val="HHeading5"/>
        <w:spacing w:before="240"/>
        <w:rPr>
          <w:sz w:val="18"/>
        </w:rPr>
      </w:pPr>
      <w:r w:rsidRPr="00FB01AA">
        <w:rPr>
          <w:sz w:val="18"/>
        </w:rPr>
        <w:t>Какви са последствията за самооценката/оценката от евентуалното включване на LEADER в стратегия за ВОМР с м</w:t>
      </w:r>
      <w:r w:rsidR="003947D1" w:rsidRPr="00251DF4">
        <w:rPr>
          <w:sz w:val="18"/>
        </w:rPr>
        <w:t>ного</w:t>
      </w:r>
      <w:r w:rsidRPr="00FB01AA">
        <w:rPr>
          <w:sz w:val="18"/>
        </w:rPr>
        <w:t>фондово финансиране?</w:t>
      </w:r>
    </w:p>
    <w:p w:rsidR="00705B72" w:rsidRPr="00B17A60" w:rsidRDefault="00705B72" w:rsidP="00943C21">
      <w:pPr>
        <w:pStyle w:val="HStandard"/>
        <w:rPr>
          <w:spacing w:val="-4"/>
          <w:sz w:val="18"/>
        </w:rPr>
      </w:pPr>
      <w:r w:rsidRPr="00B17A60">
        <w:rPr>
          <w:b/>
          <w:spacing w:val="-4"/>
          <w:sz w:val="18"/>
        </w:rPr>
        <w:t>М</w:t>
      </w:r>
      <w:r w:rsidR="003947D1" w:rsidRPr="00251DF4">
        <w:rPr>
          <w:b/>
          <w:spacing w:val="-4"/>
          <w:sz w:val="18"/>
        </w:rPr>
        <w:t>ного</w:t>
      </w:r>
      <w:r w:rsidRPr="00B17A60">
        <w:rPr>
          <w:b/>
          <w:spacing w:val="-4"/>
          <w:sz w:val="18"/>
        </w:rPr>
        <w:t>фондовият характер на ВОМР има последствия за самооценката/оценката на равнището на МГД,</w:t>
      </w:r>
      <w:r w:rsidRPr="00B17A60">
        <w:rPr>
          <w:spacing w:val="-4"/>
          <w:sz w:val="18"/>
        </w:rPr>
        <w:t xml:space="preserve"> по-специално защото всички операции, които получават подкрепа от различните фондове, допринасят за изпълнението на една и съща стратегия и следва да си взаимодействат за постигането на целите/резултатите. В този контекст е трудно да се разграничат ефектите, произтичащи от различните операции/фондове, при положение че всички те допринасят за една и съща стратегия.</w:t>
      </w:r>
    </w:p>
    <w:p w:rsidR="00705B72" w:rsidRPr="00B17A60" w:rsidRDefault="001E74AA" w:rsidP="00705B72">
      <w:pPr>
        <w:pStyle w:val="HStandard"/>
        <w:rPr>
          <w:spacing w:val="-4"/>
          <w:sz w:val="18"/>
        </w:rPr>
      </w:pPr>
      <w:r w:rsidRPr="00B17A60">
        <w:rPr>
          <w:spacing w:val="-4"/>
          <w:sz w:val="18"/>
        </w:rPr>
        <w:lastRenderedPageBreak/>
        <w:t>При оценката на м</w:t>
      </w:r>
      <w:r w:rsidR="003947D1" w:rsidRPr="00251DF4">
        <w:rPr>
          <w:spacing w:val="-4"/>
          <w:sz w:val="18"/>
        </w:rPr>
        <w:t>ного</w:t>
      </w:r>
      <w:r w:rsidRPr="00B17A60">
        <w:rPr>
          <w:spacing w:val="-4"/>
          <w:sz w:val="18"/>
        </w:rPr>
        <w:t>фондови стратегии за ВОМР може да се извърши оценка на няколко аспекта: връзката/допълняемостта при прилагането на няколко фонда на една и съща територия (с други думи тяхната съгласуваност), ефективността на процеса на ръководене и координация при управлението на няколко фонда и т.н. За оценката на тези аспекти е препоръчително да се разработят подходящи оценъчни елементи.</w:t>
      </w:r>
    </w:p>
    <w:p w:rsidR="00705B72" w:rsidRPr="00FB01AA" w:rsidRDefault="00705B72" w:rsidP="00705B72">
      <w:pPr>
        <w:pStyle w:val="HStandard"/>
        <w:rPr>
          <w:sz w:val="18"/>
        </w:rPr>
      </w:pPr>
      <w:r w:rsidRPr="00FB01AA">
        <w:rPr>
          <w:sz w:val="18"/>
        </w:rPr>
        <w:t xml:space="preserve">Освен това може допълнително да се проучи </w:t>
      </w:r>
      <w:r w:rsidRPr="00FB01AA">
        <w:rPr>
          <w:b/>
          <w:sz w:val="18"/>
        </w:rPr>
        <w:t>степента, в която съответните ЕСИ фондове са дали възможност на МГД да отчетат потребностите и потенциала</w:t>
      </w:r>
      <w:r w:rsidRPr="00FB01AA">
        <w:rPr>
          <w:sz w:val="18"/>
        </w:rPr>
        <w:t>. Това предполага, че м</w:t>
      </w:r>
      <w:r w:rsidR="003947D1" w:rsidRPr="00251DF4">
        <w:rPr>
          <w:sz w:val="18"/>
        </w:rPr>
        <w:t>ного</w:t>
      </w:r>
      <w:r w:rsidRPr="00FB01AA">
        <w:rPr>
          <w:sz w:val="18"/>
        </w:rPr>
        <w:t xml:space="preserve">фондовият подход ще засили интегрираното и многосекторното измерение на </w:t>
      </w:r>
      <w:r w:rsidRPr="00FB01AA">
        <w:rPr>
          <w:sz w:val="18"/>
        </w:rPr>
        <w:t xml:space="preserve">стратегията и че сътрудничеството ще извлече ползи от участието на нови партньори по линия на други фондове. </w:t>
      </w:r>
    </w:p>
    <w:p w:rsidR="001E74AA" w:rsidRPr="00FB01AA" w:rsidRDefault="001E74AA" w:rsidP="00705B72">
      <w:pPr>
        <w:pStyle w:val="HStandard"/>
        <w:rPr>
          <w:b/>
          <w:sz w:val="18"/>
        </w:rPr>
      </w:pPr>
      <w:r w:rsidRPr="00FB01AA">
        <w:rPr>
          <w:b/>
          <w:sz w:val="18"/>
        </w:rPr>
        <w:t>Настоящите насоки поставят акцент върху стратегии за ВОМР, финансирани изключително от ЕЗФРСР (т.е. МГД, които са финансирани само от ЕЗФРСР).</w:t>
      </w:r>
    </w:p>
    <w:p w:rsidR="00AF7A48" w:rsidRPr="00FB01AA" w:rsidRDefault="00AF7A48" w:rsidP="00AF7A48">
      <w:pPr>
        <w:pStyle w:val="HHeading3"/>
        <w:framePr w:wrap="auto" w:vAnchor="margin" w:yAlign="inline"/>
        <w:rPr>
          <w:sz w:val="18"/>
        </w:rPr>
      </w:pPr>
      <w:bookmarkStart w:id="40" w:name="_Toc493497704"/>
      <w:bookmarkStart w:id="41" w:name="_Toc498506707"/>
      <w:r w:rsidRPr="00FB01AA">
        <w:rPr>
          <w:sz w:val="18"/>
        </w:rPr>
        <w:t>Основни термини: как да ги тълкуваме и как са свързани помежду си</w:t>
      </w:r>
      <w:bookmarkEnd w:id="40"/>
      <w:bookmarkEnd w:id="41"/>
    </w:p>
    <w:p w:rsidR="00F431A6" w:rsidRPr="00FB01AA" w:rsidRDefault="00F431A6" w:rsidP="00F431A6">
      <w:pPr>
        <w:pStyle w:val="H-Standard"/>
        <w:rPr>
          <w:rFonts w:cstheme="minorHAnsi"/>
          <w:color w:val="DDDDDD" w:themeColor="background1"/>
          <w:sz w:val="18"/>
          <w:shd w:val="clear" w:color="auto" w:fill="FFFFFF"/>
          <w14:textFill>
            <w14:solidFill>
              <w14:schemeClr w14:val="bg1">
                <w14:lumMod w14:val="25000"/>
                <w14:lumMod w14:val="75000"/>
                <w14:lumMod w14:val="75000"/>
              </w14:schemeClr>
            </w14:solidFill>
          </w14:textFill>
        </w:rPr>
      </w:pPr>
      <w:r w:rsidRPr="00FB01AA">
        <w:rPr>
          <w:rFonts w:cstheme="minorHAnsi"/>
          <w:color w:val="DDDDDD" w:themeColor="background1"/>
          <w:sz w:val="18"/>
          <w:shd w:val="clear" w:color="auto" w:fill="FFFFFF"/>
          <w14:textFill>
            <w14:solidFill>
              <w14:schemeClr w14:val="bg1">
                <w14:lumMod w14:val="25000"/>
                <w14:lumMod w14:val="75000"/>
                <w14:lumMod w14:val="75000"/>
              </w14:schemeClr>
            </w14:solidFill>
          </w14:textFill>
        </w:rPr>
        <w:t xml:space="preserve">В тази глава се въвеждат основни термини, които са полезни за по-нататъшното разбиране на насоките. В речника ще намерите определения на още термини (вж. приложението). </w:t>
      </w:r>
    </w:p>
    <w:p w:rsidR="007866D4" w:rsidRPr="00FB01AA" w:rsidRDefault="007866D4" w:rsidP="00370643">
      <w:pPr>
        <w:pStyle w:val="HHeading5"/>
        <w:rPr>
          <w:sz w:val="18"/>
        </w:rPr>
        <w:sectPr w:rsidR="007866D4" w:rsidRPr="00FB01AA" w:rsidSect="00943C21">
          <w:type w:val="continuous"/>
          <w:pgSz w:w="11906" w:h="16838"/>
          <w:pgMar w:top="1418" w:right="1418" w:bottom="1418" w:left="1418" w:header="709" w:footer="709" w:gutter="0"/>
          <w:cols w:num="2" w:space="397"/>
          <w:docGrid w:linePitch="360"/>
        </w:sectPr>
      </w:pPr>
    </w:p>
    <w:p w:rsidR="00027772" w:rsidRPr="00FB01AA" w:rsidRDefault="006A491C" w:rsidP="00BF2773">
      <w:pPr>
        <w:pStyle w:val="HHeading5"/>
        <w:rPr>
          <w:sz w:val="18"/>
        </w:rPr>
      </w:pPr>
      <w:r w:rsidRPr="00FB01AA">
        <w:rPr>
          <w:noProof/>
          <w:sz w:val="18"/>
          <w:lang w:val="en-GB" w:eastAsia="en-GB" w:bidi="ar-SA"/>
        </w:rPr>
        <mc:AlternateContent>
          <mc:Choice Requires="wps">
            <w:drawing>
              <wp:anchor distT="0" distB="0" distL="114300" distR="114300" simplePos="0" relativeHeight="251662336" behindDoc="0" locked="0" layoutInCell="1" allowOverlap="1" wp14:anchorId="79AB437A" wp14:editId="3A488F1D">
                <wp:simplePos x="0" y="0"/>
                <wp:positionH relativeFrom="column">
                  <wp:posOffset>-186055</wp:posOffset>
                </wp:positionH>
                <wp:positionV relativeFrom="paragraph">
                  <wp:posOffset>128270</wp:posOffset>
                </wp:positionV>
                <wp:extent cx="6167120" cy="5097780"/>
                <wp:effectExtent l="0" t="0" r="24130" b="26670"/>
                <wp:wrapNone/>
                <wp:docPr id="58" name="Rectangle: Diagonal Corners Rounded 58"/>
                <wp:cNvGraphicFramePr/>
                <a:graphic xmlns:a="http://schemas.openxmlformats.org/drawingml/2006/main">
                  <a:graphicData uri="http://schemas.microsoft.com/office/word/2010/wordprocessingShape">
                    <wps:wsp>
                      <wps:cNvSpPr/>
                      <wps:spPr>
                        <a:xfrm>
                          <a:off x="0" y="0"/>
                          <a:ext cx="6167120" cy="5097780"/>
                        </a:xfrm>
                        <a:prstGeom prst="round2DiagRect">
                          <a:avLst>
                            <a:gd name="adj1" fmla="val 919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37E60B" id="Rectangle: Diagonal Corners Rounded 58" o:spid="_x0000_s1026" style="position:absolute;margin-left:-14.65pt;margin-top:10.1pt;width:485.6pt;height:40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167120,5097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" path="m468639,l6167120,r,l6167120,4629141v,258822,-209817,468639,-468639,468639l,5097780r,l,468639c,209817,209817,,468639,xe" filled="f" strokecolor="#be4a35 [3205]" strokeweight="2pt">
                <v:path arrowok="t" o:connecttype="custom" o:connectlocs="468639,0;6167120,0;6167120,0;6167120,4629141;5698481,5097780;0,5097780;0,5097780;0,468639;468639,0" o:connectangles="0,0,0,0,0,0,0,0,0"/>
              </v:shape>
            </w:pict>
          </mc:Fallback>
        </mc:AlternateContent>
      </w:r>
    </w:p>
    <w:p w:rsidR="00BF2773" w:rsidRPr="00FB01AA" w:rsidRDefault="006A491C" w:rsidP="00BF2773">
      <w:pPr>
        <w:pStyle w:val="HHeading5"/>
        <w:rPr>
          <w:rFonts w:cstheme="minorHAnsi"/>
          <w:i/>
          <w:color w:val="BE4A35" w:themeColor="accent2"/>
          <w:sz w:val="16"/>
        </w:rPr>
      </w:pPr>
      <w:r w:rsidRPr="00FB01AA">
        <w:rPr>
          <w:noProof/>
          <w:color w:val="57825E" w:themeColor="accent4"/>
          <w:sz w:val="18"/>
          <w:lang w:val="en-GB" w:eastAsia="en-GB" w:bidi="ar-SA"/>
        </w:rPr>
        <w:drawing>
          <wp:anchor distT="0" distB="0" distL="114300" distR="114300" simplePos="0" relativeHeight="251664384" behindDoc="0" locked="0" layoutInCell="1" allowOverlap="1" wp14:anchorId="0CA725AD" wp14:editId="035D2509">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Pr="00FB01AA">
        <w:rPr>
          <w:color w:val="BE4A35" w:themeColor="accent2"/>
          <w:sz w:val="18"/>
        </w:rPr>
        <w:t>Стратегия</w:t>
      </w:r>
    </w:p>
    <w:p w:rsidR="00C11551" w:rsidRPr="00B17A60" w:rsidRDefault="00C11551" w:rsidP="007954F9">
      <w:pPr>
        <w:pStyle w:val="HStandard"/>
        <w:ind w:left="38"/>
        <w:rPr>
          <w:i/>
          <w:spacing w:val="-4"/>
          <w:sz w:val="16"/>
          <w:szCs w:val="18"/>
          <w:shd w:val="clear" w:color="auto" w:fill="FFFFFF"/>
        </w:rPr>
      </w:pPr>
      <w:r w:rsidRPr="00B17A60">
        <w:rPr>
          <w:i/>
          <w:spacing w:val="-4"/>
          <w:sz w:val="16"/>
        </w:rPr>
        <w:t xml:space="preserve">Въпреки че терминът </w:t>
      </w:r>
      <w:r w:rsidRPr="00B17A60">
        <w:rPr>
          <w:b/>
          <w:i/>
          <w:color w:val="BE4A35" w:themeColor="accent2"/>
          <w:spacing w:val="-4"/>
          <w:sz w:val="16"/>
          <w:shd w:val="clear" w:color="auto" w:fill="FFFFFF"/>
        </w:rPr>
        <w:t>стратегия</w:t>
      </w:r>
      <w:r w:rsidRPr="00B17A60">
        <w:rPr>
          <w:i/>
          <w:color w:val="F07E31" w:themeColor="background2"/>
          <w:spacing w:val="-4"/>
          <w:sz w:val="16"/>
        </w:rPr>
        <w:t xml:space="preserve"> </w:t>
      </w:r>
      <w:r w:rsidRPr="00B17A60">
        <w:rPr>
          <w:i/>
          <w:spacing w:val="-4"/>
          <w:sz w:val="16"/>
        </w:rPr>
        <w:t>може да бъде определен по много начини, той обикновено включва i) дългосрочна визия; ii) краткосрочни и средносрочни цели; и iii) възможни пътища за постигането на тези цели в обозримо бъдеще. В една добре обяснена стратегия следва да е определено i) КАКВО да бъде постигнато; ii) с и за КОГО; и iii) да съдържа ясни указания КАК да с</w:t>
      </w:r>
      <w:r w:rsidR="00BF3C24">
        <w:rPr>
          <w:i/>
          <w:spacing w:val="-4"/>
          <w:sz w:val="16"/>
        </w:rPr>
        <w:t>тане</w:t>
      </w:r>
      <w:r w:rsidRPr="00B17A60">
        <w:rPr>
          <w:i/>
          <w:spacing w:val="-4"/>
          <w:sz w:val="16"/>
        </w:rPr>
        <w:t xml:space="preserve"> това. Henry Mintzberg </w:t>
      </w:r>
      <w:r w:rsidR="00BF3C24">
        <w:rPr>
          <w:i/>
          <w:spacing w:val="-4"/>
          <w:sz w:val="16"/>
        </w:rPr>
        <w:t>прави</w:t>
      </w:r>
      <w:r w:rsidRPr="00B17A60">
        <w:rPr>
          <w:i/>
          <w:spacing w:val="-4"/>
          <w:sz w:val="16"/>
        </w:rPr>
        <w:t xml:space="preserve"> много полезн</w:t>
      </w:r>
      <w:r w:rsidR="00BF3C24">
        <w:rPr>
          <w:i/>
          <w:spacing w:val="-4"/>
          <w:sz w:val="16"/>
        </w:rPr>
        <w:t>о</w:t>
      </w:r>
      <w:r w:rsidRPr="00B17A60">
        <w:rPr>
          <w:i/>
          <w:spacing w:val="-4"/>
          <w:sz w:val="16"/>
        </w:rPr>
        <w:t xml:space="preserve"> раз</w:t>
      </w:r>
      <w:r w:rsidR="00BF3C24">
        <w:rPr>
          <w:i/>
          <w:spacing w:val="-4"/>
          <w:sz w:val="16"/>
        </w:rPr>
        <w:t>граничение</w:t>
      </w:r>
      <w:r w:rsidRPr="00B17A60">
        <w:rPr>
          <w:i/>
          <w:spacing w:val="-4"/>
          <w:sz w:val="16"/>
        </w:rPr>
        <w:t xml:space="preserve"> между </w:t>
      </w:r>
      <w:r w:rsidRPr="00B17A60">
        <w:rPr>
          <w:b/>
          <w:i/>
          <w:color w:val="BE4A35" w:themeColor="accent2"/>
          <w:spacing w:val="-4"/>
          <w:sz w:val="16"/>
          <w:shd w:val="clear" w:color="auto" w:fill="FFFFFF"/>
        </w:rPr>
        <w:t>планираната стратегия</w:t>
      </w:r>
      <w:r w:rsidRPr="00B17A60">
        <w:rPr>
          <w:i/>
          <w:spacing w:val="-4"/>
          <w:sz w:val="16"/>
        </w:rPr>
        <w:t xml:space="preserve">, която е представена в стратегическия документ за ВОМР, и </w:t>
      </w:r>
      <w:r w:rsidRPr="00B17A60">
        <w:rPr>
          <w:b/>
          <w:i/>
          <w:color w:val="BE4A35" w:themeColor="accent2"/>
          <w:spacing w:val="-4"/>
          <w:sz w:val="16"/>
          <w:shd w:val="clear" w:color="auto" w:fill="FFFFFF"/>
        </w:rPr>
        <w:t>реализираната стратегия</w:t>
      </w:r>
      <w:r w:rsidRPr="00B17A60">
        <w:rPr>
          <w:i/>
          <w:spacing w:val="-4"/>
          <w:sz w:val="16"/>
        </w:rPr>
        <w:t>, или това, което действително е било изпълнено в крайна сметка</w:t>
      </w:r>
      <w:r w:rsidRPr="00B17A60">
        <w:rPr>
          <w:rStyle w:val="FootnoteReference"/>
          <w:i/>
          <w:spacing w:val="-4"/>
          <w:sz w:val="16"/>
          <w:shd w:val="clear" w:color="auto" w:fill="FFFFFF"/>
        </w:rPr>
        <w:footnoteReference w:id="29"/>
      </w:r>
      <w:r w:rsidRPr="00B17A60">
        <w:rPr>
          <w:i/>
          <w:spacing w:val="-4"/>
          <w:sz w:val="16"/>
        </w:rPr>
        <w:t>.</w:t>
      </w:r>
    </w:p>
    <w:p w:rsidR="00557954" w:rsidRDefault="00557954" w:rsidP="00557954">
      <w:pPr>
        <w:pStyle w:val="HHeadingFigure"/>
      </w:pPr>
      <w:bookmarkStart w:id="42" w:name="_Toc493497731"/>
      <w:bookmarkStart w:id="43" w:name="_Toc498507091"/>
      <w:r w:rsidRPr="00557954">
        <w:rPr>
          <w:noProof/>
          <w:lang w:val="en-GB" w:eastAsia="en-GB" w:bidi="ar-SA"/>
        </w:rPr>
        <w:drawing>
          <wp:anchor distT="0" distB="0" distL="114300" distR="114300" simplePos="0" relativeHeight="251667456" behindDoc="1" locked="0" layoutInCell="1" allowOverlap="1" wp14:anchorId="3AACC119" wp14:editId="1078A404">
            <wp:simplePos x="0" y="0"/>
            <wp:positionH relativeFrom="column">
              <wp:posOffset>2558415</wp:posOffset>
            </wp:positionH>
            <wp:positionV relativeFrom="paragraph">
              <wp:posOffset>321945</wp:posOffset>
            </wp:positionV>
            <wp:extent cx="3200400" cy="845185"/>
            <wp:effectExtent l="0" t="0" r="0" b="0"/>
            <wp:wrapTight wrapText="bothSides">
              <wp:wrapPolygon edited="1">
                <wp:start x="3471" y="0"/>
                <wp:lineTo x="0" y="1461"/>
                <wp:lineTo x="0" y="10224"/>
                <wp:lineTo x="0" y="16901"/>
                <wp:lineTo x="6300" y="16553"/>
                <wp:lineTo x="6171" y="17527"/>
                <wp:lineTo x="6814" y="20935"/>
                <wp:lineTo x="14143" y="20935"/>
                <wp:lineTo x="14529" y="17040"/>
                <wp:lineTo x="19696" y="14918"/>
                <wp:lineTo x="21086" y="11198"/>
                <wp:lineTo x="20957" y="7790"/>
                <wp:lineTo x="21471" y="6816"/>
                <wp:lineTo x="21471" y="4869"/>
                <wp:lineTo x="19157" y="0"/>
                <wp:lineTo x="3471" y="0"/>
              </wp:wrapPolygon>
            </wp:wrapTight>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00400" cy="845185"/>
                    </a:xfrm>
                    <a:prstGeom prst="rect">
                      <a:avLst/>
                    </a:prstGeom>
                    <a:noFill/>
                    <a:ln>
                      <a:noFill/>
                    </a:ln>
                  </pic:spPr>
                </pic:pic>
              </a:graphicData>
            </a:graphic>
            <wp14:sizeRelH relativeFrom="page">
              <wp14:pctWidth>0</wp14:pctWidth>
            </wp14:sizeRelH>
            <wp14:sizeRelV relativeFrom="page">
              <wp14:pctHeight>0</wp14:pctHeight>
            </wp14:sizeRelV>
          </wp:anchor>
        </w:drawing>
      </w:r>
      <w:r w:rsidR="00C11551" w:rsidRPr="00FB01AA">
        <w:t>Видове стратегии</w:t>
      </w:r>
      <w:bookmarkEnd w:id="42"/>
      <w:bookmarkEnd w:id="43"/>
    </w:p>
    <w:p w:rsidR="00557954" w:rsidRPr="00557954" w:rsidRDefault="00557954" w:rsidP="00557954">
      <w:pPr>
        <w:pStyle w:val="HStandard"/>
        <w:spacing w:line="240" w:lineRule="auto"/>
        <w:jc w:val="left"/>
        <w:rPr>
          <w:i/>
          <w:sz w:val="18"/>
          <w:szCs w:val="18"/>
        </w:rPr>
      </w:pPr>
      <w:r w:rsidRPr="00557954">
        <w:rPr>
          <w:i/>
          <w:sz w:val="18"/>
          <w:szCs w:val="18"/>
        </w:rPr>
        <w:t>Реализираната стратегия е това, което се получава, след като от планираната стратегия се извади нереализираната стратегия, която е била изоставена, и се добави възникващата стратегия, наложена в хода на изпълнението (вж. фигура 6 ). Дори МГД да е предприела някои промени, отразяващи по-добре обсъжданата стратегия в процеса на изпълнението, тя няма да съответства напълно на това, което в крайна сметка е било осъществено на практика. Оценителят се позовава на планираната стратегия главно при проверката на последователността и уместността. За да оцени ефективността на МГД и крайните резултати от стратегията за ВОМР, оценителят следва да разгледа реализираната стратегия и да прецени дали тя произтича от писмения (оригинален или преработен) документ. В първите етапи на оценката той ще трябва да поработи по адаптирането на интервенционната логика.</w:t>
      </w:r>
    </w:p>
    <w:p w:rsidR="00557954" w:rsidRPr="00557954" w:rsidRDefault="00557954" w:rsidP="00557954">
      <w:pPr>
        <w:pStyle w:val="HStandard"/>
        <w:spacing w:line="240" w:lineRule="auto"/>
        <w:jc w:val="left"/>
        <w:rPr>
          <w:i/>
          <w:sz w:val="18"/>
          <w:szCs w:val="18"/>
        </w:rPr>
      </w:pPr>
      <w:r w:rsidRPr="00557954">
        <w:rPr>
          <w:i/>
          <w:sz w:val="18"/>
          <w:szCs w:val="18"/>
        </w:rPr>
        <w:t>Аналогично нещо се случва и на програмно равнище: държавата членка или регионът предоставя стратегическа рамка с цел да се обяснят и прецизират правилата на Европейската комисия за мярка 19 на LEADER и да се осигури подкрепа за операциите на МГД. Начинът, по който се изпълнява мярката, винаги ще се различава от написаното в оригиналните документи.</w:t>
      </w:r>
    </w:p>
    <w:p w:rsidR="00557954" w:rsidRPr="00557954" w:rsidRDefault="00557954" w:rsidP="00557954">
      <w:pPr>
        <w:pStyle w:val="HStandard"/>
        <w:spacing w:line="240" w:lineRule="auto"/>
        <w:jc w:val="left"/>
        <w:rPr>
          <w:i/>
          <w:sz w:val="18"/>
          <w:szCs w:val="18"/>
        </w:rPr>
        <w:sectPr w:rsidR="00557954" w:rsidRPr="00557954" w:rsidSect="007866D4">
          <w:type w:val="continuous"/>
          <w:pgSz w:w="11906" w:h="16838"/>
          <w:pgMar w:top="1418" w:right="1418" w:bottom="1418" w:left="1418" w:header="709" w:footer="709" w:gutter="0"/>
          <w:cols w:space="397"/>
          <w:docGrid w:linePitch="360"/>
        </w:sectPr>
      </w:pPr>
      <w:r w:rsidRPr="00557954">
        <w:rPr>
          <w:i/>
          <w:sz w:val="18"/>
          <w:szCs w:val="18"/>
        </w:rPr>
        <w:t>Когато в насоките се използва терминът „стратегия“, той следва да се разбира поначало като „реализираната стратегия“, защото именно тя е основният предмет на всяка оценка (с изключение на предварителна</w:t>
      </w:r>
      <w:r>
        <w:rPr>
          <w:i/>
          <w:sz w:val="18"/>
          <w:szCs w:val="18"/>
        </w:rPr>
        <w:t xml:space="preserve">та </w:t>
      </w:r>
      <w:r w:rsidRPr="00557954">
        <w:rPr>
          <w:i/>
          <w:sz w:val="18"/>
          <w:szCs w:val="18"/>
        </w:rPr>
        <w:t>оценка).</w:t>
      </w:r>
    </w:p>
    <w:p w:rsidR="007866D4" w:rsidRPr="00FB01AA" w:rsidRDefault="007866D4" w:rsidP="00BF2773">
      <w:pPr>
        <w:pStyle w:val="HHeading5"/>
        <w:rPr>
          <w:sz w:val="18"/>
        </w:rPr>
      </w:pPr>
    </w:p>
    <w:p w:rsidR="000A7636" w:rsidRPr="00FB01AA" w:rsidRDefault="000A7636" w:rsidP="00BF2773">
      <w:pPr>
        <w:pStyle w:val="HHeading5"/>
        <w:rPr>
          <w:sz w:val="18"/>
        </w:rPr>
        <w:sectPr w:rsidR="000A7636" w:rsidRPr="00FB01AA" w:rsidSect="00FE7EA3">
          <w:type w:val="continuous"/>
          <w:pgSz w:w="11906" w:h="16838"/>
          <w:pgMar w:top="1418" w:right="1418" w:bottom="1418" w:left="1418" w:header="709" w:footer="709" w:gutter="0"/>
          <w:cols w:num="2" w:space="397"/>
          <w:docGrid w:linePitch="360"/>
        </w:sectPr>
      </w:pPr>
    </w:p>
    <w:p w:rsidR="00BF2773" w:rsidRPr="00FB01AA" w:rsidRDefault="00891ABF" w:rsidP="00BF2773">
      <w:pPr>
        <w:pStyle w:val="HHeading5"/>
        <w:rPr>
          <w:color w:val="BE4A35" w:themeColor="accent2"/>
          <w:sz w:val="18"/>
        </w:rPr>
      </w:pPr>
      <w:r w:rsidRPr="00FB01AA">
        <w:rPr>
          <w:noProof/>
          <w:color w:val="BE4A35" w:themeColor="accent2"/>
          <w:sz w:val="18"/>
          <w:lang w:val="en-GB" w:eastAsia="en-GB" w:bidi="ar-SA"/>
        </w:rPr>
        <mc:AlternateContent>
          <mc:Choice Requires="wps">
            <w:drawing>
              <wp:anchor distT="0" distB="0" distL="114300" distR="114300" simplePos="0" relativeHeight="251655168" behindDoc="0" locked="0" layoutInCell="1" allowOverlap="1" wp14:anchorId="6E140902" wp14:editId="11AA8305">
                <wp:simplePos x="0" y="0"/>
                <wp:positionH relativeFrom="column">
                  <wp:posOffset>-1123950</wp:posOffset>
                </wp:positionH>
                <wp:positionV relativeFrom="paragraph">
                  <wp:posOffset>-107950</wp:posOffset>
                </wp:positionV>
                <wp:extent cx="6501765" cy="9175750"/>
                <wp:effectExtent l="0" t="0" r="13335" b="25400"/>
                <wp:wrapNone/>
                <wp:docPr id="60" name="Rectangle: Diagonal Corners Rounded 60"/>
                <wp:cNvGraphicFramePr/>
                <a:graphic xmlns:a="http://schemas.openxmlformats.org/drawingml/2006/main">
                  <a:graphicData uri="http://schemas.microsoft.com/office/word/2010/wordprocessingShape">
                    <wps:wsp>
                      <wps:cNvSpPr/>
                      <wps:spPr>
                        <a:xfrm>
                          <a:off x="0" y="0"/>
                          <a:ext cx="6501765" cy="9175750"/>
                        </a:xfrm>
                        <a:prstGeom prst="round2DiagRect">
                          <a:avLst>
                            <a:gd name="adj1" fmla="val 10573"/>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48EEB3" id="Rectangle: Diagonal Corners Rounded 60" o:spid="_x0000_s1026" style="position:absolute;margin-left:-88.5pt;margin-top:-8.5pt;width:511.95pt;height:72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01765,917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" path="m687432,l6501765,r,l6501765,8488318v,379658,-307774,687432,-687432,687432l,9175750r,l,687432c,307774,307774,,687432,xe" filled="f" strokecolor="#be4a35 [3205]" strokeweight="2pt">
                <v:path arrowok="t" o:connecttype="custom" o:connectlocs="687432,0;6501765,0;6501765,0;6501765,8488318;5814333,9175750;0,9175750;0,9175750;0,687432;687432,0" o:connectangles="0,0,0,0,0,0,0,0,0"/>
              </v:shape>
            </w:pict>
          </mc:Fallback>
        </mc:AlternateContent>
      </w:r>
      <w:r w:rsidR="00EF42B9" w:rsidRPr="00FB01AA">
        <w:rPr>
          <w:noProof/>
          <w:color w:val="BE4A35" w:themeColor="accent2"/>
          <w:sz w:val="18"/>
          <w:lang w:val="en-GB" w:eastAsia="en-GB" w:bidi="ar-SA"/>
        </w:rPr>
        <w:drawing>
          <wp:anchor distT="0" distB="0" distL="114300" distR="114300" simplePos="0" relativeHeight="251659264" behindDoc="1" locked="0" layoutInCell="1" allowOverlap="1" wp14:anchorId="557122DE" wp14:editId="7053867F">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00EF42B9" w:rsidRPr="00FB01AA">
        <w:rPr>
          <w:color w:val="BE4A35" w:themeColor="accent2"/>
          <w:sz w:val="18"/>
        </w:rPr>
        <w:t>Добавена стойност на LEADER/ВОМР</w:t>
      </w:r>
    </w:p>
    <w:p w:rsidR="00C11551" w:rsidRPr="00FB01AA" w:rsidRDefault="00C11551" w:rsidP="00EF42B9">
      <w:pPr>
        <w:pStyle w:val="H-Standard"/>
        <w:spacing w:line="240" w:lineRule="atLeast"/>
        <w:rPr>
          <w:i/>
          <w:sz w:val="16"/>
          <w:shd w:val="clear" w:color="auto" w:fill="FFFFFF"/>
        </w:rPr>
      </w:pPr>
      <w:r w:rsidRPr="00FB01AA">
        <w:rPr>
          <w:i/>
          <w:sz w:val="16"/>
          <w:shd w:val="clear" w:color="auto" w:fill="FFFFFF"/>
        </w:rPr>
        <w:t>Предложената в настоящите насоки концептуална рамка се основава на следните допускания:</w:t>
      </w:r>
    </w:p>
    <w:p w:rsidR="00C11551" w:rsidRPr="00FB01AA" w:rsidRDefault="00C11551" w:rsidP="00EF42B9">
      <w:pPr>
        <w:pStyle w:val="H-Standard"/>
        <w:spacing w:line="240" w:lineRule="atLeast"/>
        <w:rPr>
          <w:i/>
          <w:sz w:val="16"/>
          <w:shd w:val="clear" w:color="auto" w:fill="FFFFFF"/>
        </w:rPr>
      </w:pPr>
      <w:r w:rsidRPr="00FB01AA">
        <w:rPr>
          <w:i/>
          <w:sz w:val="16"/>
          <w:shd w:val="clear" w:color="auto" w:fill="FFFFFF"/>
        </w:rPr>
        <w:t>Добавената стойност на LEADER/ВОМР се определя като ползите, които са постигнати в резултат на правилното прилагане на метода LEADER, сравнени с ползите, които биха били постигнати без прилагането на този метод (вж. речника, приложение 1). Добавената стойност на LEADER/ВОМР се изразява в:</w:t>
      </w:r>
    </w:p>
    <w:p w:rsidR="00C11551" w:rsidRPr="00FB01AA" w:rsidRDefault="00C11551" w:rsidP="00EF42B9">
      <w:pPr>
        <w:pStyle w:val="Hlistbullet2"/>
        <w:spacing w:line="240" w:lineRule="atLeast"/>
        <w:ind w:left="357" w:hanging="357"/>
        <w:rPr>
          <w:i/>
          <w:sz w:val="16"/>
          <w:szCs w:val="18"/>
        </w:rPr>
      </w:pPr>
      <w:r w:rsidRPr="00FB01AA">
        <w:rPr>
          <w:b/>
          <w:i/>
          <w:color w:val="BE4A35" w:themeColor="accent2"/>
          <w:sz w:val="16"/>
        </w:rPr>
        <w:t>Подобряване на социалния капитал</w:t>
      </w:r>
      <w:r w:rsidRPr="00FB01AA">
        <w:rPr>
          <w:i/>
          <w:sz w:val="16"/>
        </w:rPr>
        <w:t>, разбиран като многоизмерна концепция, която включва елементи на социалната организация, като мрежи, стандарти и социално доверие, улесняващи координацията и взаимноизгодното сътрудничество (вж. речника, приложение 1).</w:t>
      </w:r>
    </w:p>
    <w:p w:rsidR="00C11551" w:rsidRPr="00FB01AA" w:rsidRDefault="00C11551" w:rsidP="00BA7F0B">
      <w:pPr>
        <w:pStyle w:val="Hlistbullet2"/>
        <w:rPr>
          <w:szCs w:val="18"/>
        </w:rPr>
      </w:pPr>
      <w:r w:rsidRPr="00FB01AA">
        <w:rPr>
          <w:b/>
          <w:color w:val="BE4A35" w:themeColor="accent2"/>
        </w:rPr>
        <w:t>Подобряване на управлението</w:t>
      </w:r>
      <w:r w:rsidRPr="00FB01AA">
        <w:t>, включващо институциите, процесите и механизмите, посредством които заинтересованите лица от обществеността, бизнеса и гражданското общество формулират своите интереси, упражняват законните си права, изпълняват своите задължения и уреждат различията си така, че да управляват обществените дела на всички равнища</w:t>
      </w:r>
      <w:r w:rsidR="00BA7F0B">
        <w:t xml:space="preserve"> </w:t>
      </w:r>
      <w:r w:rsidR="00BA7F0B" w:rsidRPr="00251DF4">
        <w:t>в дух на сътрудничество</w:t>
      </w:r>
      <w:r w:rsidRPr="00FB01AA">
        <w:t>.</w:t>
      </w:r>
    </w:p>
    <w:p w:rsidR="00C11551" w:rsidRPr="00FB01AA" w:rsidRDefault="00725C09" w:rsidP="00725C09">
      <w:pPr>
        <w:pStyle w:val="Hlistbullet2"/>
        <w:rPr>
          <w:szCs w:val="18"/>
        </w:rPr>
      </w:pPr>
      <w:r w:rsidRPr="00725C09">
        <w:rPr>
          <w:lang w:bidi="ar-SA"/>
        </w:rPr>
        <w:t xml:space="preserve"> </w:t>
      </w:r>
      <w:r w:rsidR="00127824" w:rsidRPr="00FB01AA">
        <w:rPr>
          <w:b/>
          <w:color w:val="BE4A35" w:themeColor="accent2"/>
        </w:rPr>
        <w:t xml:space="preserve"> </w:t>
      </w:r>
      <w:r w:rsidR="000A7636" w:rsidRPr="00FB01AA">
        <w:rPr>
          <w:b/>
          <w:color w:val="BE4A35" w:themeColor="accent2"/>
        </w:rPr>
        <w:t>Засилване на резултатите и въздействията</w:t>
      </w:r>
      <w:r w:rsidR="000A7636" w:rsidRPr="00FB01AA">
        <w:t xml:space="preserve"> от изпълнението на програмата/стратегията в сравнение с изпълнение без метода LEADER.</w:t>
      </w:r>
    </w:p>
    <w:p w:rsidR="00C11551" w:rsidRPr="00FB01AA" w:rsidRDefault="00C11551" w:rsidP="00487068">
      <w:pPr>
        <w:pStyle w:val="HHeadingFigure"/>
        <w:spacing w:after="120"/>
        <w:ind w:left="641" w:hanging="357"/>
        <w:rPr>
          <w:sz w:val="14"/>
        </w:rPr>
      </w:pPr>
      <w:bookmarkStart w:id="44" w:name="_Toc493497732"/>
      <w:bookmarkStart w:id="45" w:name="_Toc498507092"/>
      <w:r w:rsidRPr="00FB01AA">
        <w:rPr>
          <w:sz w:val="14"/>
        </w:rPr>
        <w:t>Добавена стойност на LEADER/ВОМР</w:t>
      </w:r>
      <w:bookmarkEnd w:id="44"/>
      <w:bookmarkEnd w:id="45"/>
    </w:p>
    <w:p w:rsidR="00C11551" w:rsidRPr="00FB01AA" w:rsidRDefault="00487068" w:rsidP="00EF42B9">
      <w:pPr>
        <w:pStyle w:val="HStandard"/>
        <w:spacing w:line="240" w:lineRule="atLeast"/>
        <w:ind w:left="422"/>
        <w:rPr>
          <w:sz w:val="18"/>
        </w:rPr>
      </w:pPr>
      <w:r w:rsidRPr="00725C09">
        <w:rPr>
          <w:noProof/>
          <w:lang w:val="en-GB" w:eastAsia="en-GB" w:bidi="ar-SA"/>
        </w:rPr>
        <w:drawing>
          <wp:anchor distT="0" distB="0" distL="114300" distR="114300" simplePos="0" relativeHeight="251666432" behindDoc="0" locked="0" layoutInCell="1" allowOverlap="1" wp14:anchorId="4493A74C" wp14:editId="6F85E5D3">
            <wp:simplePos x="0" y="0"/>
            <wp:positionH relativeFrom="column">
              <wp:posOffset>13970</wp:posOffset>
            </wp:positionH>
            <wp:positionV relativeFrom="paragraph">
              <wp:posOffset>53975</wp:posOffset>
            </wp:positionV>
            <wp:extent cx="3003550" cy="2505075"/>
            <wp:effectExtent l="0" t="0" r="6350"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03550" cy="2505075"/>
                    </a:xfrm>
                    <a:prstGeom prst="rect">
                      <a:avLst/>
                    </a:prstGeom>
                    <a:noFill/>
                    <a:ln>
                      <a:noFill/>
                    </a:ln>
                  </pic:spPr>
                </pic:pic>
              </a:graphicData>
            </a:graphic>
          </wp:anchor>
        </w:drawing>
      </w:r>
      <w:r w:rsidR="00C11551" w:rsidRPr="00FB01AA">
        <w:rPr>
          <w:i/>
          <w:sz w:val="16"/>
          <w:shd w:val="clear" w:color="auto" w:fill="FFFFFF"/>
        </w:rPr>
        <w:t>Добавената стойност на LEADER/ВОМР се създава посредством:</w:t>
      </w:r>
    </w:p>
    <w:p w:rsidR="00C11551" w:rsidRPr="00FB01AA" w:rsidRDefault="00C11551" w:rsidP="00EF42B9">
      <w:pPr>
        <w:pStyle w:val="H-StandardColour"/>
        <w:spacing w:line="240" w:lineRule="atLeast"/>
        <w:rPr>
          <w:color w:val="373737"/>
          <w:sz w:val="16"/>
          <w:shd w:val="clear" w:color="auto" w:fill="FFFFFF"/>
          <w14:textFill>
            <w14:solidFill>
              <w14:srgbClr w14:val="373737">
                <w14:lumMod w14:val="75000"/>
              </w14:srgbClr>
            </w14:solidFill>
          </w14:textFill>
        </w:rPr>
      </w:pPr>
      <w:r w:rsidRPr="00FB01AA">
        <w:rPr>
          <w:b/>
          <w:color w:val="BE4A35" w:themeColor="accent2"/>
          <w:sz w:val="16"/>
          <w:shd w:val="clear" w:color="auto" w:fill="FFFFFF"/>
        </w:rPr>
        <w:t>(1) Изпълнението на програмата/стратегията</w:t>
      </w:r>
      <w:r w:rsidRPr="00FB01AA">
        <w:rPr>
          <w:color w:val="373737"/>
          <w:sz w:val="16"/>
          <w:shd w:val="clear" w:color="auto" w:fill="FFFFFF"/>
        </w:rPr>
        <w:t>,</w:t>
      </w:r>
      <w:r w:rsidRPr="00FB01AA">
        <w:rPr>
          <w:b/>
          <w:color w:val="373737"/>
          <w:sz w:val="16"/>
          <w:shd w:val="clear" w:color="auto" w:fill="FFFFFF"/>
          <w14:textFill>
            <w14:solidFill>
              <w14:srgbClr w14:val="373737">
                <w14:lumMod w14:val="75000"/>
              </w14:srgbClr>
            </w14:solidFill>
          </w14:textFill>
        </w:rPr>
        <w:t xml:space="preserve"> </w:t>
      </w:r>
      <w:r w:rsidRPr="00FB01AA">
        <w:rPr>
          <w:color w:val="373737"/>
          <w:sz w:val="16"/>
          <w:shd w:val="clear" w:color="auto" w:fill="FFFFFF"/>
        </w:rPr>
        <w:t>а именно изпълнението на мярка 19 на ПРСР и на стратегията за ВОМР, т.е. привеждането ѝ в действие под формата на проекти и резултатите и въздействията, които тези проекти произвеждат.</w:t>
      </w:r>
    </w:p>
    <w:p w:rsidR="00C11551" w:rsidRPr="00FB01AA" w:rsidRDefault="00C11551" w:rsidP="00EF42B9">
      <w:pPr>
        <w:pStyle w:val="H-StandardColour"/>
        <w:spacing w:line="240" w:lineRule="atLeast"/>
        <w:rPr>
          <w:color w:val="373737"/>
          <w:sz w:val="16"/>
          <w:shd w:val="clear" w:color="auto" w:fill="FFFFFF"/>
          <w14:textFill>
            <w14:solidFill>
              <w14:srgbClr w14:val="373737">
                <w14:lumMod w14:val="75000"/>
              </w14:srgbClr>
            </w14:solidFill>
          </w14:textFill>
        </w:rPr>
      </w:pPr>
      <w:r w:rsidRPr="00FB01AA">
        <w:rPr>
          <w:b/>
          <w:color w:val="BE4A35" w:themeColor="accent2"/>
          <w:sz w:val="16"/>
          <w:shd w:val="clear" w:color="auto" w:fill="FFFFFF"/>
        </w:rPr>
        <w:t>(2) Механизма за изпълнение на ПРСР и МГД</w:t>
      </w:r>
      <w:r w:rsidRPr="00FB01AA">
        <w:rPr>
          <w:color w:val="373737"/>
          <w:sz w:val="16"/>
          <w:shd w:val="clear" w:color="auto" w:fill="FFFFFF"/>
          <w14:textFill>
            <w14:solidFill>
              <w14:srgbClr w14:val="373737">
                <w14:lumMod w14:val="75000"/>
              </w14:srgbClr>
            </w14:solidFill>
          </w14:textFill>
        </w:rPr>
        <w:t>, т.е. набор от правила, процедури и административни уредби, които гарантират превръщането на целите на стратегията в конкретни действия по места (вж. речника, приложение 1).</w:t>
      </w:r>
    </w:p>
    <w:p w:rsidR="00C11551" w:rsidRPr="00FB01AA" w:rsidRDefault="00C11551" w:rsidP="00EF42B9">
      <w:pPr>
        <w:pStyle w:val="H-StandardColour"/>
        <w:spacing w:line="240" w:lineRule="atLeast"/>
        <w:rPr>
          <w:color w:val="373737"/>
          <w:sz w:val="16"/>
          <w:shd w:val="clear" w:color="auto" w:fill="FFFFFF"/>
          <w14:textFill>
            <w14:solidFill>
              <w14:srgbClr w14:val="373737">
                <w14:lumMod w14:val="75000"/>
              </w14:srgbClr>
            </w14:solidFill>
          </w14:textFill>
        </w:rPr>
      </w:pPr>
      <w:r w:rsidRPr="00FB01AA">
        <w:rPr>
          <w:b/>
          <w:color w:val="BE4A35" w:themeColor="accent2"/>
          <w:sz w:val="16"/>
          <w:shd w:val="clear" w:color="auto" w:fill="FFFFFF"/>
        </w:rPr>
        <w:t>(3) Подкрепа за изграждането на капацитет/популяризирането</w:t>
      </w:r>
      <w:r w:rsidRPr="00FB01AA">
        <w:rPr>
          <w:color w:val="373737"/>
          <w:sz w:val="16"/>
          <w:shd w:val="clear" w:color="auto" w:fill="FFFFFF"/>
          <w14:textFill>
            <w14:solidFill>
              <w14:srgbClr w14:val="373737">
                <w14:lumMod w14:val="75000"/>
              </w14:srgbClr>
            </w14:solidFill>
          </w14:textFill>
        </w:rPr>
        <w:t>: Подкрепата, която УО осигурява, за да насърчи и да създаде възможности за бенефициерите, пряко или чрез НМСР, да използват мярка 19 на ПРСР, както и капацитетът на МГД да изпълняват дейности за популяризиране (т.е. всички операции, които не са пряко свързани с проектите и чиято цел е повишаване на осведомеността, готовността, сътрудничеството и възможностите за изграждане на мрежи на местните хора с цел да се допринесе за развитието на тяхната област).</w:t>
      </w:r>
    </w:p>
    <w:p w:rsidR="000A7636" w:rsidRPr="00FB01AA" w:rsidRDefault="00C11551" w:rsidP="00EF42B9">
      <w:pPr>
        <w:pStyle w:val="HStandard"/>
        <w:spacing w:line="240" w:lineRule="atLeast"/>
        <w:rPr>
          <w:rFonts w:cs="Arial"/>
          <w:i/>
          <w:sz w:val="16"/>
          <w:szCs w:val="18"/>
          <w:shd w:val="clear" w:color="auto" w:fill="FFFFFF"/>
        </w:rPr>
      </w:pPr>
      <w:r w:rsidRPr="00FB01AA">
        <w:rPr>
          <w:i/>
          <w:sz w:val="16"/>
          <w:shd w:val="clear" w:color="auto" w:fill="FFFFFF"/>
        </w:rPr>
        <w:t>И трите компонента — изпълнението на програмата/стратегията, предоставянето на подкрепа за изграждане на капацитет/популяризиране и механизмът за изпълнение на двете равнищ</w:t>
      </w:r>
      <w:r w:rsidR="00255FA4">
        <w:rPr>
          <w:i/>
          <w:sz w:val="16"/>
          <w:shd w:val="clear" w:color="auto" w:fill="FFFFFF"/>
        </w:rPr>
        <w:t>а</w:t>
      </w:r>
      <w:r w:rsidRPr="00FB01AA">
        <w:rPr>
          <w:i/>
          <w:sz w:val="16"/>
          <w:shd w:val="clear" w:color="auto" w:fill="FFFFFF"/>
        </w:rPr>
        <w:t xml:space="preserve"> — са тясно свързани помежду си. Те образуват неделимо цяло. С помощта на тези разграничения се получават — и именно това е основното — три различни гледни точки, три различни погледа към действителността. Докато механизмът за изпълнение засяга правилата, процедурите и контрола, популяризирането е насочено към изграждането на капацитет на индивидуално, организационно и общностно равнище и „меки“ форми на подкрепа. Дейностите за подкрепа могат да бъдат пряко ориентирани към проекта или да са по-скоро системно ориентирани. Въвеждането на тези разграничения позволява на оценителя да придобие по-изчерпателна картина за това</w:t>
      </w:r>
      <w:r w:rsidR="00255FA4">
        <w:rPr>
          <w:i/>
          <w:sz w:val="16"/>
          <w:shd w:val="clear" w:color="auto" w:fill="FFFFFF"/>
        </w:rPr>
        <w:t>,</w:t>
      </w:r>
      <w:r w:rsidRPr="00FB01AA">
        <w:rPr>
          <w:i/>
          <w:sz w:val="16"/>
          <w:shd w:val="clear" w:color="auto" w:fill="FFFFFF"/>
        </w:rPr>
        <w:t xml:space="preserve"> к</w:t>
      </w:r>
      <w:r w:rsidR="00255FA4">
        <w:rPr>
          <w:i/>
          <w:sz w:val="16"/>
          <w:shd w:val="clear" w:color="auto" w:fill="FFFFFF"/>
        </w:rPr>
        <w:t>оето става</w:t>
      </w:r>
      <w:r w:rsidRPr="00FB01AA">
        <w:rPr>
          <w:i/>
          <w:sz w:val="16"/>
          <w:shd w:val="clear" w:color="auto" w:fill="FFFFFF"/>
        </w:rPr>
        <w:t xml:space="preserve"> по места</w:t>
      </w:r>
      <w:r w:rsidR="00255FA4">
        <w:rPr>
          <w:i/>
          <w:sz w:val="16"/>
          <w:shd w:val="clear" w:color="auto" w:fill="FFFFFF"/>
        </w:rPr>
        <w:t>,</w:t>
      </w:r>
      <w:r w:rsidRPr="00FB01AA">
        <w:rPr>
          <w:i/>
          <w:sz w:val="16"/>
          <w:shd w:val="clear" w:color="auto" w:fill="FFFFFF"/>
        </w:rPr>
        <w:t xml:space="preserve"> и по-богата концептуална рамка за установяване на факторите, които в крайна сметка ще доведат или няма да доведат до създаване на добавената стойност на LEADER.</w:t>
      </w:r>
      <w:bookmarkStart w:id="46" w:name="_Toc466620161"/>
      <w:bookmarkStart w:id="47" w:name="_Toc475030379"/>
    </w:p>
    <w:p w:rsidR="00EF42B9" w:rsidRPr="00FB01AA" w:rsidRDefault="00EF42B9" w:rsidP="00EF42B9">
      <w:pPr>
        <w:pStyle w:val="HStandard"/>
        <w:rPr>
          <w:rFonts w:cs="Arial"/>
          <w:i/>
          <w:color w:val="F07E31" w:themeColor="background2"/>
          <w:sz w:val="16"/>
          <w:szCs w:val="18"/>
        </w:rPr>
      </w:pPr>
      <w:r w:rsidRPr="00FB01AA">
        <w:rPr>
          <w:i/>
          <w:color w:val="BE4A35" w:themeColor="accent2"/>
          <w:sz w:val="16"/>
        </w:rPr>
        <w:t>Методът LEADER</w:t>
      </w:r>
      <w:r w:rsidRPr="00FB01AA">
        <w:rPr>
          <w:i/>
          <w:color w:val="F07E31" w:themeColor="background2"/>
          <w:sz w:val="16"/>
        </w:rPr>
        <w:t xml:space="preserve"> </w:t>
      </w:r>
      <w:r w:rsidRPr="00FB01AA">
        <w:rPr>
          <w:i/>
          <w:sz w:val="16"/>
        </w:rPr>
        <w:t>се състои в комбинираното прилагане на неговите принципи</w:t>
      </w:r>
      <w:r w:rsidRPr="00FB01AA">
        <w:rPr>
          <w:i/>
          <w:color w:val="F07E31" w:themeColor="background2"/>
          <w:sz w:val="1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FB01AA" w:rsidTr="00FD7168">
        <w:trPr>
          <w:trHeight w:val="377"/>
        </w:trPr>
        <w:tc>
          <w:tcPr>
            <w:tcW w:w="4530" w:type="dxa"/>
          </w:tcPr>
          <w:p w:rsidR="00EF42B9" w:rsidRPr="00FB01AA" w:rsidRDefault="00EF42B9" w:rsidP="00487068">
            <w:pPr>
              <w:pStyle w:val="HStandard"/>
              <w:spacing w:after="0" w:line="240" w:lineRule="auto"/>
              <w:ind w:left="349" w:hanging="349"/>
              <w:jc w:val="left"/>
              <w:rPr>
                <w:rFonts w:ascii="Arial" w:hAnsi="Arial" w:cs="Arial"/>
                <w:i/>
                <w:color w:val="F07E31" w:themeColor="background2"/>
                <w:sz w:val="16"/>
                <w:szCs w:val="18"/>
              </w:rPr>
            </w:pPr>
            <w:r w:rsidRPr="00FB01AA">
              <w:rPr>
                <w:rFonts w:ascii="Arial" w:hAnsi="Arial"/>
                <w:i/>
                <w:color w:val="BE4A35" w:themeColor="accent2"/>
                <w:sz w:val="16"/>
              </w:rPr>
              <w:lastRenderedPageBreak/>
              <w:t>(1)</w:t>
            </w:r>
            <w:r w:rsidR="00487068">
              <w:rPr>
                <w:rFonts w:ascii="Arial" w:hAnsi="Arial"/>
                <w:i/>
                <w:color w:val="BE4A35" w:themeColor="accent2"/>
                <w:sz w:val="16"/>
              </w:rPr>
              <w:tab/>
            </w:r>
            <w:r w:rsidRPr="00FB01AA">
              <w:rPr>
                <w:rFonts w:ascii="Arial" w:hAnsi="Arial"/>
                <w:i/>
                <w:color w:val="F07E31" w:themeColor="background2"/>
                <w:sz w:val="16"/>
              </w:rPr>
              <w:t xml:space="preserve"> </w:t>
            </w:r>
            <w:r w:rsidRPr="00FB01AA">
              <w:rPr>
                <w:rFonts w:ascii="Arial" w:hAnsi="Arial"/>
                <w:i/>
                <w:sz w:val="16"/>
              </w:rPr>
              <w:t xml:space="preserve">стратегии за </w:t>
            </w:r>
            <w:r w:rsidR="00A22FF6">
              <w:rPr>
                <w:rFonts w:ascii="Arial" w:hAnsi="Arial"/>
                <w:i/>
                <w:sz w:val="16"/>
              </w:rPr>
              <w:t xml:space="preserve">местно </w:t>
            </w:r>
            <w:r w:rsidRPr="00FB01AA">
              <w:rPr>
                <w:rFonts w:ascii="Arial" w:hAnsi="Arial"/>
                <w:i/>
                <w:sz w:val="16"/>
              </w:rPr>
              <w:t xml:space="preserve">развитие, основани на характеристиките на района; </w:t>
            </w:r>
          </w:p>
        </w:tc>
        <w:tc>
          <w:tcPr>
            <w:tcW w:w="4530" w:type="dxa"/>
          </w:tcPr>
          <w:p w:rsidR="00EF42B9" w:rsidRPr="00FB01AA" w:rsidRDefault="00EF42B9" w:rsidP="00487068">
            <w:pPr>
              <w:pStyle w:val="HStandard"/>
              <w:spacing w:after="0" w:line="240" w:lineRule="auto"/>
              <w:ind w:left="383" w:hanging="383"/>
              <w:rPr>
                <w:rFonts w:ascii="Arial" w:hAnsi="Arial" w:cs="Arial"/>
                <w:i/>
                <w:color w:val="F07E31" w:themeColor="background2"/>
                <w:sz w:val="16"/>
                <w:szCs w:val="18"/>
              </w:rPr>
            </w:pPr>
            <w:r w:rsidRPr="00FB01AA">
              <w:rPr>
                <w:rFonts w:ascii="Arial" w:hAnsi="Arial"/>
                <w:i/>
                <w:color w:val="BE4A35" w:themeColor="accent2"/>
                <w:sz w:val="16"/>
              </w:rPr>
              <w:t>(5)</w:t>
            </w:r>
            <w:r w:rsidR="00487068">
              <w:rPr>
                <w:rFonts w:ascii="Arial" w:hAnsi="Arial"/>
                <w:i/>
                <w:color w:val="BE4A35" w:themeColor="accent2"/>
                <w:sz w:val="16"/>
              </w:rPr>
              <w:tab/>
            </w:r>
            <w:r w:rsidRPr="00FB01AA">
              <w:rPr>
                <w:rFonts w:ascii="Arial" w:hAnsi="Arial"/>
                <w:i/>
                <w:sz w:val="16"/>
              </w:rPr>
              <w:t>иновации;</w:t>
            </w:r>
            <w:r w:rsidRPr="00FB01AA">
              <w:rPr>
                <w:rFonts w:ascii="Arial" w:hAnsi="Arial"/>
                <w:i/>
                <w:color w:val="F07E31" w:themeColor="background2"/>
                <w:sz w:val="16"/>
              </w:rPr>
              <w:t xml:space="preserve"> </w:t>
            </w:r>
          </w:p>
        </w:tc>
      </w:tr>
      <w:tr w:rsidR="00EF42B9" w:rsidRPr="00FB01AA" w:rsidTr="00EF42B9">
        <w:tc>
          <w:tcPr>
            <w:tcW w:w="4530" w:type="dxa"/>
          </w:tcPr>
          <w:p w:rsidR="00EF42B9" w:rsidRPr="00FB01AA" w:rsidRDefault="00EF42B9" w:rsidP="00487068">
            <w:pPr>
              <w:pStyle w:val="HStandard"/>
              <w:spacing w:after="0" w:line="240" w:lineRule="auto"/>
              <w:ind w:left="349" w:hanging="349"/>
              <w:jc w:val="left"/>
              <w:rPr>
                <w:rFonts w:ascii="Arial" w:hAnsi="Arial" w:cs="Arial"/>
                <w:i/>
                <w:color w:val="F07E31" w:themeColor="background2"/>
                <w:sz w:val="16"/>
                <w:szCs w:val="18"/>
              </w:rPr>
            </w:pPr>
            <w:r w:rsidRPr="00FB01AA">
              <w:rPr>
                <w:rFonts w:ascii="Arial" w:hAnsi="Arial"/>
                <w:i/>
                <w:color w:val="BE4A35" w:themeColor="accent2"/>
                <w:sz w:val="16"/>
              </w:rPr>
              <w:t>(2)</w:t>
            </w:r>
            <w:r w:rsidR="00487068">
              <w:rPr>
                <w:rFonts w:ascii="Arial" w:hAnsi="Arial"/>
                <w:i/>
                <w:color w:val="BE4A35" w:themeColor="accent2"/>
                <w:sz w:val="16"/>
              </w:rPr>
              <w:tab/>
            </w:r>
            <w:r w:rsidRPr="00FB01AA">
              <w:rPr>
                <w:rFonts w:ascii="Arial" w:hAnsi="Arial"/>
                <w:i/>
                <w:sz w:val="16"/>
              </w:rPr>
              <w:t xml:space="preserve">подход, ориентиран „от долу нагоре“; </w:t>
            </w:r>
          </w:p>
        </w:tc>
        <w:tc>
          <w:tcPr>
            <w:tcW w:w="4530" w:type="dxa"/>
          </w:tcPr>
          <w:p w:rsidR="00EF42B9" w:rsidRPr="00FB01AA" w:rsidRDefault="00EF42B9" w:rsidP="00487068">
            <w:pPr>
              <w:pStyle w:val="HStandard"/>
              <w:spacing w:after="0" w:line="240" w:lineRule="auto"/>
              <w:ind w:left="383" w:hanging="383"/>
              <w:rPr>
                <w:rFonts w:ascii="Arial" w:hAnsi="Arial" w:cs="Arial"/>
                <w:i/>
                <w:color w:val="F07E31" w:themeColor="background2"/>
                <w:sz w:val="16"/>
                <w:szCs w:val="18"/>
              </w:rPr>
            </w:pPr>
            <w:r w:rsidRPr="00FB01AA">
              <w:rPr>
                <w:rFonts w:ascii="Arial" w:hAnsi="Arial"/>
                <w:i/>
                <w:color w:val="BE4A35" w:themeColor="accent2"/>
                <w:sz w:val="16"/>
              </w:rPr>
              <w:t>(6)</w:t>
            </w:r>
            <w:r w:rsidR="00487068">
              <w:rPr>
                <w:rFonts w:ascii="Arial" w:hAnsi="Arial"/>
                <w:i/>
                <w:color w:val="BE4A35" w:themeColor="accent2"/>
                <w:sz w:val="16"/>
              </w:rPr>
              <w:tab/>
            </w:r>
            <w:r w:rsidRPr="00FB01AA">
              <w:rPr>
                <w:rFonts w:ascii="Arial" w:hAnsi="Arial"/>
                <w:i/>
                <w:sz w:val="16"/>
              </w:rPr>
              <w:t xml:space="preserve">изграждане на мрежи; </w:t>
            </w:r>
          </w:p>
        </w:tc>
      </w:tr>
      <w:tr w:rsidR="00EF42B9" w:rsidRPr="00FB01AA" w:rsidTr="00EF42B9">
        <w:tc>
          <w:tcPr>
            <w:tcW w:w="4530" w:type="dxa"/>
          </w:tcPr>
          <w:p w:rsidR="00EF42B9" w:rsidRPr="00FB01AA" w:rsidRDefault="00EF42B9" w:rsidP="00487068">
            <w:pPr>
              <w:pStyle w:val="HStandard"/>
              <w:spacing w:after="0" w:line="240" w:lineRule="auto"/>
              <w:ind w:left="349" w:hanging="349"/>
              <w:jc w:val="left"/>
              <w:rPr>
                <w:rFonts w:ascii="Arial" w:hAnsi="Arial" w:cs="Arial"/>
                <w:i/>
                <w:color w:val="F07E31" w:themeColor="background2"/>
                <w:sz w:val="16"/>
                <w:szCs w:val="18"/>
              </w:rPr>
            </w:pPr>
            <w:r w:rsidRPr="00FB01AA">
              <w:rPr>
                <w:rFonts w:ascii="Arial" w:hAnsi="Arial"/>
                <w:i/>
                <w:color w:val="BE4A35" w:themeColor="accent2"/>
                <w:sz w:val="16"/>
              </w:rPr>
              <w:t>(3)</w:t>
            </w:r>
            <w:r w:rsidR="00487068">
              <w:rPr>
                <w:rFonts w:ascii="Arial" w:hAnsi="Arial"/>
                <w:i/>
                <w:color w:val="BE4A35" w:themeColor="accent2"/>
                <w:sz w:val="16"/>
              </w:rPr>
              <w:tab/>
            </w:r>
            <w:r w:rsidRPr="00FB01AA">
              <w:rPr>
                <w:rFonts w:ascii="Arial" w:hAnsi="Arial"/>
                <w:i/>
                <w:sz w:val="16"/>
              </w:rPr>
              <w:t>публично-частни партньорства (например МГД);</w:t>
            </w:r>
          </w:p>
        </w:tc>
        <w:tc>
          <w:tcPr>
            <w:tcW w:w="4530" w:type="dxa"/>
          </w:tcPr>
          <w:p w:rsidR="00EF42B9" w:rsidRPr="00FB01AA" w:rsidRDefault="00EF42B9" w:rsidP="00487068">
            <w:pPr>
              <w:pStyle w:val="HStandard"/>
              <w:spacing w:after="0" w:line="240" w:lineRule="auto"/>
              <w:ind w:left="383" w:hanging="383"/>
              <w:rPr>
                <w:rFonts w:ascii="Arial" w:hAnsi="Arial" w:cs="Arial"/>
                <w:i/>
                <w:color w:val="F07E31" w:themeColor="background2"/>
                <w:sz w:val="16"/>
                <w:szCs w:val="18"/>
              </w:rPr>
            </w:pPr>
            <w:r w:rsidRPr="00FB01AA">
              <w:rPr>
                <w:rFonts w:ascii="Arial" w:hAnsi="Arial"/>
                <w:i/>
                <w:color w:val="BE4A35" w:themeColor="accent2"/>
                <w:sz w:val="16"/>
              </w:rPr>
              <w:t>(7)</w:t>
            </w:r>
            <w:r w:rsidR="00487068">
              <w:rPr>
                <w:rFonts w:ascii="Arial" w:hAnsi="Arial"/>
                <w:i/>
                <w:color w:val="BE4A35" w:themeColor="accent2"/>
                <w:sz w:val="16"/>
              </w:rPr>
              <w:tab/>
            </w:r>
            <w:r w:rsidRPr="00FB01AA">
              <w:rPr>
                <w:rFonts w:ascii="Arial" w:hAnsi="Arial"/>
                <w:i/>
                <w:sz w:val="16"/>
              </w:rPr>
              <w:t>териториално сътрудничество.</w:t>
            </w:r>
          </w:p>
        </w:tc>
      </w:tr>
      <w:tr w:rsidR="00EF42B9" w:rsidRPr="00FB01AA" w:rsidTr="00EF42B9">
        <w:tc>
          <w:tcPr>
            <w:tcW w:w="4530" w:type="dxa"/>
          </w:tcPr>
          <w:p w:rsidR="00EF42B9" w:rsidRPr="00FB01AA" w:rsidRDefault="00EF42B9" w:rsidP="00487068">
            <w:pPr>
              <w:pStyle w:val="HStandard"/>
              <w:spacing w:after="0" w:line="240" w:lineRule="auto"/>
              <w:ind w:left="349" w:hanging="349"/>
              <w:jc w:val="left"/>
              <w:rPr>
                <w:rFonts w:ascii="Arial" w:hAnsi="Arial" w:cs="Arial"/>
                <w:i/>
                <w:color w:val="F07E31" w:themeColor="background2"/>
                <w:sz w:val="16"/>
                <w:szCs w:val="18"/>
              </w:rPr>
            </w:pPr>
            <w:r w:rsidRPr="00FB01AA">
              <w:rPr>
                <w:rFonts w:ascii="Arial" w:hAnsi="Arial"/>
                <w:i/>
                <w:color w:val="BE4A35" w:themeColor="accent2"/>
                <w:sz w:val="16"/>
              </w:rPr>
              <w:t>(4)</w:t>
            </w:r>
            <w:r w:rsidR="00487068">
              <w:rPr>
                <w:rFonts w:ascii="Arial" w:hAnsi="Arial"/>
                <w:i/>
                <w:color w:val="BE4A35" w:themeColor="accent2"/>
                <w:sz w:val="16"/>
              </w:rPr>
              <w:tab/>
            </w:r>
            <w:r w:rsidRPr="00FB01AA">
              <w:rPr>
                <w:rFonts w:ascii="Arial" w:hAnsi="Arial"/>
                <w:i/>
                <w:sz w:val="16"/>
              </w:rPr>
              <w:t xml:space="preserve">многосекторен подход. </w:t>
            </w:r>
          </w:p>
        </w:tc>
        <w:tc>
          <w:tcPr>
            <w:tcW w:w="4530" w:type="dxa"/>
          </w:tcPr>
          <w:p w:rsidR="00EF42B9" w:rsidRPr="00FB01AA" w:rsidRDefault="00EF42B9" w:rsidP="00EF42B9">
            <w:pPr>
              <w:pStyle w:val="HStandard"/>
              <w:spacing w:after="0" w:line="240" w:lineRule="auto"/>
              <w:rPr>
                <w:rFonts w:ascii="Arial" w:hAnsi="Arial" w:cs="Arial"/>
                <w:i/>
                <w:color w:val="F07E31" w:themeColor="background2"/>
                <w:sz w:val="16"/>
                <w:szCs w:val="18"/>
              </w:rPr>
            </w:pPr>
          </w:p>
        </w:tc>
      </w:tr>
    </w:tbl>
    <w:p w:rsidR="00EF42B9" w:rsidRPr="00FB01AA" w:rsidRDefault="00891ABF" w:rsidP="00EF42B9">
      <w:pPr>
        <w:pStyle w:val="HStandard"/>
        <w:rPr>
          <w:i/>
          <w:sz w:val="16"/>
          <w:shd w:val="clear" w:color="auto" w:fill="FFFFFF"/>
        </w:rPr>
      </w:pPr>
      <w:r w:rsidRPr="00FB01AA">
        <w:rPr>
          <w:noProof/>
          <w:sz w:val="18"/>
          <w:lang w:val="en-GB" w:eastAsia="en-GB" w:bidi="ar-SA"/>
        </w:rPr>
        <mc:AlternateContent>
          <mc:Choice Requires="wps">
            <w:drawing>
              <wp:anchor distT="0" distB="0" distL="114300" distR="114300" simplePos="0" relativeHeight="251661312" behindDoc="0" locked="0" layoutInCell="1" allowOverlap="1" wp14:anchorId="65063418" wp14:editId="3A095F8D">
                <wp:simplePos x="0" y="0"/>
                <wp:positionH relativeFrom="column">
                  <wp:posOffset>-328930</wp:posOffset>
                </wp:positionH>
                <wp:positionV relativeFrom="paragraph">
                  <wp:posOffset>-671195</wp:posOffset>
                </wp:positionV>
                <wp:extent cx="6281420" cy="1485900"/>
                <wp:effectExtent l="0" t="0" r="24130" b="19050"/>
                <wp:wrapNone/>
                <wp:docPr id="2" name="Rectangle: Diagonal Corners Rounded 2"/>
                <wp:cNvGraphicFramePr/>
                <a:graphic xmlns:a="http://schemas.openxmlformats.org/drawingml/2006/main">
                  <a:graphicData uri="http://schemas.microsoft.com/office/word/2010/wordprocessingShape">
                    <wps:wsp>
                      <wps:cNvSpPr/>
                      <wps:spPr>
                        <a:xfrm>
                          <a:off x="0" y="0"/>
                          <a:ext cx="6281420" cy="148590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6EA62C" id="Rectangle: Diagonal Corners Rounded 2" o:spid="_x0000_s1026" style="position:absolute;margin-left:-25.9pt;margin-top:-52.85pt;width:494.6pt;height:11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81420,1485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" path="m247655,l6281420,r,l6281420,1238245v,136776,-110879,247655,-247655,247655l,1485900r,l,247655c,110879,110879,,247655,xe" filled="f" strokecolor="#be4a35 [3205]" strokeweight="2pt">
                <v:path arrowok="t" o:connecttype="custom" o:connectlocs="247655,0;6281420,0;6281420,0;6281420,1238245;6033765,1485900;0,1485900;0,1485900;0,247655;247655,0" o:connectangles="0,0,0,0,0,0,0,0,0"/>
              </v:shape>
            </w:pict>
          </mc:Fallback>
        </mc:AlternateContent>
      </w:r>
      <w:r w:rsidR="00EF42B9" w:rsidRPr="00FB01AA">
        <w:rPr>
          <w:i/>
          <w:sz w:val="16"/>
          <w:shd w:val="clear" w:color="auto" w:fill="FFFFFF"/>
        </w:rPr>
        <w:t xml:space="preserve">Тези оперативни принципи са тясно свързани помежду си. Трудно е да си представим, че един-единствен принцип (например многосекторният подход) би могъл да разгърне своя потенциал, ако останалите принципи </w:t>
      </w:r>
      <w:r w:rsidR="001F2B5E">
        <w:rPr>
          <w:i/>
          <w:sz w:val="16"/>
          <w:shd w:val="clear" w:color="auto" w:fill="FFFFFF"/>
        </w:rPr>
        <w:t>се</w:t>
      </w:r>
      <w:r w:rsidR="00EF42B9" w:rsidRPr="00FB01AA">
        <w:rPr>
          <w:i/>
          <w:sz w:val="16"/>
          <w:shd w:val="clear" w:color="auto" w:fill="FFFFFF"/>
        </w:rPr>
        <w:t xml:space="preserve"> пренебрег</w:t>
      </w:r>
      <w:r w:rsidR="001F2B5E">
        <w:rPr>
          <w:i/>
          <w:sz w:val="16"/>
          <w:shd w:val="clear" w:color="auto" w:fill="FFFFFF"/>
        </w:rPr>
        <w:t>ват</w:t>
      </w:r>
      <w:r w:rsidR="00EF42B9" w:rsidRPr="00FB01AA">
        <w:rPr>
          <w:i/>
          <w:sz w:val="16"/>
          <w:shd w:val="clear" w:color="auto" w:fill="FFFFFF"/>
        </w:rPr>
        <w:t>. Когато прилагането на метода LEADER се проучи от гледна точка на всичките седем принципа, ще се изгради цялостна картина на това доколко последователно е приложен методът.</w:t>
      </w:r>
    </w:p>
    <w:p w:rsidR="00EF42B9" w:rsidRPr="00FB01AA" w:rsidRDefault="00EF42B9" w:rsidP="000A7636">
      <w:pPr>
        <w:pStyle w:val="HStandard"/>
        <w:rPr>
          <w:rFonts w:cs="Arial"/>
          <w:i/>
          <w:sz w:val="16"/>
          <w:szCs w:val="18"/>
          <w:shd w:val="clear" w:color="auto" w:fill="FFFFFF"/>
        </w:rPr>
      </w:pPr>
    </w:p>
    <w:p w:rsidR="00C11551" w:rsidRPr="00FB01AA" w:rsidRDefault="00C11551" w:rsidP="000A7636">
      <w:pPr>
        <w:pStyle w:val="HStandard"/>
        <w:rPr>
          <w:i/>
          <w:sz w:val="16"/>
          <w:shd w:val="clear" w:color="auto" w:fill="FFFFFF"/>
        </w:rPr>
      </w:pPr>
    </w:p>
    <w:p w:rsidR="007866D4" w:rsidRPr="00FB01AA" w:rsidRDefault="007866D4" w:rsidP="00C11551">
      <w:pPr>
        <w:pStyle w:val="HStandard"/>
        <w:rPr>
          <w:sz w:val="18"/>
        </w:rPr>
        <w:sectPr w:rsidR="007866D4" w:rsidRPr="00FB01AA" w:rsidSect="000A7636">
          <w:type w:val="continuous"/>
          <w:pgSz w:w="11906" w:h="16838"/>
          <w:pgMar w:top="1418" w:right="1418" w:bottom="1418" w:left="1418" w:header="709" w:footer="709" w:gutter="0"/>
          <w:cols w:space="397"/>
          <w:docGrid w:linePitch="360"/>
        </w:sectPr>
      </w:pPr>
    </w:p>
    <w:p w:rsidR="007866D4" w:rsidRPr="00FB01AA" w:rsidRDefault="007866D4" w:rsidP="000A7636">
      <w:pPr>
        <w:pStyle w:val="HHeading1"/>
        <w:tabs>
          <w:tab w:val="clear" w:pos="474"/>
          <w:tab w:val="clear" w:pos="510"/>
        </w:tabs>
        <w:spacing w:before="120"/>
        <w:rPr>
          <w:sz w:val="28"/>
        </w:rPr>
      </w:pPr>
      <w:bookmarkStart w:id="48" w:name="_Toc493497705"/>
      <w:bookmarkStart w:id="49" w:name="_Toc498506708"/>
      <w:r w:rsidRPr="00FB01AA">
        <w:rPr>
          <w:sz w:val="28"/>
        </w:rPr>
        <w:lastRenderedPageBreak/>
        <w:t>Оценка на LEADER/ВОМР на равнището на ПРСР</w:t>
      </w:r>
      <w:bookmarkEnd w:id="48"/>
      <w:bookmarkEnd w:id="49"/>
    </w:p>
    <w:p w:rsidR="007866D4" w:rsidRPr="00FB01AA" w:rsidRDefault="007866D4" w:rsidP="007866D4">
      <w:pPr>
        <w:pStyle w:val="HHeading2"/>
        <w:tabs>
          <w:tab w:val="clear" w:pos="360"/>
          <w:tab w:val="clear" w:pos="510"/>
        </w:tabs>
        <w:ind w:left="567" w:hanging="567"/>
        <w:rPr>
          <w:sz w:val="18"/>
        </w:rPr>
      </w:pPr>
      <w:bookmarkStart w:id="50" w:name="_Toc475030380"/>
      <w:bookmarkStart w:id="51" w:name="_Toc493497706"/>
      <w:bookmarkStart w:id="52" w:name="_Toc498506709"/>
      <w:r w:rsidRPr="00FB01AA">
        <w:rPr>
          <w:sz w:val="18"/>
        </w:rPr>
        <w:t>Какво и как да се оценява на равнището на ПРСР?</w:t>
      </w:r>
      <w:bookmarkEnd w:id="50"/>
      <w:bookmarkEnd w:id="51"/>
      <w:bookmarkEnd w:id="52"/>
    </w:p>
    <w:p w:rsidR="007866D4" w:rsidRPr="00FB01AA" w:rsidRDefault="007866D4" w:rsidP="007866D4">
      <w:pPr>
        <w:pStyle w:val="HStandard"/>
        <w:spacing w:before="240"/>
        <w:rPr>
          <w:color w:val="373737" w:themeColor="background1" w:themeShade="40"/>
          <w:sz w:val="18"/>
        </w:rPr>
      </w:pPr>
      <w:r w:rsidRPr="00FB01AA">
        <w:rPr>
          <w:sz w:val="18"/>
        </w:rPr>
        <w:t>Процесът на оценка на мярката LEADER е подобен на оценката на ПРСР</w:t>
      </w:r>
      <w:r w:rsidRPr="00FB01AA">
        <w:rPr>
          <w:rStyle w:val="FootnoteReference"/>
          <w:rFonts w:ascii="Helvetica" w:hAnsi="Helvetica"/>
          <w:color w:val="373737" w:themeColor="background1" w:themeShade="40"/>
          <w:sz w:val="18"/>
        </w:rPr>
        <w:footnoteReference w:id="30"/>
      </w:r>
      <w:r w:rsidRPr="00FB01AA">
        <w:rPr>
          <w:rFonts w:ascii="Helvetica" w:hAnsi="Helvetica"/>
          <w:color w:val="373737" w:themeColor="background1" w:themeShade="40"/>
          <w:sz w:val="18"/>
        </w:rPr>
        <w:t xml:space="preserve">. </w:t>
      </w:r>
      <w:r w:rsidRPr="00FB01AA">
        <w:rPr>
          <w:color w:val="373737" w:themeColor="background1" w:themeShade="40"/>
          <w:sz w:val="18"/>
        </w:rPr>
        <w:t xml:space="preserve">Работните стъпки за </w:t>
      </w:r>
      <w:r w:rsidRPr="00FB01AA">
        <w:rPr>
          <w:b/>
          <w:color w:val="373737" w:themeColor="background1" w:themeShade="40"/>
          <w:sz w:val="18"/>
        </w:rPr>
        <w:t>подготовката, структурирането и извършването на оценката</w:t>
      </w:r>
      <w:r w:rsidRPr="00FB01AA">
        <w:rPr>
          <w:color w:val="373737" w:themeColor="background1" w:themeShade="40"/>
          <w:sz w:val="18"/>
        </w:rPr>
        <w:t xml:space="preserve"> на LEADER/ВОМР може да се осъществяват едновременно с тези за по-широките дейности за оценка на ПРСР. Самостоятелна оценка на LEADER/ВОМР обаче също е възможна. Докладването на оценката на LEADER/ВОМР е част от докладването на общите </w:t>
      </w:r>
      <w:r w:rsidR="00E83C0E" w:rsidRPr="00251DF4">
        <w:rPr>
          <w:color w:val="373737" w:themeColor="background1" w:themeShade="40"/>
          <w:sz w:val="18"/>
        </w:rPr>
        <w:t>констатаци</w:t>
      </w:r>
      <w:r w:rsidRPr="00FB01AA">
        <w:rPr>
          <w:color w:val="373737" w:themeColor="background1" w:themeShade="40"/>
          <w:sz w:val="18"/>
        </w:rPr>
        <w:t>и от оценката на ПРСР (освен ако не се извършва самостоятелна оценка).</w:t>
      </w:r>
    </w:p>
    <w:p w:rsidR="007866D4" w:rsidRPr="00FB01AA" w:rsidRDefault="007866D4" w:rsidP="007866D4">
      <w:pPr>
        <w:pStyle w:val="HStandard"/>
        <w:rPr>
          <w:sz w:val="18"/>
        </w:rPr>
      </w:pPr>
      <w:r w:rsidRPr="00FB01AA">
        <w:rPr>
          <w:sz w:val="18"/>
        </w:rPr>
        <w:br w:type="column"/>
      </w:r>
      <w:r w:rsidRPr="00FB01AA">
        <w:rPr>
          <w:sz w:val="18"/>
        </w:rPr>
        <w:t xml:space="preserve">В плана за оценка УО решава: </w:t>
      </w:r>
    </w:p>
    <w:p w:rsidR="007866D4" w:rsidRPr="00FB01AA" w:rsidRDefault="007866D4" w:rsidP="007866D4">
      <w:pPr>
        <w:pStyle w:val="Hlistbullet"/>
        <w:ind w:left="426" w:hanging="426"/>
        <w:rPr>
          <w:sz w:val="18"/>
        </w:rPr>
      </w:pPr>
      <w:r w:rsidRPr="00FB01AA">
        <w:rPr>
          <w:b/>
          <w:sz w:val="18"/>
        </w:rPr>
        <w:t>Какво ще се оценява</w:t>
      </w:r>
      <w:r w:rsidRPr="00FB01AA">
        <w:rPr>
          <w:sz w:val="18"/>
        </w:rPr>
        <w:t xml:space="preserve"> във връзка с LEADER/ВОМР? </w:t>
      </w:r>
    </w:p>
    <w:p w:rsidR="007866D4" w:rsidRPr="00FB01AA" w:rsidRDefault="007866D4" w:rsidP="007866D4">
      <w:pPr>
        <w:pStyle w:val="Hlistbullet"/>
        <w:ind w:left="426" w:hanging="426"/>
        <w:rPr>
          <w:sz w:val="18"/>
        </w:rPr>
      </w:pPr>
      <w:r w:rsidRPr="00FB01AA">
        <w:rPr>
          <w:b/>
          <w:sz w:val="18"/>
        </w:rPr>
        <w:t xml:space="preserve">Какви дейности </w:t>
      </w:r>
      <w:r w:rsidRPr="00FB01AA">
        <w:rPr>
          <w:sz w:val="18"/>
        </w:rPr>
        <w:t>ще се извършват във връзка с мониторинга и оценката на LEADER/ВОМР (например как ще се събират данните и информацията)?</w:t>
      </w:r>
    </w:p>
    <w:p w:rsidR="007866D4" w:rsidRPr="00FB01AA" w:rsidRDefault="007866D4" w:rsidP="007866D4">
      <w:pPr>
        <w:pStyle w:val="Hlistbullet"/>
        <w:ind w:left="426" w:hanging="426"/>
        <w:rPr>
          <w:sz w:val="18"/>
        </w:rPr>
      </w:pPr>
      <w:r w:rsidRPr="00FB01AA">
        <w:rPr>
          <w:b/>
          <w:sz w:val="18"/>
        </w:rPr>
        <w:t>Как оценката на LEADER/ВОМР на равнището на ПРСР ще се свърже с тази на равнището на МГД?</w:t>
      </w:r>
    </w:p>
    <w:p w:rsidR="007866D4" w:rsidRPr="00FB01AA" w:rsidRDefault="007866D4" w:rsidP="007866D4">
      <w:pPr>
        <w:pStyle w:val="Hlistbullet"/>
        <w:ind w:left="426" w:hanging="426"/>
        <w:rPr>
          <w:sz w:val="18"/>
        </w:rPr>
      </w:pPr>
      <w:r w:rsidRPr="00FB01AA">
        <w:rPr>
          <w:b/>
          <w:sz w:val="18"/>
        </w:rPr>
        <w:t xml:space="preserve">Как ще се извърши оценката? </w:t>
      </w:r>
      <w:r w:rsidRPr="00FB01AA">
        <w:rPr>
          <w:sz w:val="18"/>
        </w:rPr>
        <w:t>От кого и в каква форма? Като част от оценката на ПРСР или под формата на самостоятелна оценка?</w:t>
      </w:r>
    </w:p>
    <w:p w:rsidR="007866D4" w:rsidRPr="00FB01AA" w:rsidRDefault="007866D4" w:rsidP="007866D4">
      <w:pPr>
        <w:pStyle w:val="Hlistbullet"/>
        <w:ind w:left="426" w:hanging="426"/>
        <w:rPr>
          <w:sz w:val="18"/>
        </w:rPr>
      </w:pPr>
      <w:r w:rsidRPr="00FB01AA">
        <w:rPr>
          <w:b/>
          <w:sz w:val="18"/>
        </w:rPr>
        <w:t>Какъв капацитет и ресурси</w:t>
      </w:r>
      <w:r w:rsidRPr="00FB01AA">
        <w:rPr>
          <w:sz w:val="18"/>
        </w:rPr>
        <w:t xml:space="preserve"> ще бъдат разпределени за извършването на оценката?</w:t>
      </w:r>
    </w:p>
    <w:p w:rsidR="007866D4" w:rsidRPr="00FB01AA" w:rsidRDefault="007866D4" w:rsidP="007866D4">
      <w:pPr>
        <w:pStyle w:val="Hlistbullet"/>
        <w:ind w:left="426" w:hanging="426"/>
        <w:rPr>
          <w:sz w:val="18"/>
        </w:rPr>
      </w:pPr>
      <w:r w:rsidRPr="00FB01AA">
        <w:rPr>
          <w:b/>
          <w:sz w:val="18"/>
        </w:rPr>
        <w:t>Кога ще се извърши оценката</w:t>
      </w:r>
      <w:r w:rsidRPr="00FB01AA">
        <w:rPr>
          <w:sz w:val="18"/>
        </w:rPr>
        <w:t xml:space="preserve"> (през 2017 г., през 2019 г., след приключването)?</w:t>
      </w:r>
    </w:p>
    <w:p w:rsidR="007866D4" w:rsidRPr="00FB01AA" w:rsidRDefault="007866D4" w:rsidP="007866D4">
      <w:pPr>
        <w:pStyle w:val="HStandard"/>
        <w:spacing w:before="240"/>
        <w:rPr>
          <w:sz w:val="18"/>
        </w:rPr>
        <w:sectPr w:rsidR="007866D4" w:rsidRPr="00FB01AA" w:rsidSect="00FE7EA3">
          <w:headerReference w:type="default" r:id="rId35"/>
          <w:type w:val="continuous"/>
          <w:pgSz w:w="11906" w:h="16838"/>
          <w:pgMar w:top="1418" w:right="1418" w:bottom="1418" w:left="1418" w:header="709" w:footer="709" w:gutter="0"/>
          <w:cols w:num="2" w:space="397"/>
          <w:docGrid w:linePitch="360"/>
        </w:sectPr>
      </w:pPr>
    </w:p>
    <w:p w:rsidR="007866D4" w:rsidRPr="00FB01AA" w:rsidRDefault="007866D4" w:rsidP="007866D4">
      <w:pPr>
        <w:pStyle w:val="HHeadingFigure"/>
        <w:rPr>
          <w:sz w:val="14"/>
        </w:rPr>
      </w:pPr>
      <w:bookmarkStart w:id="53" w:name="_Toc493497733"/>
      <w:bookmarkStart w:id="54" w:name="_Toc498507093"/>
      <w:r w:rsidRPr="00FB01AA">
        <w:rPr>
          <w:sz w:val="14"/>
        </w:rPr>
        <w:lastRenderedPageBreak/>
        <w:t>Цикъл на оценяване на LEADER/ВОМР на равнището на ПРСР</w:t>
      </w:r>
      <w:bookmarkEnd w:id="53"/>
      <w:bookmarkEnd w:id="54"/>
      <w:r w:rsidRPr="00FB01AA">
        <w:rPr>
          <w:sz w:val="14"/>
        </w:rPr>
        <w:t xml:space="preserve"> </w:t>
      </w:r>
    </w:p>
    <w:p w:rsidR="00B243BA" w:rsidRPr="00FB01AA" w:rsidRDefault="00B243BA" w:rsidP="007866D4">
      <w:pPr>
        <w:pStyle w:val="HStandard"/>
        <w:ind w:left="510"/>
        <w:jc w:val="center"/>
        <w:rPr>
          <w:sz w:val="18"/>
        </w:rPr>
      </w:pPr>
      <w:r>
        <w:rPr>
          <w:noProof/>
          <w:sz w:val="18"/>
          <w:lang w:val="en-GB" w:eastAsia="en-GB" w:bidi="ar-SA"/>
        </w:rPr>
        <w:drawing>
          <wp:inline distT="0" distB="0" distL="0" distR="0" wp14:anchorId="4C06AC2D" wp14:editId="370824E6">
            <wp:extent cx="4229890" cy="3384467"/>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29890" cy="3384467"/>
                    </a:xfrm>
                    <a:prstGeom prst="rect">
                      <a:avLst/>
                    </a:prstGeom>
                    <a:noFill/>
                  </pic:spPr>
                </pic:pic>
              </a:graphicData>
            </a:graphic>
          </wp:inline>
        </w:drawing>
      </w:r>
    </w:p>
    <w:p w:rsidR="007866D4" w:rsidRPr="00FB01AA" w:rsidRDefault="007866D4" w:rsidP="007866D4">
      <w:pPr>
        <w:pStyle w:val="HSource"/>
        <w:rPr>
          <w:sz w:val="14"/>
        </w:rPr>
      </w:pPr>
      <w:r w:rsidRPr="00FB01AA">
        <w:rPr>
          <w:sz w:val="14"/>
        </w:rPr>
        <w:t>Източник: Европейско бюро за оценка в областта на развитието на селските райони, 2017 г.</w:t>
      </w:r>
    </w:p>
    <w:p w:rsidR="007866D4" w:rsidRPr="00FB01AA" w:rsidRDefault="007866D4" w:rsidP="007866D4">
      <w:pPr>
        <w:rPr>
          <w:sz w:val="28"/>
        </w:rPr>
        <w:sectPr w:rsidR="007866D4" w:rsidRPr="00FB01AA" w:rsidSect="003423E6">
          <w:type w:val="continuous"/>
          <w:pgSz w:w="11906" w:h="16838"/>
          <w:pgMar w:top="1418" w:right="1418" w:bottom="1418" w:left="1418" w:header="709" w:footer="709" w:gutter="0"/>
          <w:cols w:space="397"/>
          <w:docGrid w:linePitch="360"/>
        </w:sectPr>
      </w:pPr>
    </w:p>
    <w:p w:rsidR="007866D4" w:rsidRPr="00FB01AA" w:rsidRDefault="007866D4" w:rsidP="007866D4">
      <w:pPr>
        <w:pStyle w:val="HStandard"/>
        <w:spacing w:before="240"/>
        <w:rPr>
          <w:rFonts w:eastAsia="Calibri"/>
          <w:color w:val="373737" w:themeColor="background1" w:themeShade="40"/>
          <w:sz w:val="18"/>
        </w:rPr>
      </w:pPr>
      <w:r w:rsidRPr="00FB01AA">
        <w:rPr>
          <w:sz w:val="18"/>
        </w:rPr>
        <w:t xml:space="preserve">Планът за оценка може да включва също така специфични за програмата въпроси за оценка, критерии за преценка и показатели за LEADER/ВОМР. </w:t>
      </w:r>
      <w:r w:rsidRPr="00FB01AA">
        <w:rPr>
          <w:color w:val="373737" w:themeColor="background1" w:themeShade="40"/>
          <w:sz w:val="18"/>
        </w:rPr>
        <w:t>Оценката на LEADER/ВОМР на равнището на ПРСР може да включва следните аспекти (вж. глава 1.2.1):</w:t>
      </w:r>
    </w:p>
    <w:p w:rsidR="007866D4" w:rsidRPr="00FB01AA" w:rsidRDefault="007866D4" w:rsidP="007866D4">
      <w:pPr>
        <w:pStyle w:val="Hlistbullet"/>
        <w:ind w:left="426" w:hanging="426"/>
        <w:rPr>
          <w:sz w:val="18"/>
        </w:rPr>
      </w:pPr>
      <w:r w:rsidRPr="00FB01AA">
        <w:rPr>
          <w:sz w:val="18"/>
        </w:rPr>
        <w:t>оценка на първичния и вторичния принос на LEADER/ВОМР за свързаните с ОПА цели на ПРСР и оценка на приноса за постигането на целите на стратегията на Съюза за интелигентен, устойчив и приобщаващ растеж (задължително);</w:t>
      </w:r>
    </w:p>
    <w:p w:rsidR="007866D4" w:rsidRPr="00FB01AA" w:rsidRDefault="007866D4" w:rsidP="007866D4">
      <w:pPr>
        <w:pStyle w:val="Hlistbullet"/>
        <w:ind w:left="426" w:hanging="426"/>
        <w:rPr>
          <w:sz w:val="18"/>
        </w:rPr>
      </w:pPr>
      <w:r w:rsidRPr="00FB01AA">
        <w:rPr>
          <w:sz w:val="18"/>
        </w:rPr>
        <w:t>оценка на механизма за изпълнение на LEADER/ВОМР (препоръчително);</w:t>
      </w:r>
    </w:p>
    <w:p w:rsidR="007866D4" w:rsidRPr="00FB01AA" w:rsidRDefault="007866D4" w:rsidP="007866D4">
      <w:pPr>
        <w:pStyle w:val="Hlistbullet"/>
        <w:ind w:left="426" w:hanging="426"/>
        <w:rPr>
          <w:sz w:val="18"/>
        </w:rPr>
      </w:pPr>
      <w:r w:rsidRPr="00FB01AA">
        <w:rPr>
          <w:sz w:val="18"/>
        </w:rPr>
        <w:t>оценка на добавената стойност на LEADER/ВОМР (препоръчително).</w:t>
      </w:r>
    </w:p>
    <w:p w:rsidR="007866D4" w:rsidRPr="00FB01AA" w:rsidRDefault="007866D4" w:rsidP="007866D4">
      <w:pPr>
        <w:rPr>
          <w:rFonts w:ascii="Arial" w:hAnsi="Arial"/>
          <w:color w:val="373737" w:themeColor="background1" w:themeShade="40"/>
          <w:sz w:val="18"/>
          <w:szCs w:val="20"/>
        </w:rPr>
      </w:pPr>
      <w:r w:rsidRPr="00FB01AA">
        <w:rPr>
          <w:rFonts w:ascii="Arial" w:hAnsi="Arial"/>
          <w:color w:val="373737" w:themeColor="background1" w:themeShade="40"/>
          <w:sz w:val="18"/>
        </w:rPr>
        <w:t xml:space="preserve">Оценката на задължителните и препоръчителните аспекти е описана стъпка по стъпка в следващите глави. </w:t>
      </w:r>
    </w:p>
    <w:p w:rsidR="007866D4" w:rsidRPr="00FB01AA" w:rsidRDefault="007866D4" w:rsidP="007866D4">
      <w:pPr>
        <w:pStyle w:val="HHeading2"/>
        <w:jc w:val="both"/>
        <w:rPr>
          <w:sz w:val="18"/>
        </w:rPr>
      </w:pPr>
      <w:bookmarkStart w:id="55" w:name="_Toc466620164"/>
      <w:bookmarkStart w:id="56" w:name="_Toc475030381"/>
      <w:bookmarkStart w:id="57" w:name="_Toc493497707"/>
      <w:bookmarkStart w:id="58" w:name="_Toc498506710"/>
      <w:r w:rsidRPr="00FB01AA">
        <w:rPr>
          <w:sz w:val="18"/>
        </w:rPr>
        <w:t>Оценка на приноса на LEADER/ВОМР за свързаните с ОПА цели на ПРСР и за постигането на целите на стратегията на Съюза</w:t>
      </w:r>
      <w:bookmarkEnd w:id="55"/>
      <w:r w:rsidRPr="00FB01AA">
        <w:rPr>
          <w:sz w:val="18"/>
        </w:rPr>
        <w:t xml:space="preserve"> за интелигентен, устойчив и приобщаващ растеж (задължителна)</w:t>
      </w:r>
      <w:bookmarkEnd w:id="56"/>
      <w:bookmarkEnd w:id="57"/>
      <w:bookmarkEnd w:id="58"/>
    </w:p>
    <w:p w:rsidR="007866D4" w:rsidRPr="00FB01AA" w:rsidRDefault="007866D4" w:rsidP="007866D4">
      <w:pPr>
        <w:pStyle w:val="HHeading3"/>
        <w:framePr w:wrap="notBeside"/>
        <w:rPr>
          <w:sz w:val="18"/>
        </w:rPr>
      </w:pPr>
      <w:bookmarkStart w:id="59" w:name="_Toc475030382"/>
      <w:bookmarkStart w:id="60" w:name="_Toc493497708"/>
      <w:bookmarkStart w:id="61" w:name="_Toc498506711"/>
      <w:r w:rsidRPr="00FB01AA">
        <w:rPr>
          <w:sz w:val="18"/>
        </w:rPr>
        <w:t>Какво да се оценява?</w:t>
      </w:r>
      <w:bookmarkEnd w:id="59"/>
      <w:bookmarkEnd w:id="60"/>
      <w:bookmarkEnd w:id="61"/>
    </w:p>
    <w:p w:rsidR="007866D4" w:rsidRPr="00FB01AA" w:rsidRDefault="007866D4" w:rsidP="007866D4">
      <w:pPr>
        <w:pStyle w:val="HStandard"/>
        <w:rPr>
          <w:sz w:val="18"/>
        </w:rPr>
      </w:pPr>
      <w:r w:rsidRPr="00FB01AA">
        <w:rPr>
          <w:b/>
          <w:sz w:val="18"/>
        </w:rPr>
        <w:t>Мярката LEADER/ВОМР включва няколко подмерки</w:t>
      </w:r>
      <w:r w:rsidRPr="00FB01AA">
        <w:rPr>
          <w:sz w:val="18"/>
        </w:rPr>
        <w:t xml:space="preserve">: подготовката и изпълнението на стратегията за ВОМР, функционирането на МГД и проектите за популяризиране/изграждане на капацитет и сътрудничество между МГД и други партньори. </w:t>
      </w:r>
    </w:p>
    <w:p w:rsidR="007866D4" w:rsidRPr="00FB01AA" w:rsidRDefault="007866D4" w:rsidP="007866D4">
      <w:pPr>
        <w:pStyle w:val="Hlistbullet"/>
        <w:numPr>
          <w:ilvl w:val="0"/>
          <w:numId w:val="0"/>
        </w:numPr>
        <w:rPr>
          <w:sz w:val="18"/>
        </w:rPr>
      </w:pPr>
      <w:r w:rsidRPr="00FB01AA">
        <w:rPr>
          <w:b/>
          <w:sz w:val="18"/>
        </w:rPr>
        <w:t>Оценката на приноса на LEADER/ВОМР</w:t>
      </w:r>
      <w:r w:rsidRPr="00FB01AA">
        <w:rPr>
          <w:sz w:val="18"/>
        </w:rPr>
        <w:t xml:space="preserve"> </w:t>
      </w:r>
      <w:r w:rsidRPr="00FB01AA">
        <w:rPr>
          <w:b/>
          <w:sz w:val="18"/>
        </w:rPr>
        <w:t xml:space="preserve">за изпълнението на целите </w:t>
      </w:r>
      <w:r w:rsidRPr="00FB01AA">
        <w:rPr>
          <w:sz w:val="18"/>
        </w:rPr>
        <w:t xml:space="preserve">във връзка с приоритетите на ОПА и на развитието на селските райони се отнася до ефективността на мярката (до каква степен мярката е допринесла за постигането на целите?) и нейната ефикасност (на каква цена?). Това изисква да се изчисли приносът на изпълнените по LEADER/ВОМР операции. В идеалния случай (това не е </w:t>
      </w:r>
      <w:r w:rsidRPr="00FB01AA">
        <w:rPr>
          <w:b/>
          <w:sz w:val="18"/>
        </w:rPr>
        <w:t>задължително</w:t>
      </w:r>
      <w:r w:rsidRPr="00FB01AA">
        <w:rPr>
          <w:sz w:val="18"/>
        </w:rPr>
        <w:t xml:space="preserve">) оценката следва също така да представи </w:t>
      </w:r>
      <w:r w:rsidR="00BE5976">
        <w:rPr>
          <w:sz w:val="18"/>
        </w:rPr>
        <w:t xml:space="preserve">в </w:t>
      </w:r>
      <w:r w:rsidRPr="00FB01AA">
        <w:rPr>
          <w:sz w:val="18"/>
        </w:rPr>
        <w:t xml:space="preserve">количествено изражение </w:t>
      </w:r>
      <w:r w:rsidRPr="00FB01AA">
        <w:rPr>
          <w:b/>
          <w:sz w:val="18"/>
        </w:rPr>
        <w:t>вторичния принос</w:t>
      </w:r>
      <w:r w:rsidRPr="00FB01AA">
        <w:rPr>
          <w:sz w:val="18"/>
        </w:rPr>
        <w:t xml:space="preserve"> за други ОПА с цел да се изгради по-пълна картина на постиженията на LEADER/ВОМР.</w:t>
      </w:r>
    </w:p>
    <w:p w:rsidR="007866D4" w:rsidRPr="00FB01AA" w:rsidRDefault="007866D4" w:rsidP="007866D4">
      <w:pPr>
        <w:pStyle w:val="Hlistbullet"/>
        <w:ind w:left="426" w:hanging="426"/>
        <w:rPr>
          <w:sz w:val="18"/>
        </w:rPr>
      </w:pPr>
      <w:r w:rsidRPr="00FB01AA">
        <w:rPr>
          <w:b/>
          <w:sz w:val="18"/>
        </w:rPr>
        <w:lastRenderedPageBreak/>
        <w:t>Първичен принос</w:t>
      </w:r>
      <w:r w:rsidRPr="00FB01AA">
        <w:rPr>
          <w:sz w:val="18"/>
        </w:rPr>
        <w:t xml:space="preserve"> за йерархията на целите на ПРСР се очаква във връзка </w:t>
      </w:r>
      <w:r w:rsidR="00ED5F72">
        <w:rPr>
          <w:sz w:val="18"/>
        </w:rPr>
        <w:t xml:space="preserve">с </w:t>
      </w:r>
      <w:r w:rsidRPr="00FB01AA">
        <w:rPr>
          <w:sz w:val="18"/>
        </w:rPr>
        <w:t xml:space="preserve">„местното развитие в селските райони“ (ОПА 6Б, за която LEADER/ВОМР </w:t>
      </w:r>
      <w:r w:rsidR="00BE5976">
        <w:rPr>
          <w:sz w:val="18"/>
        </w:rPr>
        <w:t>с</w:t>
      </w:r>
      <w:r w:rsidRPr="00FB01AA">
        <w:rPr>
          <w:sz w:val="18"/>
        </w:rPr>
        <w:t xml:space="preserve">е планира по подразбиране). </w:t>
      </w:r>
    </w:p>
    <w:p w:rsidR="007866D4" w:rsidRPr="00FB01AA" w:rsidRDefault="007866D4" w:rsidP="007866D4">
      <w:pPr>
        <w:pStyle w:val="Hlistbullet"/>
        <w:ind w:left="426" w:hanging="426"/>
        <w:rPr>
          <w:rFonts w:eastAsiaTheme="majorEastAsia"/>
          <w:sz w:val="18"/>
        </w:rPr>
      </w:pPr>
      <w:r w:rsidRPr="00FB01AA">
        <w:rPr>
          <w:b/>
          <w:sz w:val="18"/>
        </w:rPr>
        <w:t>Вторичен принос</w:t>
      </w:r>
      <w:r w:rsidRPr="00FB01AA">
        <w:rPr>
          <w:sz w:val="18"/>
        </w:rPr>
        <w:t xml:space="preserve"> на LEADER/ВОМР е приносът на операциите, изпълн</w:t>
      </w:r>
      <w:r w:rsidR="00BE5976">
        <w:rPr>
          <w:sz w:val="18"/>
        </w:rPr>
        <w:t>явани</w:t>
      </w:r>
      <w:r w:rsidRPr="00FB01AA">
        <w:rPr>
          <w:sz w:val="18"/>
        </w:rPr>
        <w:t xml:space="preserve"> </w:t>
      </w:r>
      <w:r w:rsidR="00773C34">
        <w:rPr>
          <w:sz w:val="18"/>
        </w:rPr>
        <w:t>ч</w:t>
      </w:r>
      <w:r w:rsidR="00BE5976">
        <w:rPr>
          <w:sz w:val="18"/>
        </w:rPr>
        <w:t>рез</w:t>
      </w:r>
      <w:r w:rsidRPr="00FB01AA">
        <w:rPr>
          <w:sz w:val="18"/>
        </w:rPr>
        <w:t xml:space="preserve"> стратегиите за ВОМР, за </w:t>
      </w:r>
      <w:r w:rsidR="00BE5976">
        <w:rPr>
          <w:sz w:val="18"/>
        </w:rPr>
        <w:t>всяка друга</w:t>
      </w:r>
      <w:r w:rsidRPr="00FB01AA">
        <w:rPr>
          <w:sz w:val="18"/>
        </w:rPr>
        <w:t xml:space="preserve"> ОПА, различна от 6Б. Вторичните приноси, които може да се очакват, са два вида: </w:t>
      </w:r>
    </w:p>
    <w:p w:rsidR="007866D4" w:rsidRPr="00FB01AA" w:rsidRDefault="007866D4" w:rsidP="007866D4">
      <w:pPr>
        <w:pStyle w:val="Hlistbullet2"/>
        <w:ind w:left="993" w:hanging="567"/>
        <w:rPr>
          <w:rFonts w:eastAsiaTheme="majorEastAsia"/>
          <w:sz w:val="18"/>
        </w:rPr>
      </w:pPr>
      <w:r w:rsidRPr="00FB01AA">
        <w:rPr>
          <w:rFonts w:eastAsiaTheme="majorEastAsia"/>
          <w:b/>
          <w:sz w:val="18"/>
        </w:rPr>
        <w:t>преобладаващ вторичен принос</w:t>
      </w:r>
      <w:r w:rsidRPr="00FB01AA">
        <w:rPr>
          <w:sz w:val="18"/>
        </w:rPr>
        <w:t xml:space="preserve"> за ОПА, за които операциите имат значителен принос;</w:t>
      </w:r>
    </w:p>
    <w:p w:rsidR="007866D4" w:rsidRPr="00FB01AA" w:rsidRDefault="007866D4" w:rsidP="007866D4">
      <w:pPr>
        <w:pStyle w:val="Hlistbullet2"/>
        <w:ind w:left="993" w:hanging="567"/>
        <w:rPr>
          <w:rFonts w:eastAsiaTheme="majorEastAsia"/>
          <w:sz w:val="18"/>
        </w:rPr>
      </w:pPr>
      <w:r w:rsidRPr="00FB01AA">
        <w:rPr>
          <w:rFonts w:eastAsiaTheme="majorEastAsia"/>
          <w:b/>
          <w:sz w:val="18"/>
        </w:rPr>
        <w:t>допълнителен вторичен принос</w:t>
      </w:r>
      <w:r w:rsidRPr="00FB01AA">
        <w:rPr>
          <w:sz w:val="18"/>
        </w:rPr>
        <w:t xml:space="preserve"> за ОПА, за които операциите нямат значителен принос. </w:t>
      </w:r>
    </w:p>
    <w:p w:rsidR="007866D4" w:rsidRPr="00FB01AA" w:rsidRDefault="007866D4" w:rsidP="007866D4">
      <w:pPr>
        <w:pStyle w:val="HStandard"/>
        <w:rPr>
          <w:sz w:val="18"/>
        </w:rPr>
      </w:pPr>
      <w:r w:rsidRPr="00FB01AA">
        <w:rPr>
          <w:sz w:val="18"/>
        </w:rPr>
        <w:t xml:space="preserve">Следващите примери помагат да се направи разграничение между първичния и вторичния (преобладаващ и допълнителен) принос на LEADER/ВОМР. </w:t>
      </w:r>
    </w:p>
    <w:p w:rsidR="007866D4" w:rsidRPr="00FB01AA" w:rsidRDefault="007866D4" w:rsidP="007866D4">
      <w:pPr>
        <w:pStyle w:val="HStandard"/>
        <w:rPr>
          <w:sz w:val="18"/>
        </w:rPr>
        <w:sectPr w:rsidR="007866D4" w:rsidRPr="00FB01AA" w:rsidSect="00FE7EA3">
          <w:type w:val="continuous"/>
          <w:pgSz w:w="11906" w:h="16838"/>
          <w:pgMar w:top="1418" w:right="1418" w:bottom="1418" w:left="1418" w:header="709" w:footer="709" w:gutter="0"/>
          <w:cols w:num="2" w:space="397"/>
          <w:docGrid w:linePitch="360"/>
        </w:sectPr>
      </w:pPr>
    </w:p>
    <w:p w:rsidR="007866D4" w:rsidRPr="00FB01AA" w:rsidRDefault="00D21DBF" w:rsidP="00FB34A7">
      <w:pPr>
        <w:pStyle w:val="HStandard"/>
        <w:rPr>
          <w:sz w:val="18"/>
        </w:rPr>
      </w:pPr>
      <w:r w:rsidRPr="00FB01AA">
        <w:rPr>
          <w:noProof/>
          <w:sz w:val="18"/>
          <w:lang w:val="en-GB" w:eastAsia="en-GB" w:bidi="ar-SA"/>
        </w:rPr>
        <mc:AlternateContent>
          <mc:Choice Requires="wps">
            <w:drawing>
              <wp:anchor distT="0" distB="0" distL="114300" distR="114300" simplePos="0" relativeHeight="251658240" behindDoc="0" locked="0" layoutInCell="1" allowOverlap="1" wp14:anchorId="5701AE76" wp14:editId="768EB6C3">
                <wp:simplePos x="0" y="0"/>
                <wp:positionH relativeFrom="column">
                  <wp:posOffset>-264795</wp:posOffset>
                </wp:positionH>
                <wp:positionV relativeFrom="paragraph">
                  <wp:posOffset>739775</wp:posOffset>
                </wp:positionV>
                <wp:extent cx="6164580" cy="6374130"/>
                <wp:effectExtent l="0" t="0" r="26670" b="26670"/>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164580" cy="637413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DBF" w:rsidRPr="000D7A50" w:rsidRDefault="00D21DBF"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5D26B14F" wp14:editId="306D0A5A">
                                  <wp:extent cx="353202" cy="360000"/>
                                  <wp:effectExtent l="0" t="0" r="8890" b="254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Пример 1</w:t>
                            </w:r>
                          </w:p>
                          <w:p w:rsidR="00D21DBF" w:rsidRPr="000D7A50" w:rsidRDefault="00D21DBF" w:rsidP="007866D4">
                            <w:pPr>
                              <w:pStyle w:val="HStandard"/>
                              <w:rPr>
                                <w:rFonts w:cs="Arial"/>
                                <w:sz w:val="18"/>
                                <w:szCs w:val="18"/>
                              </w:rPr>
                            </w:pPr>
                            <w:r>
                              <w:rPr>
                                <w:sz w:val="18"/>
                              </w:rPr>
                              <w:t>На първо място, операциите, изпълнявани по линия на LEADER/ВОМР, които имат първичен принос за ОПА 6B (местно развитие), са изобразени на фигурата по-долу с плътна дебела линия. На второ място, те допринасят за ОПА 3A (хранително-вкусова верига, популяризиране на местните пазари и скъсяване на веригите на доставки), което е отбелязано на фигурата по-долу с плътна тънка линия. Допълнителни вторични приноси може да се очакват за ОПА 6А (диверсификация и създаване на работни места — прекъсната линия), 1A (насърчаване на иновативни дейности), 2Б (подкрепа на млади земеделски стопани за диверсификация извън земеделието), 5Б (насърчаване на проекти за енергийна ефективност) и 5В производство на енергия от възобновяеми източници чрез диверсификация).</w:t>
                            </w:r>
                          </w:p>
                          <w:p w:rsidR="00D21DBF" w:rsidRPr="000D7A50" w:rsidRDefault="00D21DBF" w:rsidP="007866D4">
                            <w:pPr>
                              <w:pStyle w:val="HStandard"/>
                              <w:rPr>
                                <w:rFonts w:cs="Arial"/>
                                <w:sz w:val="18"/>
                                <w:szCs w:val="18"/>
                              </w:rPr>
                            </w:pPr>
                            <w:r w:rsidRPr="00B243BA">
                              <w:rPr>
                                <w:noProof/>
                                <w:lang w:val="en-GB" w:eastAsia="en-GB" w:bidi="ar-SA"/>
                              </w:rPr>
                              <w:drawing>
                                <wp:inline distT="0" distB="0" distL="0" distR="0" wp14:anchorId="6232F2B0" wp14:editId="57953B87">
                                  <wp:extent cx="5674360" cy="3601088"/>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4360" cy="3601088"/>
                                          </a:xfrm>
                                          <a:prstGeom prst="rect">
                                            <a:avLst/>
                                          </a:prstGeom>
                                          <a:noFill/>
                                          <a:ln>
                                            <a:noFill/>
                                          </a:ln>
                                        </pic:spPr>
                                      </pic:pic>
                                    </a:graphicData>
                                  </a:graphic>
                                </wp:inline>
                              </w:drawing>
                            </w:r>
                          </w:p>
                          <w:p w:rsidR="00D21DBF" w:rsidRPr="003B740A" w:rsidRDefault="00D21DBF" w:rsidP="007866D4">
                            <w:pPr>
                              <w:pStyle w:val="HSource"/>
                              <w:rPr>
                                <w:rFonts w:cs="Arial"/>
                              </w:rPr>
                            </w:pPr>
                            <w:r>
                              <w:t>Източник: Европейско бюро за оценка в областта на развитието на селските райони, 2017 г.</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01AE76" id="Rectangle: Diagonal Corners Rounded 30" o:spid="_x0000_s1032" style="position:absolute;left:0;text-align:left;margin-left:-20.85pt;margin-top:58.25pt;width:485.4pt;height:501.9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64580,63741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" adj="-11796480,,5400" path="m480714,l6164580,r,l6164580,5893416v,265491,-215223,480714,-480714,480714l,6374130r,l,480714c,215223,215223,,480714,xe" fillcolor="white [3204]" strokecolor="#f07e31 [3214]" strokeweight="2pt">
                <v:stroke joinstyle="miter"/>
                <v:formulas/>
                <v:path arrowok="t" o:connecttype="custom" o:connectlocs="480714,0;6164580,0;6164580,0;6164580,5893416;5683866,6374130;0,6374130;0,6374130;0,480714;480714,0" o:connectangles="0,0,0,0,0,0,0,0,0" textboxrect="0,0,6164580,6374130"/>
                <v:textbox inset=",0,,0">
                  <w:txbxContent>
                    <w:p w:rsidR="00D21DBF" w:rsidRPr="000D7A50" w:rsidRDefault="00D21DBF"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noProof/>
                          <w:color w:val="F07E31" w:themeColor="background2"/>
                          <w:sz w:val="18"/>
                          <w:szCs w:val="18"/>
                          <w:lang w:val="en-GB" w:eastAsia="en-GB" w:bidi="ar-SA"/>
                        </w:rPr>
                        <w:drawing>
                          <wp:inline distT="0" distB="0" distL="0" distR="0" wp14:anchorId="5D26B14F" wp14:editId="306D0A5A">
                            <wp:extent cx="353202" cy="360000"/>
                            <wp:effectExtent l="0" t="0" r="8890" b="254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Пример 1</w:t>
                      </w:r>
                    </w:p>
                    <w:p w:rsidR="00D21DBF" w:rsidRPr="000D7A50" w:rsidRDefault="00D21DBF" w:rsidP="007866D4">
                      <w:pPr>
                        <w:pStyle w:val="HStandard"/>
                        <w:rPr>
                          <w:rFonts w:cs="Arial"/>
                          <w:sz w:val="18"/>
                          <w:szCs w:val="18"/>
                        </w:rPr>
                      </w:pPr>
                      <w:r>
                        <w:rPr>
                          <w:sz w:val="18"/>
                        </w:rPr>
                        <w:t>На първо място, операциите, изпълнявани по линия на LEADER/ВОМР, които имат първичен принос за ОПА 6B (местно развитие), са изобразени на фигурата по-долу с плътна дебела линия. На второ място, те допринасят за ОПА 3A (хранително-вкусова верига, популяризиране на местните пазари и скъсяване на веригите на доставки), което е отбелязано на фигурата по-долу с плътна тънка линия. Допълнителни вторични приноси може да се очакват за ОПА 6А (диверсификация и създаване на работни места — прекъсната линия), 1A (насърчаване на иновативни дейности), 2Б (подкрепа на млади земеделски стопани за диверсификация извън земеделието), 5Б (насърчаване на проекти за енергийна ефективност) и 5В производство на енергия от възобновяеми източници чрез диверсификация).</w:t>
                      </w:r>
                    </w:p>
                    <w:p w:rsidR="00D21DBF" w:rsidRPr="000D7A50" w:rsidRDefault="00D21DBF" w:rsidP="007866D4">
                      <w:pPr>
                        <w:pStyle w:val="HStandard"/>
                        <w:rPr>
                          <w:rFonts w:cs="Arial"/>
                          <w:sz w:val="18"/>
                          <w:szCs w:val="18"/>
                        </w:rPr>
                      </w:pPr>
                      <w:r w:rsidRPr="00B243BA">
                        <w:rPr>
                          <w:noProof/>
                          <w:lang w:val="en-GB" w:eastAsia="en-GB" w:bidi="ar-SA"/>
                        </w:rPr>
                        <w:drawing>
                          <wp:inline distT="0" distB="0" distL="0" distR="0" wp14:anchorId="6232F2B0" wp14:editId="57953B87">
                            <wp:extent cx="5674360" cy="3601088"/>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74360" cy="3601088"/>
                                    </a:xfrm>
                                    <a:prstGeom prst="rect">
                                      <a:avLst/>
                                    </a:prstGeom>
                                    <a:noFill/>
                                    <a:ln>
                                      <a:noFill/>
                                    </a:ln>
                                  </pic:spPr>
                                </pic:pic>
                              </a:graphicData>
                            </a:graphic>
                          </wp:inline>
                        </w:drawing>
                      </w:r>
                    </w:p>
                    <w:p w:rsidR="00D21DBF" w:rsidRPr="003B740A" w:rsidRDefault="00D21DBF" w:rsidP="007866D4">
                      <w:pPr>
                        <w:pStyle w:val="HSource"/>
                        <w:rPr>
                          <w:rFonts w:cs="Arial"/>
                        </w:rPr>
                      </w:pPr>
                      <w:r>
                        <w:t>Източник: Европейско бюро за оценка в областта на развитието на селските райони, 2017 г.</w:t>
                      </w:r>
                    </w:p>
                  </w:txbxContent>
                </v:textbox>
                <w10:wrap type="square"/>
              </v:shape>
            </w:pict>
          </mc:Fallback>
        </mc:AlternateContent>
      </w:r>
      <w:r w:rsidR="007866D4" w:rsidRPr="00FB01AA">
        <w:rPr>
          <w:sz w:val="18"/>
        </w:rPr>
        <w:br w:type="column"/>
      </w:r>
    </w:p>
    <w:p w:rsidR="007866D4" w:rsidRPr="00FB01AA" w:rsidRDefault="007866D4" w:rsidP="007866D4">
      <w:pPr>
        <w:pStyle w:val="HStandard"/>
        <w:rPr>
          <w:sz w:val="18"/>
        </w:rPr>
      </w:pPr>
    </w:p>
    <w:p w:rsidR="00056A0D" w:rsidRPr="00FB01AA" w:rsidRDefault="00056A0D">
      <w:pPr>
        <w:spacing w:after="0" w:line="240" w:lineRule="auto"/>
        <w:rPr>
          <w:rFonts w:ascii="Arial" w:hAnsi="Arial"/>
          <w:color w:val="373737"/>
          <w:sz w:val="18"/>
          <w:szCs w:val="20"/>
        </w:rPr>
      </w:pPr>
      <w:r w:rsidRPr="00FB01AA">
        <w:rPr>
          <w:sz w:val="28"/>
        </w:rPr>
        <w:br w:type="page"/>
      </w:r>
    </w:p>
    <w:p w:rsidR="007866D4" w:rsidRPr="00FB01AA" w:rsidRDefault="007866D4" w:rsidP="007866D4">
      <w:pPr>
        <w:pStyle w:val="HStandard"/>
        <w:rPr>
          <w:sz w:val="18"/>
        </w:rPr>
      </w:pPr>
    </w:p>
    <w:p w:rsidR="007866D4" w:rsidRPr="00FB01AA" w:rsidRDefault="00056A0D" w:rsidP="007866D4">
      <w:pPr>
        <w:pStyle w:val="HStandard"/>
        <w:spacing w:before="240"/>
        <w:rPr>
          <w:snapToGrid w:val="0"/>
          <w:color w:val="373737" w:themeColor="background1" w:themeShade="40"/>
          <w:sz w:val="18"/>
        </w:rPr>
      </w:pPr>
      <w:r w:rsidRPr="00FB01AA">
        <w:rPr>
          <w:noProof/>
          <w:sz w:val="18"/>
          <w:lang w:val="en-GB" w:eastAsia="en-GB" w:bidi="ar-SA"/>
        </w:rPr>
        <mc:AlternateContent>
          <mc:Choice Requires="wps">
            <w:drawing>
              <wp:anchor distT="0" distB="0" distL="114300" distR="114300" simplePos="0" relativeHeight="251665408" behindDoc="0" locked="0" layoutInCell="1" allowOverlap="1" wp14:anchorId="7C24FDC0" wp14:editId="3227B52C">
                <wp:simplePos x="0" y="0"/>
                <wp:positionH relativeFrom="column">
                  <wp:posOffset>-77470</wp:posOffset>
                </wp:positionH>
                <wp:positionV relativeFrom="paragraph">
                  <wp:posOffset>544830</wp:posOffset>
                </wp:positionV>
                <wp:extent cx="5882640" cy="6217920"/>
                <wp:effectExtent l="0" t="0" r="22860" b="11430"/>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621792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D21DBF">
                              <w:trPr>
                                <w:trHeight w:val="282"/>
                                <w:jc w:val="left"/>
                              </w:trPr>
                              <w:tc>
                                <w:tcPr>
                                  <w:tcW w:w="9781" w:type="dxa"/>
                                  <w:shd w:val="clear" w:color="auto" w:fill="auto"/>
                                </w:tcPr>
                                <w:p w:rsidR="00D21DBF" w:rsidRPr="000D7A50" w:rsidRDefault="00D21DBF"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61F08D92" wp14:editId="6473F47A">
                                        <wp:extent cx="353202" cy="360000"/>
                                        <wp:effectExtent l="0" t="0" r="8890" b="254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Пример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D21DBF">
                                    <w:trPr>
                                      <w:trHeight w:val="410"/>
                                    </w:trPr>
                                    <w:tc>
                                      <w:tcPr>
                                        <w:tcW w:w="9272" w:type="dxa"/>
                                      </w:tcPr>
                                      <w:p w:rsidR="00D21DBF" w:rsidRPr="000D7A50" w:rsidRDefault="00D21DBF" w:rsidP="00BA0A31">
                                        <w:pPr>
                                          <w:pStyle w:val="HStandard"/>
                                          <w:rPr>
                                            <w:rFonts w:ascii="Arial" w:hAnsi="Arial" w:cs="Arial"/>
                                            <w:i/>
                                            <w:sz w:val="18"/>
                                            <w:szCs w:val="18"/>
                                          </w:rPr>
                                        </w:pPr>
                                        <w:r>
                                          <w:rPr>
                                            <w:rFonts w:ascii="Arial" w:hAnsi="Arial"/>
                                            <w:b/>
                                            <w:i/>
                                            <w:sz w:val="18"/>
                                            <w:u w:val="single"/>
                                          </w:rPr>
                                          <w:t>Казус 1</w:t>
                                        </w:r>
                                        <w:r>
                                          <w:rPr>
                                            <w:rFonts w:ascii="Arial" w:hAnsi="Arial"/>
                                            <w:b/>
                                            <w:i/>
                                            <w:sz w:val="18"/>
                                          </w:rPr>
                                          <w:t>:</w:t>
                                        </w:r>
                                        <w:r>
                                          <w:rPr>
                                            <w:rFonts w:ascii="Arial" w:hAnsi="Arial"/>
                                            <w:i/>
                                            <w:sz w:val="18"/>
                                          </w:rPr>
                                          <w:t xml:space="preserve"> Стартирал е проект за подобряване на туристическите услуги на територия на МГД в район с висока природна стойност (ВПС), който включва обучение на местни доставчици на услуги по въпросите на екологичната стойност на районите с ВПС. </w:t>
                                        </w:r>
                                      </w:p>
                                      <w:p w:rsidR="00D21DBF" w:rsidRPr="000D7A50" w:rsidRDefault="00D21DBF" w:rsidP="00BA0A31">
                                        <w:pPr>
                                          <w:pStyle w:val="HStandard"/>
                                          <w:rPr>
                                            <w:rFonts w:ascii="Arial" w:hAnsi="Arial" w:cs="Arial"/>
                                            <w:i/>
                                            <w:sz w:val="18"/>
                                            <w:szCs w:val="18"/>
                                          </w:rPr>
                                        </w:pPr>
                                        <w:r>
                                          <w:rPr>
                                            <w:rFonts w:ascii="Arial" w:hAnsi="Arial"/>
                                            <w:b/>
                                            <w:i/>
                                            <w:sz w:val="18"/>
                                          </w:rPr>
                                          <w:t>Първичен принос</w:t>
                                        </w:r>
                                        <w:r>
                                          <w:rPr>
                                            <w:rFonts w:ascii="Arial" w:hAnsi="Arial"/>
                                            <w:i/>
                                            <w:sz w:val="18"/>
                                          </w:rPr>
                                          <w:t xml:space="preserve"> за местното развитие посредством предоставянето на по-добри туристически услуги (планиран по подразбиране за област с поставен акцент 6Б).</w:t>
                                        </w:r>
                                      </w:p>
                                      <w:p w:rsidR="00D21DBF" w:rsidRPr="000D7A50" w:rsidRDefault="00D21DBF" w:rsidP="00BA0A31">
                                        <w:pPr>
                                          <w:pStyle w:val="HStandard"/>
                                          <w:rPr>
                                            <w:rFonts w:ascii="Arial" w:hAnsi="Arial" w:cs="Arial"/>
                                            <w:i/>
                                            <w:sz w:val="18"/>
                                            <w:szCs w:val="18"/>
                                          </w:rPr>
                                        </w:pPr>
                                        <w:r>
                                          <w:rPr>
                                            <w:rFonts w:ascii="Arial" w:hAnsi="Arial"/>
                                            <w:b/>
                                            <w:i/>
                                            <w:sz w:val="18"/>
                                          </w:rPr>
                                          <w:t>Вторични приноси</w:t>
                                        </w:r>
                                        <w:r>
                                          <w:rPr>
                                            <w:rFonts w:ascii="Arial" w:hAnsi="Arial"/>
                                            <w:i/>
                                            <w:sz w:val="18"/>
                                          </w:rPr>
                                          <w:t xml:space="preserve"> за базата от знания за селските райони (свързани с област с поставен акцент 1А) и за опазването на биологичното разнообразие в райони с висока природна стойност (свързани с област с поставен акцент 4A):</w:t>
                                        </w:r>
                                      </w:p>
                                      <w:p w:rsidR="00D21DBF" w:rsidRPr="000D7A50" w:rsidRDefault="00D21DBF" w:rsidP="005F3F53">
                                        <w:pPr>
                                          <w:pStyle w:val="Hlistbullet"/>
                                          <w:rPr>
                                            <w:rFonts w:ascii="Arial" w:hAnsi="Arial" w:cs="Arial"/>
                                            <w:i/>
                                            <w:sz w:val="18"/>
                                            <w:szCs w:val="18"/>
                                          </w:rPr>
                                        </w:pPr>
                                        <w:r>
                                          <w:rPr>
                                            <w:rFonts w:ascii="Arial" w:hAnsi="Arial"/>
                                            <w:b/>
                                            <w:i/>
                                            <w:sz w:val="18"/>
                                          </w:rPr>
                                          <w:t>преобладаващ вторичен</w:t>
                                        </w:r>
                                        <w:r>
                                          <w:rPr>
                                            <w:rFonts w:ascii="Arial" w:hAnsi="Arial"/>
                                            <w:i/>
                                            <w:sz w:val="18"/>
                                          </w:rPr>
                                          <w:t xml:space="preserve"> принос за базата от знания (област с поставен акцент 1A)</w:t>
                                        </w:r>
                                      </w:p>
                                      <w:p w:rsidR="00D21DBF" w:rsidRPr="000D7A50" w:rsidRDefault="00D21DBF" w:rsidP="005F3F53">
                                        <w:pPr>
                                          <w:pStyle w:val="Hlistbullet"/>
                                          <w:rPr>
                                            <w:rFonts w:ascii="Arial" w:hAnsi="Arial" w:cs="Arial"/>
                                          </w:rPr>
                                        </w:pPr>
                                        <w:r>
                                          <w:rPr>
                                            <w:rFonts w:ascii="Arial" w:hAnsi="Arial"/>
                                            <w:b/>
                                            <w:i/>
                                            <w:sz w:val="18"/>
                                          </w:rPr>
                                          <w:t>допълнителен вторичен</w:t>
                                        </w:r>
                                        <w:r>
                                          <w:rPr>
                                            <w:rFonts w:ascii="Arial" w:hAnsi="Arial"/>
                                            <w:i/>
                                            <w:sz w:val="18"/>
                                          </w:rPr>
                                          <w:t xml:space="preserve"> принос за биологичното разнообразие (област с поставен акцент 4A)</w:t>
                                        </w:r>
                                        <w:r>
                                          <w:rPr>
                                            <w:rFonts w:ascii="Arial" w:hAnsi="Arial"/>
                                          </w:rPr>
                                          <w:t>.</w:t>
                                        </w:r>
                                      </w:p>
                                    </w:tc>
                                  </w:tr>
                                </w:tbl>
                                <w:p w:rsidR="00D21DBF" w:rsidRPr="000D7A50" w:rsidRDefault="00D21DBF"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D21DBF">
                                    <w:trPr>
                                      <w:trHeight w:val="977"/>
                                    </w:trPr>
                                    <w:tc>
                                      <w:tcPr>
                                        <w:tcW w:w="9274" w:type="dxa"/>
                                      </w:tcPr>
                                      <w:p w:rsidR="00D21DBF" w:rsidRPr="000D7A50" w:rsidRDefault="00D21DBF" w:rsidP="00BA0A31">
                                        <w:pPr>
                                          <w:pStyle w:val="HStandard"/>
                                          <w:rPr>
                                            <w:rFonts w:ascii="Arial" w:hAnsi="Arial" w:cs="Arial"/>
                                            <w:i/>
                                            <w:sz w:val="18"/>
                                            <w:szCs w:val="18"/>
                                          </w:rPr>
                                        </w:pPr>
                                        <w:r>
                                          <w:rPr>
                                            <w:rFonts w:ascii="Arial" w:hAnsi="Arial"/>
                                            <w:b/>
                                            <w:i/>
                                            <w:sz w:val="18"/>
                                            <w:u w:val="single"/>
                                          </w:rPr>
                                          <w:t>Казус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По проект е предоставена подкрепа за реконструкцията на сграда и оборудването ѝ с технология за обработка на дървесина в земеделско стопанство. Благодарение на проекта е увеличена производствената база на стопанството и е създадено едно работно място, а биомасата от обработването на дървения материал е била използвана за производство на биогориво. </w:t>
                                        </w:r>
                                      </w:p>
                                      <w:p w:rsidR="00D21DBF" w:rsidRPr="000D7A50" w:rsidRDefault="00D21DBF" w:rsidP="00BA0A31">
                                        <w:pPr>
                                          <w:pStyle w:val="HStandard"/>
                                          <w:rPr>
                                            <w:rFonts w:ascii="Arial" w:hAnsi="Arial" w:cs="Arial"/>
                                            <w:i/>
                                            <w:sz w:val="18"/>
                                            <w:szCs w:val="18"/>
                                          </w:rPr>
                                        </w:pPr>
                                        <w:r>
                                          <w:rPr>
                                            <w:rFonts w:ascii="Arial" w:hAnsi="Arial"/>
                                            <w:b/>
                                            <w:i/>
                                            <w:sz w:val="18"/>
                                          </w:rPr>
                                          <w:t>Първичен принос</w:t>
                                        </w:r>
                                        <w:r>
                                          <w:rPr>
                                            <w:rFonts w:ascii="Arial" w:hAnsi="Arial"/>
                                            <w:i/>
                                            <w:sz w:val="18"/>
                                          </w:rPr>
                                          <w:t xml:space="preserve"> за местното развитие (планиран по подразбиране за област с поставен акцент 6Б).</w:t>
                                        </w:r>
                                      </w:p>
                                      <w:p w:rsidR="00D21DBF" w:rsidRPr="000D7A50" w:rsidRDefault="00D21DBF" w:rsidP="00BA0A31">
                                        <w:pPr>
                                          <w:pStyle w:val="HStandard"/>
                                          <w:rPr>
                                            <w:rFonts w:ascii="Arial" w:hAnsi="Arial" w:cs="Arial"/>
                                            <w:i/>
                                            <w:sz w:val="18"/>
                                            <w:szCs w:val="18"/>
                                          </w:rPr>
                                        </w:pPr>
                                        <w:r>
                                          <w:rPr>
                                            <w:rFonts w:ascii="Arial" w:hAnsi="Arial"/>
                                            <w:b/>
                                            <w:i/>
                                            <w:sz w:val="18"/>
                                          </w:rPr>
                                          <w:t>Вторични приноси</w:t>
                                        </w:r>
                                        <w:r>
                                          <w:rPr>
                                            <w:rFonts w:ascii="Arial" w:hAnsi="Arial"/>
                                            <w:i/>
                                            <w:sz w:val="18"/>
                                          </w:rPr>
                                          <w:t xml:space="preserve"> за производството на енергия от възобновяеми източници (свързани с област с поставен акцент 5В) и за резултатите на стопанството (свързани с област с поставен акцент 2А):</w:t>
                                        </w:r>
                                      </w:p>
                                      <w:p w:rsidR="00D21DBF" w:rsidRPr="000D7A50" w:rsidRDefault="00D21DBF" w:rsidP="005F3F53">
                                        <w:pPr>
                                          <w:pStyle w:val="Hlistbullet"/>
                                          <w:rPr>
                                            <w:rFonts w:ascii="Arial" w:hAnsi="Arial" w:cs="Arial"/>
                                            <w:i/>
                                            <w:sz w:val="18"/>
                                            <w:szCs w:val="18"/>
                                          </w:rPr>
                                        </w:pPr>
                                        <w:r>
                                          <w:rPr>
                                            <w:rFonts w:ascii="Arial" w:hAnsi="Arial"/>
                                            <w:b/>
                                            <w:i/>
                                            <w:sz w:val="18"/>
                                          </w:rPr>
                                          <w:t>преобладаващ вторичен</w:t>
                                        </w:r>
                                        <w:r>
                                          <w:rPr>
                                            <w:rFonts w:ascii="Arial" w:hAnsi="Arial"/>
                                            <w:i/>
                                            <w:sz w:val="18"/>
                                          </w:rPr>
                                          <w:t xml:space="preserve"> принос за производството на енергия от възобновяеми източници (област с поставен акцент 5В);</w:t>
                                        </w:r>
                                      </w:p>
                                      <w:p w:rsidR="00D21DBF" w:rsidRPr="000D7A50" w:rsidRDefault="00D21DBF" w:rsidP="005F3F53">
                                        <w:pPr>
                                          <w:pStyle w:val="Hlistbullet"/>
                                          <w:rPr>
                                            <w:rFonts w:ascii="Arial" w:hAnsi="Arial" w:cs="Arial"/>
                                          </w:rPr>
                                        </w:pPr>
                                        <w:r>
                                          <w:rPr>
                                            <w:rFonts w:ascii="Arial" w:hAnsi="Arial"/>
                                            <w:b/>
                                            <w:i/>
                                            <w:sz w:val="18"/>
                                          </w:rPr>
                                          <w:t>допълнителен вторичен</w:t>
                                        </w:r>
                                        <w:r>
                                          <w:rPr>
                                            <w:rFonts w:ascii="Arial" w:hAnsi="Arial"/>
                                            <w:i/>
                                            <w:sz w:val="18"/>
                                          </w:rPr>
                                          <w:t xml:space="preserve"> принос за подобряване на резултатите на стопанството (област с поставен акцент 2А).</w:t>
                                        </w:r>
                                      </w:p>
                                    </w:tc>
                                  </w:tr>
                                </w:tbl>
                                <w:p w:rsidR="00D21DBF" w:rsidRPr="000D7A50" w:rsidRDefault="00D21DBF" w:rsidP="00BA0A31">
                                  <w:pPr>
                                    <w:ind w:left="29"/>
                                    <w:jc w:val="both"/>
                                    <w:rPr>
                                      <w:rFonts w:ascii="Arial" w:hAnsi="Arial" w:cs="Arial"/>
                                      <w:i/>
                                      <w:color w:val="161616" w:themeColor="background1" w:themeShade="1A"/>
                                      <w:sz w:val="18"/>
                                      <w:szCs w:val="18"/>
                                    </w:rPr>
                                  </w:pPr>
                                </w:p>
                              </w:tc>
                            </w:tr>
                          </w:tbl>
                          <w:p w:rsidR="00D21DBF" w:rsidRPr="003B740A" w:rsidRDefault="00D21DBF"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24FDC0" id="Rectangle: Diagonal Corners Rounded 31" o:spid="_x0000_s1033" style="position:absolute;left:0;text-align:left;margin-left:-6.1pt;margin-top:42.9pt;width:463.2pt;height:489.6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5882640,6217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" adj="-11796480,,5400" path="m458728,l5882640,r,l5882640,5759192v,253348,-205380,458728,-458728,458728l,6217920r,l,458728c,205380,205380,,458728,xe" fillcolor="white [3204]" strokecolor="#f07e31 [3214]" strokeweight="2pt">
                <v:stroke joinstyle="miter"/>
                <v:formulas/>
                <v:path arrowok="t" o:connecttype="custom" o:connectlocs="458728,0;5882640,0;5882640,0;5882640,5759192;5423912,6217920;0,6217920;0,6217920;0,458728;458728,0" o:connectangles="0,0,0,0,0,0,0,0,0" textboxrect="0,0,5882640,6217920"/>
                <v:textbox inset=",0,,0">
                  <w:txbxContent>
                    <w:tbl>
                      <w:tblPr>
                        <w:tblStyle w:val="TableGrid"/>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D21DBF">
                        <w:trPr>
                          <w:trHeight w:val="282"/>
                          <w:jc w:val="left"/>
                        </w:trPr>
                        <w:tc>
                          <w:tcPr>
                            <w:tcW w:w="9781" w:type="dxa"/>
                            <w:shd w:val="clear" w:color="auto" w:fill="auto"/>
                          </w:tcPr>
                          <w:p w:rsidR="00D21DBF" w:rsidRPr="000D7A50" w:rsidRDefault="00D21DBF"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61F08D92" wp14:editId="6473F47A">
                                  <wp:extent cx="353202" cy="360000"/>
                                  <wp:effectExtent l="0" t="0" r="8890" b="254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Пример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D21DBF">
                              <w:trPr>
                                <w:trHeight w:val="410"/>
                              </w:trPr>
                              <w:tc>
                                <w:tcPr>
                                  <w:tcW w:w="9272" w:type="dxa"/>
                                </w:tcPr>
                                <w:p w:rsidR="00D21DBF" w:rsidRPr="000D7A50" w:rsidRDefault="00D21DBF" w:rsidP="00BA0A31">
                                  <w:pPr>
                                    <w:pStyle w:val="HStandard"/>
                                    <w:rPr>
                                      <w:rFonts w:ascii="Arial" w:hAnsi="Arial" w:cs="Arial"/>
                                      <w:i/>
                                      <w:sz w:val="18"/>
                                      <w:szCs w:val="18"/>
                                    </w:rPr>
                                  </w:pPr>
                                  <w:r>
                                    <w:rPr>
                                      <w:rFonts w:ascii="Arial" w:hAnsi="Arial"/>
                                      <w:b/>
                                      <w:i/>
                                      <w:sz w:val="18"/>
                                      <w:u w:val="single"/>
                                    </w:rPr>
                                    <w:t>Казус 1</w:t>
                                  </w:r>
                                  <w:r>
                                    <w:rPr>
                                      <w:rFonts w:ascii="Arial" w:hAnsi="Arial"/>
                                      <w:b/>
                                      <w:i/>
                                      <w:sz w:val="18"/>
                                    </w:rPr>
                                    <w:t>:</w:t>
                                  </w:r>
                                  <w:r>
                                    <w:rPr>
                                      <w:rFonts w:ascii="Arial" w:hAnsi="Arial"/>
                                      <w:i/>
                                      <w:sz w:val="18"/>
                                    </w:rPr>
                                    <w:t xml:space="preserve"> Стартирал е проект за подобряване на туристическите услуги на територия на МГД в район с висока природна стойност (ВПС), който включва обучение на местни доставчици на услуги по въпросите на екологичната стойност на районите с ВПС. </w:t>
                                  </w:r>
                                </w:p>
                                <w:p w:rsidR="00D21DBF" w:rsidRPr="000D7A50" w:rsidRDefault="00D21DBF" w:rsidP="00BA0A31">
                                  <w:pPr>
                                    <w:pStyle w:val="HStandard"/>
                                    <w:rPr>
                                      <w:rFonts w:ascii="Arial" w:hAnsi="Arial" w:cs="Arial"/>
                                      <w:i/>
                                      <w:sz w:val="18"/>
                                      <w:szCs w:val="18"/>
                                    </w:rPr>
                                  </w:pPr>
                                  <w:r>
                                    <w:rPr>
                                      <w:rFonts w:ascii="Arial" w:hAnsi="Arial"/>
                                      <w:b/>
                                      <w:i/>
                                      <w:sz w:val="18"/>
                                    </w:rPr>
                                    <w:t>Първичен принос</w:t>
                                  </w:r>
                                  <w:r>
                                    <w:rPr>
                                      <w:rFonts w:ascii="Arial" w:hAnsi="Arial"/>
                                      <w:i/>
                                      <w:sz w:val="18"/>
                                    </w:rPr>
                                    <w:t xml:space="preserve"> за местното развитие посредством предоставянето на по-добри туристически услуги (планиран по подразбиране за област с поставен акцент 6Б).</w:t>
                                  </w:r>
                                </w:p>
                                <w:p w:rsidR="00D21DBF" w:rsidRPr="000D7A50" w:rsidRDefault="00D21DBF" w:rsidP="00BA0A31">
                                  <w:pPr>
                                    <w:pStyle w:val="HStandard"/>
                                    <w:rPr>
                                      <w:rFonts w:ascii="Arial" w:hAnsi="Arial" w:cs="Arial"/>
                                      <w:i/>
                                      <w:sz w:val="18"/>
                                      <w:szCs w:val="18"/>
                                    </w:rPr>
                                  </w:pPr>
                                  <w:r>
                                    <w:rPr>
                                      <w:rFonts w:ascii="Arial" w:hAnsi="Arial"/>
                                      <w:b/>
                                      <w:i/>
                                      <w:sz w:val="18"/>
                                    </w:rPr>
                                    <w:t>Вторични приноси</w:t>
                                  </w:r>
                                  <w:r>
                                    <w:rPr>
                                      <w:rFonts w:ascii="Arial" w:hAnsi="Arial"/>
                                      <w:i/>
                                      <w:sz w:val="18"/>
                                    </w:rPr>
                                    <w:t xml:space="preserve"> за базата от знания за селските райони (свързани с област с поставен акцент 1А) и за опазването на биологичното разнообразие в райони с висока природна стойност (свързани с област с поставен акцент 4A):</w:t>
                                  </w:r>
                                </w:p>
                                <w:p w:rsidR="00D21DBF" w:rsidRPr="000D7A50" w:rsidRDefault="00D21DBF" w:rsidP="005F3F53">
                                  <w:pPr>
                                    <w:pStyle w:val="Hlistbullet"/>
                                    <w:rPr>
                                      <w:rFonts w:ascii="Arial" w:hAnsi="Arial" w:cs="Arial"/>
                                      <w:i/>
                                      <w:sz w:val="18"/>
                                      <w:szCs w:val="18"/>
                                    </w:rPr>
                                  </w:pPr>
                                  <w:r>
                                    <w:rPr>
                                      <w:rFonts w:ascii="Arial" w:hAnsi="Arial"/>
                                      <w:b/>
                                      <w:i/>
                                      <w:sz w:val="18"/>
                                    </w:rPr>
                                    <w:t>преобладаващ вторичен</w:t>
                                  </w:r>
                                  <w:r>
                                    <w:rPr>
                                      <w:rFonts w:ascii="Arial" w:hAnsi="Arial"/>
                                      <w:i/>
                                      <w:sz w:val="18"/>
                                    </w:rPr>
                                    <w:t xml:space="preserve"> принос за базата от знания (област с поставен акцент 1A)</w:t>
                                  </w:r>
                                </w:p>
                                <w:p w:rsidR="00D21DBF" w:rsidRPr="000D7A50" w:rsidRDefault="00D21DBF" w:rsidP="005F3F53">
                                  <w:pPr>
                                    <w:pStyle w:val="Hlistbullet"/>
                                    <w:rPr>
                                      <w:rFonts w:ascii="Arial" w:hAnsi="Arial" w:cs="Arial"/>
                                    </w:rPr>
                                  </w:pPr>
                                  <w:r>
                                    <w:rPr>
                                      <w:rFonts w:ascii="Arial" w:hAnsi="Arial"/>
                                      <w:b/>
                                      <w:i/>
                                      <w:sz w:val="18"/>
                                    </w:rPr>
                                    <w:t>допълнителен вторичен</w:t>
                                  </w:r>
                                  <w:r>
                                    <w:rPr>
                                      <w:rFonts w:ascii="Arial" w:hAnsi="Arial"/>
                                      <w:i/>
                                      <w:sz w:val="18"/>
                                    </w:rPr>
                                    <w:t xml:space="preserve"> принос за биологичното разнообразие (област с поставен акцент 4A)</w:t>
                                  </w:r>
                                  <w:r>
                                    <w:rPr>
                                      <w:rFonts w:ascii="Arial" w:hAnsi="Arial"/>
                                    </w:rPr>
                                    <w:t>.</w:t>
                                  </w:r>
                                </w:p>
                              </w:tc>
                            </w:tr>
                          </w:tbl>
                          <w:p w:rsidR="00D21DBF" w:rsidRPr="000D7A50" w:rsidRDefault="00D21DBF" w:rsidP="00BA0A31">
                            <w:pPr>
                              <w:spacing w:after="0" w:line="240" w:lineRule="auto"/>
                              <w:ind w:left="28"/>
                              <w:jc w:val="both"/>
                              <w:rPr>
                                <w:rFonts w:ascii="Arial" w:hAnsi="Arial" w:cs="Arial"/>
                                <w:b/>
                                <w:i/>
                                <w:color w:val="161616" w:themeColor="background1" w:themeShade="1A"/>
                                <w:sz w:val="4"/>
                                <w:szCs w:val="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D21DBF">
                              <w:trPr>
                                <w:trHeight w:val="977"/>
                              </w:trPr>
                              <w:tc>
                                <w:tcPr>
                                  <w:tcW w:w="9274" w:type="dxa"/>
                                </w:tcPr>
                                <w:p w:rsidR="00D21DBF" w:rsidRPr="000D7A50" w:rsidRDefault="00D21DBF" w:rsidP="00BA0A31">
                                  <w:pPr>
                                    <w:pStyle w:val="HStandard"/>
                                    <w:rPr>
                                      <w:rFonts w:ascii="Arial" w:hAnsi="Arial" w:cs="Arial"/>
                                      <w:i/>
                                      <w:sz w:val="18"/>
                                      <w:szCs w:val="18"/>
                                    </w:rPr>
                                  </w:pPr>
                                  <w:r>
                                    <w:rPr>
                                      <w:rFonts w:ascii="Arial" w:hAnsi="Arial"/>
                                      <w:b/>
                                      <w:i/>
                                      <w:sz w:val="18"/>
                                      <w:u w:val="single"/>
                                    </w:rPr>
                                    <w:t>Казус 2</w:t>
                                  </w:r>
                                  <w:r>
                                    <w:rPr>
                                      <w:rFonts w:ascii="Arial" w:hAnsi="Arial"/>
                                      <w:b/>
                                      <w:i/>
                                      <w:sz w:val="18"/>
                                    </w:rPr>
                                    <w:t>:</w:t>
                                  </w:r>
                                  <w:r>
                                    <w:tab/>
                                  </w:r>
                                  <w:r>
                                    <w:rPr>
                                      <w:rFonts w:ascii="Arial" w:hAnsi="Arial"/>
                                      <w:i/>
                                      <w:sz w:val="18"/>
                                    </w:rPr>
                                    <w:t xml:space="preserve">  </w:t>
                                  </w:r>
                                  <w:r>
                                    <w:rPr>
                                      <w:rFonts w:ascii="Arial" w:hAnsi="Arial" w:cs="Arial"/>
                                      <w:i/>
                                      <w:sz w:val="18"/>
                                      <w:szCs w:val="18"/>
                                    </w:rPr>
                                    <w:br/>
                                  </w:r>
                                  <w:r>
                                    <w:rPr>
                                      <w:rFonts w:ascii="Arial" w:hAnsi="Arial"/>
                                      <w:i/>
                                      <w:sz w:val="18"/>
                                    </w:rPr>
                                    <w:t xml:space="preserve">По проект е предоставена подкрепа за реконструкцията на сграда и оборудването ѝ с технология за обработка на дървесина в земеделско стопанство. Благодарение на проекта е увеличена производствената база на стопанството и е създадено едно работно място, а биомасата от обработването на дървения материал е била използвана за производство на биогориво. </w:t>
                                  </w:r>
                                </w:p>
                                <w:p w:rsidR="00D21DBF" w:rsidRPr="000D7A50" w:rsidRDefault="00D21DBF" w:rsidP="00BA0A31">
                                  <w:pPr>
                                    <w:pStyle w:val="HStandard"/>
                                    <w:rPr>
                                      <w:rFonts w:ascii="Arial" w:hAnsi="Arial" w:cs="Arial"/>
                                      <w:i/>
                                      <w:sz w:val="18"/>
                                      <w:szCs w:val="18"/>
                                    </w:rPr>
                                  </w:pPr>
                                  <w:r>
                                    <w:rPr>
                                      <w:rFonts w:ascii="Arial" w:hAnsi="Arial"/>
                                      <w:b/>
                                      <w:i/>
                                      <w:sz w:val="18"/>
                                    </w:rPr>
                                    <w:t>Първичен принос</w:t>
                                  </w:r>
                                  <w:r>
                                    <w:rPr>
                                      <w:rFonts w:ascii="Arial" w:hAnsi="Arial"/>
                                      <w:i/>
                                      <w:sz w:val="18"/>
                                    </w:rPr>
                                    <w:t xml:space="preserve"> за местното развитие (планиран по подразбиране за област с поставен акцент 6Б).</w:t>
                                  </w:r>
                                </w:p>
                                <w:p w:rsidR="00D21DBF" w:rsidRPr="000D7A50" w:rsidRDefault="00D21DBF" w:rsidP="00BA0A31">
                                  <w:pPr>
                                    <w:pStyle w:val="HStandard"/>
                                    <w:rPr>
                                      <w:rFonts w:ascii="Arial" w:hAnsi="Arial" w:cs="Arial"/>
                                      <w:i/>
                                      <w:sz w:val="18"/>
                                      <w:szCs w:val="18"/>
                                    </w:rPr>
                                  </w:pPr>
                                  <w:r>
                                    <w:rPr>
                                      <w:rFonts w:ascii="Arial" w:hAnsi="Arial"/>
                                      <w:b/>
                                      <w:i/>
                                      <w:sz w:val="18"/>
                                    </w:rPr>
                                    <w:t>Вторични приноси</w:t>
                                  </w:r>
                                  <w:r>
                                    <w:rPr>
                                      <w:rFonts w:ascii="Arial" w:hAnsi="Arial"/>
                                      <w:i/>
                                      <w:sz w:val="18"/>
                                    </w:rPr>
                                    <w:t xml:space="preserve"> за производството на енергия от възобновяеми източници (свързани с област с поставен акцент 5В) и за резултатите на стопанството (свързани с област с поставен акцент 2А):</w:t>
                                  </w:r>
                                </w:p>
                                <w:p w:rsidR="00D21DBF" w:rsidRPr="000D7A50" w:rsidRDefault="00D21DBF" w:rsidP="005F3F53">
                                  <w:pPr>
                                    <w:pStyle w:val="Hlistbullet"/>
                                    <w:rPr>
                                      <w:rFonts w:ascii="Arial" w:hAnsi="Arial" w:cs="Arial"/>
                                      <w:i/>
                                      <w:sz w:val="18"/>
                                      <w:szCs w:val="18"/>
                                    </w:rPr>
                                  </w:pPr>
                                  <w:r>
                                    <w:rPr>
                                      <w:rFonts w:ascii="Arial" w:hAnsi="Arial"/>
                                      <w:b/>
                                      <w:i/>
                                      <w:sz w:val="18"/>
                                    </w:rPr>
                                    <w:t>преобладаващ вторичен</w:t>
                                  </w:r>
                                  <w:r>
                                    <w:rPr>
                                      <w:rFonts w:ascii="Arial" w:hAnsi="Arial"/>
                                      <w:i/>
                                      <w:sz w:val="18"/>
                                    </w:rPr>
                                    <w:t xml:space="preserve"> принос за производството на енергия от възобновяеми източници (област с поставен акцент 5В);</w:t>
                                  </w:r>
                                </w:p>
                                <w:p w:rsidR="00D21DBF" w:rsidRPr="000D7A50" w:rsidRDefault="00D21DBF" w:rsidP="005F3F53">
                                  <w:pPr>
                                    <w:pStyle w:val="Hlistbullet"/>
                                    <w:rPr>
                                      <w:rFonts w:ascii="Arial" w:hAnsi="Arial" w:cs="Arial"/>
                                    </w:rPr>
                                  </w:pPr>
                                  <w:r>
                                    <w:rPr>
                                      <w:rFonts w:ascii="Arial" w:hAnsi="Arial"/>
                                      <w:b/>
                                      <w:i/>
                                      <w:sz w:val="18"/>
                                    </w:rPr>
                                    <w:t>допълнителен вторичен</w:t>
                                  </w:r>
                                  <w:r>
                                    <w:rPr>
                                      <w:rFonts w:ascii="Arial" w:hAnsi="Arial"/>
                                      <w:i/>
                                      <w:sz w:val="18"/>
                                    </w:rPr>
                                    <w:t xml:space="preserve"> принос за подобряване на резултатите на стопанството (област с поставен акцент 2А).</w:t>
                                  </w:r>
                                </w:p>
                              </w:tc>
                            </w:tr>
                          </w:tbl>
                          <w:p w:rsidR="00D21DBF" w:rsidRPr="000D7A50" w:rsidRDefault="00D21DBF" w:rsidP="00BA0A31">
                            <w:pPr>
                              <w:ind w:left="29"/>
                              <w:jc w:val="both"/>
                              <w:rPr>
                                <w:rFonts w:ascii="Arial" w:hAnsi="Arial" w:cs="Arial"/>
                                <w:i/>
                                <w:color w:val="161616" w:themeColor="background1" w:themeShade="1A"/>
                                <w:sz w:val="18"/>
                                <w:szCs w:val="18"/>
                              </w:rPr>
                            </w:pPr>
                          </w:p>
                        </w:tc>
                      </w:tr>
                    </w:tbl>
                    <w:p w:rsidR="00D21DBF" w:rsidRPr="003B740A" w:rsidRDefault="00D21DBF" w:rsidP="00056A0D">
                      <w:pPr>
                        <w:pStyle w:val="HSource"/>
                        <w:rPr>
                          <w:rFonts w:cs="Arial"/>
                        </w:rPr>
                      </w:pPr>
                    </w:p>
                  </w:txbxContent>
                </v:textbox>
                <w10:wrap type="square"/>
              </v:shape>
            </w:pict>
          </mc:Fallback>
        </mc:AlternateContent>
      </w:r>
      <w:r w:rsidRPr="00FB01AA">
        <w:rPr>
          <w:sz w:val="18"/>
        </w:rPr>
        <w:br w:type="page"/>
      </w:r>
    </w:p>
    <w:p w:rsidR="007866D4" w:rsidRPr="00FB01AA" w:rsidRDefault="007866D4" w:rsidP="007866D4">
      <w:pPr>
        <w:pStyle w:val="HStandard"/>
        <w:spacing w:before="120"/>
        <w:rPr>
          <w:snapToGrid w:val="0"/>
          <w:sz w:val="18"/>
        </w:rPr>
      </w:pPr>
      <w:r w:rsidRPr="00FB01AA">
        <w:rPr>
          <w:sz w:val="18"/>
        </w:rPr>
        <w:lastRenderedPageBreak/>
        <w:t xml:space="preserve">При оценката на LEADER/ВОМР следва да се вземе предвид също и оценката на </w:t>
      </w:r>
      <w:r w:rsidRPr="00FB01AA">
        <w:rPr>
          <w:b/>
          <w:sz w:val="18"/>
        </w:rPr>
        <w:t xml:space="preserve">приноса на LEADER/ВОМР </w:t>
      </w:r>
      <w:r w:rsidRPr="00FB01AA">
        <w:rPr>
          <w:sz w:val="18"/>
        </w:rPr>
        <w:t>за</w:t>
      </w:r>
      <w:r w:rsidRPr="00FB01AA">
        <w:rPr>
          <w:b/>
          <w:sz w:val="18"/>
        </w:rPr>
        <w:t xml:space="preserve"> тематичните цели</w:t>
      </w:r>
      <w:r w:rsidRPr="00FB01AA">
        <w:rPr>
          <w:sz w:val="18"/>
        </w:rPr>
        <w:t xml:space="preserve"> (и по-специално ТЦ1, ТЦ3, ТЦ8 и ТЦ9</w:t>
      </w:r>
      <w:r w:rsidRPr="00FB01AA">
        <w:rPr>
          <w:sz w:val="18"/>
          <w:vertAlign w:val="superscript"/>
        </w:rPr>
        <w:footnoteReference w:id="31"/>
      </w:r>
      <w:r w:rsidRPr="00FB01AA">
        <w:rPr>
          <w:sz w:val="18"/>
        </w:rPr>
        <w:t xml:space="preserve">), а оттам и за постигането на целите на </w:t>
      </w:r>
      <w:r w:rsidRPr="00FB01AA">
        <w:rPr>
          <w:b/>
          <w:sz w:val="18"/>
        </w:rPr>
        <w:t>стратегията на Съюза за интелигентен, устойчив и приобщаващ растеж</w:t>
      </w:r>
      <w:r w:rsidRPr="00FB01AA">
        <w:rPr>
          <w:sz w:val="18"/>
          <w:vertAlign w:val="superscript"/>
        </w:rPr>
        <w:footnoteReference w:id="32"/>
      </w:r>
      <w:r w:rsidRPr="00FB01AA">
        <w:rPr>
          <w:sz w:val="18"/>
        </w:rPr>
        <w:t xml:space="preserve">. LEADER/ВОМР допринася за постигането на тематичните цели чрез приноса си за а) целите, свързани с приоритетите на ОПА във връзка с ПРСР; и б) целите на ВОМР, определени в Споразуменията за партньорство. </w:t>
      </w:r>
      <w:r w:rsidRPr="00FB01AA">
        <w:rPr>
          <w:sz w:val="18"/>
        </w:rPr>
        <w:br w:type="column"/>
      </w:r>
      <w:r w:rsidRPr="00FB01AA">
        <w:rPr>
          <w:sz w:val="18"/>
        </w:rPr>
        <w:t>Докато за а) приносът за ОПА се оценява по време на оценката на резултатите от ПРСР, то за б) оценката се прави в рамките на оценките на Споразуменията за партньорство посредством оценката на ПРСР. Когато LEADER/ВОМР и инструментите по други ОП, финансирани от ЕФРР, ЕСФ или ЕФМДР, се изпълняват заедно по една стратегия за ВОМР, оценката на ефективността и ефикасността на програмно равнище следва да включва анализ на допълняемостта и на взаимодействията между различните инструменти на ВОМР.</w:t>
      </w:r>
    </w:p>
    <w:p w:rsidR="007866D4" w:rsidRPr="00FB01AA" w:rsidRDefault="007866D4" w:rsidP="007866D4">
      <w:pPr>
        <w:spacing w:after="0" w:line="240" w:lineRule="auto"/>
        <w:rPr>
          <w:rFonts w:ascii="Arial" w:hAnsi="Arial"/>
          <w:snapToGrid w:val="0"/>
          <w:color w:val="373737"/>
          <w:sz w:val="18"/>
          <w:szCs w:val="20"/>
        </w:rPr>
        <w:sectPr w:rsidR="007866D4" w:rsidRPr="00FB01AA" w:rsidSect="005D2A53">
          <w:type w:val="continuous"/>
          <w:pgSz w:w="11906" w:h="16838"/>
          <w:pgMar w:top="1418" w:right="1418" w:bottom="1418" w:left="1418" w:header="709" w:footer="709" w:gutter="0"/>
          <w:cols w:num="2" w:space="397"/>
          <w:docGrid w:linePitch="360"/>
        </w:sectPr>
      </w:pPr>
    </w:p>
    <w:p w:rsidR="007866D4" w:rsidRPr="00FB01AA" w:rsidRDefault="007866D4" w:rsidP="007866D4">
      <w:pPr>
        <w:pStyle w:val="HHeadingFigure"/>
        <w:rPr>
          <w:sz w:val="14"/>
        </w:rPr>
      </w:pPr>
      <w:bookmarkStart w:id="62" w:name="_Toc493497734"/>
      <w:bookmarkStart w:id="63" w:name="_Toc498507094"/>
      <w:r w:rsidRPr="00FB01AA">
        <w:rPr>
          <w:sz w:val="14"/>
        </w:rPr>
        <w:lastRenderedPageBreak/>
        <w:t>Вертикални и хоризонтални връзки между равнищата на изпълнение на ЕСИ фондове</w:t>
      </w:r>
      <w:bookmarkEnd w:id="62"/>
      <w:bookmarkEnd w:id="63"/>
    </w:p>
    <w:p w:rsidR="007866D4" w:rsidRPr="00FB01AA" w:rsidRDefault="00487068" w:rsidP="007866D4">
      <w:pPr>
        <w:pStyle w:val="HSource"/>
        <w:rPr>
          <w:sz w:val="14"/>
        </w:rPr>
      </w:pPr>
      <w:r w:rsidRPr="00487068">
        <w:rPr>
          <w:noProof/>
          <w:lang w:val="en-GB" w:eastAsia="en-GB" w:bidi="ar-SA"/>
        </w:rPr>
        <w:drawing>
          <wp:inline distT="0" distB="0" distL="0" distR="0" wp14:anchorId="385E2D94" wp14:editId="10076361">
            <wp:extent cx="3923173" cy="2412000"/>
            <wp:effectExtent l="0" t="0" r="1270" b="762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923173" cy="2412000"/>
                    </a:xfrm>
                    <a:prstGeom prst="rect">
                      <a:avLst/>
                    </a:prstGeom>
                    <a:noFill/>
                    <a:ln>
                      <a:noFill/>
                    </a:ln>
                  </pic:spPr>
                </pic:pic>
              </a:graphicData>
            </a:graphic>
          </wp:inline>
        </w:drawing>
      </w:r>
    </w:p>
    <w:p w:rsidR="007866D4" w:rsidRPr="00FB01AA" w:rsidRDefault="007866D4" w:rsidP="007866D4">
      <w:pPr>
        <w:pStyle w:val="HSource"/>
        <w:rPr>
          <w:sz w:val="14"/>
        </w:rPr>
      </w:pPr>
      <w:r w:rsidRPr="00FB01AA">
        <w:rPr>
          <w:sz w:val="14"/>
        </w:rPr>
        <w:t>Източник: Европейско бюро за оценка в областта на развитието на селските райони, 2017 г.</w:t>
      </w:r>
    </w:p>
    <w:p w:rsidR="007866D4" w:rsidRPr="00FB01AA" w:rsidRDefault="007866D4" w:rsidP="007866D4">
      <w:pPr>
        <w:spacing w:after="0" w:line="240" w:lineRule="auto"/>
        <w:rPr>
          <w:rFonts w:ascii="Arial" w:hAnsi="Arial"/>
          <w:snapToGrid w:val="0"/>
          <w:color w:val="373737"/>
          <w:sz w:val="18"/>
          <w:szCs w:val="20"/>
        </w:rPr>
        <w:sectPr w:rsidR="007866D4" w:rsidRPr="00FB01AA" w:rsidSect="004F42EF">
          <w:type w:val="continuous"/>
          <w:pgSz w:w="11906" w:h="16838"/>
          <w:pgMar w:top="1418" w:right="1418" w:bottom="1418" w:left="1418" w:header="709" w:footer="709" w:gutter="0"/>
          <w:cols w:space="397"/>
          <w:docGrid w:linePitch="360"/>
        </w:sectPr>
      </w:pPr>
    </w:p>
    <w:p w:rsidR="007866D4" w:rsidRPr="00FB01AA" w:rsidRDefault="007866D4" w:rsidP="007866D4">
      <w:pPr>
        <w:spacing w:after="0" w:line="240" w:lineRule="auto"/>
        <w:rPr>
          <w:rFonts w:ascii="Arial" w:hAnsi="Arial"/>
          <w:snapToGrid w:val="0"/>
          <w:color w:val="373737"/>
          <w:sz w:val="18"/>
          <w:szCs w:val="20"/>
        </w:rPr>
      </w:pPr>
      <w:r w:rsidRPr="00FB01AA">
        <w:rPr>
          <w:sz w:val="28"/>
        </w:rPr>
        <w:br w:type="page"/>
      </w:r>
    </w:p>
    <w:p w:rsidR="007866D4" w:rsidRPr="00FB01AA" w:rsidRDefault="007866D4" w:rsidP="007866D4">
      <w:pPr>
        <w:pStyle w:val="HStandard"/>
        <w:rPr>
          <w:snapToGrid w:val="0"/>
          <w:sz w:val="18"/>
        </w:rPr>
      </w:pPr>
    </w:p>
    <w:p w:rsidR="007866D4" w:rsidRPr="00FB01AA" w:rsidRDefault="007866D4" w:rsidP="006A491C">
      <w:pPr>
        <w:pStyle w:val="HHeading3"/>
        <w:framePr w:wrap="notBeside"/>
        <w:numPr>
          <w:ilvl w:val="0"/>
          <w:numId w:val="0"/>
        </w:numPr>
        <w:rPr>
          <w:sz w:val="18"/>
        </w:rPr>
        <w:sectPr w:rsidR="007866D4" w:rsidRPr="00FB01AA" w:rsidSect="005D2A53">
          <w:type w:val="continuous"/>
          <w:pgSz w:w="11906" w:h="16838"/>
          <w:pgMar w:top="1418" w:right="1418" w:bottom="1418" w:left="1418" w:header="709" w:footer="709" w:gutter="0"/>
          <w:cols w:num="2" w:space="397"/>
          <w:docGrid w:linePitch="360"/>
        </w:sectPr>
      </w:pPr>
    </w:p>
    <w:p w:rsidR="007866D4" w:rsidRPr="00FB01AA" w:rsidRDefault="007866D4" w:rsidP="007866D4">
      <w:pPr>
        <w:pStyle w:val="HHeading3"/>
        <w:framePr w:wrap="notBeside"/>
        <w:rPr>
          <w:sz w:val="18"/>
        </w:rPr>
      </w:pPr>
      <w:bookmarkStart w:id="64" w:name="_Toc475030383"/>
      <w:bookmarkStart w:id="65" w:name="_Toc493497709"/>
      <w:bookmarkStart w:id="66" w:name="_Toc498506712"/>
      <w:r w:rsidRPr="00FB01AA">
        <w:rPr>
          <w:sz w:val="18"/>
        </w:rPr>
        <w:t>Стъпка по стъпка: как да се оцени приносът на LEADER/ВОМР за целите на политиката</w:t>
      </w:r>
      <w:bookmarkEnd w:id="64"/>
      <w:r w:rsidRPr="00FB01AA">
        <w:rPr>
          <w:sz w:val="18"/>
        </w:rPr>
        <w:t>?</w:t>
      </w:r>
      <w:bookmarkEnd w:id="65"/>
      <w:bookmarkEnd w:id="66"/>
    </w:p>
    <w:p w:rsidR="007866D4" w:rsidRDefault="00B243BA" w:rsidP="007866D4">
      <w:pPr>
        <w:pStyle w:val="HStandard"/>
        <w:rPr>
          <w:noProof/>
          <w:sz w:val="18"/>
          <w:lang w:val="el-GR" w:eastAsia="el-GR" w:bidi="ar-SA"/>
        </w:rPr>
      </w:pPr>
      <w:r>
        <w:rPr>
          <w:noProof/>
          <w:sz w:val="18"/>
          <w:lang w:val="en-GB" w:eastAsia="en-GB" w:bidi="ar-SA"/>
        </w:rPr>
        <w:drawing>
          <wp:inline distT="0" distB="0" distL="0" distR="0" wp14:anchorId="067C4733" wp14:editId="68C42387">
            <wp:extent cx="5673874" cy="759099"/>
            <wp:effectExtent l="0" t="0" r="317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49767" cy="769253"/>
                    </a:xfrm>
                    <a:prstGeom prst="rect">
                      <a:avLst/>
                    </a:prstGeom>
                    <a:noFill/>
                  </pic:spPr>
                </pic:pic>
              </a:graphicData>
            </a:graphic>
          </wp:inline>
        </w:drawing>
      </w:r>
    </w:p>
    <w:p w:rsidR="005216CE" w:rsidRPr="00FB01AA" w:rsidRDefault="005216CE" w:rsidP="007866D4">
      <w:pPr>
        <w:pStyle w:val="HStandard"/>
        <w:rPr>
          <w:sz w:val="18"/>
        </w:rPr>
      </w:pPr>
    </w:p>
    <w:p w:rsidR="007866D4" w:rsidRPr="00FB01AA" w:rsidRDefault="007866D4" w:rsidP="007866D4">
      <w:pPr>
        <w:pStyle w:val="HHeading5"/>
        <w:rPr>
          <w:sz w:val="18"/>
        </w:rPr>
        <w:sectPr w:rsidR="007866D4" w:rsidRPr="00FB01AA" w:rsidSect="000940AE">
          <w:type w:val="continuous"/>
          <w:pgSz w:w="11906" w:h="16838"/>
          <w:pgMar w:top="1418" w:right="1418" w:bottom="1418" w:left="1418" w:header="709" w:footer="709" w:gutter="0"/>
          <w:cols w:space="708"/>
          <w:docGrid w:linePitch="360"/>
        </w:sectPr>
      </w:pPr>
    </w:p>
    <w:p w:rsidR="007866D4" w:rsidRPr="00FB01AA" w:rsidRDefault="007866D4" w:rsidP="000A7636">
      <w:pPr>
        <w:pStyle w:val="HHeading5"/>
        <w:spacing w:before="120"/>
        <w:rPr>
          <w:sz w:val="18"/>
        </w:rPr>
      </w:pPr>
      <w:r w:rsidRPr="00FB01AA">
        <w:rPr>
          <w:sz w:val="18"/>
        </w:rPr>
        <w:t>Стъпка 1: Проверка на съгласуваността на общите оценъчни елементи с интервенционната логика на LEADER/ВОМР</w:t>
      </w:r>
    </w:p>
    <w:p w:rsidR="007866D4" w:rsidRPr="00FB01AA" w:rsidRDefault="007866D4" w:rsidP="007866D4">
      <w:pPr>
        <w:pStyle w:val="HStandard"/>
        <w:rPr>
          <w:sz w:val="18"/>
        </w:rPr>
      </w:pPr>
      <w:r w:rsidRPr="00FB01AA">
        <w:rPr>
          <w:sz w:val="18"/>
        </w:rPr>
        <w:t>Първата стъпка е да се направи анализ на интервенционната логика на мярката LEADER/ВОМР в рамките на ПРСР и да се провери дали общите оценъчни елементи (въпроси за оценка, критерии за преценка и показатели) са съгласувани с нея</w:t>
      </w:r>
      <w:r w:rsidRPr="00FB01AA">
        <w:rPr>
          <w:rStyle w:val="FootnoteReference"/>
          <w:sz w:val="18"/>
        </w:rPr>
        <w:footnoteReference w:id="33"/>
      </w:r>
      <w:r w:rsidRPr="00FB01AA">
        <w:rPr>
          <w:sz w:val="18"/>
        </w:rPr>
        <w:t>.</w:t>
      </w:r>
    </w:p>
    <w:p w:rsidR="007866D4" w:rsidRPr="00FB01AA" w:rsidRDefault="00982BE6" w:rsidP="007866D4">
      <w:pPr>
        <w:pStyle w:val="HStandard"/>
        <w:rPr>
          <w:sz w:val="18"/>
        </w:rPr>
      </w:pPr>
      <w:r>
        <w:rPr>
          <w:b/>
          <w:sz w:val="18"/>
        </w:rPr>
        <w:t>Има един</w:t>
      </w:r>
      <w:r w:rsidR="007866D4" w:rsidRPr="00FB01AA">
        <w:rPr>
          <w:b/>
          <w:sz w:val="18"/>
        </w:rPr>
        <w:t xml:space="preserve"> ОВО, свързан с област с поставен акцент 6</w:t>
      </w:r>
      <w:r w:rsidR="006533EB">
        <w:rPr>
          <w:b/>
          <w:sz w:val="18"/>
        </w:rPr>
        <w:t>Б</w:t>
      </w:r>
      <w:r w:rsidR="007866D4" w:rsidRPr="00FB01AA">
        <w:rPr>
          <w:sz w:val="18"/>
          <w:vertAlign w:val="superscript"/>
        </w:rPr>
        <w:footnoteReference w:id="34"/>
      </w:r>
      <w:r w:rsidR="007866D4" w:rsidRPr="00FB01AA">
        <w:rPr>
          <w:sz w:val="18"/>
        </w:rPr>
        <w:t xml:space="preserve">, по която </w:t>
      </w:r>
      <w:r w:rsidR="0086223D">
        <w:rPr>
          <w:sz w:val="18"/>
        </w:rPr>
        <w:t xml:space="preserve">основно се планира </w:t>
      </w:r>
      <w:r w:rsidR="007866D4" w:rsidRPr="00FB01AA">
        <w:rPr>
          <w:sz w:val="18"/>
        </w:rPr>
        <w:t xml:space="preserve">LEADER/ВОМР, </w:t>
      </w:r>
      <w:r w:rsidR="0086223D">
        <w:rPr>
          <w:sz w:val="18"/>
        </w:rPr>
        <w:t>а именно</w:t>
      </w:r>
      <w:r w:rsidR="007866D4" w:rsidRPr="00FB01AA">
        <w:rPr>
          <w:i/>
          <w:sz w:val="18"/>
        </w:rPr>
        <w:t xml:space="preserve"> ОВО 17: „До каква степен интервенциите по ПРСР са подпомогнали местното развитие в селските райони?“.</w:t>
      </w:r>
      <w:r w:rsidR="007866D4" w:rsidRPr="00FB01AA">
        <w:rPr>
          <w:sz w:val="18"/>
        </w:rPr>
        <w:t xml:space="preserve"> По този ОВО са предложени шест общи критерия за преценка, които са свързани с три общи показателя за резултати/цели</w:t>
      </w:r>
      <w:r w:rsidR="007866D4" w:rsidRPr="00FB01AA">
        <w:rPr>
          <w:sz w:val="18"/>
          <w:vertAlign w:val="superscript"/>
        </w:rPr>
        <w:footnoteReference w:id="35"/>
      </w:r>
      <w:r w:rsidR="007866D4" w:rsidRPr="00FB01AA">
        <w:rPr>
          <w:sz w:val="18"/>
        </w:rPr>
        <w:t>.</w:t>
      </w:r>
    </w:p>
    <w:p w:rsidR="007866D4" w:rsidRPr="00FB01AA" w:rsidRDefault="007866D4" w:rsidP="007866D4">
      <w:pPr>
        <w:pStyle w:val="H-Table"/>
        <w:keepNext/>
        <w:keepLines/>
        <w:spacing w:before="120" w:after="120" w:line="260" w:lineRule="atLeast"/>
        <w:ind w:left="851" w:hanging="851"/>
        <w:rPr>
          <w:sz w:val="14"/>
        </w:rPr>
        <w:sectPr w:rsidR="007866D4" w:rsidRPr="00FB01AA" w:rsidSect="005D2A53">
          <w:type w:val="continuous"/>
          <w:pgSz w:w="11906" w:h="16838"/>
          <w:pgMar w:top="1418" w:right="1418" w:bottom="1418" w:left="1418" w:header="709" w:footer="709" w:gutter="0"/>
          <w:cols w:num="2" w:space="397"/>
          <w:docGrid w:linePitch="360"/>
        </w:sectPr>
      </w:pPr>
      <w:bookmarkStart w:id="67" w:name="_Toc465701914"/>
      <w:bookmarkStart w:id="68" w:name="_Toc466620215"/>
      <w:bookmarkStart w:id="69" w:name="_Toc475030426"/>
    </w:p>
    <w:p w:rsidR="007866D4" w:rsidRPr="00FB01AA" w:rsidRDefault="007866D4" w:rsidP="00FB01AA">
      <w:pPr>
        <w:pStyle w:val="H-Table"/>
        <w:ind w:left="1092" w:hanging="1004"/>
        <w:rPr>
          <w:sz w:val="14"/>
        </w:rPr>
      </w:pPr>
      <w:bookmarkStart w:id="70" w:name="_Toc493497744"/>
      <w:bookmarkStart w:id="71" w:name="_Toc498507394"/>
      <w:r w:rsidRPr="00FB01AA">
        <w:rPr>
          <w:sz w:val="14"/>
        </w:rPr>
        <w:lastRenderedPageBreak/>
        <w:t xml:space="preserve">Критерии за преценка </w:t>
      </w:r>
      <w:bookmarkEnd w:id="67"/>
      <w:bookmarkEnd w:id="68"/>
      <w:r w:rsidRPr="00FB01AA">
        <w:rPr>
          <w:sz w:val="14"/>
        </w:rPr>
        <w:t>и показатели за ОВО 17: „До каква степен интервенциите по ПРСР са подпомогнали местното развитие в селските райони?“</w:t>
      </w:r>
      <w:bookmarkEnd w:id="69"/>
      <w:bookmarkEnd w:id="70"/>
      <w:bookmarkEnd w:id="7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FB01AA" w:rsidTr="005D2A53">
        <w:trPr>
          <w:tblHeader/>
        </w:trPr>
        <w:tc>
          <w:tcPr>
            <w:tcW w:w="6232" w:type="dxa"/>
            <w:tcBorders>
              <w:right w:val="single" w:sz="4" w:space="0" w:color="FFFFFF" w:themeColor="accent1"/>
            </w:tcBorders>
            <w:shd w:val="clear" w:color="auto" w:fill="F07E31" w:themeFill="background2"/>
            <w:vAlign w:val="center"/>
          </w:tcPr>
          <w:p w:rsidR="007866D4" w:rsidRPr="00FB01AA" w:rsidRDefault="007866D4" w:rsidP="00D46DC0">
            <w:pPr>
              <w:autoSpaceDE w:val="0"/>
              <w:autoSpaceDN w:val="0"/>
              <w:adjustRightInd w:val="0"/>
              <w:spacing w:before="60" w:after="60" w:line="240" w:lineRule="auto"/>
              <w:jc w:val="center"/>
              <w:rPr>
                <w:rFonts w:ascii="Arial" w:hAnsi="Arial" w:cs="Arial"/>
                <w:b/>
                <w:color w:val="FFFFFF" w:themeColor="accent1"/>
                <w:sz w:val="16"/>
                <w:szCs w:val="18"/>
              </w:rPr>
            </w:pPr>
            <w:r w:rsidRPr="00FB01AA">
              <w:rPr>
                <w:rFonts w:ascii="Arial" w:hAnsi="Arial"/>
                <w:b/>
                <w:color w:val="FFFFFF" w:themeColor="accent1"/>
                <w:sz w:val="16"/>
              </w:rPr>
              <w:t xml:space="preserve">Критерии за преценка </w:t>
            </w:r>
          </w:p>
        </w:tc>
        <w:tc>
          <w:tcPr>
            <w:tcW w:w="2785" w:type="dxa"/>
            <w:tcBorders>
              <w:left w:val="single" w:sz="4" w:space="0" w:color="FFFFFF" w:themeColor="accent1"/>
            </w:tcBorders>
            <w:shd w:val="clear" w:color="auto" w:fill="F07E31" w:themeFill="background2"/>
            <w:vAlign w:val="center"/>
          </w:tcPr>
          <w:p w:rsidR="007866D4" w:rsidRPr="00FB01AA" w:rsidRDefault="007866D4" w:rsidP="00D46DC0">
            <w:pPr>
              <w:autoSpaceDE w:val="0"/>
              <w:autoSpaceDN w:val="0"/>
              <w:adjustRightInd w:val="0"/>
              <w:spacing w:before="60" w:after="60" w:line="240" w:lineRule="auto"/>
              <w:jc w:val="center"/>
              <w:rPr>
                <w:rFonts w:ascii="Arial" w:hAnsi="Arial" w:cs="Arial"/>
                <w:b/>
                <w:color w:val="FFFFFF" w:themeColor="accent1"/>
                <w:sz w:val="16"/>
                <w:szCs w:val="18"/>
              </w:rPr>
            </w:pPr>
            <w:r w:rsidRPr="00FB01AA">
              <w:rPr>
                <w:rFonts w:ascii="Arial" w:hAnsi="Arial"/>
                <w:b/>
                <w:color w:val="FFFFFF" w:themeColor="accent1"/>
                <w:sz w:val="16"/>
              </w:rPr>
              <w:t xml:space="preserve">Показатели </w:t>
            </w:r>
          </w:p>
        </w:tc>
      </w:tr>
      <w:tr w:rsidR="007866D4" w:rsidRPr="00FB01AA" w:rsidTr="005D2A53">
        <w:tc>
          <w:tcPr>
            <w:tcW w:w="6232" w:type="dxa"/>
            <w:tcBorders>
              <w:right w:val="single" w:sz="4" w:space="0" w:color="FFFFFF" w:themeColor="accent1"/>
            </w:tcBorders>
            <w:shd w:val="clear" w:color="auto" w:fill="FCE5D5" w:themeFill="background2" w:themeFillTint="33"/>
            <w:vAlign w:val="center"/>
          </w:tcPr>
          <w:p w:rsidR="007866D4" w:rsidRPr="00FB01AA" w:rsidRDefault="007866D4" w:rsidP="005D2A53">
            <w:pPr>
              <w:pStyle w:val="Hlistbullet"/>
              <w:spacing w:after="60"/>
              <w:ind w:left="460" w:hanging="284"/>
              <w:rPr>
                <w:rFonts w:ascii="Arial" w:hAnsi="Arial" w:cs="Arial"/>
                <w:sz w:val="16"/>
                <w:szCs w:val="18"/>
              </w:rPr>
            </w:pPr>
            <w:r w:rsidRPr="00FB01AA">
              <w:rPr>
                <w:rFonts w:ascii="Arial" w:hAnsi="Arial"/>
                <w:sz w:val="16"/>
              </w:rPr>
              <w:t>Услугите и местната инфраструктура в селските райони са се подобрили.</w:t>
            </w:r>
          </w:p>
          <w:p w:rsidR="007866D4" w:rsidRPr="00FB01AA" w:rsidRDefault="007866D4" w:rsidP="005D2A53">
            <w:pPr>
              <w:pStyle w:val="Hlistbullet"/>
              <w:spacing w:after="60"/>
              <w:ind w:left="460" w:hanging="284"/>
              <w:rPr>
                <w:rFonts w:ascii="Arial" w:hAnsi="Arial" w:cs="Arial"/>
                <w:sz w:val="16"/>
                <w:szCs w:val="18"/>
              </w:rPr>
            </w:pPr>
            <w:r w:rsidRPr="00FB01AA">
              <w:rPr>
                <w:rFonts w:ascii="Arial" w:hAnsi="Arial"/>
                <w:sz w:val="16"/>
              </w:rPr>
              <w:t>Достъпът до местната инфраструктура и услуги в селските райони се е увеличил.</w:t>
            </w:r>
          </w:p>
          <w:p w:rsidR="007866D4" w:rsidRPr="00FB01AA" w:rsidRDefault="007866D4" w:rsidP="005D2A53">
            <w:pPr>
              <w:pStyle w:val="Hlistbullet"/>
              <w:spacing w:after="60"/>
              <w:ind w:left="460" w:hanging="284"/>
              <w:rPr>
                <w:rFonts w:ascii="Arial" w:hAnsi="Arial" w:cs="Arial"/>
                <w:sz w:val="16"/>
                <w:szCs w:val="18"/>
              </w:rPr>
            </w:pPr>
            <w:r w:rsidRPr="00FB01AA">
              <w:rPr>
                <w:rFonts w:ascii="Arial" w:hAnsi="Arial"/>
                <w:sz w:val="16"/>
              </w:rPr>
              <w:t>Населението на селските райони е участвало в действията на местно равнище.</w:t>
            </w:r>
          </w:p>
          <w:p w:rsidR="007866D4" w:rsidRPr="00FB01AA" w:rsidRDefault="007866D4" w:rsidP="005D2A53">
            <w:pPr>
              <w:pStyle w:val="Hlistbullet"/>
              <w:spacing w:after="60"/>
              <w:ind w:left="460" w:hanging="284"/>
              <w:rPr>
                <w:rFonts w:ascii="Arial" w:hAnsi="Arial" w:cs="Arial"/>
                <w:sz w:val="16"/>
                <w:szCs w:val="18"/>
              </w:rPr>
            </w:pPr>
            <w:r w:rsidRPr="00FB01AA">
              <w:rPr>
                <w:rFonts w:ascii="Arial" w:hAnsi="Arial"/>
                <w:sz w:val="16"/>
              </w:rPr>
              <w:t>Хората в селските райони са извлекли ползи от действията на местно равнище.</w:t>
            </w:r>
          </w:p>
          <w:p w:rsidR="007866D4" w:rsidRPr="00FB01AA" w:rsidRDefault="007866D4" w:rsidP="005D2A53">
            <w:pPr>
              <w:pStyle w:val="Hlistbullet"/>
              <w:spacing w:after="60"/>
              <w:ind w:left="460" w:hanging="284"/>
              <w:rPr>
                <w:rFonts w:ascii="Arial" w:hAnsi="Arial" w:cs="Arial"/>
                <w:sz w:val="16"/>
                <w:szCs w:val="18"/>
              </w:rPr>
            </w:pPr>
            <w:r w:rsidRPr="00FB01AA">
              <w:rPr>
                <w:rFonts w:ascii="Arial" w:hAnsi="Arial"/>
                <w:sz w:val="16"/>
              </w:rPr>
              <w:t>Чрез стратегиите за местно развитие са се създали възможности за заетост.</w:t>
            </w:r>
          </w:p>
          <w:p w:rsidR="007866D4" w:rsidRPr="00FB01AA" w:rsidRDefault="007866D4" w:rsidP="005D2A53">
            <w:pPr>
              <w:pStyle w:val="Hlistbullet"/>
              <w:spacing w:after="60"/>
              <w:ind w:left="460" w:hanging="284"/>
              <w:rPr>
                <w:rFonts w:ascii="Arial" w:hAnsi="Arial" w:cs="Arial"/>
                <w:sz w:val="16"/>
                <w:szCs w:val="18"/>
              </w:rPr>
            </w:pPr>
            <w:r w:rsidRPr="00FB01AA">
              <w:rPr>
                <w:rFonts w:ascii="Arial" w:hAnsi="Arial"/>
                <w:sz w:val="16"/>
              </w:rPr>
              <w:t>Размерът на селската територия и броят на населението, обхванати от МГД, са се увеличили.</w:t>
            </w:r>
          </w:p>
        </w:tc>
        <w:tc>
          <w:tcPr>
            <w:tcW w:w="2785" w:type="dxa"/>
            <w:tcBorders>
              <w:left w:val="single" w:sz="4" w:space="0" w:color="FFFFFF" w:themeColor="accent1"/>
            </w:tcBorders>
            <w:shd w:val="clear" w:color="auto" w:fill="FCE5D5" w:themeFill="background2" w:themeFillTint="33"/>
            <w:vAlign w:val="center"/>
          </w:tcPr>
          <w:p w:rsidR="007866D4" w:rsidRPr="00FB01AA"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6"/>
                <w:szCs w:val="18"/>
              </w:rPr>
            </w:pPr>
            <w:r w:rsidRPr="00FB01AA">
              <w:rPr>
                <w:rFonts w:ascii="Arial" w:hAnsi="Arial"/>
                <w:color w:val="373737" w:themeColor="background1" w:themeShade="40"/>
                <w:sz w:val="16"/>
              </w:rPr>
              <w:t>% от населението в селските райони, обхванато от стратегиите за местно развитие (ОПА 6Б —показател за резултатите)</w:t>
            </w:r>
          </w:p>
          <w:p w:rsidR="007866D4" w:rsidRPr="00FB01AA" w:rsidRDefault="007866D4" w:rsidP="002E02E3">
            <w:pPr>
              <w:pStyle w:val="ListParagraph"/>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6"/>
                <w:szCs w:val="18"/>
              </w:rPr>
            </w:pPr>
            <w:r w:rsidRPr="00FB01AA">
              <w:rPr>
                <w:rFonts w:ascii="Arial" w:hAnsi="Arial"/>
                <w:color w:val="373737" w:themeColor="background1" w:themeShade="40"/>
                <w:sz w:val="16"/>
              </w:rPr>
              <w:t>Работни места, разкрити по подкрепените проекти (ОПА 6Б — показател за резултатите)</w:t>
            </w:r>
          </w:p>
        </w:tc>
      </w:tr>
    </w:tbl>
    <w:p w:rsidR="007866D4" w:rsidRPr="00FB01AA" w:rsidRDefault="007866D4" w:rsidP="007866D4">
      <w:pPr>
        <w:pStyle w:val="HStandard"/>
        <w:spacing w:before="240"/>
        <w:rPr>
          <w:sz w:val="18"/>
        </w:rPr>
      </w:pPr>
      <w:r w:rsidRPr="00FB01AA">
        <w:rPr>
          <w:sz w:val="18"/>
        </w:rPr>
        <w:t xml:space="preserve">ОСМО включва следните общи показатели за крайни продукти и цели за LEADER/ВОМР. </w:t>
      </w:r>
    </w:p>
    <w:p w:rsidR="007866D4" w:rsidRPr="00FB01AA" w:rsidRDefault="007866D4" w:rsidP="007866D4">
      <w:pPr>
        <w:pStyle w:val="H-Table"/>
        <w:keepNext/>
        <w:keepLines/>
        <w:spacing w:before="120" w:after="120" w:line="260" w:lineRule="atLeast"/>
        <w:ind w:left="851" w:hanging="851"/>
        <w:rPr>
          <w:sz w:val="14"/>
        </w:rPr>
      </w:pPr>
      <w:bookmarkStart w:id="72" w:name="_Toc465701915"/>
      <w:bookmarkStart w:id="73" w:name="_Toc466620216"/>
      <w:bookmarkStart w:id="74" w:name="_Toc475030427"/>
      <w:bookmarkStart w:id="75" w:name="_Toc493497745"/>
      <w:bookmarkStart w:id="76" w:name="_Toc498507395"/>
      <w:r w:rsidRPr="00FB01AA">
        <w:rPr>
          <w:sz w:val="14"/>
        </w:rPr>
        <w:t>Общ</w:t>
      </w:r>
      <w:r w:rsidR="00017AE3">
        <w:rPr>
          <w:sz w:val="14"/>
        </w:rPr>
        <w:t>и</w:t>
      </w:r>
      <w:r w:rsidRPr="00FB01AA">
        <w:rPr>
          <w:sz w:val="14"/>
        </w:rPr>
        <w:t xml:space="preserve"> показател</w:t>
      </w:r>
      <w:r w:rsidR="00017AE3">
        <w:rPr>
          <w:sz w:val="14"/>
        </w:rPr>
        <w:t>и</w:t>
      </w:r>
      <w:r w:rsidRPr="00FB01AA">
        <w:rPr>
          <w:sz w:val="14"/>
        </w:rPr>
        <w:t xml:space="preserve"> за крайни</w:t>
      </w:r>
      <w:r w:rsidR="006533EB">
        <w:rPr>
          <w:sz w:val="14"/>
        </w:rPr>
        <w:t>те</w:t>
      </w:r>
      <w:r w:rsidRPr="00FB01AA">
        <w:rPr>
          <w:sz w:val="14"/>
        </w:rPr>
        <w:t xml:space="preserve"> продукти и </w:t>
      </w:r>
      <w:r w:rsidR="006533EB">
        <w:rPr>
          <w:sz w:val="14"/>
        </w:rPr>
        <w:t xml:space="preserve">за </w:t>
      </w:r>
      <w:r w:rsidRPr="00FB01AA">
        <w:rPr>
          <w:sz w:val="14"/>
        </w:rPr>
        <w:t>цели</w:t>
      </w:r>
      <w:r w:rsidR="006533EB">
        <w:rPr>
          <w:sz w:val="14"/>
        </w:rPr>
        <w:t>те</w:t>
      </w:r>
      <w:r w:rsidRPr="00FB01AA">
        <w:rPr>
          <w:sz w:val="14"/>
        </w:rPr>
        <w:t xml:space="preserve"> </w:t>
      </w:r>
      <w:r w:rsidR="006533EB">
        <w:rPr>
          <w:sz w:val="14"/>
        </w:rPr>
        <w:t>при</w:t>
      </w:r>
      <w:r w:rsidRPr="00FB01AA">
        <w:rPr>
          <w:sz w:val="14"/>
        </w:rPr>
        <w:t xml:space="preserve"> LEADER</w:t>
      </w:r>
      <w:bookmarkEnd w:id="72"/>
      <w:bookmarkEnd w:id="73"/>
      <w:bookmarkEnd w:id="74"/>
      <w:bookmarkEnd w:id="75"/>
      <w:bookmarkEnd w:id="76"/>
      <w:r w:rsidRPr="00FB01AA">
        <w:rPr>
          <w:sz w:val="1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6"/>
        <w:gridCol w:w="1134"/>
        <w:gridCol w:w="1134"/>
      </w:tblGrid>
      <w:tr w:rsidR="007866D4" w:rsidRPr="00FB01AA" w:rsidTr="005D2A53">
        <w:trPr>
          <w:tblHeader/>
        </w:trPr>
        <w:tc>
          <w:tcPr>
            <w:tcW w:w="6816" w:type="dxa"/>
            <w:tcBorders>
              <w:right w:val="single" w:sz="4" w:space="0" w:color="FFFFFF" w:themeColor="accent1"/>
            </w:tcBorders>
            <w:shd w:val="clear" w:color="auto" w:fill="F07E31" w:themeFill="background2"/>
            <w:vAlign w:val="center"/>
          </w:tcPr>
          <w:p w:rsidR="007866D4" w:rsidRPr="00FB01AA" w:rsidRDefault="007866D4" w:rsidP="00056A0D">
            <w:pPr>
              <w:spacing w:before="60" w:after="60"/>
              <w:jc w:val="center"/>
              <w:rPr>
                <w:rFonts w:ascii="Arial" w:hAnsi="Arial" w:cs="Arial"/>
                <w:b/>
                <w:color w:val="FFFFFF" w:themeColor="accent1"/>
                <w:sz w:val="16"/>
                <w:szCs w:val="18"/>
              </w:rPr>
            </w:pPr>
            <w:r w:rsidRPr="00FB01AA">
              <w:rPr>
                <w:rFonts w:ascii="Arial" w:hAnsi="Arial"/>
                <w:b/>
                <w:color w:val="FFFFFF" w:themeColor="accent1"/>
                <w:sz w:val="16"/>
              </w:rPr>
              <w:t>Общ показател</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FB01AA" w:rsidRDefault="007866D4" w:rsidP="00056A0D">
            <w:pPr>
              <w:spacing w:before="60" w:after="60"/>
              <w:jc w:val="center"/>
              <w:rPr>
                <w:rFonts w:ascii="Arial" w:hAnsi="Arial" w:cs="Arial"/>
                <w:b/>
                <w:color w:val="FFFFFF" w:themeColor="accent1"/>
                <w:sz w:val="16"/>
                <w:szCs w:val="18"/>
              </w:rPr>
            </w:pPr>
            <w:r w:rsidRPr="00FB01AA">
              <w:rPr>
                <w:rFonts w:ascii="Arial" w:hAnsi="Arial"/>
                <w:b/>
                <w:color w:val="FFFFFF" w:themeColor="accent1"/>
                <w:sz w:val="16"/>
              </w:rPr>
              <w:t>Краен продукт</w:t>
            </w:r>
          </w:p>
        </w:tc>
        <w:tc>
          <w:tcPr>
            <w:tcW w:w="1134" w:type="dxa"/>
            <w:tcBorders>
              <w:left w:val="single" w:sz="4" w:space="0" w:color="FFFFFF" w:themeColor="accent1"/>
            </w:tcBorders>
            <w:shd w:val="clear" w:color="auto" w:fill="F07E31" w:themeFill="background2"/>
            <w:vAlign w:val="center"/>
          </w:tcPr>
          <w:p w:rsidR="007866D4" w:rsidRPr="00FB01AA" w:rsidRDefault="007866D4" w:rsidP="00056A0D">
            <w:pPr>
              <w:spacing w:before="60" w:after="60"/>
              <w:jc w:val="center"/>
              <w:rPr>
                <w:rFonts w:ascii="Arial" w:hAnsi="Arial" w:cs="Arial"/>
                <w:b/>
                <w:color w:val="FFFFFF" w:themeColor="accent1"/>
                <w:sz w:val="16"/>
                <w:szCs w:val="18"/>
              </w:rPr>
            </w:pPr>
            <w:r w:rsidRPr="00FB01AA">
              <w:rPr>
                <w:rFonts w:ascii="Arial" w:hAnsi="Arial"/>
                <w:b/>
                <w:color w:val="FFFFFF" w:themeColor="accent1"/>
                <w:sz w:val="16"/>
              </w:rPr>
              <w:t>Цел</w:t>
            </w:r>
          </w:p>
        </w:tc>
      </w:tr>
      <w:tr w:rsidR="007866D4" w:rsidRPr="00FB01AA" w:rsidTr="005D2A53">
        <w:tc>
          <w:tcPr>
            <w:tcW w:w="6816" w:type="dxa"/>
            <w:tcBorders>
              <w:right w:val="single" w:sz="4" w:space="0" w:color="FFFFFF" w:themeColor="accent1"/>
            </w:tcBorders>
            <w:shd w:val="clear" w:color="auto" w:fill="FCE5D5" w:themeFill="background2" w:themeFillTint="33"/>
            <w:vAlign w:val="center"/>
          </w:tcPr>
          <w:p w:rsidR="007866D4" w:rsidRPr="00FB01AA" w:rsidRDefault="007866D4" w:rsidP="00056A0D">
            <w:pPr>
              <w:spacing w:before="60" w:after="60" w:line="240" w:lineRule="auto"/>
              <w:rPr>
                <w:rFonts w:ascii="Arial" w:hAnsi="Arial" w:cs="Arial"/>
                <w:color w:val="373737" w:themeColor="background1" w:themeShade="40"/>
                <w:sz w:val="16"/>
                <w:szCs w:val="18"/>
              </w:rPr>
            </w:pPr>
            <w:r w:rsidRPr="00FB01AA">
              <w:rPr>
                <w:rFonts w:ascii="Arial" w:hAnsi="Arial"/>
                <w:color w:val="373737" w:themeColor="background1" w:themeShade="40"/>
                <w:sz w:val="16"/>
              </w:rPr>
              <w:t>Население, обхванато от МГД</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FB01AA" w:rsidRDefault="007866D4" w:rsidP="00056A0D">
            <w:pPr>
              <w:spacing w:before="60" w:after="60" w:line="240" w:lineRule="auto"/>
              <w:jc w:val="center"/>
              <w:rPr>
                <w:rFonts w:ascii="Arial" w:hAnsi="Arial" w:cs="Arial"/>
                <w:color w:val="373737" w:themeColor="background1" w:themeShade="40"/>
                <w:sz w:val="16"/>
                <w:szCs w:val="18"/>
              </w:rPr>
            </w:pPr>
            <w:r w:rsidRPr="00FB01AA">
              <w:rPr>
                <w:rFonts w:ascii="Arial" w:hAnsi="Arial"/>
                <w:color w:val="373737" w:themeColor="background1" w:themeShade="40"/>
                <w:sz w:val="16"/>
              </w:rPr>
              <w:t>КП18</w:t>
            </w:r>
          </w:p>
        </w:tc>
        <w:tc>
          <w:tcPr>
            <w:tcW w:w="1134" w:type="dxa"/>
            <w:tcBorders>
              <w:left w:val="single" w:sz="4" w:space="0" w:color="FFFFFF" w:themeColor="accent1"/>
            </w:tcBorders>
            <w:shd w:val="clear" w:color="auto" w:fill="FCE5D5" w:themeFill="background2" w:themeFillTint="33"/>
            <w:vAlign w:val="center"/>
          </w:tcPr>
          <w:p w:rsidR="007866D4" w:rsidRPr="00FB01AA" w:rsidRDefault="007866D4" w:rsidP="00056A0D">
            <w:pPr>
              <w:spacing w:before="60" w:after="60" w:line="240" w:lineRule="auto"/>
              <w:jc w:val="center"/>
              <w:rPr>
                <w:rFonts w:ascii="Arial" w:hAnsi="Arial" w:cs="Arial"/>
                <w:color w:val="373737" w:themeColor="background1" w:themeShade="40"/>
                <w:sz w:val="16"/>
                <w:szCs w:val="18"/>
              </w:rPr>
            </w:pPr>
            <w:r w:rsidRPr="00FB01AA">
              <w:rPr>
                <w:rFonts w:ascii="Arial" w:hAnsi="Arial"/>
                <w:color w:val="373737" w:themeColor="background1" w:themeShade="40"/>
                <w:sz w:val="16"/>
              </w:rPr>
              <w:t>Ц21</w:t>
            </w:r>
          </w:p>
        </w:tc>
      </w:tr>
      <w:tr w:rsidR="007866D4" w:rsidRPr="00FB01AA" w:rsidTr="005D2A53">
        <w:tc>
          <w:tcPr>
            <w:tcW w:w="6816" w:type="dxa"/>
            <w:tcBorders>
              <w:right w:val="single" w:sz="4" w:space="0" w:color="FFFFFF" w:themeColor="accent1"/>
            </w:tcBorders>
            <w:shd w:val="clear" w:color="auto" w:fill="F9CBAC" w:themeFill="background2" w:themeFillTint="66"/>
            <w:vAlign w:val="center"/>
          </w:tcPr>
          <w:p w:rsidR="007866D4" w:rsidRPr="00FB01AA" w:rsidRDefault="007866D4" w:rsidP="00056A0D">
            <w:pPr>
              <w:spacing w:before="60" w:after="60" w:line="240" w:lineRule="auto"/>
              <w:rPr>
                <w:rFonts w:ascii="Arial" w:hAnsi="Arial" w:cs="Arial"/>
                <w:color w:val="373737" w:themeColor="background1" w:themeShade="40"/>
                <w:sz w:val="16"/>
                <w:szCs w:val="18"/>
              </w:rPr>
            </w:pPr>
            <w:r w:rsidRPr="00FB01AA">
              <w:rPr>
                <w:rFonts w:ascii="Arial" w:hAnsi="Arial"/>
                <w:color w:val="373737" w:themeColor="background1" w:themeShade="40"/>
                <w:sz w:val="16"/>
              </w:rPr>
              <w:t xml:space="preserve">Брой на избраните МГД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FB01AA" w:rsidRDefault="007866D4" w:rsidP="00056A0D">
            <w:pPr>
              <w:spacing w:before="60" w:after="60" w:line="240" w:lineRule="auto"/>
              <w:jc w:val="center"/>
              <w:rPr>
                <w:rFonts w:ascii="Arial" w:hAnsi="Arial" w:cs="Arial"/>
                <w:color w:val="373737" w:themeColor="background1" w:themeShade="40"/>
                <w:sz w:val="16"/>
                <w:szCs w:val="18"/>
              </w:rPr>
            </w:pPr>
            <w:r w:rsidRPr="00FB01AA">
              <w:rPr>
                <w:rFonts w:ascii="Arial" w:hAnsi="Arial"/>
                <w:color w:val="373737" w:themeColor="background1" w:themeShade="40"/>
                <w:sz w:val="16"/>
              </w:rPr>
              <w:t>КП19</w:t>
            </w:r>
          </w:p>
        </w:tc>
        <w:tc>
          <w:tcPr>
            <w:tcW w:w="1134" w:type="dxa"/>
            <w:tcBorders>
              <w:left w:val="single" w:sz="4" w:space="0" w:color="FFFFFF" w:themeColor="accent1"/>
            </w:tcBorders>
            <w:shd w:val="clear" w:color="auto" w:fill="F9CBAC" w:themeFill="background2" w:themeFillTint="66"/>
            <w:vAlign w:val="center"/>
          </w:tcPr>
          <w:p w:rsidR="007866D4" w:rsidRPr="00FB01AA" w:rsidRDefault="007866D4" w:rsidP="00056A0D">
            <w:pPr>
              <w:spacing w:before="60" w:after="60" w:line="240" w:lineRule="auto"/>
              <w:jc w:val="center"/>
              <w:rPr>
                <w:rFonts w:ascii="Arial" w:hAnsi="Arial" w:cs="Arial"/>
                <w:color w:val="373737" w:themeColor="background1" w:themeShade="40"/>
                <w:sz w:val="16"/>
                <w:szCs w:val="18"/>
              </w:rPr>
            </w:pPr>
          </w:p>
        </w:tc>
      </w:tr>
      <w:tr w:rsidR="007866D4" w:rsidRPr="00FB01AA" w:rsidTr="005D2A53">
        <w:tc>
          <w:tcPr>
            <w:tcW w:w="6816" w:type="dxa"/>
            <w:tcBorders>
              <w:right w:val="single" w:sz="4" w:space="0" w:color="FFFFFF" w:themeColor="accent1"/>
            </w:tcBorders>
            <w:shd w:val="clear" w:color="auto" w:fill="FCE5D5" w:themeFill="background2" w:themeFillTint="33"/>
            <w:vAlign w:val="center"/>
          </w:tcPr>
          <w:p w:rsidR="007866D4" w:rsidRPr="00FB01AA" w:rsidRDefault="007866D4" w:rsidP="00056A0D">
            <w:pPr>
              <w:spacing w:before="60" w:after="60" w:line="240" w:lineRule="auto"/>
              <w:rPr>
                <w:rFonts w:ascii="Arial" w:hAnsi="Arial" w:cs="Arial"/>
                <w:color w:val="373737" w:themeColor="background1" w:themeShade="40"/>
                <w:sz w:val="16"/>
                <w:szCs w:val="18"/>
              </w:rPr>
            </w:pPr>
            <w:r w:rsidRPr="00FB01AA">
              <w:rPr>
                <w:rFonts w:ascii="Arial" w:hAnsi="Arial"/>
                <w:color w:val="373737" w:themeColor="background1" w:themeShade="40"/>
                <w:sz w:val="16"/>
              </w:rPr>
              <w:t xml:space="preserve">Брой на подкрепените проекти в рамките на LEADER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FB01AA" w:rsidRDefault="007866D4" w:rsidP="00056A0D">
            <w:pPr>
              <w:spacing w:before="60" w:after="60" w:line="240" w:lineRule="auto"/>
              <w:jc w:val="center"/>
              <w:rPr>
                <w:rFonts w:ascii="Arial" w:hAnsi="Arial" w:cs="Arial"/>
                <w:color w:val="373737" w:themeColor="background1" w:themeShade="40"/>
                <w:sz w:val="16"/>
                <w:szCs w:val="18"/>
              </w:rPr>
            </w:pPr>
            <w:r w:rsidRPr="00FB01AA">
              <w:rPr>
                <w:rFonts w:ascii="Arial" w:hAnsi="Arial"/>
                <w:color w:val="373737" w:themeColor="background1" w:themeShade="40"/>
                <w:sz w:val="16"/>
              </w:rPr>
              <w:t>КП20</w:t>
            </w:r>
          </w:p>
        </w:tc>
        <w:tc>
          <w:tcPr>
            <w:tcW w:w="1134" w:type="dxa"/>
            <w:tcBorders>
              <w:left w:val="single" w:sz="4" w:space="0" w:color="FFFFFF" w:themeColor="accent1"/>
            </w:tcBorders>
            <w:shd w:val="clear" w:color="auto" w:fill="FCE5D5" w:themeFill="background2" w:themeFillTint="33"/>
            <w:vAlign w:val="center"/>
          </w:tcPr>
          <w:p w:rsidR="007866D4" w:rsidRPr="00FB01AA" w:rsidRDefault="007866D4" w:rsidP="00056A0D">
            <w:pPr>
              <w:spacing w:before="60" w:after="60" w:line="240" w:lineRule="auto"/>
              <w:jc w:val="center"/>
              <w:rPr>
                <w:rFonts w:ascii="Arial" w:hAnsi="Arial" w:cs="Arial"/>
                <w:color w:val="373737" w:themeColor="background1" w:themeShade="40"/>
                <w:sz w:val="16"/>
                <w:szCs w:val="18"/>
              </w:rPr>
            </w:pPr>
          </w:p>
        </w:tc>
      </w:tr>
      <w:tr w:rsidR="007866D4" w:rsidRPr="00FB01AA" w:rsidTr="005D2A53">
        <w:tc>
          <w:tcPr>
            <w:tcW w:w="6816" w:type="dxa"/>
            <w:tcBorders>
              <w:right w:val="single" w:sz="4" w:space="0" w:color="FFFFFF" w:themeColor="accent1"/>
            </w:tcBorders>
            <w:shd w:val="clear" w:color="auto" w:fill="F9CBAC" w:themeFill="background2" w:themeFillTint="66"/>
            <w:vAlign w:val="center"/>
          </w:tcPr>
          <w:p w:rsidR="007866D4" w:rsidRPr="00FB01AA" w:rsidRDefault="007866D4" w:rsidP="00056A0D">
            <w:pPr>
              <w:spacing w:before="60" w:after="60" w:line="240" w:lineRule="auto"/>
              <w:rPr>
                <w:rFonts w:ascii="Arial" w:hAnsi="Arial" w:cs="Arial"/>
                <w:color w:val="373737" w:themeColor="background1" w:themeShade="40"/>
                <w:sz w:val="16"/>
                <w:szCs w:val="18"/>
              </w:rPr>
            </w:pPr>
            <w:r w:rsidRPr="00FB01AA">
              <w:rPr>
                <w:rFonts w:ascii="Arial" w:hAnsi="Arial"/>
                <w:color w:val="373737" w:themeColor="background1" w:themeShade="40"/>
                <w:sz w:val="16"/>
              </w:rPr>
              <w:t xml:space="preserve">Брой на подкрепените проекти за сътрудничество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FB01AA" w:rsidRDefault="007866D4" w:rsidP="00056A0D">
            <w:pPr>
              <w:spacing w:before="60" w:after="60" w:line="240" w:lineRule="auto"/>
              <w:jc w:val="center"/>
              <w:rPr>
                <w:rFonts w:ascii="Arial" w:hAnsi="Arial" w:cs="Arial"/>
                <w:color w:val="373737" w:themeColor="background1" w:themeShade="40"/>
                <w:sz w:val="16"/>
                <w:szCs w:val="18"/>
              </w:rPr>
            </w:pPr>
            <w:r w:rsidRPr="00FB01AA">
              <w:rPr>
                <w:rFonts w:ascii="Arial" w:hAnsi="Arial"/>
                <w:color w:val="373737" w:themeColor="background1" w:themeShade="40"/>
                <w:sz w:val="16"/>
              </w:rPr>
              <w:t>КП21</w:t>
            </w:r>
          </w:p>
        </w:tc>
        <w:tc>
          <w:tcPr>
            <w:tcW w:w="1134" w:type="dxa"/>
            <w:tcBorders>
              <w:left w:val="single" w:sz="4" w:space="0" w:color="FFFFFF" w:themeColor="accent1"/>
            </w:tcBorders>
            <w:shd w:val="clear" w:color="auto" w:fill="F9CBAC" w:themeFill="background2" w:themeFillTint="66"/>
            <w:vAlign w:val="center"/>
          </w:tcPr>
          <w:p w:rsidR="007866D4" w:rsidRPr="00FB01AA" w:rsidRDefault="007866D4" w:rsidP="00056A0D">
            <w:pPr>
              <w:spacing w:before="60" w:after="60" w:line="240" w:lineRule="auto"/>
              <w:jc w:val="center"/>
              <w:rPr>
                <w:rFonts w:ascii="Arial" w:hAnsi="Arial" w:cs="Arial"/>
                <w:color w:val="373737" w:themeColor="background1" w:themeShade="40"/>
                <w:sz w:val="16"/>
                <w:szCs w:val="18"/>
              </w:rPr>
            </w:pPr>
          </w:p>
        </w:tc>
      </w:tr>
      <w:tr w:rsidR="007866D4" w:rsidRPr="00FB01AA" w:rsidTr="005D2A53">
        <w:tc>
          <w:tcPr>
            <w:tcW w:w="6816" w:type="dxa"/>
            <w:tcBorders>
              <w:right w:val="single" w:sz="4" w:space="0" w:color="FFFFFF" w:themeColor="accent1"/>
            </w:tcBorders>
            <w:shd w:val="clear" w:color="auto" w:fill="FCE5D5" w:themeFill="background2" w:themeFillTint="33"/>
            <w:vAlign w:val="center"/>
          </w:tcPr>
          <w:p w:rsidR="007866D4" w:rsidRPr="00FB01AA" w:rsidRDefault="007866D4" w:rsidP="00056A0D">
            <w:pPr>
              <w:spacing w:before="60" w:after="60" w:line="240" w:lineRule="auto"/>
              <w:rPr>
                <w:rFonts w:ascii="Arial" w:hAnsi="Arial" w:cs="Arial"/>
                <w:color w:val="373737" w:themeColor="background1" w:themeShade="40"/>
                <w:sz w:val="16"/>
                <w:szCs w:val="18"/>
              </w:rPr>
            </w:pPr>
            <w:r w:rsidRPr="00FB01AA">
              <w:rPr>
                <w:rFonts w:ascii="Arial" w:hAnsi="Arial"/>
                <w:color w:val="373737" w:themeColor="background1" w:themeShade="40"/>
                <w:sz w:val="16"/>
              </w:rPr>
              <w:t>Брой и вид на организаторите на проектите</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FB01AA" w:rsidRDefault="007866D4" w:rsidP="00056A0D">
            <w:pPr>
              <w:spacing w:before="60" w:after="60" w:line="240" w:lineRule="auto"/>
              <w:jc w:val="center"/>
              <w:rPr>
                <w:rFonts w:ascii="Arial" w:hAnsi="Arial" w:cs="Arial"/>
                <w:color w:val="373737" w:themeColor="background1" w:themeShade="40"/>
                <w:sz w:val="16"/>
                <w:szCs w:val="18"/>
              </w:rPr>
            </w:pPr>
            <w:r w:rsidRPr="00FB01AA">
              <w:rPr>
                <w:rFonts w:ascii="Arial" w:hAnsi="Arial"/>
                <w:color w:val="373737" w:themeColor="background1" w:themeShade="40"/>
                <w:sz w:val="16"/>
              </w:rPr>
              <w:t>КП22</w:t>
            </w:r>
          </w:p>
        </w:tc>
        <w:tc>
          <w:tcPr>
            <w:tcW w:w="1134" w:type="dxa"/>
            <w:tcBorders>
              <w:left w:val="single" w:sz="4" w:space="0" w:color="FFFFFF" w:themeColor="accent1"/>
            </w:tcBorders>
            <w:shd w:val="clear" w:color="auto" w:fill="FCE5D5" w:themeFill="background2" w:themeFillTint="33"/>
            <w:vAlign w:val="center"/>
          </w:tcPr>
          <w:p w:rsidR="007866D4" w:rsidRPr="00FB01AA" w:rsidRDefault="007866D4" w:rsidP="00056A0D">
            <w:pPr>
              <w:spacing w:before="60" w:after="60" w:line="240" w:lineRule="auto"/>
              <w:jc w:val="center"/>
              <w:rPr>
                <w:rFonts w:ascii="Arial" w:hAnsi="Arial" w:cs="Arial"/>
                <w:color w:val="373737" w:themeColor="background1" w:themeShade="40"/>
                <w:sz w:val="16"/>
                <w:szCs w:val="18"/>
              </w:rPr>
            </w:pPr>
          </w:p>
        </w:tc>
      </w:tr>
      <w:tr w:rsidR="007866D4" w:rsidRPr="00FB01AA" w:rsidTr="005D2A53">
        <w:tc>
          <w:tcPr>
            <w:tcW w:w="6816" w:type="dxa"/>
            <w:tcBorders>
              <w:right w:val="single" w:sz="4" w:space="0" w:color="FFFFFF" w:themeColor="accent1"/>
            </w:tcBorders>
            <w:shd w:val="clear" w:color="auto" w:fill="F9CBAC" w:themeFill="background2" w:themeFillTint="66"/>
            <w:vAlign w:val="center"/>
          </w:tcPr>
          <w:p w:rsidR="007866D4" w:rsidRPr="00FB01AA" w:rsidRDefault="007866D4" w:rsidP="00056A0D">
            <w:pPr>
              <w:spacing w:before="60" w:after="60" w:line="240" w:lineRule="auto"/>
              <w:rPr>
                <w:rFonts w:ascii="Arial" w:hAnsi="Arial" w:cs="Arial"/>
                <w:color w:val="373737" w:themeColor="background1" w:themeShade="40"/>
                <w:sz w:val="16"/>
                <w:szCs w:val="18"/>
              </w:rPr>
            </w:pPr>
            <w:r w:rsidRPr="00FB01AA">
              <w:rPr>
                <w:rFonts w:ascii="Arial" w:hAnsi="Arial"/>
                <w:color w:val="373737" w:themeColor="background1" w:themeShade="40"/>
                <w:sz w:val="16"/>
              </w:rPr>
              <w:t>Единен идентификационен номер на МГД, участващи в проект за сътрудничество</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FB01AA" w:rsidRDefault="007866D4" w:rsidP="00056A0D">
            <w:pPr>
              <w:spacing w:before="60" w:after="60" w:line="240" w:lineRule="auto"/>
              <w:jc w:val="center"/>
              <w:rPr>
                <w:rFonts w:ascii="Arial" w:hAnsi="Arial" w:cs="Arial"/>
                <w:color w:val="373737" w:themeColor="background1" w:themeShade="40"/>
                <w:sz w:val="16"/>
                <w:szCs w:val="18"/>
              </w:rPr>
            </w:pPr>
            <w:r w:rsidRPr="00FB01AA">
              <w:rPr>
                <w:rFonts w:ascii="Arial" w:hAnsi="Arial"/>
                <w:color w:val="373737" w:themeColor="background1" w:themeShade="40"/>
                <w:sz w:val="16"/>
              </w:rPr>
              <w:t>КП23</w:t>
            </w:r>
          </w:p>
        </w:tc>
        <w:tc>
          <w:tcPr>
            <w:tcW w:w="1134" w:type="dxa"/>
            <w:tcBorders>
              <w:left w:val="single" w:sz="4" w:space="0" w:color="FFFFFF" w:themeColor="accent1"/>
            </w:tcBorders>
            <w:shd w:val="clear" w:color="auto" w:fill="F9CBAC" w:themeFill="background2" w:themeFillTint="66"/>
            <w:vAlign w:val="center"/>
          </w:tcPr>
          <w:p w:rsidR="007866D4" w:rsidRPr="00FB01AA" w:rsidRDefault="007866D4" w:rsidP="00056A0D">
            <w:pPr>
              <w:spacing w:before="60" w:after="60" w:line="240" w:lineRule="auto"/>
              <w:jc w:val="center"/>
              <w:rPr>
                <w:rFonts w:ascii="Arial" w:hAnsi="Arial" w:cs="Arial"/>
                <w:color w:val="373737" w:themeColor="background1" w:themeShade="40"/>
                <w:sz w:val="16"/>
                <w:szCs w:val="18"/>
              </w:rPr>
            </w:pPr>
          </w:p>
        </w:tc>
      </w:tr>
      <w:tr w:rsidR="007866D4" w:rsidRPr="00FB01AA" w:rsidTr="005D2A53">
        <w:tc>
          <w:tcPr>
            <w:tcW w:w="6816" w:type="dxa"/>
            <w:tcBorders>
              <w:right w:val="single" w:sz="4" w:space="0" w:color="FFFFFF" w:themeColor="accent1"/>
            </w:tcBorders>
            <w:shd w:val="clear" w:color="auto" w:fill="FCE5D5" w:themeFill="background2" w:themeFillTint="33"/>
            <w:vAlign w:val="center"/>
          </w:tcPr>
          <w:p w:rsidR="007866D4" w:rsidRPr="00FB01AA" w:rsidRDefault="007866D4" w:rsidP="00056A0D">
            <w:pPr>
              <w:spacing w:before="60" w:after="60" w:line="240" w:lineRule="auto"/>
              <w:rPr>
                <w:rFonts w:ascii="Arial" w:hAnsi="Arial" w:cs="Arial"/>
                <w:color w:val="373737" w:themeColor="background1" w:themeShade="40"/>
                <w:sz w:val="16"/>
                <w:szCs w:val="18"/>
              </w:rPr>
            </w:pPr>
            <w:r w:rsidRPr="00FB01AA">
              <w:rPr>
                <w:rFonts w:ascii="Arial" w:hAnsi="Arial"/>
                <w:color w:val="373737" w:themeColor="background1" w:themeShade="40"/>
                <w:sz w:val="16"/>
              </w:rPr>
              <w:t xml:space="preserve">Брой на разкритите работни места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FB01AA" w:rsidRDefault="007866D4" w:rsidP="00056A0D">
            <w:pPr>
              <w:spacing w:before="60" w:after="60" w:line="240" w:lineRule="auto"/>
              <w:jc w:val="center"/>
              <w:rPr>
                <w:rFonts w:ascii="Arial" w:hAnsi="Arial" w:cs="Arial"/>
                <w:color w:val="373737" w:themeColor="background1" w:themeShade="40"/>
                <w:sz w:val="16"/>
                <w:szCs w:val="18"/>
              </w:rPr>
            </w:pPr>
          </w:p>
        </w:tc>
        <w:tc>
          <w:tcPr>
            <w:tcW w:w="1134" w:type="dxa"/>
            <w:tcBorders>
              <w:left w:val="single" w:sz="4" w:space="0" w:color="FFFFFF" w:themeColor="accent1"/>
            </w:tcBorders>
            <w:shd w:val="clear" w:color="auto" w:fill="FCE5D5" w:themeFill="background2" w:themeFillTint="33"/>
            <w:vAlign w:val="center"/>
          </w:tcPr>
          <w:p w:rsidR="007866D4" w:rsidRPr="00FB01AA" w:rsidRDefault="007866D4" w:rsidP="00056A0D">
            <w:pPr>
              <w:spacing w:before="60" w:after="60" w:line="240" w:lineRule="auto"/>
              <w:jc w:val="center"/>
              <w:rPr>
                <w:rFonts w:ascii="Arial" w:hAnsi="Arial" w:cs="Arial"/>
                <w:color w:val="373737" w:themeColor="background1" w:themeShade="40"/>
                <w:sz w:val="16"/>
                <w:szCs w:val="18"/>
              </w:rPr>
            </w:pPr>
            <w:r w:rsidRPr="00FB01AA">
              <w:rPr>
                <w:rFonts w:ascii="Arial" w:hAnsi="Arial"/>
                <w:color w:val="373737" w:themeColor="background1" w:themeShade="40"/>
                <w:sz w:val="16"/>
              </w:rPr>
              <w:t>Ц23</w:t>
            </w:r>
          </w:p>
        </w:tc>
      </w:tr>
    </w:tbl>
    <w:p w:rsidR="000A7636" w:rsidRPr="00FB01AA" w:rsidRDefault="000A7636" w:rsidP="007866D4">
      <w:pPr>
        <w:pStyle w:val="HStandard"/>
        <w:rPr>
          <w:b/>
          <w:sz w:val="18"/>
        </w:rPr>
      </w:pPr>
      <w:r w:rsidRPr="00FB01AA">
        <w:rPr>
          <w:sz w:val="18"/>
        </w:rPr>
        <w:br w:type="page"/>
      </w:r>
    </w:p>
    <w:p w:rsidR="007866D4" w:rsidRPr="00FB01AA" w:rsidRDefault="007866D4" w:rsidP="007866D4">
      <w:pPr>
        <w:pStyle w:val="HStandard"/>
        <w:rPr>
          <w:b/>
          <w:sz w:val="18"/>
        </w:rPr>
        <w:sectPr w:rsidR="007866D4" w:rsidRPr="00FB01AA" w:rsidSect="009F15D6">
          <w:type w:val="continuous"/>
          <w:pgSz w:w="11906" w:h="16838"/>
          <w:pgMar w:top="1418" w:right="1418" w:bottom="1418" w:left="1418" w:header="709" w:footer="709" w:gutter="0"/>
          <w:cols w:space="708"/>
          <w:docGrid w:linePitch="360"/>
        </w:sectPr>
      </w:pPr>
    </w:p>
    <w:p w:rsidR="007866D4" w:rsidRPr="00BD0D14" w:rsidRDefault="007866D4" w:rsidP="00BD0D14">
      <w:pPr>
        <w:pStyle w:val="HStandard"/>
        <w:spacing w:after="80" w:line="260" w:lineRule="atLeast"/>
        <w:rPr>
          <w:spacing w:val="-4"/>
          <w:sz w:val="18"/>
        </w:rPr>
      </w:pPr>
      <w:r w:rsidRPr="00BD0D14">
        <w:rPr>
          <w:b/>
          <w:spacing w:val="-4"/>
          <w:sz w:val="18"/>
        </w:rPr>
        <w:lastRenderedPageBreak/>
        <w:t>LEADER/ВОМР допринася също и за ОПА, различни от 6Б.</w:t>
      </w:r>
      <w:r w:rsidRPr="00BD0D14">
        <w:rPr>
          <w:spacing w:val="-4"/>
          <w:sz w:val="18"/>
        </w:rPr>
        <w:t xml:space="preserve"> Следователно, освен ОВО 17, всички ОВО, свързани с други ОПА, за които LEADER/ВОМР допринася, също следва да бъдат взети предвид при проверката на съгласуваността. Например, ако в рамките на дадена ПРСР LEADER/ВОМР допринася и за ОПА 6А, се прилага следният въпрос за оценка:</w:t>
      </w:r>
      <w:r w:rsidRPr="00BD0D14">
        <w:rPr>
          <w:i/>
          <w:spacing w:val="-4"/>
          <w:sz w:val="18"/>
        </w:rPr>
        <w:t xml:space="preserve"> ОВО 16: „До каква степен интервенциите по ПРСР са подпомогнали диверсификацията, създаването и развитието на малки предприятия и създаването на работни места?“ </w:t>
      </w:r>
      <w:r w:rsidRPr="00BD0D14">
        <w:rPr>
          <w:spacing w:val="-4"/>
          <w:sz w:val="18"/>
        </w:rPr>
        <w:t xml:space="preserve">В този случай всички критерии за преценка и показатели за резултати (работни места, разкрити по подкрепените проекти), които са свързани с ОВО </w:t>
      </w:r>
      <w:r w:rsidRPr="00BD0D14">
        <w:rPr>
          <w:spacing w:val="-4"/>
          <w:sz w:val="18"/>
        </w:rPr>
        <w:t>16, също ще бъдат част от проверката на съгласуваността.</w:t>
      </w:r>
    </w:p>
    <w:p w:rsidR="007866D4" w:rsidRPr="00FB01AA" w:rsidRDefault="007866D4" w:rsidP="00BD0D14">
      <w:pPr>
        <w:pStyle w:val="HStandard"/>
        <w:spacing w:line="260" w:lineRule="atLeast"/>
        <w:rPr>
          <w:sz w:val="18"/>
        </w:rPr>
        <w:sectPr w:rsidR="007866D4" w:rsidRPr="00FB01AA" w:rsidSect="00084B11">
          <w:type w:val="continuous"/>
          <w:pgSz w:w="11906" w:h="16838"/>
          <w:pgMar w:top="1418" w:right="1418" w:bottom="1418" w:left="1418" w:header="709" w:footer="709" w:gutter="0"/>
          <w:cols w:num="2" w:space="397"/>
          <w:docGrid w:linePitch="360"/>
        </w:sectPr>
      </w:pPr>
      <w:r w:rsidRPr="00FB01AA">
        <w:rPr>
          <w:b/>
          <w:sz w:val="18"/>
        </w:rPr>
        <w:t>Общите оценъчни елементи осигуряват минимална основа, която позволява да се оценят</w:t>
      </w:r>
      <w:r w:rsidRPr="00FB01AA">
        <w:rPr>
          <w:sz w:val="18"/>
        </w:rPr>
        <w:t xml:space="preserve"> </w:t>
      </w:r>
      <w:r w:rsidRPr="00FB01AA">
        <w:rPr>
          <w:b/>
          <w:sz w:val="18"/>
        </w:rPr>
        <w:t>първичният и вторичният принос</w:t>
      </w:r>
      <w:r w:rsidRPr="00FB01AA">
        <w:rPr>
          <w:sz w:val="18"/>
        </w:rPr>
        <w:t xml:space="preserve"> на LEADER/ВОМР, и гарантират сравнимост на резултатите от оценката в целия ЕС. Те обаче не са достатъчни, за да се установят напълно всички видове първични и вторични приноси. Ето защо може да е необходимо да се разработят </w:t>
      </w:r>
      <w:r w:rsidRPr="00FB01AA">
        <w:rPr>
          <w:b/>
          <w:sz w:val="18"/>
        </w:rPr>
        <w:t>допълнителни оценъчни елементи</w:t>
      </w:r>
      <w:r w:rsidRPr="00FB01AA">
        <w:rPr>
          <w:sz w:val="18"/>
        </w:rPr>
        <w:t xml:space="preserve"> (например допълнителни критерии за преценка и допълнителни показатели, свързани с LEADER/ВОМР (вж. примерите по-долу).</w:t>
      </w:r>
    </w:p>
    <w:p w:rsidR="007866D4" w:rsidRPr="00FB01AA" w:rsidRDefault="00BD0D14" w:rsidP="007866D4">
      <w:pPr>
        <w:pStyle w:val="HStandard"/>
        <w:rPr>
          <w:sz w:val="18"/>
        </w:rPr>
      </w:pPr>
      <w:r w:rsidRPr="00FB01AA">
        <w:rPr>
          <w:noProof/>
          <w:sz w:val="18"/>
          <w:lang w:val="en-GB" w:eastAsia="en-GB" w:bidi="ar-SA"/>
        </w:rPr>
        <mc:AlternateContent>
          <mc:Choice Requires="wps">
            <w:drawing>
              <wp:anchor distT="0" distB="0" distL="114300" distR="114300" simplePos="0" relativeHeight="251650048" behindDoc="0" locked="0" layoutInCell="1" allowOverlap="1" wp14:anchorId="4793CE21" wp14:editId="0C57AAE6">
                <wp:simplePos x="0" y="0"/>
                <wp:positionH relativeFrom="column">
                  <wp:posOffset>2962910</wp:posOffset>
                </wp:positionH>
                <wp:positionV relativeFrom="paragraph">
                  <wp:posOffset>85090</wp:posOffset>
                </wp:positionV>
                <wp:extent cx="3108960" cy="6789420"/>
                <wp:effectExtent l="0" t="0" r="15240" b="11430"/>
                <wp:wrapNone/>
                <wp:docPr id="34" name="Rectangle: Diagonal Corners Rounded 34"/>
                <wp:cNvGraphicFramePr/>
                <a:graphic xmlns:a="http://schemas.openxmlformats.org/drawingml/2006/main">
                  <a:graphicData uri="http://schemas.microsoft.com/office/word/2010/wordprocessingShape">
                    <wps:wsp>
                      <wps:cNvSpPr/>
                      <wps:spPr>
                        <a:xfrm>
                          <a:off x="0" y="0"/>
                          <a:ext cx="3108960" cy="6789420"/>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DBF" w:rsidRPr="00BD0D14" w:rsidRDefault="00D21DBF" w:rsidP="00BD0D14">
                            <w:pPr>
                              <w:autoSpaceDE w:val="0"/>
                              <w:autoSpaceDN w:val="0"/>
                              <w:adjustRightInd w:val="0"/>
                              <w:spacing w:before="120" w:after="80" w:line="260" w:lineRule="atLeast"/>
                              <w:jc w:val="both"/>
                              <w:rPr>
                                <w:rFonts w:ascii="Arial" w:hAnsi="Arial" w:cs="Arial"/>
                                <w:b/>
                                <w:bCs/>
                                <w:iCs/>
                                <w:color w:val="F07E31" w:themeColor="background2"/>
                                <w:spacing w:val="-4"/>
                                <w:sz w:val="18"/>
                                <w:szCs w:val="18"/>
                              </w:rPr>
                            </w:pPr>
                            <w:r w:rsidRPr="00BD0D14">
                              <w:rPr>
                                <w:rFonts w:ascii="Arial" w:hAnsi="Arial" w:cs="Arial"/>
                                <w:b/>
                                <w:bCs/>
                                <w:iCs/>
                                <w:noProof/>
                                <w:color w:val="F07E31" w:themeColor="background2"/>
                                <w:spacing w:val="-4"/>
                                <w:sz w:val="18"/>
                                <w:szCs w:val="18"/>
                                <w:lang w:val="en-GB" w:eastAsia="en-GB" w:bidi="ar-SA"/>
                              </w:rPr>
                              <w:drawing>
                                <wp:inline distT="0" distB="0" distL="0" distR="0" wp14:anchorId="09D7AA75" wp14:editId="31B30540">
                                  <wp:extent cx="353202" cy="360000"/>
                                  <wp:effectExtent l="0" t="0" r="889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sidRPr="00BD0D14">
                              <w:rPr>
                                <w:rFonts w:ascii="Arial" w:hAnsi="Arial"/>
                                <w:b/>
                                <w:color w:val="F07E31" w:themeColor="background2"/>
                                <w:spacing w:val="-4"/>
                                <w:sz w:val="18"/>
                              </w:rPr>
                              <w:t>Пример — общият показател не позволява да се установят всички ефекти, които LEADER/ВОМР е предизвикал в дадена област (заетост)</w:t>
                            </w:r>
                          </w:p>
                          <w:p w:rsidR="00D21DBF" w:rsidRPr="00BD0D14" w:rsidRDefault="00D21DBF" w:rsidP="00BD0D14">
                            <w:pPr>
                              <w:pStyle w:val="HStandard"/>
                              <w:spacing w:after="80" w:line="260" w:lineRule="atLeast"/>
                              <w:rPr>
                                <w:rFonts w:cs="Arial"/>
                                <w:spacing w:val="-4"/>
                                <w:sz w:val="18"/>
                                <w:szCs w:val="18"/>
                              </w:rPr>
                            </w:pPr>
                            <w:r w:rsidRPr="00BD0D14">
                              <w:rPr>
                                <w:b/>
                                <w:spacing w:val="-4"/>
                                <w:sz w:val="18"/>
                              </w:rPr>
                              <w:t xml:space="preserve">Целеви показател Ц23 </w:t>
                            </w:r>
                            <w:r w:rsidRPr="00BD0D14">
                              <w:rPr>
                                <w:spacing w:val="-4"/>
                                <w:sz w:val="18"/>
                              </w:rPr>
                              <w:t xml:space="preserve">(= показател за резултат Р24) се определя като броя на разкритите работни места в еквивалент на пълно работно време (ЕПРВ) посредством подкрепата за изпълнението на операции по стратегията за ВОМР, финансирани чрез ПРСР по метода LEADER. Това означава, че показателят </w:t>
                            </w:r>
                            <w:r w:rsidRPr="00BD0D14">
                              <w:rPr>
                                <w:b/>
                                <w:spacing w:val="-4"/>
                                <w:sz w:val="18"/>
                              </w:rPr>
                              <w:t>брои разкритите посредством проекта работни места</w:t>
                            </w:r>
                            <w:r w:rsidRPr="00BD0D14">
                              <w:rPr>
                                <w:spacing w:val="-4"/>
                                <w:sz w:val="18"/>
                              </w:rPr>
                              <w:t xml:space="preserve"> в съответствие с предложеното във формуляра за кандидатстване, към момента на завършване на проекта и при валидирането чрез извадката на завършените проекти на по-късен етап от програмния период. Показателят </w:t>
                            </w:r>
                            <w:r w:rsidRPr="00BD0D14">
                              <w:rPr>
                                <w:b/>
                                <w:spacing w:val="-4"/>
                                <w:sz w:val="18"/>
                              </w:rPr>
                              <w:t>не обхваща</w:t>
                            </w:r>
                            <w:r w:rsidRPr="00BD0D14">
                              <w:rPr>
                                <w:spacing w:val="-4"/>
                                <w:sz w:val="18"/>
                              </w:rPr>
                              <w:t xml:space="preserve"> запазените работни места. </w:t>
                            </w:r>
                          </w:p>
                          <w:p w:rsidR="00D21DBF" w:rsidRPr="00BD0D14" w:rsidRDefault="00D21DBF" w:rsidP="00BD0D14">
                            <w:pPr>
                              <w:pStyle w:val="HStandard"/>
                              <w:spacing w:after="80" w:line="260" w:lineRule="atLeast"/>
                              <w:rPr>
                                <w:rFonts w:cs="Arial"/>
                                <w:spacing w:val="-4"/>
                                <w:sz w:val="18"/>
                                <w:szCs w:val="18"/>
                              </w:rPr>
                            </w:pPr>
                            <w:r w:rsidRPr="00BD0D14">
                              <w:rPr>
                                <w:spacing w:val="-4"/>
                                <w:sz w:val="18"/>
                              </w:rPr>
                              <w:t xml:space="preserve">Например: Земеделски стопанин създава магазин и търси подкрепа от МГД чрез стратегията за ВОМР. Той разкрива едно </w:t>
                            </w:r>
                            <w:r w:rsidRPr="00BD0D14">
                              <w:rPr>
                                <w:b/>
                                <w:spacing w:val="-4"/>
                                <w:sz w:val="18"/>
                              </w:rPr>
                              <w:t>ново работно място</w:t>
                            </w:r>
                            <w:r w:rsidRPr="00BD0D14">
                              <w:rPr>
                                <w:spacing w:val="-4"/>
                                <w:sz w:val="18"/>
                              </w:rPr>
                              <w:t xml:space="preserve"> </w:t>
                            </w:r>
                            <w:r w:rsidRPr="00BD0D14">
                              <w:rPr>
                                <w:b/>
                                <w:spacing w:val="-4"/>
                                <w:sz w:val="18"/>
                              </w:rPr>
                              <w:t>, което ще бъде запазено за срок от поне 12 месеца</w:t>
                            </w:r>
                            <w:r w:rsidRPr="00BD0D14">
                              <w:rPr>
                                <w:spacing w:val="-4"/>
                                <w:sz w:val="18"/>
                              </w:rPr>
                              <w:t xml:space="preserve"> (1 ЕПРВ), както е посочено във формуляра за кандидатстване. Успехът на магазина позволява на земеделския стопанин да разкрие </w:t>
                            </w:r>
                            <w:r w:rsidRPr="00BD0D14">
                              <w:rPr>
                                <w:b/>
                                <w:spacing w:val="-4"/>
                                <w:sz w:val="18"/>
                              </w:rPr>
                              <w:t>допълнително работно място (на непълен работен ден)</w:t>
                            </w:r>
                            <w:r w:rsidRPr="00BD0D14">
                              <w:rPr>
                                <w:spacing w:val="-4"/>
                                <w:sz w:val="18"/>
                              </w:rPr>
                              <w:t xml:space="preserve">, което съответствие на 0,5 ЕПРВ (1 лице, заето на половин работен ден (50 %) за срок от поне 12 месеца). Това означава, че проектът генерира общо 1,5 новоразкрити работни места в ЕПРВ. Тази стойност (1,5 ЕПРВ) се следи с целевия показател Ц23 и се потвърждава чрез ad hoc проучване, което се провежда от разплащателната агенция след завършването на проекта. </w:t>
                            </w:r>
                          </w:p>
                          <w:p w:rsidR="00D21DBF" w:rsidRPr="00BD0D14" w:rsidRDefault="00D21DBF" w:rsidP="00BD0D14">
                            <w:pPr>
                              <w:pStyle w:val="HStandard"/>
                              <w:spacing w:after="80" w:line="260" w:lineRule="atLeast"/>
                              <w:rPr>
                                <w:spacing w:val="-4"/>
                              </w:rPr>
                            </w:pPr>
                            <w:r w:rsidRPr="00BD0D14">
                              <w:rPr>
                                <w:spacing w:val="-4"/>
                                <w:sz w:val="18"/>
                              </w:rPr>
                              <w:t xml:space="preserve">За да изчисли броя на </w:t>
                            </w:r>
                            <w:r w:rsidRPr="00BD0D14">
                              <w:rPr>
                                <w:b/>
                                <w:spacing w:val="-4"/>
                                <w:sz w:val="18"/>
                              </w:rPr>
                              <w:t>запазените работни места</w:t>
                            </w:r>
                            <w:r w:rsidRPr="00BD0D14">
                              <w:rPr>
                                <w:spacing w:val="-4"/>
                                <w:sz w:val="18"/>
                              </w:rPr>
                              <w:t xml:space="preserve">, оценителят ще трябва да използва </w:t>
                            </w:r>
                            <w:r w:rsidRPr="00BD0D14">
                              <w:rPr>
                                <w:b/>
                                <w:spacing w:val="-4"/>
                                <w:sz w:val="18"/>
                              </w:rPr>
                              <w:t xml:space="preserve">допълнителен показател. </w:t>
                            </w:r>
                            <w:r w:rsidRPr="00BD0D14">
                              <w:rPr>
                                <w:spacing w:val="-4"/>
                                <w:sz w:val="18"/>
                              </w:rPr>
                              <w:t>Например: „брой работни места, запазени благодарение на проекта“.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93CE21" id="Rectangle: Diagonal Corners Rounded 34" o:spid="_x0000_s1034" style="position:absolute;left:0;text-align:left;margin-left:233.3pt;margin-top:6.7pt;width:244.8pt;height:534.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8960,67894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" adj="-11796480,,5400" path="m518170,l3108960,r,l3108960,6271250v,286177,-231993,518170,-518170,518170l,6789420r,l,518170c,231993,231993,,518170,xe" filled="f" strokecolor="#f07e31 [3214]" strokeweight="2pt">
                <v:stroke joinstyle="miter"/>
                <v:formulas/>
                <v:path arrowok="t" o:connecttype="custom" o:connectlocs="518170,0;3108960,0;3108960,0;3108960,6271250;2590790,6789420;0,6789420;0,6789420;0,518170;518170,0" o:connectangles="0,0,0,0,0,0,0,0,0" textboxrect="0,0,3108960,6789420"/>
                <v:textbox inset="0,0,0,0">
                  <w:txbxContent>
                    <w:p w:rsidR="00D21DBF" w:rsidRPr="00BD0D14" w:rsidRDefault="00D21DBF" w:rsidP="00BD0D14">
                      <w:pPr>
                        <w:autoSpaceDE w:val="0"/>
                        <w:autoSpaceDN w:val="0"/>
                        <w:adjustRightInd w:val="0"/>
                        <w:spacing w:before="120" w:after="80" w:line="260" w:lineRule="atLeast"/>
                        <w:jc w:val="both"/>
                        <w:rPr>
                          <w:rFonts w:ascii="Arial" w:hAnsi="Arial" w:cs="Arial"/>
                          <w:b/>
                          <w:bCs/>
                          <w:iCs/>
                          <w:color w:val="F07E31" w:themeColor="background2"/>
                          <w:spacing w:val="-4"/>
                          <w:sz w:val="18"/>
                          <w:szCs w:val="18"/>
                        </w:rPr>
                      </w:pPr>
                      <w:r w:rsidRPr="00BD0D14">
                        <w:rPr>
                          <w:rFonts w:ascii="Arial" w:hAnsi="Arial" w:cs="Arial"/>
                          <w:b/>
                          <w:bCs/>
                          <w:iCs/>
                          <w:noProof/>
                          <w:color w:val="F07E31" w:themeColor="background2"/>
                          <w:spacing w:val="-4"/>
                          <w:sz w:val="18"/>
                          <w:szCs w:val="18"/>
                          <w:lang w:val="en-GB" w:eastAsia="en-GB" w:bidi="ar-SA"/>
                        </w:rPr>
                        <w:drawing>
                          <wp:inline distT="0" distB="0" distL="0" distR="0" wp14:anchorId="09D7AA75" wp14:editId="31B30540">
                            <wp:extent cx="353202" cy="360000"/>
                            <wp:effectExtent l="0" t="0" r="8890" b="254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sidRPr="00BD0D14">
                        <w:rPr>
                          <w:rFonts w:ascii="Arial" w:hAnsi="Arial"/>
                          <w:b/>
                          <w:color w:val="F07E31" w:themeColor="background2"/>
                          <w:spacing w:val="-4"/>
                          <w:sz w:val="18"/>
                        </w:rPr>
                        <w:t>Пример — общият показател не позволява да се установят всички ефекти, които LEADER/ВОМР е предизвикал в дадена област (заетост)</w:t>
                      </w:r>
                    </w:p>
                    <w:p w:rsidR="00D21DBF" w:rsidRPr="00BD0D14" w:rsidRDefault="00D21DBF" w:rsidP="00BD0D14">
                      <w:pPr>
                        <w:pStyle w:val="HStandard"/>
                        <w:spacing w:after="80" w:line="260" w:lineRule="atLeast"/>
                        <w:rPr>
                          <w:rFonts w:cs="Arial"/>
                          <w:spacing w:val="-4"/>
                          <w:sz w:val="18"/>
                          <w:szCs w:val="18"/>
                        </w:rPr>
                      </w:pPr>
                      <w:r w:rsidRPr="00BD0D14">
                        <w:rPr>
                          <w:b/>
                          <w:spacing w:val="-4"/>
                          <w:sz w:val="18"/>
                        </w:rPr>
                        <w:t xml:space="preserve">Целеви показател Ц23 </w:t>
                      </w:r>
                      <w:r w:rsidRPr="00BD0D14">
                        <w:rPr>
                          <w:spacing w:val="-4"/>
                          <w:sz w:val="18"/>
                        </w:rPr>
                        <w:t xml:space="preserve">(= показател за резултат Р24) се определя като броя на разкритите работни места в еквивалент на пълно работно време (ЕПРВ) посредством подкрепата за изпълнението на операции по стратегията за ВОМР, финансирани чрез ПРСР по метода LEADER. Това означава, че показателят </w:t>
                      </w:r>
                      <w:r w:rsidRPr="00BD0D14">
                        <w:rPr>
                          <w:b/>
                          <w:spacing w:val="-4"/>
                          <w:sz w:val="18"/>
                        </w:rPr>
                        <w:t>брои разкритите посредством проекта работни места</w:t>
                      </w:r>
                      <w:r w:rsidRPr="00BD0D14">
                        <w:rPr>
                          <w:spacing w:val="-4"/>
                          <w:sz w:val="18"/>
                        </w:rPr>
                        <w:t xml:space="preserve"> в съответствие с предложеното във формуляра за кандидатстване, към момента на завършване на проекта и при валидирането чрез извадката на завършените проекти на по-късен етап от програмния период. Показателят </w:t>
                      </w:r>
                      <w:r w:rsidRPr="00BD0D14">
                        <w:rPr>
                          <w:b/>
                          <w:spacing w:val="-4"/>
                          <w:sz w:val="18"/>
                        </w:rPr>
                        <w:t>не обхваща</w:t>
                      </w:r>
                      <w:r w:rsidRPr="00BD0D14">
                        <w:rPr>
                          <w:spacing w:val="-4"/>
                          <w:sz w:val="18"/>
                        </w:rPr>
                        <w:t xml:space="preserve"> запазените работни места. </w:t>
                      </w:r>
                    </w:p>
                    <w:p w:rsidR="00D21DBF" w:rsidRPr="00BD0D14" w:rsidRDefault="00D21DBF" w:rsidP="00BD0D14">
                      <w:pPr>
                        <w:pStyle w:val="HStandard"/>
                        <w:spacing w:after="80" w:line="260" w:lineRule="atLeast"/>
                        <w:rPr>
                          <w:rFonts w:cs="Arial"/>
                          <w:spacing w:val="-4"/>
                          <w:sz w:val="18"/>
                          <w:szCs w:val="18"/>
                        </w:rPr>
                      </w:pPr>
                      <w:r w:rsidRPr="00BD0D14">
                        <w:rPr>
                          <w:spacing w:val="-4"/>
                          <w:sz w:val="18"/>
                        </w:rPr>
                        <w:t xml:space="preserve">Например: Земеделски стопанин създава магазин и търси подкрепа от МГД чрез стратегията за ВОМР. Той разкрива едно </w:t>
                      </w:r>
                      <w:r w:rsidRPr="00BD0D14">
                        <w:rPr>
                          <w:b/>
                          <w:spacing w:val="-4"/>
                          <w:sz w:val="18"/>
                        </w:rPr>
                        <w:t>ново работно място</w:t>
                      </w:r>
                      <w:r w:rsidRPr="00BD0D14">
                        <w:rPr>
                          <w:spacing w:val="-4"/>
                          <w:sz w:val="18"/>
                        </w:rPr>
                        <w:t xml:space="preserve"> </w:t>
                      </w:r>
                      <w:r w:rsidRPr="00BD0D14">
                        <w:rPr>
                          <w:b/>
                          <w:spacing w:val="-4"/>
                          <w:sz w:val="18"/>
                        </w:rPr>
                        <w:t>, което ще бъде запазено за срок от поне 12 месеца</w:t>
                      </w:r>
                      <w:r w:rsidRPr="00BD0D14">
                        <w:rPr>
                          <w:spacing w:val="-4"/>
                          <w:sz w:val="18"/>
                        </w:rPr>
                        <w:t xml:space="preserve"> (1 ЕПРВ), както е посочено във формуляра за кандидатстване. Успехът на магазина позволява на земеделския стопанин да разкрие </w:t>
                      </w:r>
                      <w:r w:rsidRPr="00BD0D14">
                        <w:rPr>
                          <w:b/>
                          <w:spacing w:val="-4"/>
                          <w:sz w:val="18"/>
                        </w:rPr>
                        <w:t>допълнително работно място (на непълен работен ден)</w:t>
                      </w:r>
                      <w:r w:rsidRPr="00BD0D14">
                        <w:rPr>
                          <w:spacing w:val="-4"/>
                          <w:sz w:val="18"/>
                        </w:rPr>
                        <w:t xml:space="preserve">, което съответствие на 0,5 ЕПРВ (1 лице, заето на половин работен ден (50 %) за срок от поне 12 месеца). Това означава, че проектът генерира общо 1,5 новоразкрити работни места в ЕПРВ. Тази стойност (1,5 ЕПРВ) се следи с целевия показател Ц23 и се потвърждава чрез ad hoc проучване, което се провежда от разплащателната агенция след завършването на проекта. </w:t>
                      </w:r>
                    </w:p>
                    <w:p w:rsidR="00D21DBF" w:rsidRPr="00BD0D14" w:rsidRDefault="00D21DBF" w:rsidP="00BD0D14">
                      <w:pPr>
                        <w:pStyle w:val="HStandard"/>
                        <w:spacing w:after="80" w:line="260" w:lineRule="atLeast"/>
                        <w:rPr>
                          <w:spacing w:val="-4"/>
                        </w:rPr>
                      </w:pPr>
                      <w:r w:rsidRPr="00BD0D14">
                        <w:rPr>
                          <w:spacing w:val="-4"/>
                          <w:sz w:val="18"/>
                        </w:rPr>
                        <w:t xml:space="preserve">За да изчисли броя на </w:t>
                      </w:r>
                      <w:r w:rsidRPr="00BD0D14">
                        <w:rPr>
                          <w:b/>
                          <w:spacing w:val="-4"/>
                          <w:sz w:val="18"/>
                        </w:rPr>
                        <w:t>запазените работни места</w:t>
                      </w:r>
                      <w:r w:rsidRPr="00BD0D14">
                        <w:rPr>
                          <w:spacing w:val="-4"/>
                          <w:sz w:val="18"/>
                        </w:rPr>
                        <w:t xml:space="preserve">, оценителят ще трябва да използва </w:t>
                      </w:r>
                      <w:r w:rsidRPr="00BD0D14">
                        <w:rPr>
                          <w:b/>
                          <w:spacing w:val="-4"/>
                          <w:sz w:val="18"/>
                        </w:rPr>
                        <w:t xml:space="preserve">допълнителен показател. </w:t>
                      </w:r>
                      <w:r w:rsidRPr="00BD0D14">
                        <w:rPr>
                          <w:spacing w:val="-4"/>
                          <w:sz w:val="18"/>
                        </w:rPr>
                        <w:t>Например: „брой работни места, запазени благодарение на проекта“.</w:t>
                      </w:r>
                    </w:p>
                  </w:txbxContent>
                </v:textbox>
              </v:shape>
            </w:pict>
          </mc:Fallback>
        </mc:AlternateContent>
      </w:r>
      <w:r w:rsidR="005216CE" w:rsidRPr="00FB01AA">
        <w:rPr>
          <w:noProof/>
          <w:sz w:val="18"/>
          <w:lang w:val="en-GB" w:eastAsia="en-GB" w:bidi="ar-SA"/>
        </w:rPr>
        <mc:AlternateContent>
          <mc:Choice Requires="wps">
            <w:drawing>
              <wp:anchor distT="0" distB="0" distL="114300" distR="114300" simplePos="0" relativeHeight="251651072" behindDoc="0" locked="0" layoutInCell="1" allowOverlap="1" wp14:anchorId="1A43E40B" wp14:editId="39902D19">
                <wp:simplePos x="0" y="0"/>
                <wp:positionH relativeFrom="column">
                  <wp:posOffset>-72294</wp:posOffset>
                </wp:positionH>
                <wp:positionV relativeFrom="paragraph">
                  <wp:posOffset>150556</wp:posOffset>
                </wp:positionV>
                <wp:extent cx="2773680" cy="6271404"/>
                <wp:effectExtent l="0" t="0" r="26670" b="15240"/>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271404"/>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DBF" w:rsidRPr="000D7A50" w:rsidRDefault="00D21DBF"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10A4C390" wp14:editId="1BEF2A8E">
                                  <wp:extent cx="353202" cy="360000"/>
                                  <wp:effectExtent l="0" t="0" r="8890" b="254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Пример — общият показател не позволява да се установят всички включени в ОВО области</w:t>
                            </w:r>
                          </w:p>
                          <w:p w:rsidR="00D21DBF" w:rsidRPr="000D7A50" w:rsidRDefault="00D21DBF" w:rsidP="007866D4">
                            <w:pPr>
                              <w:pStyle w:val="HStandard"/>
                              <w:rPr>
                                <w:rFonts w:cs="Arial"/>
                                <w:sz w:val="18"/>
                                <w:szCs w:val="18"/>
                              </w:rPr>
                            </w:pPr>
                            <w:r>
                              <w:rPr>
                                <w:sz w:val="18"/>
                              </w:rPr>
                              <w:t xml:space="preserve">Ако LEADER/ВОМР има вторичен принос за ОПА 6А, общият показател „работни места, разкрити по подкрепените проекти“ засяга само един компонент на ОВО 16, и по-специално този, който е свързан със заетостта. Този показател не отчита нито приноса за създаване на МСП, нито за диверсификацията, които са другите компоненти на ОВО 16. </w:t>
                            </w:r>
                          </w:p>
                          <w:p w:rsidR="00D21DBF" w:rsidRPr="000D7A50" w:rsidRDefault="00D21DBF" w:rsidP="007866D4">
                            <w:pPr>
                              <w:pStyle w:val="HStandard"/>
                              <w:rPr>
                                <w:rFonts w:cs="Arial"/>
                                <w:i/>
                                <w:sz w:val="18"/>
                                <w:szCs w:val="18"/>
                              </w:rPr>
                            </w:pPr>
                            <w:r>
                              <w:rPr>
                                <w:i/>
                                <w:sz w:val="18"/>
                              </w:rPr>
                              <w:t>Какъв е начинът за справяне с тази ситуация?</w:t>
                            </w:r>
                          </w:p>
                          <w:p w:rsidR="00D21DBF" w:rsidRPr="000D7A50" w:rsidRDefault="00D21DBF" w:rsidP="007866D4">
                            <w:pPr>
                              <w:pStyle w:val="HStandard"/>
                              <w:rPr>
                                <w:rFonts w:cs="Arial"/>
                                <w:sz w:val="18"/>
                                <w:szCs w:val="18"/>
                              </w:rPr>
                            </w:pPr>
                            <w:r>
                              <w:rPr>
                                <w:sz w:val="18"/>
                              </w:rPr>
                              <w:t xml:space="preserve">За да се отговори на ОВО 16, може да се използват </w:t>
                            </w:r>
                            <w:r>
                              <w:rPr>
                                <w:b/>
                                <w:sz w:val="18"/>
                              </w:rPr>
                              <w:t>допълнителни показатели</w:t>
                            </w:r>
                            <w:r>
                              <w:rPr>
                                <w:sz w:val="18"/>
                              </w:rPr>
                              <w:t xml:space="preserve">, както е предложено в </w:t>
                            </w:r>
                            <w:hyperlink r:id="rId41">
                              <w:r>
                                <w:rPr>
                                  <w:rStyle w:val="Hyperlink"/>
                                  <w:sz w:val="18"/>
                                </w:rPr>
                                <w:t>Работния документ: Общи въпроси за оценка за ПРСР в периода 2014—2020 г.</w:t>
                              </w:r>
                            </w:hyperlink>
                            <w:r>
                              <w:rPr>
                                <w:sz w:val="18"/>
                              </w:rPr>
                              <w:t>:</w:t>
                            </w:r>
                          </w:p>
                          <w:p w:rsidR="00D21DBF" w:rsidRPr="00084B11" w:rsidRDefault="00D21DBF" w:rsidP="007866D4">
                            <w:pPr>
                              <w:pStyle w:val="Hlistbullet"/>
                            </w:pPr>
                            <w:r>
                              <w:rPr>
                                <w:sz w:val="18"/>
                              </w:rPr>
                              <w:t>% на малките предприятия извън селскостопанския сектор, създадени с помощта на ПРСР (диверсификация)</w:t>
                            </w:r>
                          </w:p>
                          <w:p w:rsidR="00D21DBF" w:rsidRDefault="00D21DBF" w:rsidP="007866D4">
                            <w:pPr>
                              <w:pStyle w:val="Hlistbullet"/>
                            </w:pPr>
                            <w:r>
                              <w:rPr>
                                <w:sz w:val="18"/>
                              </w:rPr>
                              <w:t>% на малките предприятия, създадени с подкрепата на ПРСР (създаване на МСП)</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43E40B" id="Rectangle: Diagonal Corners Rounded 33" o:spid="_x0000_s1035" style="position:absolute;left:0;text-align:left;margin-left:-5.7pt;margin-top:11.85pt;width:218.4pt;height:493.8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73680,627140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" adj="-11796480,,5400" path="m462289,l2773680,r,l2773680,5809115v,255315,-206974,462289,-462289,462289l,6271404r,l,462289c,206974,206974,,462289,xe" filled="f" strokecolor="#f07e31 [3214]" strokeweight="2pt">
                <v:stroke joinstyle="miter"/>
                <v:formulas/>
                <v:path arrowok="t" o:connecttype="custom" o:connectlocs="462289,0;2773680,0;2773680,0;2773680,5809115;2311391,6271404;0,6271404;0,6271404;0,462289;462289,0" o:connectangles="0,0,0,0,0,0,0,0,0" textboxrect="0,0,2773680,6271404"/>
                <v:textbox inset="0,0,0,0">
                  <w:txbxContent>
                    <w:p w:rsidR="00D21DBF" w:rsidRPr="000D7A50" w:rsidRDefault="00D21DBF"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noProof/>
                          <w:color w:val="F07E31" w:themeColor="background2"/>
                          <w:sz w:val="18"/>
                          <w:szCs w:val="18"/>
                          <w:lang w:val="en-GB" w:eastAsia="en-GB" w:bidi="ar-SA"/>
                        </w:rPr>
                        <w:drawing>
                          <wp:inline distT="0" distB="0" distL="0" distR="0" wp14:anchorId="10A4C390" wp14:editId="1BEF2A8E">
                            <wp:extent cx="353202" cy="360000"/>
                            <wp:effectExtent l="0" t="0" r="8890" b="254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Пример — общият показател не позволява да се установят всички включени в ОВО области</w:t>
                      </w:r>
                    </w:p>
                    <w:p w:rsidR="00D21DBF" w:rsidRPr="000D7A50" w:rsidRDefault="00D21DBF" w:rsidP="007866D4">
                      <w:pPr>
                        <w:pStyle w:val="HStandard"/>
                        <w:rPr>
                          <w:rFonts w:cs="Arial"/>
                          <w:sz w:val="18"/>
                          <w:szCs w:val="18"/>
                        </w:rPr>
                      </w:pPr>
                      <w:r>
                        <w:rPr>
                          <w:sz w:val="18"/>
                        </w:rPr>
                        <w:t xml:space="preserve">Ако LEADER/ВОМР има вторичен принос за ОПА 6А, общият показател „работни места, разкрити по подкрепените проекти“ засяга само един компонент на ОВО 16, и по-специално този, който е свързан със заетостта. Този показател не отчита нито приноса за създаване на МСП, нито за диверсификацията, които са другите компоненти на ОВО 16. </w:t>
                      </w:r>
                    </w:p>
                    <w:p w:rsidR="00D21DBF" w:rsidRPr="000D7A50" w:rsidRDefault="00D21DBF" w:rsidP="007866D4">
                      <w:pPr>
                        <w:pStyle w:val="HStandard"/>
                        <w:rPr>
                          <w:rFonts w:cs="Arial"/>
                          <w:i/>
                          <w:sz w:val="18"/>
                          <w:szCs w:val="18"/>
                        </w:rPr>
                      </w:pPr>
                      <w:r>
                        <w:rPr>
                          <w:i/>
                          <w:sz w:val="18"/>
                        </w:rPr>
                        <w:t>Какъв е начинът за справяне с тази ситуация?</w:t>
                      </w:r>
                    </w:p>
                    <w:p w:rsidR="00D21DBF" w:rsidRPr="000D7A50" w:rsidRDefault="00D21DBF" w:rsidP="007866D4">
                      <w:pPr>
                        <w:pStyle w:val="HStandard"/>
                        <w:rPr>
                          <w:rFonts w:cs="Arial"/>
                          <w:sz w:val="18"/>
                          <w:szCs w:val="18"/>
                        </w:rPr>
                      </w:pPr>
                      <w:r>
                        <w:rPr>
                          <w:sz w:val="18"/>
                        </w:rPr>
                        <w:t xml:space="preserve">За да се отговори на ОВО 16, може да се използват </w:t>
                      </w:r>
                      <w:r>
                        <w:rPr>
                          <w:b/>
                          <w:sz w:val="18"/>
                        </w:rPr>
                        <w:t>допълнителни показатели</w:t>
                      </w:r>
                      <w:r>
                        <w:rPr>
                          <w:sz w:val="18"/>
                        </w:rPr>
                        <w:t xml:space="preserve">, както е предложено в </w:t>
                      </w:r>
                      <w:hyperlink r:id="rId42">
                        <w:r>
                          <w:rPr>
                            <w:rStyle w:val="Hyperlink"/>
                            <w:sz w:val="18"/>
                          </w:rPr>
                          <w:t>Работния документ: Общи въпроси за оценка за ПРСР в периода 2014—2020 г.</w:t>
                        </w:r>
                      </w:hyperlink>
                      <w:r>
                        <w:rPr>
                          <w:sz w:val="18"/>
                        </w:rPr>
                        <w:t>:</w:t>
                      </w:r>
                    </w:p>
                    <w:p w:rsidR="00D21DBF" w:rsidRPr="00084B11" w:rsidRDefault="00D21DBF" w:rsidP="007866D4">
                      <w:pPr>
                        <w:pStyle w:val="Hlistbullet"/>
                      </w:pPr>
                      <w:r>
                        <w:rPr>
                          <w:sz w:val="18"/>
                        </w:rPr>
                        <w:t>% на малките предприятия извън селскостопанския сектор, създадени с помощта на ПРСР (диверсификация)</w:t>
                      </w:r>
                    </w:p>
                    <w:p w:rsidR="00D21DBF" w:rsidRDefault="00D21DBF" w:rsidP="007866D4">
                      <w:pPr>
                        <w:pStyle w:val="Hlistbullet"/>
                      </w:pPr>
                      <w:r>
                        <w:rPr>
                          <w:sz w:val="18"/>
                        </w:rPr>
                        <w:t>% на малките предприятия, създадени с подкрепата на ПРСР (създаване на МСП)</w:t>
                      </w:r>
                    </w:p>
                  </w:txbxContent>
                </v:textbox>
              </v:shape>
            </w:pict>
          </mc:Fallback>
        </mc:AlternateContent>
      </w:r>
    </w:p>
    <w:p w:rsidR="007866D4" w:rsidRPr="00FB01AA" w:rsidRDefault="007866D4" w:rsidP="007866D4">
      <w:pPr>
        <w:spacing w:after="0" w:line="240" w:lineRule="auto"/>
        <w:rPr>
          <w:rFonts w:ascii="Arial" w:hAnsi="Arial"/>
          <w:color w:val="373737"/>
          <w:sz w:val="18"/>
          <w:szCs w:val="20"/>
        </w:rPr>
      </w:pPr>
      <w:r w:rsidRPr="00FB01AA">
        <w:rPr>
          <w:sz w:val="28"/>
        </w:rPr>
        <w:br w:type="page"/>
      </w:r>
    </w:p>
    <w:p w:rsidR="007866D4" w:rsidRPr="00FB01AA" w:rsidRDefault="007866D4" w:rsidP="007866D4">
      <w:pPr>
        <w:pStyle w:val="HHeading5"/>
        <w:rPr>
          <w:sz w:val="18"/>
        </w:rPr>
        <w:sectPr w:rsidR="007866D4" w:rsidRPr="00FB01AA" w:rsidSect="009F15D6">
          <w:type w:val="continuous"/>
          <w:pgSz w:w="11906" w:h="16838"/>
          <w:pgMar w:top="1418" w:right="1418" w:bottom="1418" w:left="1418" w:header="709" w:footer="709" w:gutter="0"/>
          <w:cols w:space="708"/>
          <w:docGrid w:linePitch="360"/>
        </w:sectPr>
      </w:pPr>
    </w:p>
    <w:p w:rsidR="007866D4" w:rsidRPr="00FB01AA" w:rsidRDefault="007866D4" w:rsidP="007866D4">
      <w:pPr>
        <w:pStyle w:val="HHeading5"/>
        <w:spacing w:before="120"/>
        <w:rPr>
          <w:sz w:val="18"/>
        </w:rPr>
      </w:pPr>
      <w:r w:rsidRPr="00FB01AA">
        <w:rPr>
          <w:sz w:val="18"/>
        </w:rPr>
        <w:lastRenderedPageBreak/>
        <w:t>Стъпка 2: Разработване на специфични за програмата оценъчни елементи</w:t>
      </w:r>
    </w:p>
    <w:p w:rsidR="007866D4" w:rsidRPr="00FB01AA" w:rsidRDefault="007866D4" w:rsidP="007866D4">
      <w:pPr>
        <w:pStyle w:val="HStandard"/>
        <w:rPr>
          <w:sz w:val="18"/>
        </w:rPr>
      </w:pPr>
      <w:r w:rsidRPr="00FB01AA">
        <w:rPr>
          <w:sz w:val="18"/>
        </w:rPr>
        <w:t xml:space="preserve">За допълването на общите елементи са необходими допълнителни оценъчни елементи (вж. предишната стъпка); възможно е обаче да </w:t>
      </w:r>
      <w:r w:rsidRPr="00FB01AA">
        <w:rPr>
          <w:b/>
          <w:sz w:val="18"/>
        </w:rPr>
        <w:t>се наложи да се разработят и специфични за програмата оценъчни елементи</w:t>
      </w:r>
      <w:r w:rsidRPr="00FB01AA">
        <w:rPr>
          <w:sz w:val="18"/>
        </w:rPr>
        <w:t xml:space="preserve"> с цел да се обхванат специфичните за програмата ефекти на LEADER/ВОМР или да се </w:t>
      </w:r>
      <w:r w:rsidR="004A4E11">
        <w:rPr>
          <w:sz w:val="18"/>
        </w:rPr>
        <w:t>прецизират</w:t>
      </w:r>
      <w:r w:rsidRPr="00FB01AA">
        <w:rPr>
          <w:sz w:val="18"/>
        </w:rPr>
        <w:t xml:space="preserve"> твърде общите ОВО. </w:t>
      </w:r>
    </w:p>
    <w:p w:rsidR="007866D4" w:rsidRPr="00FB01AA" w:rsidRDefault="007866D4" w:rsidP="007866D4">
      <w:pPr>
        <w:pStyle w:val="HStandard"/>
        <w:rPr>
          <w:sz w:val="18"/>
        </w:rPr>
      </w:pPr>
      <w:r w:rsidRPr="00FB01AA">
        <w:rPr>
          <w:sz w:val="18"/>
        </w:rPr>
        <w:t xml:space="preserve">За МГД и УО това е възможност да свържат двете равнища на оценката, като изградят по-добро разбиране на ефектите на местно равнище и на техния принос на равнището на ПРСР. Разработването на оценъчни елементи помага да се очертае по-ясно интервенционната логика на LEADER/ВОМР и да се демонстрира важността на подхода и неговата добавена стойност. </w:t>
      </w:r>
    </w:p>
    <w:p w:rsidR="007866D4" w:rsidRPr="00FB01AA" w:rsidRDefault="007866D4" w:rsidP="007866D4">
      <w:pPr>
        <w:pStyle w:val="HStandard"/>
        <w:rPr>
          <w:sz w:val="18"/>
        </w:rPr>
      </w:pPr>
      <w:r w:rsidRPr="00FB01AA">
        <w:rPr>
          <w:sz w:val="18"/>
        </w:rPr>
        <w:t>УО може да е разработил специфични за програмата въпроси и показатели за оценка още на етапа на планиране и да ги е включил в плана за оценка на ПРСР. УО или оценителите обаче могат да ги разработят и когато подготвят оценката</w:t>
      </w:r>
      <w:r w:rsidRPr="00FB01AA">
        <w:rPr>
          <w:rStyle w:val="FootnoteReference"/>
          <w:sz w:val="18"/>
        </w:rPr>
        <w:footnoteReference w:id="36"/>
      </w:r>
      <w:r w:rsidRPr="00FB01AA">
        <w:rPr>
          <w:sz w:val="18"/>
        </w:rPr>
        <w:t xml:space="preserve">. </w:t>
      </w:r>
    </w:p>
    <w:p w:rsidR="007866D4" w:rsidRPr="00FB01AA" w:rsidRDefault="007866D4" w:rsidP="007866D4">
      <w:pPr>
        <w:pStyle w:val="HStandard"/>
        <w:rPr>
          <w:sz w:val="18"/>
        </w:rPr>
      </w:pPr>
      <w:r w:rsidRPr="00FB01AA">
        <w:rPr>
          <w:sz w:val="18"/>
        </w:rPr>
        <w:br w:type="column"/>
      </w:r>
      <w:r w:rsidRPr="00FB01AA">
        <w:rPr>
          <w:sz w:val="18"/>
        </w:rPr>
        <w:t>Специфичните за програмата оценъчни елементи следва да бъдат свързани със:</w:t>
      </w:r>
    </w:p>
    <w:p w:rsidR="007866D4" w:rsidRPr="00FB01AA" w:rsidRDefault="007866D4" w:rsidP="007866D4">
      <w:pPr>
        <w:pStyle w:val="Hlistbullet"/>
        <w:ind w:left="426" w:hanging="426"/>
        <w:rPr>
          <w:sz w:val="18"/>
        </w:rPr>
      </w:pPr>
      <w:r w:rsidRPr="00FB01AA">
        <w:rPr>
          <w:sz w:val="18"/>
        </w:rPr>
        <w:t>специфични за програмата ОПА, за които допринася LEADER/ВОМР (например използване на горите за стопански цели или качество на храните)</w:t>
      </w:r>
      <w:r w:rsidR="000C3208" w:rsidRPr="00251DF4">
        <w:rPr>
          <w:sz w:val="18"/>
        </w:rPr>
        <w:t>;</w:t>
      </w:r>
    </w:p>
    <w:p w:rsidR="007866D4" w:rsidRPr="00FB01AA" w:rsidRDefault="007866D4" w:rsidP="007866D4">
      <w:pPr>
        <w:pStyle w:val="Hlistbullet"/>
        <w:numPr>
          <w:ilvl w:val="0"/>
          <w:numId w:val="0"/>
        </w:numPr>
        <w:rPr>
          <w:sz w:val="18"/>
        </w:rPr>
      </w:pPr>
      <w:r w:rsidRPr="00FB01AA">
        <w:rPr>
          <w:sz w:val="18"/>
        </w:rPr>
        <w:t>Специфични за програмата цели, за които допринася мярката LEADER/ВОМР (например конкретни целеви групи или сектори, върху които LEADER/ВОМР може да постави акцент);</w:t>
      </w:r>
    </w:p>
    <w:p w:rsidR="007866D4" w:rsidRPr="00FB01AA" w:rsidRDefault="007866D4" w:rsidP="007866D4">
      <w:pPr>
        <w:pStyle w:val="Hlistbullet"/>
        <w:ind w:left="426" w:hanging="426"/>
        <w:rPr>
          <w:sz w:val="18"/>
        </w:rPr>
      </w:pPr>
      <w:r w:rsidRPr="00FB01AA">
        <w:rPr>
          <w:sz w:val="18"/>
        </w:rPr>
        <w:t>свързани с LEADER/ВОМР теми за оценка, както и междусекторни области, за които LEADER/CLLD допринася (описани в раздел 9 от ПРСР, например иновации, околна среда и изменение на климата);</w:t>
      </w:r>
    </w:p>
    <w:p w:rsidR="007866D4" w:rsidRPr="00FB01AA" w:rsidRDefault="007866D4" w:rsidP="007866D4">
      <w:pPr>
        <w:pStyle w:val="Hlistbullet"/>
        <w:ind w:left="426" w:hanging="426"/>
        <w:rPr>
          <w:sz w:val="18"/>
        </w:rPr>
      </w:pPr>
      <w:r w:rsidRPr="00FB01AA">
        <w:rPr>
          <w:sz w:val="18"/>
        </w:rPr>
        <w:t>специфични за програмата цели, насочени към изпълнението на Споразумението за партньорство с принос на LEADER/ВОМР (например ТЦ9 за насърчаване на социалното приобщаване, борба с бедността и всякаква форма на дискриминация);</w:t>
      </w:r>
    </w:p>
    <w:p w:rsidR="007866D4" w:rsidRPr="003112E6" w:rsidRDefault="007866D4" w:rsidP="007866D4">
      <w:pPr>
        <w:pStyle w:val="Hlistbullet"/>
        <w:ind w:left="426" w:hanging="426"/>
        <w:rPr>
          <w:rFonts w:cs="Arial"/>
          <w:sz w:val="18"/>
        </w:rPr>
      </w:pPr>
      <w:r w:rsidRPr="00FB01AA">
        <w:rPr>
          <w:sz w:val="18"/>
        </w:rPr>
        <w:t>добавената стойност на LEADER/ВОМР.</w:t>
      </w:r>
    </w:p>
    <w:p w:rsidR="003112E6" w:rsidRDefault="003112E6" w:rsidP="003112E6">
      <w:pPr>
        <w:pStyle w:val="Hlistbullet"/>
        <w:numPr>
          <w:ilvl w:val="0"/>
          <w:numId w:val="0"/>
        </w:numPr>
        <w:ind w:left="360" w:hanging="360"/>
        <w:rPr>
          <w:sz w:val="18"/>
        </w:rPr>
      </w:pPr>
    </w:p>
    <w:p w:rsidR="003112E6" w:rsidRPr="00FB01AA" w:rsidRDefault="003112E6" w:rsidP="003112E6">
      <w:pPr>
        <w:pStyle w:val="Hlistbullet"/>
        <w:numPr>
          <w:ilvl w:val="0"/>
          <w:numId w:val="0"/>
        </w:numPr>
        <w:ind w:left="360" w:hanging="360"/>
        <w:rPr>
          <w:rFonts w:cs="Arial"/>
          <w:sz w:val="18"/>
        </w:rPr>
        <w:sectPr w:rsidR="003112E6" w:rsidRPr="00FB01AA" w:rsidSect="00084B11">
          <w:type w:val="continuous"/>
          <w:pgSz w:w="11906" w:h="16838"/>
          <w:pgMar w:top="1418" w:right="1418" w:bottom="1418" w:left="1418" w:header="709" w:footer="709" w:gutter="0"/>
          <w:cols w:num="2" w:space="397"/>
          <w:docGrid w:linePitch="360"/>
        </w:sectPr>
      </w:pPr>
    </w:p>
    <w:p w:rsidR="007866D4" w:rsidRPr="00FB01AA" w:rsidRDefault="007866D4" w:rsidP="007866D4">
      <w:pPr>
        <w:pStyle w:val="HHeadingFigure"/>
        <w:rPr>
          <w:sz w:val="14"/>
        </w:rPr>
      </w:pPr>
      <w:bookmarkStart w:id="77" w:name="_Toc493497735"/>
      <w:bookmarkStart w:id="78" w:name="_Toc498507095"/>
      <w:r w:rsidRPr="00FB01AA">
        <w:rPr>
          <w:sz w:val="14"/>
        </w:rPr>
        <w:lastRenderedPageBreak/>
        <w:t>Пълната картина на обхвата на оценката</w:t>
      </w:r>
      <w:bookmarkEnd w:id="77"/>
      <w:bookmarkEnd w:id="78"/>
    </w:p>
    <w:p w:rsidR="007866D4" w:rsidRPr="00FB01AA" w:rsidRDefault="00150225" w:rsidP="007866D4">
      <w:pPr>
        <w:pStyle w:val="HSource"/>
        <w:rPr>
          <w:sz w:val="14"/>
        </w:rPr>
      </w:pPr>
      <w:r w:rsidRPr="00150225">
        <w:rPr>
          <w:noProof/>
          <w:lang w:val="en-GB" w:eastAsia="en-GB" w:bidi="ar-SA"/>
        </w:rPr>
        <w:drawing>
          <wp:inline distT="0" distB="0" distL="0" distR="0" wp14:anchorId="6B1EED46" wp14:editId="1C81846D">
            <wp:extent cx="5346913" cy="2797200"/>
            <wp:effectExtent l="0" t="0" r="6350" b="317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46913" cy="2797200"/>
                    </a:xfrm>
                    <a:prstGeom prst="rect">
                      <a:avLst/>
                    </a:prstGeom>
                    <a:noFill/>
                    <a:ln>
                      <a:noFill/>
                    </a:ln>
                  </pic:spPr>
                </pic:pic>
              </a:graphicData>
            </a:graphic>
          </wp:inline>
        </w:drawing>
      </w:r>
    </w:p>
    <w:p w:rsidR="007866D4" w:rsidRPr="00FB01AA" w:rsidRDefault="007866D4" w:rsidP="007866D4">
      <w:pPr>
        <w:pStyle w:val="HSource"/>
        <w:rPr>
          <w:rFonts w:cs="Arial"/>
          <w:sz w:val="14"/>
        </w:rPr>
      </w:pPr>
      <w:r w:rsidRPr="00FB01AA">
        <w:rPr>
          <w:sz w:val="14"/>
        </w:rPr>
        <w:t>Източник: Европейско бюро за оценка в областта на развитието на селските райони, 2017 г.</w:t>
      </w:r>
    </w:p>
    <w:p w:rsidR="007866D4" w:rsidRPr="00FB01AA" w:rsidRDefault="007866D4" w:rsidP="007866D4">
      <w:pPr>
        <w:pStyle w:val="Hlistbullet"/>
        <w:ind w:left="426" w:hanging="426"/>
        <w:rPr>
          <w:rFonts w:cs="Arial"/>
          <w:sz w:val="18"/>
        </w:rPr>
        <w:sectPr w:rsidR="007866D4" w:rsidRPr="00FB01AA" w:rsidSect="004F42EF">
          <w:type w:val="continuous"/>
          <w:pgSz w:w="11906" w:h="16838"/>
          <w:pgMar w:top="1418" w:right="1418" w:bottom="1418" w:left="1418" w:header="709" w:footer="709" w:gutter="0"/>
          <w:cols w:space="397"/>
          <w:docGrid w:linePitch="360"/>
        </w:sectPr>
      </w:pPr>
    </w:p>
    <w:p w:rsidR="007866D4" w:rsidRPr="00FB01AA" w:rsidRDefault="007866D4" w:rsidP="007866D4">
      <w:pPr>
        <w:pStyle w:val="Hlistbullet"/>
        <w:ind w:left="426" w:hanging="426"/>
        <w:rPr>
          <w:rFonts w:cs="Arial"/>
          <w:sz w:val="18"/>
        </w:rPr>
      </w:pPr>
      <w:r w:rsidRPr="00FB01AA">
        <w:rPr>
          <w:sz w:val="18"/>
        </w:rPr>
        <w:br w:type="page"/>
      </w:r>
    </w:p>
    <w:p w:rsidR="000A7636" w:rsidRPr="00FB01AA" w:rsidRDefault="000A7636" w:rsidP="007866D4">
      <w:pPr>
        <w:pStyle w:val="HStandard"/>
        <w:rPr>
          <w:sz w:val="18"/>
        </w:rPr>
        <w:sectPr w:rsidR="000A7636" w:rsidRPr="00FB01AA" w:rsidSect="00084B11">
          <w:type w:val="continuous"/>
          <w:pgSz w:w="11906" w:h="16838"/>
          <w:pgMar w:top="1418" w:right="1418" w:bottom="1418" w:left="1418" w:header="709" w:footer="709" w:gutter="0"/>
          <w:cols w:num="2" w:space="397"/>
          <w:docGrid w:linePitch="360"/>
        </w:sectPr>
      </w:pPr>
    </w:p>
    <w:p w:rsidR="000A7636" w:rsidRPr="00FB01AA" w:rsidRDefault="007866D4" w:rsidP="007866D4">
      <w:pPr>
        <w:pStyle w:val="HStandard"/>
        <w:rPr>
          <w:sz w:val="18"/>
        </w:rPr>
      </w:pPr>
      <w:r w:rsidRPr="00FB01AA">
        <w:rPr>
          <w:sz w:val="18"/>
        </w:rPr>
        <w:lastRenderedPageBreak/>
        <w:t>В следващото каре са дадени примери за специфични за програмата въпроси за оценка</w:t>
      </w:r>
      <w:r w:rsidRPr="00FB01AA">
        <w:rPr>
          <w:sz w:val="18"/>
          <w:vertAlign w:val="superscript"/>
        </w:rPr>
        <w:footnoteReference w:id="37"/>
      </w:r>
      <w:r w:rsidRPr="00FB01AA">
        <w:rPr>
          <w:sz w:val="18"/>
        </w:rPr>
        <w:t>.</w:t>
      </w:r>
    </w:p>
    <w:p w:rsidR="007866D4" w:rsidRPr="00FB01AA" w:rsidRDefault="007866D4" w:rsidP="007866D4">
      <w:pPr>
        <w:pStyle w:val="HStandard"/>
        <w:rPr>
          <w:sz w:val="18"/>
        </w:rPr>
      </w:pPr>
      <w:r w:rsidRPr="00FB01AA">
        <w:rPr>
          <w:noProof/>
          <w:sz w:val="18"/>
          <w:lang w:val="en-GB" w:eastAsia="en-GB" w:bidi="ar-SA"/>
        </w:rPr>
        <mc:AlternateContent>
          <mc:Choice Requires="wps">
            <w:drawing>
              <wp:anchor distT="0" distB="0" distL="114300" distR="114300" simplePos="0" relativeHeight="251652096" behindDoc="0" locked="0" layoutInCell="1" allowOverlap="1" wp14:anchorId="2FC215F3" wp14:editId="43D0E8A3">
                <wp:simplePos x="0" y="0"/>
                <wp:positionH relativeFrom="column">
                  <wp:posOffset>-116659</wp:posOffset>
                </wp:positionH>
                <wp:positionV relativeFrom="paragraph">
                  <wp:posOffset>49596</wp:posOffset>
                </wp:positionV>
                <wp:extent cx="5928360" cy="7469579"/>
                <wp:effectExtent l="0" t="0" r="15240" b="17145"/>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7469579"/>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DBF" w:rsidRPr="00084B11" w:rsidRDefault="00D21DBF"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7676FA36" wp14:editId="4D69E04E">
                                  <wp:extent cx="353202" cy="360000"/>
                                  <wp:effectExtent l="0" t="0" r="8890" b="254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Обосновка за разработването на специфичните за LEADER/ВОМР въпроси за оценка:</w:t>
                            </w:r>
                          </w:p>
                          <w:p w:rsidR="00D21DBF" w:rsidRPr="00084B11" w:rsidRDefault="00D21DBF" w:rsidP="007866D4">
                            <w:pPr>
                              <w:pStyle w:val="HStandard"/>
                              <w:rPr>
                                <w:sz w:val="18"/>
                                <w:szCs w:val="18"/>
                              </w:rPr>
                            </w:pPr>
                            <w:r>
                              <w:rPr>
                                <w:sz w:val="18"/>
                              </w:rPr>
                              <w:t>Изброените в таблицата оценъчни елементи показват съвкупност от цели на ПРСР, за които LEADER/ВОМР може да има конкретен принос. Така, в допълнение към ОВО за съответните ОПА, може да се разработят специфични за програмата въпроси за оценка, за да се измери приносът на LEADER/ВОМР за териториалното развитие в селските райони.</w:t>
                            </w:r>
                          </w:p>
                          <w:tbl>
                            <w:tblPr>
                              <w:tblW w:w="0" w:type="auto"/>
                              <w:tblCellMar>
                                <w:top w:w="15" w:type="dxa"/>
                                <w:left w:w="15" w:type="dxa"/>
                                <w:bottom w:w="15" w:type="dxa"/>
                                <w:right w:w="15" w:type="dxa"/>
                              </w:tblCellMar>
                              <w:tblLook w:val="04A0" w:firstRow="1" w:lastRow="0" w:firstColumn="1" w:lastColumn="0" w:noHBand="0" w:noVBand="1"/>
                            </w:tblPr>
                            <w:tblGrid>
                              <w:gridCol w:w="2909"/>
                              <w:gridCol w:w="3139"/>
                              <w:gridCol w:w="2733"/>
                            </w:tblGrid>
                            <w:tr w:rsidR="00D21DBF">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D21DBF" w:rsidRPr="00BE301E" w:rsidRDefault="00D21DBF"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Въпрос за оценка</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D21DBF" w:rsidRPr="00BE301E" w:rsidRDefault="00D21DBF"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Критерии за преценка</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D21DBF" w:rsidRPr="00BE301E" w:rsidRDefault="00D21DBF"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Показатели за резултати</w:t>
                                  </w:r>
                                </w:p>
                              </w:tc>
                            </w:tr>
                            <w:tr w:rsidR="00D21DBF">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D21DBF" w:rsidRPr="00084B11" w:rsidRDefault="00D21DBF" w:rsidP="00CB5FC3">
                                  <w:pPr>
                                    <w:pStyle w:val="Htableleft"/>
                                    <w:rPr>
                                      <w:rFonts w:cs="Arial"/>
                                      <w:i/>
                                      <w:color w:val="373737"/>
                                      <w:szCs w:val="18"/>
                                    </w:rPr>
                                  </w:pPr>
                                  <w:r>
                                    <w:rPr>
                                      <w:i/>
                                      <w:color w:val="373737"/>
                                    </w:rPr>
                                    <w:t>Възможна разбивка за ОПА 6А</w:t>
                                  </w:r>
                                </w:p>
                                <w:p w:rsidR="00D21DBF" w:rsidRPr="00084B11" w:rsidRDefault="00D21DBF" w:rsidP="00CB5FC3">
                                  <w:pPr>
                                    <w:pStyle w:val="Htableleft"/>
                                    <w:rPr>
                                      <w:rFonts w:cs="Arial"/>
                                      <w:i/>
                                      <w:color w:val="373737"/>
                                      <w:szCs w:val="18"/>
                                    </w:rPr>
                                  </w:pPr>
                                </w:p>
                                <w:p w:rsidR="00D21DBF" w:rsidRPr="00084B11" w:rsidRDefault="00D21DBF" w:rsidP="00CB5FC3">
                                  <w:pPr>
                                    <w:pStyle w:val="Htableleft"/>
                                    <w:rPr>
                                      <w:rFonts w:cs="Arial"/>
                                      <w:color w:val="373737"/>
                                      <w:szCs w:val="18"/>
                                    </w:rPr>
                                  </w:pPr>
                                  <w:r>
                                    <w:rPr>
                                      <w:color w:val="373737"/>
                                    </w:rPr>
                                    <w:t>„До каква степен операциите по LEADER/ВМОР са допринесли за създаването на възможности за устойчива заетост за млади хора и жени?“</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D21DBF" w:rsidRPr="00084B11" w:rsidRDefault="00D21DBF" w:rsidP="00CB5FC3">
                                  <w:pPr>
                                    <w:pStyle w:val="Htablebullet"/>
                                    <w:rPr>
                                      <w:rFonts w:ascii="Arial" w:hAnsi="Arial"/>
                                      <w:color w:val="373737"/>
                                      <w:szCs w:val="18"/>
                                    </w:rPr>
                                  </w:pPr>
                                  <w:r>
                                    <w:tab/>
                                  </w:r>
                                  <w:r>
                                    <w:rPr>
                                      <w:rFonts w:ascii="Arial" w:hAnsi="Arial"/>
                                      <w:color w:val="373737"/>
                                    </w:rPr>
                                    <w:t xml:space="preserve">Създадени са възможности за заетост.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D21DBF" w:rsidRPr="00084B11" w:rsidRDefault="00D21DBF" w:rsidP="00CB5FC3">
                                  <w:pPr>
                                    <w:pStyle w:val="Htablebullet"/>
                                    <w:rPr>
                                      <w:rFonts w:ascii="Arial" w:hAnsi="Arial"/>
                                      <w:color w:val="373737"/>
                                      <w:szCs w:val="18"/>
                                    </w:rPr>
                                  </w:pPr>
                                  <w:r>
                                    <w:tab/>
                                  </w:r>
                                  <w:r>
                                    <w:rPr>
                                      <w:rFonts w:ascii="Arial" w:hAnsi="Arial"/>
                                      <w:color w:val="373737"/>
                                    </w:rPr>
                                    <w:t>Брой заети лица на възраст под 25 години, включително самостоятелно заети лица, за срок от над 6 месеца</w:t>
                                  </w:r>
                                </w:p>
                                <w:p w:rsidR="00D21DBF" w:rsidRPr="00084B11" w:rsidRDefault="00D21DBF" w:rsidP="00CB5FC3">
                                  <w:pPr>
                                    <w:pStyle w:val="Htablebullet"/>
                                    <w:rPr>
                                      <w:rFonts w:ascii="Arial" w:hAnsi="Arial"/>
                                      <w:color w:val="373737"/>
                                      <w:szCs w:val="18"/>
                                    </w:rPr>
                                  </w:pPr>
                                  <w:r>
                                    <w:tab/>
                                  </w:r>
                                  <w:r>
                                    <w:rPr>
                                      <w:rFonts w:ascii="Arial" w:hAnsi="Arial"/>
                                      <w:color w:val="373737"/>
                                    </w:rPr>
                                    <w:t>Брой заети лица — жени, включително самостоятелно заети, за срок от над 6 месеца</w:t>
                                  </w:r>
                                </w:p>
                              </w:tc>
                            </w:tr>
                            <w:tr w:rsidR="00D21DBF">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D21DBF" w:rsidRPr="00084B11" w:rsidRDefault="00D21DBF" w:rsidP="00CB5FC3">
                                  <w:pPr>
                                    <w:pStyle w:val="Htableleft"/>
                                    <w:rPr>
                                      <w:rFonts w:cs="Arial"/>
                                      <w:i/>
                                      <w:color w:val="373737"/>
                                      <w:szCs w:val="18"/>
                                    </w:rPr>
                                  </w:pPr>
                                  <w:r>
                                    <w:rPr>
                                      <w:i/>
                                      <w:color w:val="373737"/>
                                    </w:rPr>
                                    <w:t>Възможна разбивка за ОПА 6А или 3А</w:t>
                                  </w:r>
                                </w:p>
                                <w:p w:rsidR="00D21DBF" w:rsidRPr="00084B11" w:rsidRDefault="00D21DBF" w:rsidP="00CB5FC3">
                                  <w:pPr>
                                    <w:pStyle w:val="Htableleft"/>
                                    <w:rPr>
                                      <w:rFonts w:cs="Arial"/>
                                      <w:i/>
                                      <w:color w:val="373737"/>
                                      <w:szCs w:val="18"/>
                                    </w:rPr>
                                  </w:pPr>
                                </w:p>
                                <w:p w:rsidR="00D21DBF" w:rsidRPr="00084B11" w:rsidRDefault="00D21DBF" w:rsidP="00CB5FC3">
                                  <w:pPr>
                                    <w:pStyle w:val="Htableleft"/>
                                    <w:rPr>
                                      <w:rFonts w:cs="Arial"/>
                                      <w:color w:val="373737"/>
                                      <w:szCs w:val="18"/>
                                    </w:rPr>
                                  </w:pPr>
                                  <w:r>
                                    <w:rPr>
                                      <w:color w:val="373737"/>
                                    </w:rPr>
                                    <w:t>„До каква степен операциите по LEADER/ВОМР са допринесли за повишаването на добавената стойност на местните продукти?“</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D21DBF" w:rsidRPr="00084B11" w:rsidRDefault="00D21DBF" w:rsidP="00CB5FC3">
                                  <w:pPr>
                                    <w:pStyle w:val="Htablebullet"/>
                                    <w:rPr>
                                      <w:rFonts w:ascii="Arial" w:hAnsi="Arial"/>
                                      <w:color w:val="373737"/>
                                      <w:szCs w:val="18"/>
                                    </w:rPr>
                                  </w:pPr>
                                  <w:r>
                                    <w:rPr>
                                      <w:rFonts w:ascii="Arial" w:hAnsi="Arial"/>
                                      <w:color w:val="373737"/>
                                    </w:rPr>
                                    <w:t> </w:t>
                                  </w:r>
                                  <w:r>
                                    <w:tab/>
                                  </w:r>
                                  <w:r>
                                    <w:rPr>
                                      <w:rFonts w:ascii="Arial" w:hAnsi="Arial"/>
                                      <w:color w:val="373737"/>
                                    </w:rPr>
                                    <w:t>Повишена е добавената стойност на местите продукти.</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D21DBF" w:rsidRPr="00084B11" w:rsidRDefault="00D21DBF" w:rsidP="00CB5FC3">
                                  <w:pPr>
                                    <w:pStyle w:val="Htablebullet"/>
                                    <w:rPr>
                                      <w:rFonts w:ascii="Arial" w:hAnsi="Arial"/>
                                      <w:color w:val="373737"/>
                                      <w:szCs w:val="18"/>
                                    </w:rPr>
                                  </w:pPr>
                                  <w:r>
                                    <w:tab/>
                                  </w:r>
                                  <w:r>
                                    <w:rPr>
                                      <w:rFonts w:ascii="Arial" w:hAnsi="Arial"/>
                                      <w:color w:val="373737"/>
                                    </w:rPr>
                                    <w:t xml:space="preserve">Ръст на броя на завършените местни продукти (произведени, обработени и опаковани) </w:t>
                                  </w:r>
                                </w:p>
                                <w:p w:rsidR="00D21DBF" w:rsidRPr="00084B11" w:rsidRDefault="00D21DBF" w:rsidP="00CB5FC3">
                                  <w:pPr>
                                    <w:pStyle w:val="Htablebullet"/>
                                    <w:rPr>
                                      <w:rFonts w:ascii="Arial" w:hAnsi="Arial"/>
                                      <w:color w:val="373737"/>
                                      <w:szCs w:val="18"/>
                                    </w:rPr>
                                  </w:pPr>
                                  <w:r>
                                    <w:tab/>
                                  </w:r>
                                  <w:r>
                                    <w:rPr>
                                      <w:rFonts w:ascii="Arial" w:hAnsi="Arial"/>
                                      <w:color w:val="373737"/>
                                    </w:rPr>
                                    <w:t>Увеличаване на маржа на местните производители на продукти в крайната цена на местните продукти</w:t>
                                  </w:r>
                                </w:p>
                              </w:tc>
                            </w:tr>
                            <w:tr w:rsidR="00D21DBF">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D21DBF" w:rsidRPr="00084B11" w:rsidRDefault="00D21DBF" w:rsidP="00CB5FC3">
                                  <w:pPr>
                                    <w:pStyle w:val="Htableleft"/>
                                    <w:rPr>
                                      <w:rFonts w:cs="Arial"/>
                                      <w:i/>
                                      <w:color w:val="373737"/>
                                      <w:szCs w:val="18"/>
                                    </w:rPr>
                                  </w:pPr>
                                  <w:r>
                                    <w:rPr>
                                      <w:i/>
                                      <w:color w:val="373737"/>
                                    </w:rPr>
                                    <w:t>Възможни специфични интервенции по ПРСР</w:t>
                                  </w:r>
                                </w:p>
                                <w:p w:rsidR="00D21DBF" w:rsidRPr="00084B11" w:rsidRDefault="00D21DBF" w:rsidP="00CB5FC3">
                                  <w:pPr>
                                    <w:pStyle w:val="Htableleft"/>
                                    <w:rPr>
                                      <w:rFonts w:cs="Arial"/>
                                      <w:i/>
                                      <w:color w:val="373737"/>
                                      <w:szCs w:val="18"/>
                                    </w:rPr>
                                  </w:pPr>
                                </w:p>
                                <w:p w:rsidR="00D21DBF" w:rsidRPr="00084B11" w:rsidRDefault="00D21DBF" w:rsidP="00CB5FC3">
                                  <w:pPr>
                                    <w:pStyle w:val="Htableleft"/>
                                    <w:rPr>
                                      <w:rFonts w:cs="Arial"/>
                                      <w:color w:val="373737"/>
                                      <w:szCs w:val="18"/>
                                    </w:rPr>
                                  </w:pPr>
                                  <w:r>
                                    <w:rPr>
                                      <w:color w:val="373737"/>
                                    </w:rPr>
                                    <w:t xml:space="preserve">„До каква степен операциите по LEADER/ВОМР са допринесли за прехода към общество с нулеви въглеродни емисии?“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D21DBF" w:rsidRPr="00084B11" w:rsidRDefault="00D21DBF" w:rsidP="00CB5FC3">
                                  <w:pPr>
                                    <w:pStyle w:val="Htablebullet"/>
                                    <w:rPr>
                                      <w:rFonts w:ascii="Arial" w:hAnsi="Arial"/>
                                      <w:color w:val="373737"/>
                                      <w:szCs w:val="18"/>
                                    </w:rPr>
                                  </w:pPr>
                                  <w:r>
                                    <w:tab/>
                                  </w:r>
                                  <w:r>
                                    <w:rPr>
                                      <w:rFonts w:ascii="Arial" w:hAnsi="Arial"/>
                                      <w:color w:val="373737"/>
                                    </w:rPr>
                                    <w:t>Увеличило се е производството на енергия от възобновяеми източници (използване на слънчева, вятърна и водна енергия).</w:t>
                                  </w:r>
                                </w:p>
                                <w:p w:rsidR="00D21DBF" w:rsidRPr="00084B11" w:rsidRDefault="00D21DBF" w:rsidP="00CB5FC3">
                                  <w:pPr>
                                    <w:pStyle w:val="Htablebullet"/>
                                    <w:rPr>
                                      <w:rFonts w:ascii="Arial" w:hAnsi="Arial"/>
                                      <w:color w:val="373737"/>
                                      <w:szCs w:val="18"/>
                                    </w:rPr>
                                  </w:pPr>
                                  <w:r>
                                    <w:tab/>
                                  </w:r>
                                  <w:r>
                                    <w:rPr>
                                      <w:rFonts w:ascii="Arial" w:hAnsi="Arial"/>
                                      <w:color w:val="373737"/>
                                    </w:rPr>
                                    <w:t>Рециклират се повече отпадъци.</w:t>
                                  </w:r>
                                </w:p>
                                <w:p w:rsidR="00D21DBF" w:rsidRPr="00084B11" w:rsidRDefault="00D21DBF" w:rsidP="00CB5FC3">
                                  <w:pPr>
                                    <w:pStyle w:val="Htablebullet"/>
                                    <w:rPr>
                                      <w:color w:val="373737"/>
                                      <w:szCs w:val="18"/>
                                    </w:rPr>
                                  </w:pPr>
                                  <w:r>
                                    <w:tab/>
                                  </w:r>
                                  <w:r>
                                    <w:rPr>
                                      <w:rFonts w:ascii="Arial" w:hAnsi="Arial"/>
                                      <w:color w:val="373737"/>
                                    </w:rPr>
                                    <w:t>Увеличила се е производителността на ресурсите.</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D21DBF" w:rsidRPr="00084B11" w:rsidRDefault="00D21DBF" w:rsidP="00CB5FC3">
                                  <w:pPr>
                                    <w:pStyle w:val="Htablebullet"/>
                                    <w:rPr>
                                      <w:rFonts w:ascii="Arial" w:hAnsi="Arial"/>
                                      <w:color w:val="373737"/>
                                      <w:szCs w:val="18"/>
                                    </w:rPr>
                                  </w:pPr>
                                  <w:r>
                                    <w:tab/>
                                  </w:r>
                                  <w:r>
                                    <w:rPr>
                                      <w:rFonts w:ascii="Arial" w:hAnsi="Arial"/>
                                      <w:color w:val="373737"/>
                                    </w:rPr>
                                    <w:t>Ръст на производството на енергия от стопанствата (биогорива, вятърна, слънчева енергия, ...)</w:t>
                                  </w:r>
                                </w:p>
                                <w:p w:rsidR="00D21DBF" w:rsidRPr="00084B11" w:rsidRDefault="00D21DBF" w:rsidP="00CB5FC3">
                                  <w:pPr>
                                    <w:pStyle w:val="Htablebullet"/>
                                    <w:rPr>
                                      <w:rFonts w:ascii="Arial" w:hAnsi="Arial"/>
                                      <w:color w:val="373737"/>
                                      <w:szCs w:val="18"/>
                                    </w:rPr>
                                  </w:pPr>
                                  <w:r>
                                    <w:tab/>
                                  </w:r>
                                  <w:r>
                                    <w:rPr>
                                      <w:rFonts w:ascii="Arial" w:hAnsi="Arial"/>
                                      <w:color w:val="373737"/>
                                    </w:rPr>
                                    <w:t xml:space="preserve">Ръст на производството на енергия по линия на проекти на общността (вятърна, слънчева енергия, ...) </w:t>
                                  </w:r>
                                </w:p>
                                <w:p w:rsidR="00D21DBF" w:rsidRPr="00084B11" w:rsidRDefault="00D21DBF" w:rsidP="00CB5FC3">
                                  <w:pPr>
                                    <w:pStyle w:val="Htablebullet"/>
                                    <w:rPr>
                                      <w:rFonts w:ascii="Arial" w:hAnsi="Arial"/>
                                      <w:color w:val="373737"/>
                                      <w:szCs w:val="18"/>
                                    </w:rPr>
                                  </w:pPr>
                                  <w:r>
                                    <w:tab/>
                                  </w:r>
                                  <w:r>
                                    <w:rPr>
                                      <w:rFonts w:ascii="Arial" w:hAnsi="Arial"/>
                                      <w:color w:val="373737"/>
                                    </w:rPr>
                                    <w:t>Увеличаване на количеството отпадъци, рециклирани в селските общности</w:t>
                                  </w:r>
                                </w:p>
                                <w:p w:rsidR="00D21DBF" w:rsidRPr="00084B11" w:rsidRDefault="00D21DBF" w:rsidP="00CB5FC3">
                                  <w:pPr>
                                    <w:pStyle w:val="Htablebullet"/>
                                    <w:rPr>
                                      <w:rFonts w:ascii="Arial" w:hAnsi="Arial"/>
                                      <w:color w:val="373737"/>
                                      <w:szCs w:val="18"/>
                                    </w:rPr>
                                  </w:pPr>
                                  <w:r>
                                    <w:tab/>
                                  </w:r>
                                  <w:r>
                                    <w:rPr>
                                      <w:rFonts w:ascii="Arial" w:hAnsi="Arial"/>
                                      <w:color w:val="373737"/>
                                    </w:rPr>
                                    <w:t>Увеличаване на икономиите на енергия при проекти за отдих и туризъм </w:t>
                                  </w:r>
                                </w:p>
                              </w:tc>
                            </w:tr>
                          </w:tbl>
                          <w:p w:rsidR="00D21DBF" w:rsidRDefault="00D21DBF"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215F3" id="Rectangle: Diagonal Corners Rounded 35" o:spid="_x0000_s1036" style="position:absolute;left:0;text-align:left;margin-left:-9.2pt;margin-top:3.9pt;width:466.8pt;height:588.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746957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" adj="-11796480,,5400" path="m462294,l5928360,r,l5928360,7007285v,255318,-206976,462294,-462294,462294l,7469579r,l,462294c,206976,206976,,462294,xe" fillcolor="white [3204]" strokecolor="#f07e31 [3214]" strokeweight="2pt">
                <v:stroke joinstyle="miter"/>
                <v:formulas/>
                <v:path arrowok="t" o:connecttype="custom" o:connectlocs="462294,0;5928360,0;5928360,0;5928360,7007285;5466066,7469579;0,7469579;0,7469579;0,462294;462294,0" o:connectangles="0,0,0,0,0,0,0,0,0" textboxrect="0,0,5928360,7469579"/>
                <v:textbox inset=",0,,0">
                  <w:txbxContent>
                    <w:p w:rsidR="00D21DBF" w:rsidRPr="00084B11" w:rsidRDefault="00D21DBF" w:rsidP="007866D4">
                      <w:pPr>
                        <w:spacing w:before="120" w:line="240" w:lineRule="auto"/>
                        <w:jc w:val="both"/>
                        <w:rPr>
                          <w:rFonts w:ascii="Times New Roman" w:hAnsi="Times New Roman"/>
                          <w:b/>
                          <w:sz w:val="24"/>
                          <w:szCs w:val="24"/>
                        </w:rPr>
                      </w:pPr>
                      <w:r>
                        <w:rPr>
                          <w:rFonts w:ascii="Arial" w:hAnsi="Arial" w:cs="Arial"/>
                          <w:b/>
                          <w:bCs/>
                          <w:iCs/>
                          <w:noProof/>
                          <w:color w:val="F07E31" w:themeColor="background2"/>
                          <w:sz w:val="18"/>
                          <w:szCs w:val="18"/>
                          <w:lang w:val="en-GB" w:eastAsia="en-GB" w:bidi="ar-SA"/>
                        </w:rPr>
                        <w:drawing>
                          <wp:inline distT="0" distB="0" distL="0" distR="0" wp14:anchorId="7676FA36" wp14:editId="4D69E04E">
                            <wp:extent cx="353202" cy="360000"/>
                            <wp:effectExtent l="0" t="0" r="8890" b="254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sz w:val="18"/>
                        </w:rPr>
                        <w:t>Обосновка за разработването на специфичните за LEADER/ВОМР въпроси за оценка:</w:t>
                      </w:r>
                    </w:p>
                    <w:p w:rsidR="00D21DBF" w:rsidRPr="00084B11" w:rsidRDefault="00D21DBF" w:rsidP="007866D4">
                      <w:pPr>
                        <w:pStyle w:val="HStandard"/>
                        <w:rPr>
                          <w:sz w:val="18"/>
                          <w:szCs w:val="18"/>
                        </w:rPr>
                      </w:pPr>
                      <w:r>
                        <w:rPr>
                          <w:sz w:val="18"/>
                        </w:rPr>
                        <w:t>Изброените в таблицата оценъчни елементи показват съвкупност от цели на ПРСР, за които LEADER/ВОМР може да има конкретен принос. Така, в допълнение към ОВО за съответните ОПА, може да се разработят специфични за програмата въпроси за оценка, за да се измери приносът на LEADER/ВОМР за териториалното развитие в селските райони.</w:t>
                      </w:r>
                    </w:p>
                    <w:tbl>
                      <w:tblPr>
                        <w:tblW w:w="0" w:type="auto"/>
                        <w:tblCellMar>
                          <w:top w:w="15" w:type="dxa"/>
                          <w:left w:w="15" w:type="dxa"/>
                          <w:bottom w:w="15" w:type="dxa"/>
                          <w:right w:w="15" w:type="dxa"/>
                        </w:tblCellMar>
                        <w:tblLook w:val="04A0" w:firstRow="1" w:lastRow="0" w:firstColumn="1" w:lastColumn="0" w:noHBand="0" w:noVBand="1"/>
                      </w:tblPr>
                      <w:tblGrid>
                        <w:gridCol w:w="2909"/>
                        <w:gridCol w:w="3139"/>
                        <w:gridCol w:w="2733"/>
                      </w:tblGrid>
                      <w:tr w:rsidR="00D21DBF">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D21DBF" w:rsidRPr="00BE301E" w:rsidRDefault="00D21DBF"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Въпрос за оценка</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D21DBF" w:rsidRPr="00BE301E" w:rsidRDefault="00D21DBF"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Критерии за преценка</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D21DBF" w:rsidRPr="00BE301E" w:rsidRDefault="00D21DBF"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Показатели за резултати</w:t>
                            </w:r>
                          </w:p>
                        </w:tc>
                      </w:tr>
                      <w:tr w:rsidR="00D21DBF">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D21DBF" w:rsidRPr="00084B11" w:rsidRDefault="00D21DBF" w:rsidP="00CB5FC3">
                            <w:pPr>
                              <w:pStyle w:val="Htableleft"/>
                              <w:rPr>
                                <w:rFonts w:cs="Arial"/>
                                <w:i/>
                                <w:color w:val="373737"/>
                                <w:szCs w:val="18"/>
                              </w:rPr>
                            </w:pPr>
                            <w:r>
                              <w:rPr>
                                <w:i/>
                                <w:color w:val="373737"/>
                              </w:rPr>
                              <w:t>Възможна разбивка за ОПА 6А</w:t>
                            </w:r>
                          </w:p>
                          <w:p w:rsidR="00D21DBF" w:rsidRPr="00084B11" w:rsidRDefault="00D21DBF" w:rsidP="00CB5FC3">
                            <w:pPr>
                              <w:pStyle w:val="Htableleft"/>
                              <w:rPr>
                                <w:rFonts w:cs="Arial"/>
                                <w:i/>
                                <w:color w:val="373737"/>
                                <w:szCs w:val="18"/>
                              </w:rPr>
                            </w:pPr>
                          </w:p>
                          <w:p w:rsidR="00D21DBF" w:rsidRPr="00084B11" w:rsidRDefault="00D21DBF" w:rsidP="00CB5FC3">
                            <w:pPr>
                              <w:pStyle w:val="Htableleft"/>
                              <w:rPr>
                                <w:rFonts w:cs="Arial"/>
                                <w:color w:val="373737"/>
                                <w:szCs w:val="18"/>
                              </w:rPr>
                            </w:pPr>
                            <w:r>
                              <w:rPr>
                                <w:color w:val="373737"/>
                              </w:rPr>
                              <w:t>„До каква степен операциите по LEADER/ВМОР са допринесли за създаването на възможности за устойчива заетост за млади хора и жени?“</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D21DBF" w:rsidRPr="00084B11" w:rsidRDefault="00D21DBF" w:rsidP="00CB5FC3">
                            <w:pPr>
                              <w:pStyle w:val="Htablebullet"/>
                              <w:rPr>
                                <w:rFonts w:ascii="Arial" w:hAnsi="Arial"/>
                                <w:color w:val="373737"/>
                                <w:szCs w:val="18"/>
                              </w:rPr>
                            </w:pPr>
                            <w:r>
                              <w:tab/>
                            </w:r>
                            <w:r>
                              <w:rPr>
                                <w:rFonts w:ascii="Arial" w:hAnsi="Arial"/>
                                <w:color w:val="373737"/>
                              </w:rPr>
                              <w:t xml:space="preserve">Създадени са възможности за заетост.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D21DBF" w:rsidRPr="00084B11" w:rsidRDefault="00D21DBF" w:rsidP="00CB5FC3">
                            <w:pPr>
                              <w:pStyle w:val="Htablebullet"/>
                              <w:rPr>
                                <w:rFonts w:ascii="Arial" w:hAnsi="Arial"/>
                                <w:color w:val="373737"/>
                                <w:szCs w:val="18"/>
                              </w:rPr>
                            </w:pPr>
                            <w:r>
                              <w:tab/>
                            </w:r>
                            <w:r>
                              <w:rPr>
                                <w:rFonts w:ascii="Arial" w:hAnsi="Arial"/>
                                <w:color w:val="373737"/>
                              </w:rPr>
                              <w:t>Брой заети лица на възраст под 25 години, включително самостоятелно заети лица, за срок от над 6 месеца</w:t>
                            </w:r>
                          </w:p>
                          <w:p w:rsidR="00D21DBF" w:rsidRPr="00084B11" w:rsidRDefault="00D21DBF" w:rsidP="00CB5FC3">
                            <w:pPr>
                              <w:pStyle w:val="Htablebullet"/>
                              <w:rPr>
                                <w:rFonts w:ascii="Arial" w:hAnsi="Arial"/>
                                <w:color w:val="373737"/>
                                <w:szCs w:val="18"/>
                              </w:rPr>
                            </w:pPr>
                            <w:r>
                              <w:tab/>
                            </w:r>
                            <w:r>
                              <w:rPr>
                                <w:rFonts w:ascii="Arial" w:hAnsi="Arial"/>
                                <w:color w:val="373737"/>
                              </w:rPr>
                              <w:t>Брой заети лица — жени, включително самостоятелно заети, за срок от над 6 месеца</w:t>
                            </w:r>
                          </w:p>
                        </w:tc>
                      </w:tr>
                      <w:tr w:rsidR="00D21DBF">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D21DBF" w:rsidRPr="00084B11" w:rsidRDefault="00D21DBF" w:rsidP="00CB5FC3">
                            <w:pPr>
                              <w:pStyle w:val="Htableleft"/>
                              <w:rPr>
                                <w:rFonts w:cs="Arial"/>
                                <w:i/>
                                <w:color w:val="373737"/>
                                <w:szCs w:val="18"/>
                              </w:rPr>
                            </w:pPr>
                            <w:r>
                              <w:rPr>
                                <w:i/>
                                <w:color w:val="373737"/>
                              </w:rPr>
                              <w:t>Възможна разбивка за ОПА 6А или 3А</w:t>
                            </w:r>
                          </w:p>
                          <w:p w:rsidR="00D21DBF" w:rsidRPr="00084B11" w:rsidRDefault="00D21DBF" w:rsidP="00CB5FC3">
                            <w:pPr>
                              <w:pStyle w:val="Htableleft"/>
                              <w:rPr>
                                <w:rFonts w:cs="Arial"/>
                                <w:i/>
                                <w:color w:val="373737"/>
                                <w:szCs w:val="18"/>
                              </w:rPr>
                            </w:pPr>
                          </w:p>
                          <w:p w:rsidR="00D21DBF" w:rsidRPr="00084B11" w:rsidRDefault="00D21DBF" w:rsidP="00CB5FC3">
                            <w:pPr>
                              <w:pStyle w:val="Htableleft"/>
                              <w:rPr>
                                <w:rFonts w:cs="Arial"/>
                                <w:color w:val="373737"/>
                                <w:szCs w:val="18"/>
                              </w:rPr>
                            </w:pPr>
                            <w:r>
                              <w:rPr>
                                <w:color w:val="373737"/>
                              </w:rPr>
                              <w:t>„До каква степен операциите по LEADER/ВОМР са допринесли за повишаването на добавената стойност на местните продукти?“</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D21DBF" w:rsidRPr="00084B11" w:rsidRDefault="00D21DBF" w:rsidP="00CB5FC3">
                            <w:pPr>
                              <w:pStyle w:val="Htablebullet"/>
                              <w:rPr>
                                <w:rFonts w:ascii="Arial" w:hAnsi="Arial"/>
                                <w:color w:val="373737"/>
                                <w:szCs w:val="18"/>
                              </w:rPr>
                            </w:pPr>
                            <w:r>
                              <w:rPr>
                                <w:rFonts w:ascii="Arial" w:hAnsi="Arial"/>
                                <w:color w:val="373737"/>
                              </w:rPr>
                              <w:t> </w:t>
                            </w:r>
                            <w:r>
                              <w:tab/>
                            </w:r>
                            <w:r>
                              <w:rPr>
                                <w:rFonts w:ascii="Arial" w:hAnsi="Arial"/>
                                <w:color w:val="373737"/>
                              </w:rPr>
                              <w:t>Повишена е добавената стойност на местите продукти.</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D21DBF" w:rsidRPr="00084B11" w:rsidRDefault="00D21DBF" w:rsidP="00CB5FC3">
                            <w:pPr>
                              <w:pStyle w:val="Htablebullet"/>
                              <w:rPr>
                                <w:rFonts w:ascii="Arial" w:hAnsi="Arial"/>
                                <w:color w:val="373737"/>
                                <w:szCs w:val="18"/>
                              </w:rPr>
                            </w:pPr>
                            <w:r>
                              <w:tab/>
                            </w:r>
                            <w:r>
                              <w:rPr>
                                <w:rFonts w:ascii="Arial" w:hAnsi="Arial"/>
                                <w:color w:val="373737"/>
                              </w:rPr>
                              <w:t xml:space="preserve">Ръст на броя на завършените местни продукти (произведени, обработени и опаковани) </w:t>
                            </w:r>
                          </w:p>
                          <w:p w:rsidR="00D21DBF" w:rsidRPr="00084B11" w:rsidRDefault="00D21DBF" w:rsidP="00CB5FC3">
                            <w:pPr>
                              <w:pStyle w:val="Htablebullet"/>
                              <w:rPr>
                                <w:rFonts w:ascii="Arial" w:hAnsi="Arial"/>
                                <w:color w:val="373737"/>
                                <w:szCs w:val="18"/>
                              </w:rPr>
                            </w:pPr>
                            <w:r>
                              <w:tab/>
                            </w:r>
                            <w:r>
                              <w:rPr>
                                <w:rFonts w:ascii="Arial" w:hAnsi="Arial"/>
                                <w:color w:val="373737"/>
                              </w:rPr>
                              <w:t>Увеличаване на маржа на местните производители на продукти в крайната цена на местните продукти</w:t>
                            </w:r>
                          </w:p>
                        </w:tc>
                      </w:tr>
                      <w:tr w:rsidR="00D21DBF">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D21DBF" w:rsidRPr="00084B11" w:rsidRDefault="00D21DBF" w:rsidP="00CB5FC3">
                            <w:pPr>
                              <w:pStyle w:val="Htableleft"/>
                              <w:rPr>
                                <w:rFonts w:cs="Arial"/>
                                <w:i/>
                                <w:color w:val="373737"/>
                                <w:szCs w:val="18"/>
                              </w:rPr>
                            </w:pPr>
                            <w:r>
                              <w:rPr>
                                <w:i/>
                                <w:color w:val="373737"/>
                              </w:rPr>
                              <w:t>Възможни специфични интервенции по ПРСР</w:t>
                            </w:r>
                          </w:p>
                          <w:p w:rsidR="00D21DBF" w:rsidRPr="00084B11" w:rsidRDefault="00D21DBF" w:rsidP="00CB5FC3">
                            <w:pPr>
                              <w:pStyle w:val="Htableleft"/>
                              <w:rPr>
                                <w:rFonts w:cs="Arial"/>
                                <w:i/>
                                <w:color w:val="373737"/>
                                <w:szCs w:val="18"/>
                              </w:rPr>
                            </w:pPr>
                          </w:p>
                          <w:p w:rsidR="00D21DBF" w:rsidRPr="00084B11" w:rsidRDefault="00D21DBF" w:rsidP="00CB5FC3">
                            <w:pPr>
                              <w:pStyle w:val="Htableleft"/>
                              <w:rPr>
                                <w:rFonts w:cs="Arial"/>
                                <w:color w:val="373737"/>
                                <w:szCs w:val="18"/>
                              </w:rPr>
                            </w:pPr>
                            <w:r>
                              <w:rPr>
                                <w:color w:val="373737"/>
                              </w:rPr>
                              <w:t xml:space="preserve">„До каква степен операциите по LEADER/ВОМР са допринесли за прехода към общество с нулеви въглеродни емисии?“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D21DBF" w:rsidRPr="00084B11" w:rsidRDefault="00D21DBF" w:rsidP="00CB5FC3">
                            <w:pPr>
                              <w:pStyle w:val="Htablebullet"/>
                              <w:rPr>
                                <w:rFonts w:ascii="Arial" w:hAnsi="Arial"/>
                                <w:color w:val="373737"/>
                                <w:szCs w:val="18"/>
                              </w:rPr>
                            </w:pPr>
                            <w:r>
                              <w:tab/>
                            </w:r>
                            <w:r>
                              <w:rPr>
                                <w:rFonts w:ascii="Arial" w:hAnsi="Arial"/>
                                <w:color w:val="373737"/>
                              </w:rPr>
                              <w:t>Увеличило се е производството на енергия от възобновяеми източници (използване на слънчева, вятърна и водна енергия).</w:t>
                            </w:r>
                          </w:p>
                          <w:p w:rsidR="00D21DBF" w:rsidRPr="00084B11" w:rsidRDefault="00D21DBF" w:rsidP="00CB5FC3">
                            <w:pPr>
                              <w:pStyle w:val="Htablebullet"/>
                              <w:rPr>
                                <w:rFonts w:ascii="Arial" w:hAnsi="Arial"/>
                                <w:color w:val="373737"/>
                                <w:szCs w:val="18"/>
                              </w:rPr>
                            </w:pPr>
                            <w:r>
                              <w:tab/>
                            </w:r>
                            <w:r>
                              <w:rPr>
                                <w:rFonts w:ascii="Arial" w:hAnsi="Arial"/>
                                <w:color w:val="373737"/>
                              </w:rPr>
                              <w:t>Рециклират се повече отпадъци.</w:t>
                            </w:r>
                          </w:p>
                          <w:p w:rsidR="00D21DBF" w:rsidRPr="00084B11" w:rsidRDefault="00D21DBF" w:rsidP="00CB5FC3">
                            <w:pPr>
                              <w:pStyle w:val="Htablebullet"/>
                              <w:rPr>
                                <w:color w:val="373737"/>
                                <w:szCs w:val="18"/>
                              </w:rPr>
                            </w:pPr>
                            <w:r>
                              <w:tab/>
                            </w:r>
                            <w:r>
                              <w:rPr>
                                <w:rFonts w:ascii="Arial" w:hAnsi="Arial"/>
                                <w:color w:val="373737"/>
                              </w:rPr>
                              <w:t>Увеличила се е производителността на ресурсите.</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D21DBF" w:rsidRPr="00084B11" w:rsidRDefault="00D21DBF" w:rsidP="00CB5FC3">
                            <w:pPr>
                              <w:pStyle w:val="Htablebullet"/>
                              <w:rPr>
                                <w:rFonts w:ascii="Arial" w:hAnsi="Arial"/>
                                <w:color w:val="373737"/>
                                <w:szCs w:val="18"/>
                              </w:rPr>
                            </w:pPr>
                            <w:r>
                              <w:tab/>
                            </w:r>
                            <w:r>
                              <w:rPr>
                                <w:rFonts w:ascii="Arial" w:hAnsi="Arial"/>
                                <w:color w:val="373737"/>
                              </w:rPr>
                              <w:t>Ръст на производството на енергия от стопанствата (биогорива, вятърна, слънчева енергия, ...)</w:t>
                            </w:r>
                          </w:p>
                          <w:p w:rsidR="00D21DBF" w:rsidRPr="00084B11" w:rsidRDefault="00D21DBF" w:rsidP="00CB5FC3">
                            <w:pPr>
                              <w:pStyle w:val="Htablebullet"/>
                              <w:rPr>
                                <w:rFonts w:ascii="Arial" w:hAnsi="Arial"/>
                                <w:color w:val="373737"/>
                                <w:szCs w:val="18"/>
                              </w:rPr>
                            </w:pPr>
                            <w:r>
                              <w:tab/>
                            </w:r>
                            <w:r>
                              <w:rPr>
                                <w:rFonts w:ascii="Arial" w:hAnsi="Arial"/>
                                <w:color w:val="373737"/>
                              </w:rPr>
                              <w:t xml:space="preserve">Ръст на производството на енергия по линия на проекти на общността (вятърна, слънчева енергия, ...) </w:t>
                            </w:r>
                          </w:p>
                          <w:p w:rsidR="00D21DBF" w:rsidRPr="00084B11" w:rsidRDefault="00D21DBF" w:rsidP="00CB5FC3">
                            <w:pPr>
                              <w:pStyle w:val="Htablebullet"/>
                              <w:rPr>
                                <w:rFonts w:ascii="Arial" w:hAnsi="Arial"/>
                                <w:color w:val="373737"/>
                                <w:szCs w:val="18"/>
                              </w:rPr>
                            </w:pPr>
                            <w:r>
                              <w:tab/>
                            </w:r>
                            <w:r>
                              <w:rPr>
                                <w:rFonts w:ascii="Arial" w:hAnsi="Arial"/>
                                <w:color w:val="373737"/>
                              </w:rPr>
                              <w:t>Увеличаване на количеството отпадъци, рециклирани в селските общности</w:t>
                            </w:r>
                          </w:p>
                          <w:p w:rsidR="00D21DBF" w:rsidRPr="00084B11" w:rsidRDefault="00D21DBF" w:rsidP="00CB5FC3">
                            <w:pPr>
                              <w:pStyle w:val="Htablebullet"/>
                              <w:rPr>
                                <w:rFonts w:ascii="Arial" w:hAnsi="Arial"/>
                                <w:color w:val="373737"/>
                                <w:szCs w:val="18"/>
                              </w:rPr>
                            </w:pPr>
                            <w:r>
                              <w:tab/>
                            </w:r>
                            <w:r>
                              <w:rPr>
                                <w:rFonts w:ascii="Arial" w:hAnsi="Arial"/>
                                <w:color w:val="373737"/>
                              </w:rPr>
                              <w:t>Увеличаване на икономиите на енергия при проекти за отдих и туризъм </w:t>
                            </w:r>
                          </w:p>
                        </w:tc>
                      </w:tr>
                    </w:tbl>
                    <w:p w:rsidR="00D21DBF" w:rsidRDefault="00D21DBF" w:rsidP="007866D4">
                      <w:pPr>
                        <w:jc w:val="center"/>
                      </w:pPr>
                    </w:p>
                  </w:txbxContent>
                </v:textbox>
              </v:shape>
            </w:pict>
          </mc:Fallback>
        </mc:AlternateContent>
      </w:r>
    </w:p>
    <w:p w:rsidR="007866D4" w:rsidRPr="00FB01AA" w:rsidRDefault="007866D4" w:rsidP="00766525">
      <w:pPr>
        <w:pStyle w:val="HStandard"/>
        <w:rPr>
          <w:sz w:val="18"/>
        </w:rPr>
      </w:pPr>
      <w:r w:rsidRPr="00FB01AA">
        <w:rPr>
          <w:sz w:val="18"/>
        </w:rPr>
        <w:br w:type="column"/>
      </w:r>
      <w:bookmarkStart w:id="79" w:name="_Toc475090455"/>
      <w:r w:rsidRPr="00FB01AA">
        <w:rPr>
          <w:sz w:val="18"/>
        </w:rPr>
        <w:lastRenderedPageBreak/>
        <w:t>В следващото каре са дадени примери за специфични за програмата въпроси за оценка, свързани с LEADER/ВОМР</w:t>
      </w:r>
      <w:r w:rsidRPr="00FB01AA">
        <w:rPr>
          <w:sz w:val="18"/>
          <w:vertAlign w:val="superscript"/>
        </w:rPr>
        <w:footnoteReference w:id="38"/>
      </w:r>
      <w:r w:rsidRPr="00FB01AA">
        <w:rPr>
          <w:sz w:val="18"/>
        </w:rPr>
        <w:t>.</w:t>
      </w:r>
      <w:bookmarkEnd w:id="79"/>
    </w:p>
    <w:p w:rsidR="007866D4" w:rsidRPr="00FB01AA" w:rsidRDefault="007866D4" w:rsidP="007866D4">
      <w:pPr>
        <w:pStyle w:val="H-Standard"/>
        <w:rPr>
          <w:sz w:val="18"/>
        </w:rPr>
      </w:pPr>
      <w:r w:rsidRPr="00FB01AA">
        <w:rPr>
          <w:noProof/>
          <w:sz w:val="18"/>
          <w:lang w:val="en-GB" w:eastAsia="en-GB" w:bidi="ar-SA"/>
        </w:rPr>
        <mc:AlternateContent>
          <mc:Choice Requires="wps">
            <w:drawing>
              <wp:inline distT="0" distB="0" distL="0" distR="0" wp14:anchorId="40799B7E" wp14:editId="144F084B">
                <wp:extent cx="5759450" cy="3835730"/>
                <wp:effectExtent l="0" t="0" r="12700" b="12700"/>
                <wp:docPr id="36" name="Rectangle: Diagonal Corners Rounded 36"/>
                <wp:cNvGraphicFramePr/>
                <a:graphic xmlns:a="http://schemas.openxmlformats.org/drawingml/2006/main">
                  <a:graphicData uri="http://schemas.microsoft.com/office/word/2010/wordprocessingShape">
                    <wps:wsp>
                      <wps:cNvSpPr/>
                      <wps:spPr>
                        <a:xfrm>
                          <a:off x="0" y="0"/>
                          <a:ext cx="5759450" cy="383573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DBF" w:rsidRPr="007E1963" w:rsidRDefault="00D21DBF"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28959623" wp14:editId="0DAD85A0">
                                  <wp:extent cx="353202" cy="360000"/>
                                  <wp:effectExtent l="0" t="0" r="8890" b="254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При обобщението на предварителните оценки за периода 2014—2020 г. се установи кои са най-често срещаните категории цели на LEADER/ВОМР. Въз основа на това се предлагат някои примери за специфични за програмата въпроси за оценка: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338"/>
                            </w:tblGrid>
                            <w:tr w:rsidR="00D21DBF">
                              <w:trPr>
                                <w:trHeight w:val="341"/>
                              </w:trPr>
                              <w:tc>
                                <w:tcPr>
                                  <w:tcW w:w="4395" w:type="dxa"/>
                                  <w:tcBorders>
                                    <w:right w:val="single" w:sz="4" w:space="0" w:color="FFFFFF" w:themeColor="accent1"/>
                                  </w:tcBorders>
                                  <w:shd w:val="clear" w:color="auto" w:fill="F07E31" w:themeFill="background2"/>
                                  <w:vAlign w:val="center"/>
                                </w:tcPr>
                                <w:p w:rsidR="00D21DBF" w:rsidRPr="007E1963" w:rsidRDefault="00D21DBF" w:rsidP="00CB5FC3">
                                  <w:pPr>
                                    <w:pStyle w:val="HHeadingTables0"/>
                                    <w:rPr>
                                      <w:color w:val="FFFFFF" w:themeColor="accent1"/>
                                      <w:sz w:val="18"/>
                                      <w:szCs w:val="18"/>
                                    </w:rPr>
                                  </w:pPr>
                                  <w:r>
                                    <w:rPr>
                                      <w:color w:val="FFFFFF" w:themeColor="accent1"/>
                                      <w:sz w:val="18"/>
                                    </w:rPr>
                                    <w:t>Примерни цели на LEADER/ВОМР</w:t>
                                  </w:r>
                                </w:p>
                              </w:tc>
                              <w:tc>
                                <w:tcPr>
                                  <w:tcW w:w="4396" w:type="dxa"/>
                                  <w:tcBorders>
                                    <w:left w:val="single" w:sz="4" w:space="0" w:color="FFFFFF" w:themeColor="accent1"/>
                                  </w:tcBorders>
                                  <w:shd w:val="clear" w:color="auto" w:fill="F07E31" w:themeFill="background2"/>
                                  <w:vAlign w:val="center"/>
                                </w:tcPr>
                                <w:p w:rsidR="00D21DBF" w:rsidRPr="007E1963" w:rsidRDefault="00D21DBF" w:rsidP="00CB5FC3">
                                  <w:pPr>
                                    <w:pStyle w:val="HHeadingTables0"/>
                                    <w:rPr>
                                      <w:color w:val="FFFFFF" w:themeColor="accent1"/>
                                      <w:sz w:val="18"/>
                                      <w:szCs w:val="18"/>
                                    </w:rPr>
                                  </w:pPr>
                                  <w:r>
                                    <w:rPr>
                                      <w:color w:val="FFFFFF" w:themeColor="accent1"/>
                                      <w:sz w:val="18"/>
                                    </w:rPr>
                                    <w:t>Примерни специфични за програмата въпроси за оценка</w:t>
                                  </w:r>
                                </w:p>
                              </w:tc>
                            </w:tr>
                            <w:tr w:rsidR="00D21DBF">
                              <w:tc>
                                <w:tcPr>
                                  <w:tcW w:w="4395" w:type="dxa"/>
                                  <w:tcBorders>
                                    <w:right w:val="single" w:sz="4" w:space="0" w:color="FFFFFF" w:themeColor="accent1"/>
                                  </w:tcBorders>
                                  <w:shd w:val="clear" w:color="auto" w:fill="FCE5D5" w:themeFill="background2" w:themeFillTint="33"/>
                                  <w:vAlign w:val="center"/>
                                </w:tcPr>
                                <w:p w:rsidR="00D21DBF" w:rsidRPr="007E1963" w:rsidRDefault="00D21DBF" w:rsidP="00CB5FC3">
                                  <w:pPr>
                                    <w:pStyle w:val="Htableleft"/>
                                    <w:rPr>
                                      <w:rFonts w:ascii="Arial" w:hAnsi="Arial" w:cs="Arial"/>
                                      <w:color w:val="373737"/>
                                    </w:rPr>
                                  </w:pPr>
                                  <w:r>
                                    <w:rPr>
                                      <w:rFonts w:ascii="Arial" w:hAnsi="Arial"/>
                                      <w:color w:val="373737"/>
                                    </w:rPr>
                                    <w:t>Активно справяне с демографските предизвикателства, семейни структури и структури за предоставяне на грижи (например Германия-Бранденбург &amp; Берлин)</w:t>
                                  </w:r>
                                </w:p>
                              </w:tc>
                              <w:tc>
                                <w:tcPr>
                                  <w:tcW w:w="4396" w:type="dxa"/>
                                  <w:tcBorders>
                                    <w:left w:val="single" w:sz="4" w:space="0" w:color="FFFFFF" w:themeColor="accent1"/>
                                  </w:tcBorders>
                                  <w:shd w:val="clear" w:color="auto" w:fill="FCE5D5" w:themeFill="background2" w:themeFillTint="33"/>
                                  <w:vAlign w:val="center"/>
                                </w:tcPr>
                                <w:p w:rsidR="00D21DBF" w:rsidRPr="007E1963" w:rsidRDefault="00D21DBF" w:rsidP="00CB5FC3">
                                  <w:pPr>
                                    <w:pStyle w:val="Htableleft"/>
                                    <w:rPr>
                                      <w:rFonts w:ascii="Arial" w:hAnsi="Arial" w:cs="Arial"/>
                                      <w:color w:val="373737"/>
                                    </w:rPr>
                                  </w:pPr>
                                  <w:r>
                                    <w:rPr>
                                      <w:rFonts w:ascii="Arial" w:hAnsi="Arial"/>
                                      <w:color w:val="373737"/>
                                    </w:rPr>
                                    <w:t xml:space="preserve">„До каква степен операциите по LEADER/ВОМР са допринесли за увеличаването на предоставянето на социални грижи за зависими лица?“   </w:t>
                                  </w:r>
                                </w:p>
                              </w:tc>
                            </w:tr>
                            <w:tr w:rsidR="00D21DBF">
                              <w:tc>
                                <w:tcPr>
                                  <w:tcW w:w="4395" w:type="dxa"/>
                                  <w:tcBorders>
                                    <w:right w:val="single" w:sz="4" w:space="0" w:color="FFFFFF" w:themeColor="accent1"/>
                                  </w:tcBorders>
                                  <w:shd w:val="clear" w:color="auto" w:fill="F9CBAC" w:themeFill="background2" w:themeFillTint="66"/>
                                  <w:vAlign w:val="center"/>
                                </w:tcPr>
                                <w:p w:rsidR="00D21DBF" w:rsidRPr="007E1963" w:rsidRDefault="00D21DBF" w:rsidP="00CB5FC3">
                                  <w:pPr>
                                    <w:pStyle w:val="Htableleft"/>
                                    <w:rPr>
                                      <w:rFonts w:ascii="Arial" w:hAnsi="Arial" w:cs="Arial"/>
                                      <w:color w:val="373737"/>
                                    </w:rPr>
                                  </w:pPr>
                                  <w:r>
                                    <w:rPr>
                                      <w:rFonts w:ascii="Arial" w:hAnsi="Arial"/>
                                      <w:color w:val="373737"/>
                                    </w:rPr>
                                    <w:t>Опазване на природното наследство и селските райони и грижа за тях (например Германия-Баден-Вюртенберг)</w:t>
                                  </w:r>
                                </w:p>
                              </w:tc>
                              <w:tc>
                                <w:tcPr>
                                  <w:tcW w:w="4396" w:type="dxa"/>
                                  <w:tcBorders>
                                    <w:left w:val="single" w:sz="4" w:space="0" w:color="FFFFFF" w:themeColor="accent1"/>
                                  </w:tcBorders>
                                  <w:shd w:val="clear" w:color="auto" w:fill="F9CBAC" w:themeFill="background2" w:themeFillTint="66"/>
                                  <w:vAlign w:val="center"/>
                                </w:tcPr>
                                <w:p w:rsidR="00D21DBF" w:rsidRPr="007E1963" w:rsidRDefault="00D21DBF" w:rsidP="00CB5FC3">
                                  <w:pPr>
                                    <w:pStyle w:val="Htableleft"/>
                                    <w:rPr>
                                      <w:rFonts w:ascii="Arial" w:hAnsi="Arial" w:cs="Arial"/>
                                      <w:color w:val="373737"/>
                                    </w:rPr>
                                  </w:pPr>
                                  <w:r>
                                    <w:rPr>
                                      <w:rFonts w:ascii="Arial" w:hAnsi="Arial"/>
                                      <w:color w:val="373737"/>
                                    </w:rPr>
                                    <w:t>„До каква степен операциите по LEADER/ВОМР са допринесли за подобряването на опазването на природното наследство?“</w:t>
                                  </w:r>
                                </w:p>
                              </w:tc>
                            </w:tr>
                            <w:tr w:rsidR="00D21DBF">
                              <w:tc>
                                <w:tcPr>
                                  <w:tcW w:w="4395" w:type="dxa"/>
                                  <w:tcBorders>
                                    <w:right w:val="single" w:sz="4" w:space="0" w:color="FFFFFF" w:themeColor="accent1"/>
                                  </w:tcBorders>
                                  <w:shd w:val="clear" w:color="auto" w:fill="FCE5D5" w:themeFill="background2" w:themeFillTint="33"/>
                                  <w:vAlign w:val="center"/>
                                </w:tcPr>
                                <w:p w:rsidR="00D21DBF" w:rsidRPr="007E1963" w:rsidRDefault="00D21DBF" w:rsidP="00CB5FC3">
                                  <w:pPr>
                                    <w:pStyle w:val="Htableleft"/>
                                    <w:rPr>
                                      <w:rFonts w:ascii="Arial" w:hAnsi="Arial" w:cs="Arial"/>
                                      <w:color w:val="373737"/>
                                    </w:rPr>
                                  </w:pPr>
                                  <w:r>
                                    <w:rPr>
                                      <w:rFonts w:ascii="Arial" w:hAnsi="Arial"/>
                                      <w:color w:val="373737"/>
                                    </w:rPr>
                                    <w:t>Подобряване на веригата на доставки и на местните системи за производство в хранително-вкусовата промишленост, селското стопанство, занаятчийството и риболова (например Италия-Болцано)</w:t>
                                  </w:r>
                                </w:p>
                              </w:tc>
                              <w:tc>
                                <w:tcPr>
                                  <w:tcW w:w="4396" w:type="dxa"/>
                                  <w:tcBorders>
                                    <w:left w:val="single" w:sz="4" w:space="0" w:color="FFFFFF" w:themeColor="accent1"/>
                                  </w:tcBorders>
                                  <w:shd w:val="clear" w:color="auto" w:fill="FCE5D5" w:themeFill="background2" w:themeFillTint="33"/>
                                  <w:vAlign w:val="center"/>
                                </w:tcPr>
                                <w:p w:rsidR="00D21DBF" w:rsidRPr="007E1963" w:rsidRDefault="00D21DBF" w:rsidP="00CB5FC3">
                                  <w:pPr>
                                    <w:pStyle w:val="Htableleft"/>
                                    <w:rPr>
                                      <w:rFonts w:ascii="Arial" w:hAnsi="Arial" w:cs="Arial"/>
                                      <w:color w:val="373737"/>
                                    </w:rPr>
                                  </w:pPr>
                                  <w:r>
                                    <w:rPr>
                                      <w:rFonts w:ascii="Arial" w:hAnsi="Arial"/>
                                      <w:color w:val="373737"/>
                                    </w:rPr>
                                    <w:t>„До каква степен операциите по LEADER/ВОМР са допринесли за подобряването на местните системи за производство?“</w:t>
                                  </w:r>
                                </w:p>
                              </w:tc>
                            </w:tr>
                            <w:tr w:rsidR="00D21DBF">
                              <w:tc>
                                <w:tcPr>
                                  <w:tcW w:w="4395" w:type="dxa"/>
                                  <w:tcBorders>
                                    <w:right w:val="single" w:sz="4" w:space="0" w:color="FFFFFF" w:themeColor="accent1"/>
                                  </w:tcBorders>
                                  <w:shd w:val="clear" w:color="auto" w:fill="F9CBAC" w:themeFill="background2" w:themeFillTint="66"/>
                                  <w:vAlign w:val="center"/>
                                </w:tcPr>
                                <w:p w:rsidR="00D21DBF" w:rsidRPr="007E1963" w:rsidRDefault="00D21DBF" w:rsidP="00CB5FC3">
                                  <w:pPr>
                                    <w:pStyle w:val="Htableleft"/>
                                    <w:rPr>
                                      <w:rFonts w:ascii="Arial" w:hAnsi="Arial" w:cs="Arial"/>
                                      <w:color w:val="373737"/>
                                    </w:rPr>
                                  </w:pPr>
                                  <w:r>
                                    <w:rPr>
                                      <w:rFonts w:ascii="Arial" w:hAnsi="Arial"/>
                                      <w:color w:val="373737"/>
                                    </w:rPr>
                                    <w:t>Насърчаване на социалното приобщаване и намаляване на бедността (например Обединено кралство — Северна Ирландия)</w:t>
                                  </w:r>
                                </w:p>
                              </w:tc>
                              <w:tc>
                                <w:tcPr>
                                  <w:tcW w:w="4396" w:type="dxa"/>
                                  <w:tcBorders>
                                    <w:left w:val="single" w:sz="4" w:space="0" w:color="FFFFFF" w:themeColor="accent1"/>
                                  </w:tcBorders>
                                  <w:shd w:val="clear" w:color="auto" w:fill="F9CBAC" w:themeFill="background2" w:themeFillTint="66"/>
                                  <w:vAlign w:val="center"/>
                                </w:tcPr>
                                <w:p w:rsidR="00D21DBF" w:rsidRPr="007E1963" w:rsidRDefault="00D21DBF" w:rsidP="00CB5FC3">
                                  <w:pPr>
                                    <w:pStyle w:val="Htableleft"/>
                                    <w:rPr>
                                      <w:rFonts w:ascii="Arial" w:hAnsi="Arial" w:cs="Arial"/>
                                      <w:color w:val="373737"/>
                                    </w:rPr>
                                  </w:pPr>
                                  <w:r>
                                    <w:rPr>
                                      <w:rFonts w:ascii="Arial" w:hAnsi="Arial"/>
                                      <w:color w:val="373737"/>
                                    </w:rPr>
                                    <w:t>„До каква степен операциите по LEADER/ВОМР са допринесли за социалното приобщаване на групи в неравностойно положение?“</w:t>
                                  </w:r>
                                </w:p>
                              </w:tc>
                            </w:tr>
                          </w:tbl>
                          <w:p w:rsidR="00D21DBF" w:rsidRDefault="00D21DBF"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40799B7E" id="Rectangle: Diagonal Corners Rounded 36" o:spid="_x0000_s1037" style="width:453.5pt;height:302.05pt;visibility:visible;mso-wrap-style:square;mso-left-percent:-10001;mso-top-percent:-10001;mso-position-horizontal:absolute;mso-position-horizontal-relative:char;mso-position-vertical:absolute;mso-position-vertical-relative:line;mso-left-percent:-10001;mso-top-percent:-10001;v-text-anchor:top" coordsize="5759450,383573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" adj="-11796480,,5400" path="m299110,l5759450,r,l5759450,3536620v,165194,-133916,299110,-299110,299110l,3835730r,l,299110c,133916,133916,,299110,xe" fillcolor="white [3204]" strokecolor="#f07e31 [3214]" strokeweight="2pt">
                <v:stroke joinstyle="miter"/>
                <v:formulas/>
                <v:path arrowok="t" o:connecttype="custom" o:connectlocs="299110,0;5759450,0;5759450,0;5759450,3536620;5460340,3835730;0,3835730;0,3835730;0,299110;299110,0" o:connectangles="0,0,0,0,0,0,0,0,0" textboxrect="0,0,5759450,3835730"/>
                <v:textbox inset=",0,,0">
                  <w:txbxContent>
                    <w:p w:rsidR="00D21DBF" w:rsidRPr="007E1963" w:rsidRDefault="00D21DBF" w:rsidP="007866D4">
                      <w:pPr>
                        <w:pStyle w:val="HStandard"/>
                        <w:rPr>
                          <w:rFonts w:cs="Arial"/>
                          <w:sz w:val="18"/>
                          <w:szCs w:val="18"/>
                        </w:rPr>
                      </w:pPr>
                      <w:r>
                        <w:rPr>
                          <w:rFonts w:cs="Arial"/>
                          <w:b/>
                          <w:bCs/>
                          <w:iCs/>
                          <w:noProof/>
                          <w:color w:val="F07E31" w:themeColor="background2"/>
                          <w:sz w:val="18"/>
                          <w:szCs w:val="18"/>
                          <w:lang w:val="en-GB" w:eastAsia="en-GB" w:bidi="ar-SA"/>
                        </w:rPr>
                        <w:drawing>
                          <wp:inline distT="0" distB="0" distL="0" distR="0" wp14:anchorId="28959623" wp14:editId="0DAD85A0">
                            <wp:extent cx="353202" cy="360000"/>
                            <wp:effectExtent l="0" t="0" r="8890" b="254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При обобщението на предварителните оценки за периода 2014—2020 г. се установи кои са най-често срещаните категории цели на LEADER/ВОМР. Въз основа на това се предлагат някои примери за специфични за програмата въпроси за оценка: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3"/>
                        <w:gridCol w:w="4338"/>
                      </w:tblGrid>
                      <w:tr w:rsidR="00D21DBF">
                        <w:trPr>
                          <w:trHeight w:val="341"/>
                        </w:trPr>
                        <w:tc>
                          <w:tcPr>
                            <w:tcW w:w="4395" w:type="dxa"/>
                            <w:tcBorders>
                              <w:right w:val="single" w:sz="4" w:space="0" w:color="FFFFFF" w:themeColor="accent1"/>
                            </w:tcBorders>
                            <w:shd w:val="clear" w:color="auto" w:fill="F07E31" w:themeFill="background2"/>
                            <w:vAlign w:val="center"/>
                          </w:tcPr>
                          <w:p w:rsidR="00D21DBF" w:rsidRPr="007E1963" w:rsidRDefault="00D21DBF" w:rsidP="00CB5FC3">
                            <w:pPr>
                              <w:pStyle w:val="HHeadingTables0"/>
                              <w:rPr>
                                <w:color w:val="FFFFFF" w:themeColor="accent1"/>
                                <w:sz w:val="18"/>
                                <w:szCs w:val="18"/>
                              </w:rPr>
                            </w:pPr>
                            <w:r>
                              <w:rPr>
                                <w:color w:val="FFFFFF" w:themeColor="accent1"/>
                                <w:sz w:val="18"/>
                              </w:rPr>
                              <w:t>Примерни цели на LEADER/ВОМР</w:t>
                            </w:r>
                          </w:p>
                        </w:tc>
                        <w:tc>
                          <w:tcPr>
                            <w:tcW w:w="4396" w:type="dxa"/>
                            <w:tcBorders>
                              <w:left w:val="single" w:sz="4" w:space="0" w:color="FFFFFF" w:themeColor="accent1"/>
                            </w:tcBorders>
                            <w:shd w:val="clear" w:color="auto" w:fill="F07E31" w:themeFill="background2"/>
                            <w:vAlign w:val="center"/>
                          </w:tcPr>
                          <w:p w:rsidR="00D21DBF" w:rsidRPr="007E1963" w:rsidRDefault="00D21DBF" w:rsidP="00CB5FC3">
                            <w:pPr>
                              <w:pStyle w:val="HHeadingTables0"/>
                              <w:rPr>
                                <w:color w:val="FFFFFF" w:themeColor="accent1"/>
                                <w:sz w:val="18"/>
                                <w:szCs w:val="18"/>
                              </w:rPr>
                            </w:pPr>
                            <w:r>
                              <w:rPr>
                                <w:color w:val="FFFFFF" w:themeColor="accent1"/>
                                <w:sz w:val="18"/>
                              </w:rPr>
                              <w:t>Примерни специфични за програмата въпроси за оценка</w:t>
                            </w:r>
                          </w:p>
                        </w:tc>
                      </w:tr>
                      <w:tr w:rsidR="00D21DBF">
                        <w:tc>
                          <w:tcPr>
                            <w:tcW w:w="4395" w:type="dxa"/>
                            <w:tcBorders>
                              <w:right w:val="single" w:sz="4" w:space="0" w:color="FFFFFF" w:themeColor="accent1"/>
                            </w:tcBorders>
                            <w:shd w:val="clear" w:color="auto" w:fill="FCE5D5" w:themeFill="background2" w:themeFillTint="33"/>
                            <w:vAlign w:val="center"/>
                          </w:tcPr>
                          <w:p w:rsidR="00D21DBF" w:rsidRPr="007E1963" w:rsidRDefault="00D21DBF" w:rsidP="00CB5FC3">
                            <w:pPr>
                              <w:pStyle w:val="Htableleft"/>
                              <w:rPr>
                                <w:rFonts w:ascii="Arial" w:hAnsi="Arial" w:cs="Arial"/>
                                <w:color w:val="373737"/>
                              </w:rPr>
                            </w:pPr>
                            <w:r>
                              <w:rPr>
                                <w:rFonts w:ascii="Arial" w:hAnsi="Arial"/>
                                <w:color w:val="373737"/>
                              </w:rPr>
                              <w:t>Активно справяне с демографските предизвикателства, семейни структури и структури за предоставяне на грижи (например Германия-Бранденбург &amp; Берлин)</w:t>
                            </w:r>
                          </w:p>
                        </w:tc>
                        <w:tc>
                          <w:tcPr>
                            <w:tcW w:w="4396" w:type="dxa"/>
                            <w:tcBorders>
                              <w:left w:val="single" w:sz="4" w:space="0" w:color="FFFFFF" w:themeColor="accent1"/>
                            </w:tcBorders>
                            <w:shd w:val="clear" w:color="auto" w:fill="FCE5D5" w:themeFill="background2" w:themeFillTint="33"/>
                            <w:vAlign w:val="center"/>
                          </w:tcPr>
                          <w:p w:rsidR="00D21DBF" w:rsidRPr="007E1963" w:rsidRDefault="00D21DBF" w:rsidP="00CB5FC3">
                            <w:pPr>
                              <w:pStyle w:val="Htableleft"/>
                              <w:rPr>
                                <w:rFonts w:ascii="Arial" w:hAnsi="Arial" w:cs="Arial"/>
                                <w:color w:val="373737"/>
                              </w:rPr>
                            </w:pPr>
                            <w:r>
                              <w:rPr>
                                <w:rFonts w:ascii="Arial" w:hAnsi="Arial"/>
                                <w:color w:val="373737"/>
                              </w:rPr>
                              <w:t xml:space="preserve">„До каква степен операциите по LEADER/ВОМР са допринесли за увеличаването на предоставянето на социални грижи за зависими лица?“   </w:t>
                            </w:r>
                          </w:p>
                        </w:tc>
                      </w:tr>
                      <w:tr w:rsidR="00D21DBF">
                        <w:tc>
                          <w:tcPr>
                            <w:tcW w:w="4395" w:type="dxa"/>
                            <w:tcBorders>
                              <w:right w:val="single" w:sz="4" w:space="0" w:color="FFFFFF" w:themeColor="accent1"/>
                            </w:tcBorders>
                            <w:shd w:val="clear" w:color="auto" w:fill="F9CBAC" w:themeFill="background2" w:themeFillTint="66"/>
                            <w:vAlign w:val="center"/>
                          </w:tcPr>
                          <w:p w:rsidR="00D21DBF" w:rsidRPr="007E1963" w:rsidRDefault="00D21DBF" w:rsidP="00CB5FC3">
                            <w:pPr>
                              <w:pStyle w:val="Htableleft"/>
                              <w:rPr>
                                <w:rFonts w:ascii="Arial" w:hAnsi="Arial" w:cs="Arial"/>
                                <w:color w:val="373737"/>
                              </w:rPr>
                            </w:pPr>
                            <w:r>
                              <w:rPr>
                                <w:rFonts w:ascii="Arial" w:hAnsi="Arial"/>
                                <w:color w:val="373737"/>
                              </w:rPr>
                              <w:t>Опазване на природното наследство и селските райони и грижа за тях (например Германия-Баден-Вюртенберг)</w:t>
                            </w:r>
                          </w:p>
                        </w:tc>
                        <w:tc>
                          <w:tcPr>
                            <w:tcW w:w="4396" w:type="dxa"/>
                            <w:tcBorders>
                              <w:left w:val="single" w:sz="4" w:space="0" w:color="FFFFFF" w:themeColor="accent1"/>
                            </w:tcBorders>
                            <w:shd w:val="clear" w:color="auto" w:fill="F9CBAC" w:themeFill="background2" w:themeFillTint="66"/>
                            <w:vAlign w:val="center"/>
                          </w:tcPr>
                          <w:p w:rsidR="00D21DBF" w:rsidRPr="007E1963" w:rsidRDefault="00D21DBF" w:rsidP="00CB5FC3">
                            <w:pPr>
                              <w:pStyle w:val="Htableleft"/>
                              <w:rPr>
                                <w:rFonts w:ascii="Arial" w:hAnsi="Arial" w:cs="Arial"/>
                                <w:color w:val="373737"/>
                              </w:rPr>
                            </w:pPr>
                            <w:r>
                              <w:rPr>
                                <w:rFonts w:ascii="Arial" w:hAnsi="Arial"/>
                                <w:color w:val="373737"/>
                              </w:rPr>
                              <w:t>„До каква степен операциите по LEADER/ВОМР са допринесли за подобряването на опазването на природното наследство?“</w:t>
                            </w:r>
                          </w:p>
                        </w:tc>
                      </w:tr>
                      <w:tr w:rsidR="00D21DBF">
                        <w:tc>
                          <w:tcPr>
                            <w:tcW w:w="4395" w:type="dxa"/>
                            <w:tcBorders>
                              <w:right w:val="single" w:sz="4" w:space="0" w:color="FFFFFF" w:themeColor="accent1"/>
                            </w:tcBorders>
                            <w:shd w:val="clear" w:color="auto" w:fill="FCE5D5" w:themeFill="background2" w:themeFillTint="33"/>
                            <w:vAlign w:val="center"/>
                          </w:tcPr>
                          <w:p w:rsidR="00D21DBF" w:rsidRPr="007E1963" w:rsidRDefault="00D21DBF" w:rsidP="00CB5FC3">
                            <w:pPr>
                              <w:pStyle w:val="Htableleft"/>
                              <w:rPr>
                                <w:rFonts w:ascii="Arial" w:hAnsi="Arial" w:cs="Arial"/>
                                <w:color w:val="373737"/>
                              </w:rPr>
                            </w:pPr>
                            <w:r>
                              <w:rPr>
                                <w:rFonts w:ascii="Arial" w:hAnsi="Arial"/>
                                <w:color w:val="373737"/>
                              </w:rPr>
                              <w:t>Подобряване на веригата на доставки и на местните системи за производство в хранително-вкусовата промишленост, селското стопанство, занаятчийството и риболова (например Италия-Болцано)</w:t>
                            </w:r>
                          </w:p>
                        </w:tc>
                        <w:tc>
                          <w:tcPr>
                            <w:tcW w:w="4396" w:type="dxa"/>
                            <w:tcBorders>
                              <w:left w:val="single" w:sz="4" w:space="0" w:color="FFFFFF" w:themeColor="accent1"/>
                            </w:tcBorders>
                            <w:shd w:val="clear" w:color="auto" w:fill="FCE5D5" w:themeFill="background2" w:themeFillTint="33"/>
                            <w:vAlign w:val="center"/>
                          </w:tcPr>
                          <w:p w:rsidR="00D21DBF" w:rsidRPr="007E1963" w:rsidRDefault="00D21DBF" w:rsidP="00CB5FC3">
                            <w:pPr>
                              <w:pStyle w:val="Htableleft"/>
                              <w:rPr>
                                <w:rFonts w:ascii="Arial" w:hAnsi="Arial" w:cs="Arial"/>
                                <w:color w:val="373737"/>
                              </w:rPr>
                            </w:pPr>
                            <w:r>
                              <w:rPr>
                                <w:rFonts w:ascii="Arial" w:hAnsi="Arial"/>
                                <w:color w:val="373737"/>
                              </w:rPr>
                              <w:t>„До каква степен операциите по LEADER/ВОМР са допринесли за подобряването на местните системи за производство?“</w:t>
                            </w:r>
                          </w:p>
                        </w:tc>
                      </w:tr>
                      <w:tr w:rsidR="00D21DBF">
                        <w:tc>
                          <w:tcPr>
                            <w:tcW w:w="4395" w:type="dxa"/>
                            <w:tcBorders>
                              <w:right w:val="single" w:sz="4" w:space="0" w:color="FFFFFF" w:themeColor="accent1"/>
                            </w:tcBorders>
                            <w:shd w:val="clear" w:color="auto" w:fill="F9CBAC" w:themeFill="background2" w:themeFillTint="66"/>
                            <w:vAlign w:val="center"/>
                          </w:tcPr>
                          <w:p w:rsidR="00D21DBF" w:rsidRPr="007E1963" w:rsidRDefault="00D21DBF" w:rsidP="00CB5FC3">
                            <w:pPr>
                              <w:pStyle w:val="Htableleft"/>
                              <w:rPr>
                                <w:rFonts w:ascii="Arial" w:hAnsi="Arial" w:cs="Arial"/>
                                <w:color w:val="373737"/>
                              </w:rPr>
                            </w:pPr>
                            <w:r>
                              <w:rPr>
                                <w:rFonts w:ascii="Arial" w:hAnsi="Arial"/>
                                <w:color w:val="373737"/>
                              </w:rPr>
                              <w:t>Насърчаване на социалното приобщаване и намаляване на бедността (например Обединено кралство — Северна Ирландия)</w:t>
                            </w:r>
                          </w:p>
                        </w:tc>
                        <w:tc>
                          <w:tcPr>
                            <w:tcW w:w="4396" w:type="dxa"/>
                            <w:tcBorders>
                              <w:left w:val="single" w:sz="4" w:space="0" w:color="FFFFFF" w:themeColor="accent1"/>
                            </w:tcBorders>
                            <w:shd w:val="clear" w:color="auto" w:fill="F9CBAC" w:themeFill="background2" w:themeFillTint="66"/>
                            <w:vAlign w:val="center"/>
                          </w:tcPr>
                          <w:p w:rsidR="00D21DBF" w:rsidRPr="007E1963" w:rsidRDefault="00D21DBF" w:rsidP="00CB5FC3">
                            <w:pPr>
                              <w:pStyle w:val="Htableleft"/>
                              <w:rPr>
                                <w:rFonts w:ascii="Arial" w:hAnsi="Arial" w:cs="Arial"/>
                                <w:color w:val="373737"/>
                              </w:rPr>
                            </w:pPr>
                            <w:r>
                              <w:rPr>
                                <w:rFonts w:ascii="Arial" w:hAnsi="Arial"/>
                                <w:color w:val="373737"/>
                              </w:rPr>
                              <w:t>„До каква степен операциите по LEADER/ВОМР са допринесли за социалното приобщаване на групи в неравностойно положение?“</w:t>
                            </w:r>
                          </w:p>
                        </w:tc>
                      </w:tr>
                    </w:tbl>
                    <w:p w:rsidR="00D21DBF" w:rsidRDefault="00D21DBF" w:rsidP="007866D4">
                      <w:pPr>
                        <w:jc w:val="center"/>
                      </w:pPr>
                    </w:p>
                  </w:txbxContent>
                </v:textbox>
                <w10:anchorlock/>
              </v:shape>
            </w:pict>
          </mc:Fallback>
        </mc:AlternateContent>
      </w:r>
    </w:p>
    <w:p w:rsidR="007866D4" w:rsidRPr="00FB01AA" w:rsidRDefault="007866D4" w:rsidP="007866D4">
      <w:pPr>
        <w:pStyle w:val="HHeading5"/>
        <w:rPr>
          <w:sz w:val="18"/>
        </w:rPr>
        <w:sectPr w:rsidR="007866D4" w:rsidRPr="00FB01AA" w:rsidSect="009F15D6">
          <w:type w:val="continuous"/>
          <w:pgSz w:w="11906" w:h="16838"/>
          <w:pgMar w:top="1418" w:right="1418" w:bottom="1418" w:left="1418" w:header="709" w:footer="709" w:gutter="0"/>
          <w:cols w:space="708"/>
          <w:docGrid w:linePitch="360"/>
        </w:sectPr>
      </w:pPr>
    </w:p>
    <w:p w:rsidR="007866D4" w:rsidRPr="00FB01AA" w:rsidRDefault="007866D4" w:rsidP="007866D4">
      <w:pPr>
        <w:pStyle w:val="HHeading5"/>
        <w:spacing w:before="120"/>
        <w:rPr>
          <w:sz w:val="18"/>
        </w:rPr>
      </w:pPr>
      <w:r w:rsidRPr="00FB01AA">
        <w:rPr>
          <w:sz w:val="18"/>
        </w:rPr>
        <w:lastRenderedPageBreak/>
        <w:t>Стъпка 3: Определяне на подходите и методите за оценка на LEADER/ВОМР</w:t>
      </w:r>
    </w:p>
    <w:p w:rsidR="007866D4" w:rsidRPr="00FB01AA" w:rsidRDefault="007866D4" w:rsidP="007866D4">
      <w:pPr>
        <w:pStyle w:val="HStandard"/>
        <w:rPr>
          <w:sz w:val="18"/>
        </w:rPr>
      </w:pPr>
      <w:r w:rsidRPr="00FB01AA">
        <w:rPr>
          <w:sz w:val="18"/>
        </w:rPr>
        <w:t>Операциите по LEADER/ВОМР, които се изпълняват посредством стратегии за ВОМР, се включват</w:t>
      </w:r>
      <w:r w:rsidR="005F43A4" w:rsidRPr="00251DF4">
        <w:rPr>
          <w:sz w:val="18"/>
        </w:rPr>
        <w:t>,</w:t>
      </w:r>
      <w:r w:rsidRPr="00FB01AA">
        <w:rPr>
          <w:sz w:val="18"/>
        </w:rPr>
        <w:t xml:space="preserve"> </w:t>
      </w:r>
      <w:r w:rsidR="005F43A4" w:rsidRPr="00251DF4">
        <w:rPr>
          <w:sz w:val="18"/>
        </w:rPr>
        <w:t>заедно</w:t>
      </w:r>
      <w:r w:rsidR="005F43A4" w:rsidRPr="005F43A4">
        <w:rPr>
          <w:sz w:val="18"/>
        </w:rPr>
        <w:t xml:space="preserve"> с други операции по ПРСР, </w:t>
      </w:r>
      <w:r w:rsidRPr="00FB01AA">
        <w:rPr>
          <w:sz w:val="18"/>
        </w:rPr>
        <w:t xml:space="preserve">в изчисляването на общите, допълнителните и специфичните за програмата показатели за крайни продукти, резултати и въздействия. </w:t>
      </w:r>
      <w:r w:rsidRPr="00FB01AA">
        <w:rPr>
          <w:i/>
          <w:sz w:val="18"/>
        </w:rPr>
        <w:t>Показателите за крайни продукти</w:t>
      </w:r>
      <w:r w:rsidRPr="00FB01AA">
        <w:rPr>
          <w:sz w:val="18"/>
        </w:rPr>
        <w:t xml:space="preserve"> се използват за измерване на преките крайни продукти на операциите по LEADER/ВОМР. </w:t>
      </w:r>
      <w:r w:rsidRPr="00FB01AA">
        <w:rPr>
          <w:i/>
          <w:sz w:val="18"/>
        </w:rPr>
        <w:t xml:space="preserve">Показателите за </w:t>
      </w:r>
      <w:r w:rsidRPr="00FB01AA">
        <w:rPr>
          <w:i/>
          <w:sz w:val="18"/>
        </w:rPr>
        <w:t>резултати</w:t>
      </w:r>
      <w:r w:rsidRPr="00FB01AA">
        <w:rPr>
          <w:sz w:val="18"/>
        </w:rPr>
        <w:t xml:space="preserve"> измерват първичния и вторичния принос на LEADER/ВОМР за ОПА и за постигането на техните цели. </w:t>
      </w:r>
      <w:r w:rsidRPr="00FB01AA">
        <w:rPr>
          <w:i/>
          <w:sz w:val="18"/>
        </w:rPr>
        <w:t>Показателите за въздействия</w:t>
      </w:r>
      <w:r w:rsidRPr="00FB01AA">
        <w:rPr>
          <w:sz w:val="18"/>
        </w:rPr>
        <w:t xml:space="preserve"> обикновено се използват за цялостна оценка на ефектите от ПРСР върху селските райони и за оценка на постигането на регионалните, националните и европейските цели в областта на развитието на селските райони.</w:t>
      </w:r>
    </w:p>
    <w:p w:rsidR="007866D4" w:rsidRPr="00FB01AA" w:rsidRDefault="007866D4" w:rsidP="007866D4">
      <w:pPr>
        <w:pStyle w:val="HStandard"/>
        <w:rPr>
          <w:sz w:val="18"/>
        </w:rPr>
      </w:pPr>
      <w:r w:rsidRPr="00FB01AA">
        <w:rPr>
          <w:sz w:val="18"/>
        </w:rPr>
        <w:t xml:space="preserve">При избора на методи следва да се вземат предвид следните съображения:  </w:t>
      </w:r>
    </w:p>
    <w:p w:rsidR="007866D4" w:rsidRPr="00FB01AA" w:rsidRDefault="007866D4" w:rsidP="007866D4">
      <w:pPr>
        <w:pStyle w:val="HStandard"/>
        <w:rPr>
          <w:sz w:val="18"/>
        </w:rPr>
        <w:sectPr w:rsidR="007866D4" w:rsidRPr="00FB01AA" w:rsidSect="005A301D">
          <w:type w:val="continuous"/>
          <w:pgSz w:w="11906" w:h="16838"/>
          <w:pgMar w:top="1418" w:right="1418" w:bottom="1418" w:left="1418" w:header="709" w:footer="709" w:gutter="0"/>
          <w:cols w:num="2" w:space="397"/>
          <w:docGrid w:linePitch="360"/>
        </w:sectPr>
      </w:pPr>
    </w:p>
    <w:p w:rsidR="00766525" w:rsidRPr="00FB01AA" w:rsidRDefault="00766525" w:rsidP="00150225">
      <w:pPr>
        <w:pStyle w:val="H-Table"/>
        <w:spacing w:before="240" w:after="120" w:line="260" w:lineRule="atLeast"/>
        <w:ind w:left="782" w:hanging="357"/>
        <w:rPr>
          <w:sz w:val="14"/>
        </w:rPr>
      </w:pPr>
      <w:bookmarkStart w:id="80" w:name="_Toc493497746"/>
      <w:bookmarkStart w:id="81" w:name="_Toc498507396"/>
      <w:r w:rsidRPr="00FB01AA">
        <w:rPr>
          <w:sz w:val="14"/>
        </w:rPr>
        <w:t>Определяне на количествени и качествени методи</w:t>
      </w:r>
      <w:bookmarkEnd w:id="80"/>
      <w:bookmarkEnd w:id="8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62"/>
        <w:gridCol w:w="3838"/>
        <w:gridCol w:w="4086"/>
      </w:tblGrid>
      <w:tr w:rsidR="007866D4" w:rsidRPr="00FB01AA" w:rsidTr="005A301D">
        <w:tc>
          <w:tcPr>
            <w:tcW w:w="1107" w:type="dxa"/>
          </w:tcPr>
          <w:p w:rsidR="007866D4" w:rsidRPr="00FB01AA" w:rsidRDefault="007866D4" w:rsidP="00D46DC0">
            <w:pPr>
              <w:pStyle w:val="Htableleft"/>
              <w:rPr>
                <w:rFonts w:ascii="Arial" w:hAnsi="Arial" w:cs="Arial"/>
                <w:b/>
                <w:sz w:val="16"/>
              </w:rPr>
            </w:pPr>
          </w:p>
        </w:tc>
        <w:tc>
          <w:tcPr>
            <w:tcW w:w="3855" w:type="dxa"/>
            <w:shd w:val="clear" w:color="auto" w:fill="F07E31" w:themeFill="background2"/>
          </w:tcPr>
          <w:p w:rsidR="007866D4" w:rsidRPr="00FB01AA" w:rsidRDefault="007866D4" w:rsidP="00D46DC0">
            <w:pPr>
              <w:pStyle w:val="Htableleft"/>
              <w:rPr>
                <w:rFonts w:ascii="Arial" w:hAnsi="Arial" w:cs="Arial"/>
                <w:b/>
                <w:color w:val="FFFFFF" w:themeColor="accent1"/>
                <w:sz w:val="16"/>
              </w:rPr>
            </w:pPr>
            <w:r w:rsidRPr="00FB01AA">
              <w:rPr>
                <w:rFonts w:ascii="Arial" w:hAnsi="Arial"/>
                <w:b/>
                <w:color w:val="FFFFFF" w:themeColor="accent1"/>
                <w:sz w:val="16"/>
              </w:rPr>
              <w:t>Количествени методи</w:t>
            </w:r>
          </w:p>
        </w:tc>
        <w:tc>
          <w:tcPr>
            <w:tcW w:w="4105" w:type="dxa"/>
            <w:shd w:val="clear" w:color="auto" w:fill="F07E31" w:themeFill="background2"/>
          </w:tcPr>
          <w:p w:rsidR="007866D4" w:rsidRPr="00FB01AA" w:rsidRDefault="007866D4" w:rsidP="00D46DC0">
            <w:pPr>
              <w:pStyle w:val="Htableleft"/>
              <w:rPr>
                <w:rFonts w:ascii="Arial" w:hAnsi="Arial" w:cs="Arial"/>
                <w:b/>
                <w:color w:val="FFFFFF" w:themeColor="accent1"/>
                <w:sz w:val="16"/>
              </w:rPr>
            </w:pPr>
            <w:r w:rsidRPr="00FB01AA">
              <w:rPr>
                <w:rFonts w:ascii="Arial" w:hAnsi="Arial"/>
                <w:b/>
                <w:color w:val="FFFFFF" w:themeColor="accent1"/>
                <w:sz w:val="16"/>
              </w:rPr>
              <w:t>Качествени методи</w:t>
            </w:r>
          </w:p>
        </w:tc>
      </w:tr>
      <w:tr w:rsidR="007866D4" w:rsidRPr="00FB01AA" w:rsidTr="005A301D">
        <w:tc>
          <w:tcPr>
            <w:tcW w:w="1107" w:type="dxa"/>
            <w:tcBorders>
              <w:right w:val="single" w:sz="4" w:space="0" w:color="FFFFFF" w:themeColor="accent1"/>
            </w:tcBorders>
            <w:shd w:val="clear" w:color="auto" w:fill="FCE5D5" w:themeFill="background2" w:themeFillTint="33"/>
          </w:tcPr>
          <w:p w:rsidR="007866D4" w:rsidRPr="00FB01AA" w:rsidRDefault="007866D4" w:rsidP="00D46DC0">
            <w:pPr>
              <w:pStyle w:val="Htableleft"/>
              <w:rPr>
                <w:rFonts w:ascii="Arial" w:hAnsi="Arial" w:cs="Arial"/>
                <w:color w:val="373737"/>
                <w:sz w:val="16"/>
              </w:rPr>
            </w:pPr>
            <w:r w:rsidRPr="00FB01AA">
              <w:rPr>
                <w:rFonts w:ascii="Arial" w:hAnsi="Arial"/>
                <w:color w:val="373737"/>
                <w:sz w:val="16"/>
              </w:rPr>
              <w:t xml:space="preserve">Кога се прилагат? </w:t>
            </w:r>
          </w:p>
        </w:tc>
        <w:tc>
          <w:tcPr>
            <w:tcW w:w="3855" w:type="dxa"/>
            <w:tcBorders>
              <w:left w:val="single" w:sz="4" w:space="0" w:color="FFFFFF" w:themeColor="accent1"/>
            </w:tcBorders>
            <w:shd w:val="clear" w:color="auto" w:fill="FCE5D5" w:themeFill="background2" w:themeFillTint="33"/>
          </w:tcPr>
          <w:p w:rsidR="007866D4" w:rsidRPr="00FB01AA" w:rsidRDefault="007866D4" w:rsidP="00D46DC0">
            <w:pPr>
              <w:pStyle w:val="Htableleft"/>
              <w:rPr>
                <w:rFonts w:ascii="Arial" w:hAnsi="Arial" w:cs="Arial"/>
                <w:color w:val="373737"/>
                <w:sz w:val="16"/>
              </w:rPr>
            </w:pPr>
            <w:r w:rsidRPr="00FB01AA">
              <w:rPr>
                <w:rFonts w:ascii="Arial" w:hAnsi="Arial"/>
                <w:color w:val="373737"/>
                <w:sz w:val="16"/>
              </w:rPr>
              <w:t xml:space="preserve">За установяване на първичния и вторичния принос на мярката LEADER/ВОМР за постигането на целите на ОПА. </w:t>
            </w:r>
          </w:p>
        </w:tc>
        <w:tc>
          <w:tcPr>
            <w:tcW w:w="4105" w:type="dxa"/>
            <w:shd w:val="clear" w:color="auto" w:fill="FCE5D5" w:themeFill="background2" w:themeFillTint="33"/>
          </w:tcPr>
          <w:p w:rsidR="007866D4" w:rsidRPr="00FB01AA" w:rsidRDefault="007866D4" w:rsidP="00D46DC0">
            <w:pPr>
              <w:pStyle w:val="Htableleft"/>
              <w:rPr>
                <w:rFonts w:ascii="Arial" w:hAnsi="Arial" w:cs="Arial"/>
                <w:color w:val="373737"/>
                <w:sz w:val="16"/>
              </w:rPr>
            </w:pPr>
            <w:r w:rsidRPr="00FB01AA">
              <w:rPr>
                <w:rFonts w:ascii="Arial" w:hAnsi="Arial"/>
                <w:color w:val="373737"/>
                <w:sz w:val="16"/>
              </w:rPr>
              <w:t>В случаи на липсващо или слабо усвояване по стратегиите за ВОМР.</w:t>
            </w:r>
          </w:p>
          <w:p w:rsidR="007866D4" w:rsidRPr="00FB01AA" w:rsidRDefault="007866D4" w:rsidP="00E83C0E">
            <w:pPr>
              <w:pStyle w:val="Htableleft"/>
              <w:rPr>
                <w:rFonts w:ascii="Arial" w:hAnsi="Arial" w:cs="Arial"/>
                <w:color w:val="373737"/>
                <w:sz w:val="16"/>
              </w:rPr>
            </w:pPr>
            <w:r w:rsidRPr="00FB01AA">
              <w:rPr>
                <w:rFonts w:ascii="Arial" w:hAnsi="Arial"/>
                <w:color w:val="373737"/>
                <w:sz w:val="16"/>
              </w:rPr>
              <w:t xml:space="preserve">За </w:t>
            </w:r>
            <w:r w:rsidRPr="00251DF4">
              <w:rPr>
                <w:rFonts w:cs="Arial"/>
                <w:color w:val="373737" w:themeColor="background1" w:themeShade="40"/>
                <w:sz w:val="16"/>
                <w:szCs w:val="18"/>
              </w:rPr>
              <w:t>първоначалния а</w:t>
            </w:r>
            <w:r w:rsidRPr="00FB01AA">
              <w:rPr>
                <w:rFonts w:ascii="Arial" w:hAnsi="Arial"/>
                <w:color w:val="373737"/>
                <w:sz w:val="16"/>
              </w:rPr>
              <w:t xml:space="preserve">нализ и триангулацията на количествените </w:t>
            </w:r>
            <w:r w:rsidR="00E83C0E" w:rsidRPr="00251DF4">
              <w:rPr>
                <w:rFonts w:cs="Arial"/>
                <w:color w:val="373737" w:themeColor="background1" w:themeShade="40"/>
                <w:sz w:val="16"/>
                <w:szCs w:val="18"/>
              </w:rPr>
              <w:t>констатации</w:t>
            </w:r>
            <w:r w:rsidRPr="00FB01AA">
              <w:rPr>
                <w:rFonts w:ascii="Arial" w:hAnsi="Arial"/>
                <w:color w:val="373737"/>
                <w:sz w:val="16"/>
              </w:rPr>
              <w:t xml:space="preserve">. </w:t>
            </w:r>
          </w:p>
        </w:tc>
      </w:tr>
      <w:tr w:rsidR="007866D4" w:rsidRPr="00FB01AA" w:rsidTr="005A301D">
        <w:tc>
          <w:tcPr>
            <w:tcW w:w="1107" w:type="dxa"/>
            <w:tcBorders>
              <w:right w:val="single" w:sz="4" w:space="0" w:color="FFFFFF" w:themeColor="accent1"/>
            </w:tcBorders>
            <w:shd w:val="clear" w:color="auto" w:fill="F9CBAC" w:themeFill="background2" w:themeFillTint="66"/>
          </w:tcPr>
          <w:p w:rsidR="007866D4" w:rsidRPr="00FB01AA" w:rsidRDefault="007866D4" w:rsidP="00D46DC0">
            <w:pPr>
              <w:pStyle w:val="Htableleft"/>
              <w:rPr>
                <w:rFonts w:ascii="Arial" w:hAnsi="Arial" w:cs="Arial"/>
                <w:color w:val="373737"/>
                <w:sz w:val="16"/>
              </w:rPr>
            </w:pPr>
            <w:r w:rsidRPr="00FB01AA">
              <w:rPr>
                <w:rFonts w:ascii="Arial" w:hAnsi="Arial"/>
                <w:color w:val="373737"/>
                <w:sz w:val="16"/>
              </w:rPr>
              <w:t>Как?</w:t>
            </w:r>
          </w:p>
        </w:tc>
        <w:tc>
          <w:tcPr>
            <w:tcW w:w="3855" w:type="dxa"/>
            <w:tcBorders>
              <w:left w:val="single" w:sz="4" w:space="0" w:color="FFFFFF" w:themeColor="accent1"/>
            </w:tcBorders>
            <w:shd w:val="clear" w:color="auto" w:fill="F9CBAC" w:themeFill="background2" w:themeFillTint="66"/>
          </w:tcPr>
          <w:p w:rsidR="007866D4" w:rsidRPr="00FB01AA" w:rsidRDefault="007866D4" w:rsidP="00D46DC0">
            <w:pPr>
              <w:pStyle w:val="Htableleft"/>
              <w:rPr>
                <w:rFonts w:ascii="Arial" w:hAnsi="Arial" w:cs="Arial"/>
                <w:color w:val="373737"/>
                <w:sz w:val="16"/>
              </w:rPr>
            </w:pPr>
            <w:r w:rsidRPr="00FB01AA">
              <w:rPr>
                <w:rFonts w:ascii="Arial" w:hAnsi="Arial"/>
                <w:color w:val="373737"/>
                <w:sz w:val="16"/>
              </w:rPr>
              <w:t>Въз основа на извадка от бенефициери, които извършват операции по стратегията за ВОМР и които са били маркирани като доставчици на вторични приноси (както преобладаващи, така и допълнителни) за конкретн</w:t>
            </w:r>
            <w:r w:rsidR="0040753D">
              <w:rPr>
                <w:rFonts w:ascii="Arial" w:hAnsi="Arial"/>
                <w:color w:val="373737"/>
                <w:sz w:val="16"/>
              </w:rPr>
              <w:t>и</w:t>
            </w:r>
            <w:r w:rsidRPr="00FB01AA">
              <w:rPr>
                <w:rFonts w:ascii="Arial" w:hAnsi="Arial"/>
                <w:color w:val="373737"/>
                <w:sz w:val="16"/>
              </w:rPr>
              <w:t xml:space="preserve"> ОПА. </w:t>
            </w:r>
          </w:p>
          <w:p w:rsidR="007866D4" w:rsidRPr="00FB01AA" w:rsidRDefault="007866D4" w:rsidP="0040753D">
            <w:pPr>
              <w:pStyle w:val="Htableleft"/>
              <w:rPr>
                <w:rFonts w:ascii="Arial" w:hAnsi="Arial" w:cs="Arial"/>
                <w:color w:val="373737"/>
                <w:sz w:val="16"/>
              </w:rPr>
            </w:pPr>
            <w:r w:rsidRPr="00FB01AA">
              <w:rPr>
                <w:rFonts w:ascii="Arial" w:hAnsi="Arial"/>
                <w:color w:val="373737"/>
                <w:sz w:val="16"/>
              </w:rPr>
              <w:t>Събраните от извадки данни се използват за изчисляване на приноса на операциите по LEADER/ВОМР за стойностите на свързаните с ОПА показатели там, където се очаква да има принос.</w:t>
            </w:r>
          </w:p>
        </w:tc>
        <w:tc>
          <w:tcPr>
            <w:tcW w:w="4105" w:type="dxa"/>
            <w:shd w:val="clear" w:color="auto" w:fill="F9CBAC" w:themeFill="background2" w:themeFillTint="66"/>
          </w:tcPr>
          <w:p w:rsidR="007866D4" w:rsidRPr="00FB01AA" w:rsidRDefault="007866D4" w:rsidP="0040753D">
            <w:pPr>
              <w:pStyle w:val="Htableleft"/>
              <w:rPr>
                <w:rFonts w:ascii="Arial" w:hAnsi="Arial" w:cs="Arial"/>
                <w:color w:val="373737"/>
                <w:sz w:val="16"/>
              </w:rPr>
            </w:pPr>
            <w:r w:rsidRPr="00FB01AA">
              <w:rPr>
                <w:rFonts w:ascii="Arial" w:hAnsi="Arial"/>
                <w:color w:val="373737"/>
                <w:sz w:val="16"/>
              </w:rPr>
              <w:t xml:space="preserve">Използване на инструментите, представени в </w:t>
            </w:r>
            <w:r w:rsidR="0040753D">
              <w:rPr>
                <w:rFonts w:ascii="Arial" w:hAnsi="Arial"/>
                <w:color w:val="373737"/>
                <w:sz w:val="16"/>
              </w:rPr>
              <w:t>насоките</w:t>
            </w:r>
            <w:r w:rsidRPr="00FB01AA">
              <w:rPr>
                <w:rFonts w:ascii="Arial" w:hAnsi="Arial"/>
                <w:color w:val="373737"/>
                <w:sz w:val="16"/>
              </w:rPr>
              <w:t xml:space="preserve"> </w:t>
            </w:r>
            <w:hyperlink r:id="rId44">
              <w:r w:rsidR="0040753D">
                <w:rPr>
                  <w:rStyle w:val="Hyperlink"/>
                  <w:rFonts w:ascii="Arial" w:hAnsi="Arial"/>
                  <w:sz w:val="16"/>
                </w:rPr>
                <w:t>„Оценка на резултатите от ПРСР: как да се подготвите за докладване на оценката през 2017 г.“, ЧАСТ III, приложение 10</w:t>
              </w:r>
            </w:hyperlink>
            <w:r w:rsidRPr="00FB01AA">
              <w:rPr>
                <w:rFonts w:ascii="Arial" w:hAnsi="Arial"/>
                <w:color w:val="373737" w:themeColor="background1" w:themeShade="40"/>
                <w:sz w:val="16"/>
              </w:rPr>
              <w:t xml:space="preserve">, (например интервюта със заинтересовани страни и бенефициери, фокус групи и казуси от практиката). </w:t>
            </w:r>
          </w:p>
        </w:tc>
      </w:tr>
      <w:tr w:rsidR="007866D4" w:rsidRPr="00FB01AA" w:rsidTr="00B243BA">
        <w:trPr>
          <w:trHeight w:val="868"/>
        </w:trPr>
        <w:tc>
          <w:tcPr>
            <w:tcW w:w="1107" w:type="dxa"/>
            <w:tcBorders>
              <w:right w:val="single" w:sz="4" w:space="0" w:color="FFFFFF" w:themeColor="accent1"/>
            </w:tcBorders>
            <w:shd w:val="clear" w:color="auto" w:fill="FCE5D5" w:themeFill="background2" w:themeFillTint="33"/>
          </w:tcPr>
          <w:p w:rsidR="007866D4" w:rsidRPr="00FB01AA" w:rsidRDefault="007866D4" w:rsidP="00D46DC0">
            <w:pPr>
              <w:pStyle w:val="Htableleft"/>
              <w:rPr>
                <w:rFonts w:ascii="Arial" w:hAnsi="Arial" w:cs="Arial"/>
                <w:i/>
                <w:color w:val="373737" w:themeColor="background1" w:themeShade="40"/>
                <w:sz w:val="16"/>
              </w:rPr>
            </w:pPr>
            <w:r w:rsidRPr="00FB01AA">
              <w:rPr>
                <w:rFonts w:ascii="Arial" w:hAnsi="Arial"/>
                <w:i/>
                <w:color w:val="373737"/>
                <w:sz w:val="16"/>
              </w:rPr>
              <w:t>Допълнителна информация</w:t>
            </w:r>
          </w:p>
        </w:tc>
        <w:tc>
          <w:tcPr>
            <w:tcW w:w="3855" w:type="dxa"/>
            <w:tcBorders>
              <w:left w:val="single" w:sz="4" w:space="0" w:color="FFFFFF" w:themeColor="accent1"/>
            </w:tcBorders>
            <w:shd w:val="clear" w:color="auto" w:fill="FCE5D5" w:themeFill="background2" w:themeFillTint="33"/>
          </w:tcPr>
          <w:p w:rsidR="007866D4" w:rsidRPr="00FB01AA" w:rsidRDefault="00763A21" w:rsidP="00D46DC0">
            <w:pPr>
              <w:pStyle w:val="Htableleft"/>
              <w:rPr>
                <w:rFonts w:ascii="Arial" w:hAnsi="Arial" w:cs="Arial"/>
                <w:i/>
                <w:color w:val="373737" w:themeColor="background1" w:themeShade="40"/>
                <w:sz w:val="16"/>
              </w:rPr>
            </w:pPr>
            <w:hyperlink r:id="rId45">
              <w:r w:rsidR="0040753D">
                <w:rPr>
                  <w:rStyle w:val="Hyperlink"/>
                  <w:rFonts w:ascii="Arial" w:hAnsi="Arial"/>
                  <w:sz w:val="16"/>
                </w:rPr>
                <w:t>Насоки „Оценка на резултатите от ПРСР: как да се подготвите за докладване на оценката през 2017 г.“, ЧАСТ III, приложение 11</w:t>
              </w:r>
            </w:hyperlink>
            <w:r w:rsidR="00995A63" w:rsidRPr="00FB01AA">
              <w:rPr>
                <w:rFonts w:ascii="Arial" w:hAnsi="Arial"/>
                <w:i/>
                <w:color w:val="373737" w:themeColor="background1" w:themeShade="40"/>
                <w:sz w:val="16"/>
              </w:rPr>
              <w:t>.</w:t>
            </w:r>
          </w:p>
        </w:tc>
        <w:tc>
          <w:tcPr>
            <w:tcW w:w="4105" w:type="dxa"/>
            <w:shd w:val="clear" w:color="auto" w:fill="FCE5D5" w:themeFill="background2" w:themeFillTint="33"/>
          </w:tcPr>
          <w:p w:rsidR="007866D4" w:rsidRPr="00FB01AA" w:rsidRDefault="00763A21" w:rsidP="00D46DC0">
            <w:pPr>
              <w:pStyle w:val="Htableleft"/>
              <w:rPr>
                <w:rFonts w:ascii="Arial" w:hAnsi="Arial" w:cs="Arial"/>
                <w:i/>
                <w:color w:val="373737" w:themeColor="background1" w:themeShade="40"/>
                <w:sz w:val="16"/>
              </w:rPr>
            </w:pPr>
            <w:hyperlink r:id="rId46">
              <w:r w:rsidR="0040753D">
                <w:rPr>
                  <w:rStyle w:val="Hyperlink"/>
                  <w:rFonts w:ascii="Arial" w:hAnsi="Arial"/>
                  <w:sz w:val="16"/>
                </w:rPr>
                <w:t>Насоки „Оценка на резултатите от ПРСР: как да се подготвите за докладване на оценката през 2017 г.“, ЧАСТ III, приложение 10.</w:t>
              </w:r>
            </w:hyperlink>
          </w:p>
        </w:tc>
      </w:tr>
    </w:tbl>
    <w:p w:rsidR="007866D4" w:rsidRPr="00FB01AA" w:rsidRDefault="007866D4" w:rsidP="007866D4">
      <w:pPr>
        <w:pStyle w:val="HHeading5"/>
        <w:rPr>
          <w:sz w:val="18"/>
        </w:rPr>
      </w:pPr>
      <w:r w:rsidRPr="00FB01AA">
        <w:rPr>
          <w:sz w:val="18"/>
        </w:rPr>
        <w:br w:type="page"/>
      </w:r>
    </w:p>
    <w:p w:rsidR="007866D4" w:rsidRPr="00FB01AA" w:rsidRDefault="007866D4" w:rsidP="007866D4">
      <w:pPr>
        <w:pStyle w:val="HHeading5"/>
        <w:rPr>
          <w:sz w:val="18"/>
        </w:rPr>
        <w:sectPr w:rsidR="007866D4" w:rsidRPr="00FB01AA" w:rsidSect="009F15D6">
          <w:type w:val="continuous"/>
          <w:pgSz w:w="11906" w:h="16838"/>
          <w:pgMar w:top="1418" w:right="1418" w:bottom="1418" w:left="1418" w:header="709" w:footer="709" w:gutter="0"/>
          <w:cols w:space="708"/>
          <w:docGrid w:linePitch="360"/>
        </w:sectPr>
      </w:pPr>
    </w:p>
    <w:p w:rsidR="007866D4" w:rsidRPr="00FB01AA" w:rsidRDefault="007866D4" w:rsidP="007866D4">
      <w:pPr>
        <w:pStyle w:val="HHeading5"/>
        <w:spacing w:before="120"/>
        <w:rPr>
          <w:sz w:val="18"/>
        </w:rPr>
      </w:pPr>
      <w:r w:rsidRPr="00FB01AA">
        <w:rPr>
          <w:sz w:val="18"/>
        </w:rPr>
        <w:lastRenderedPageBreak/>
        <w:t>Стъпка 4: Събиране на данни и информация</w:t>
      </w:r>
    </w:p>
    <w:p w:rsidR="007866D4" w:rsidRPr="00FB01AA" w:rsidRDefault="007866D4" w:rsidP="007866D4">
      <w:pPr>
        <w:pStyle w:val="HStandard"/>
        <w:rPr>
          <w:sz w:val="18"/>
        </w:rPr>
      </w:pPr>
      <w:r w:rsidRPr="00FB01AA">
        <w:rPr>
          <w:b/>
          <w:sz w:val="18"/>
        </w:rPr>
        <w:t xml:space="preserve">Данни и информация </w:t>
      </w:r>
      <w:r w:rsidR="00987E57" w:rsidRPr="00251DF4">
        <w:rPr>
          <w:b/>
          <w:sz w:val="18"/>
        </w:rPr>
        <w:t>с цел</w:t>
      </w:r>
      <w:r w:rsidRPr="00FB01AA">
        <w:rPr>
          <w:b/>
          <w:sz w:val="18"/>
        </w:rPr>
        <w:t xml:space="preserve"> оцен</w:t>
      </w:r>
      <w:r w:rsidR="00987E57" w:rsidRPr="00251DF4">
        <w:rPr>
          <w:b/>
          <w:sz w:val="18"/>
        </w:rPr>
        <w:t>яване</w:t>
      </w:r>
      <w:r w:rsidRPr="00FB01AA">
        <w:rPr>
          <w:b/>
          <w:sz w:val="18"/>
        </w:rPr>
        <w:t xml:space="preserve"> на LEADER/ВОМР</w:t>
      </w:r>
      <w:r w:rsidRPr="00FB01AA">
        <w:rPr>
          <w:sz w:val="18"/>
        </w:rPr>
        <w:t xml:space="preserve"> </w:t>
      </w:r>
      <w:r w:rsidRPr="00FB01AA">
        <w:rPr>
          <w:b/>
          <w:sz w:val="18"/>
        </w:rPr>
        <w:t>на равнището на ПРСР</w:t>
      </w:r>
      <w:r w:rsidRPr="00FB01AA">
        <w:rPr>
          <w:sz w:val="18"/>
        </w:rPr>
        <w:t xml:space="preserve"> следва да се събират за:</w:t>
      </w:r>
    </w:p>
    <w:p w:rsidR="007866D4" w:rsidRPr="00FB01AA" w:rsidRDefault="007866D4" w:rsidP="007866D4">
      <w:pPr>
        <w:pStyle w:val="Hlistbullet"/>
        <w:ind w:left="426" w:hanging="426"/>
        <w:rPr>
          <w:sz w:val="18"/>
        </w:rPr>
      </w:pPr>
      <w:r w:rsidRPr="00FB01AA">
        <w:rPr>
          <w:sz w:val="18"/>
        </w:rPr>
        <w:t>показателите за крайните продукти и за целите/резултатите за ОПА 6Б;</w:t>
      </w:r>
    </w:p>
    <w:p w:rsidR="007866D4" w:rsidRPr="00150225" w:rsidRDefault="007866D4" w:rsidP="007866D4">
      <w:pPr>
        <w:pStyle w:val="Hlistbullet"/>
        <w:ind w:left="426" w:hanging="426"/>
        <w:rPr>
          <w:spacing w:val="-4"/>
          <w:sz w:val="18"/>
        </w:rPr>
      </w:pPr>
      <w:r w:rsidRPr="00150225">
        <w:rPr>
          <w:spacing w:val="-4"/>
          <w:sz w:val="18"/>
        </w:rPr>
        <w:t xml:space="preserve">показателите за целите/резултатите за ОПА, за които LEADER/ВОМР има вторичен принос; </w:t>
      </w:r>
    </w:p>
    <w:p w:rsidR="007866D4" w:rsidRPr="00FB01AA" w:rsidRDefault="007866D4" w:rsidP="007866D4">
      <w:pPr>
        <w:pStyle w:val="Hlistbullet"/>
        <w:ind w:left="426" w:hanging="426"/>
        <w:rPr>
          <w:sz w:val="18"/>
        </w:rPr>
      </w:pPr>
      <w:r w:rsidRPr="00FB01AA">
        <w:rPr>
          <w:sz w:val="18"/>
        </w:rPr>
        <w:t>общите контекстуални показатели (те могат да са относими към няколко ОПА);</w:t>
      </w:r>
    </w:p>
    <w:p w:rsidR="007866D4" w:rsidRPr="00FB01AA" w:rsidRDefault="007866D4" w:rsidP="007866D4">
      <w:pPr>
        <w:pStyle w:val="Hlistbullet"/>
        <w:ind w:left="426" w:hanging="426"/>
        <w:rPr>
          <w:sz w:val="18"/>
        </w:rPr>
      </w:pPr>
      <w:r w:rsidRPr="00FB01AA">
        <w:rPr>
          <w:sz w:val="18"/>
        </w:rPr>
        <w:t>допълнителните и специфичните за програмата показатели за LEADER/ВОМР;</w:t>
      </w:r>
    </w:p>
    <w:p w:rsidR="007866D4" w:rsidRPr="00FB01AA" w:rsidRDefault="007866D4" w:rsidP="007866D4">
      <w:pPr>
        <w:pStyle w:val="Hlistbullet"/>
        <w:ind w:left="426" w:hanging="426"/>
        <w:rPr>
          <w:sz w:val="18"/>
        </w:rPr>
      </w:pPr>
      <w:r w:rsidRPr="00FB01AA">
        <w:rPr>
          <w:sz w:val="18"/>
        </w:rPr>
        <w:t>показателите за въздействия на по-късните етапи от програмния период.</w:t>
      </w:r>
    </w:p>
    <w:p w:rsidR="007866D4" w:rsidRPr="00FB01AA" w:rsidRDefault="007866D4" w:rsidP="007866D4">
      <w:pPr>
        <w:pStyle w:val="Hlistbullet"/>
        <w:numPr>
          <w:ilvl w:val="0"/>
          <w:numId w:val="0"/>
        </w:numPr>
        <w:rPr>
          <w:sz w:val="18"/>
        </w:rPr>
      </w:pPr>
      <w:r w:rsidRPr="00FB01AA">
        <w:rPr>
          <w:sz w:val="18"/>
        </w:rPr>
        <w:t>Следва да бъде събирана също и допълнителна качествена информация, която е необходима за отговорите на въпросите за оценяване.</w:t>
      </w:r>
    </w:p>
    <w:p w:rsidR="007866D4" w:rsidRPr="00FB01AA" w:rsidRDefault="007866D4" w:rsidP="007866D4">
      <w:pPr>
        <w:pStyle w:val="HStandard"/>
        <w:rPr>
          <w:sz w:val="18"/>
        </w:rPr>
      </w:pPr>
      <w:r w:rsidRPr="00FB01AA">
        <w:rPr>
          <w:b/>
          <w:sz w:val="18"/>
        </w:rPr>
        <w:t>В базата данни за операциите</w:t>
      </w:r>
      <w:r w:rsidRPr="00FB01AA">
        <w:rPr>
          <w:sz w:val="18"/>
        </w:rPr>
        <w:t xml:space="preserve"> се </w:t>
      </w:r>
      <w:r w:rsidR="00987E57" w:rsidRPr="00251DF4">
        <w:rPr>
          <w:sz w:val="18"/>
        </w:rPr>
        <w:t>запис</w:t>
      </w:r>
      <w:r w:rsidRPr="00FB01AA">
        <w:rPr>
          <w:sz w:val="18"/>
        </w:rPr>
        <w:t xml:space="preserve">ват данни за общите показатели за крайните продукти и за целите </w:t>
      </w:r>
      <w:r w:rsidR="00987E57" w:rsidRPr="00251DF4">
        <w:rPr>
          <w:sz w:val="18"/>
        </w:rPr>
        <w:t xml:space="preserve">по отношение </w:t>
      </w:r>
      <w:r w:rsidRPr="00FB01AA">
        <w:rPr>
          <w:sz w:val="18"/>
        </w:rPr>
        <w:t>на операциите, изпълнявани посредством стратегиите за ВОМР, които имат първичен и вторичен принос за свързани</w:t>
      </w:r>
      <w:r w:rsidR="00987E57" w:rsidRPr="00251DF4">
        <w:rPr>
          <w:sz w:val="18"/>
        </w:rPr>
        <w:t>те</w:t>
      </w:r>
      <w:r w:rsidRPr="00FB01AA">
        <w:rPr>
          <w:sz w:val="18"/>
        </w:rPr>
        <w:t xml:space="preserve"> с развитието на селските райони ОПА (вж. таблица 2)</w:t>
      </w:r>
      <w:r w:rsidRPr="00FB01AA">
        <w:rPr>
          <w:rStyle w:val="FootnoteReference"/>
          <w:sz w:val="18"/>
        </w:rPr>
        <w:footnoteReference w:id="39"/>
      </w:r>
      <w:r w:rsidRPr="00FB01AA">
        <w:rPr>
          <w:sz w:val="18"/>
        </w:rPr>
        <w:t xml:space="preserve">. В идеалния случай УО следва да предостави обща информационна система, в която да може да се събират и обработват относимите данни и информация за мониторинга и оценката на LEADER/ВОМР на равнището на ПРСР и на местно равнище. </w:t>
      </w:r>
    </w:p>
    <w:p w:rsidR="007866D4" w:rsidRPr="00FB01AA" w:rsidRDefault="007866D4" w:rsidP="007866D4">
      <w:pPr>
        <w:pStyle w:val="HStandard"/>
        <w:rPr>
          <w:sz w:val="18"/>
        </w:rPr>
      </w:pPr>
      <w:r w:rsidRPr="00FB01AA">
        <w:rPr>
          <w:sz w:val="18"/>
        </w:rPr>
        <w:br w:type="column"/>
      </w:r>
      <w:r w:rsidRPr="00FB01AA">
        <w:rPr>
          <w:sz w:val="18"/>
        </w:rPr>
        <w:t xml:space="preserve">УО може да използва </w:t>
      </w:r>
      <w:r w:rsidR="005D2164" w:rsidRPr="00251DF4">
        <w:rPr>
          <w:sz w:val="18"/>
        </w:rPr>
        <w:t xml:space="preserve">свързаната с операциите </w:t>
      </w:r>
      <w:r w:rsidRPr="00FB01AA">
        <w:rPr>
          <w:sz w:val="18"/>
        </w:rPr>
        <w:t>база данни за оценка на първичния и вторичния принос, за събиране на данни за допълнителните показатели за резултати и за допълнителните и специфичните за програмата показатели, свързани с LEADER/ВОМР. Например, ако операциите по LEADER/ВОМР допринасят за ОПА 6A и УО използва допълнителния показател „брой създадени МСП“, данните, които се изискват за този допълнителен показател могат да бъдат събирани и чрез базата данни за операциите</w:t>
      </w:r>
      <w:r w:rsidRPr="00FB01AA">
        <w:rPr>
          <w:b/>
          <w:color w:val="6F6F6F" w:themeColor="text1"/>
          <w:sz w:val="18"/>
          <w:vertAlign w:val="superscript"/>
        </w:rPr>
        <w:footnoteReference w:id="40"/>
      </w:r>
      <w:r w:rsidRPr="00FB01AA">
        <w:rPr>
          <w:sz w:val="18"/>
        </w:rPr>
        <w:t xml:space="preserve">. </w:t>
      </w:r>
    </w:p>
    <w:p w:rsidR="007866D4" w:rsidRPr="00FB01AA" w:rsidRDefault="007866D4" w:rsidP="007866D4">
      <w:pPr>
        <w:pStyle w:val="HStandard"/>
        <w:rPr>
          <w:i/>
          <w:sz w:val="18"/>
        </w:rPr>
      </w:pPr>
      <w:r w:rsidRPr="00FB01AA">
        <w:rPr>
          <w:i/>
          <w:sz w:val="18"/>
        </w:rPr>
        <w:t xml:space="preserve">Пример за база данни за операциите по LEADER/ВОМР може да бъде намерен </w:t>
      </w:r>
      <w:hyperlink r:id="rId47">
        <w:r w:rsidRPr="00FB01AA">
          <w:rPr>
            <w:rStyle w:val="Hyperlink"/>
            <w:sz w:val="18"/>
          </w:rPr>
          <w:t>тук</w:t>
        </w:r>
      </w:hyperlink>
      <w:r w:rsidRPr="00FB01AA">
        <w:rPr>
          <w:i/>
          <w:sz w:val="18"/>
        </w:rPr>
        <w:t>.</w:t>
      </w:r>
    </w:p>
    <w:p w:rsidR="007866D4" w:rsidRPr="00FB01AA" w:rsidRDefault="007866D4" w:rsidP="007866D4">
      <w:pPr>
        <w:pStyle w:val="HHeading5"/>
        <w:rPr>
          <w:sz w:val="18"/>
        </w:rPr>
      </w:pPr>
      <w:r w:rsidRPr="00FB01AA">
        <w:rPr>
          <w:sz w:val="18"/>
        </w:rPr>
        <w:t>Стъпка 5: Анализ на информацията и отговор на въпросите за оценка</w:t>
      </w:r>
    </w:p>
    <w:p w:rsidR="00131B3D" w:rsidRPr="00FB01AA" w:rsidRDefault="007866D4" w:rsidP="007866D4">
      <w:pPr>
        <w:pStyle w:val="HStandard"/>
        <w:rPr>
          <w:sz w:val="18"/>
        </w:rPr>
      </w:pPr>
      <w:r w:rsidRPr="00FB01AA">
        <w:rPr>
          <w:sz w:val="18"/>
        </w:rPr>
        <w:t>Събраните данни се използват за изчисляване на необходимите показатели (общи, допълнителни и специфични за програмата). Става дума за показателите, свързани с ОПА, за които LEADER/ВОМР има първичен или вторичен принос, както и за онези, които са свързани с общите и специфичните за програмата въпроси за оценка. След това стойностите на показателите и събраната качествена информация се анализират и се използват, за да се отговори на въпросите за оценка. Тази информация е необходима и за целите на докладването на приноса на LEADER/ВОМР за резултатите/въздействията на ПРСР на равнището на ПРСР, на национално равнище и на равнището на ЕС. Това помага да се извлекат поуки с оглед на по-ефективното и ефикасно разработване и изпълнение на LEADER/ВОМР.</w:t>
      </w:r>
    </w:p>
    <w:p w:rsidR="00131B3D" w:rsidRPr="00FB01AA" w:rsidRDefault="00131B3D">
      <w:pPr>
        <w:spacing w:after="0" w:line="240" w:lineRule="auto"/>
        <w:rPr>
          <w:rFonts w:ascii="Arial" w:hAnsi="Arial"/>
          <w:color w:val="373737"/>
          <w:sz w:val="18"/>
          <w:szCs w:val="20"/>
        </w:rPr>
      </w:pPr>
      <w:r w:rsidRPr="00FB01AA">
        <w:rPr>
          <w:sz w:val="28"/>
        </w:rPr>
        <w:br w:type="page"/>
      </w:r>
    </w:p>
    <w:p w:rsidR="007866D4" w:rsidRPr="00FB01AA" w:rsidRDefault="007866D4" w:rsidP="00131B3D">
      <w:pPr>
        <w:pStyle w:val="HStandard"/>
        <w:jc w:val="left"/>
        <w:rPr>
          <w:sz w:val="18"/>
        </w:rPr>
        <w:sectPr w:rsidR="007866D4" w:rsidRPr="00FB01AA" w:rsidSect="005A301D">
          <w:type w:val="continuous"/>
          <w:pgSz w:w="11906" w:h="16838"/>
          <w:pgMar w:top="1418" w:right="1418" w:bottom="1418" w:left="1418" w:header="709" w:footer="709" w:gutter="0"/>
          <w:cols w:num="2" w:space="397"/>
          <w:docGrid w:linePitch="360"/>
        </w:sectPr>
      </w:pPr>
      <w:r w:rsidRPr="00FB01AA">
        <w:rPr>
          <w:sz w:val="18"/>
        </w:rPr>
        <w:lastRenderedPageBreak/>
        <w:t xml:space="preserve"> </w:t>
      </w:r>
      <w:r w:rsidRPr="00FB01AA">
        <w:rPr>
          <w:sz w:val="18"/>
        </w:rPr>
        <w:br w:type="column"/>
      </w:r>
    </w:p>
    <w:p w:rsidR="007866D4" w:rsidRPr="00FB01AA" w:rsidRDefault="007866D4" w:rsidP="007866D4">
      <w:pPr>
        <w:pStyle w:val="HStandard"/>
        <w:rPr>
          <w:sz w:val="18"/>
        </w:rPr>
      </w:pPr>
    </w:p>
    <w:p w:rsidR="007866D4" w:rsidRPr="00FB01AA" w:rsidRDefault="007866D4" w:rsidP="007866D4">
      <w:pPr>
        <w:pStyle w:val="HHeading2"/>
        <w:rPr>
          <w:sz w:val="18"/>
        </w:rPr>
        <w:sectPr w:rsidR="007866D4" w:rsidRPr="00FB01AA" w:rsidSect="009F15D6">
          <w:type w:val="continuous"/>
          <w:pgSz w:w="11906" w:h="16838"/>
          <w:pgMar w:top="1418" w:right="1418" w:bottom="1418" w:left="1418" w:header="709" w:footer="709" w:gutter="0"/>
          <w:cols w:space="708"/>
          <w:docGrid w:linePitch="360"/>
        </w:sectPr>
      </w:pPr>
      <w:bookmarkStart w:id="82" w:name="_Toc466620165"/>
      <w:bookmarkStart w:id="83" w:name="_Toc475030385"/>
    </w:p>
    <w:p w:rsidR="007866D4" w:rsidRPr="00FB01AA" w:rsidRDefault="00891ABF" w:rsidP="00131B3D">
      <w:pPr>
        <w:pStyle w:val="HStandard"/>
        <w:rPr>
          <w:sz w:val="18"/>
        </w:rPr>
        <w:sectPr w:rsidR="007866D4" w:rsidRPr="00FB01AA" w:rsidSect="00565AFF">
          <w:type w:val="continuous"/>
          <w:pgSz w:w="11906" w:h="16838"/>
          <w:pgMar w:top="1418" w:right="1418" w:bottom="1418" w:left="1418" w:header="709" w:footer="709" w:gutter="0"/>
          <w:cols w:num="2" w:space="397"/>
          <w:docGrid w:linePitch="360"/>
        </w:sectPr>
      </w:pPr>
      <w:r w:rsidRPr="00FB01AA">
        <w:rPr>
          <w:noProof/>
          <w:sz w:val="18"/>
          <w:lang w:val="en-GB" w:eastAsia="en-GB" w:bidi="ar-SA"/>
        </w:rPr>
        <mc:AlternateContent>
          <mc:Choice Requires="wps">
            <w:drawing>
              <wp:anchor distT="0" distB="0" distL="114300" distR="114300" simplePos="0" relativeHeight="251663360" behindDoc="0" locked="0" layoutInCell="1" allowOverlap="1">
                <wp:simplePos x="0" y="0"/>
                <wp:positionH relativeFrom="column">
                  <wp:posOffset>44450</wp:posOffset>
                </wp:positionH>
                <wp:positionV relativeFrom="paragraph">
                  <wp:posOffset>306070</wp:posOffset>
                </wp:positionV>
                <wp:extent cx="5890260" cy="6233160"/>
                <wp:effectExtent l="0" t="0" r="15240" b="15240"/>
                <wp:wrapNone/>
                <wp:docPr id="37" name="Rectangle: Diagonal Corners Rounded 37"/>
                <wp:cNvGraphicFramePr/>
                <a:graphic xmlns:a="http://schemas.openxmlformats.org/drawingml/2006/main">
                  <a:graphicData uri="http://schemas.microsoft.com/office/word/2010/wordprocessingShape">
                    <wps:wsp>
                      <wps:cNvSpPr/>
                      <wps:spPr>
                        <a:xfrm>
                          <a:off x="0" y="0"/>
                          <a:ext cx="5890260" cy="623316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D21DBF">
                              <w:trPr>
                                <w:jc w:val="left"/>
                              </w:trPr>
                              <w:tc>
                                <w:tcPr>
                                  <w:tcW w:w="1134" w:type="dxa"/>
                                  <w:shd w:val="clear" w:color="auto" w:fill="auto"/>
                                </w:tcPr>
                                <w:p w:rsidR="00D21DBF" w:rsidRPr="000D7A50" w:rsidRDefault="00D21DBF" w:rsidP="00CB5FC3">
                                  <w:pPr>
                                    <w:pStyle w:val="HStandard"/>
                                    <w:suppressOverlap/>
                                    <w:rPr>
                                      <w:b/>
                                      <w:noProof/>
                                      <w:color w:val="6E8967"/>
                                    </w:rPr>
                                  </w:pPr>
                                  <w:r>
                                    <w:rPr>
                                      <w:b/>
                                      <w:noProof/>
                                      <w:color w:val="6E8967"/>
                                      <w:lang w:val="en-GB" w:eastAsia="en-GB" w:bidi="ar-SA"/>
                                    </w:rPr>
                                    <w:drawing>
                                      <wp:inline distT="0" distB="0" distL="0" distR="0" wp14:anchorId="6525D142" wp14:editId="76D9AC29">
                                        <wp:extent cx="702053" cy="540000"/>
                                        <wp:effectExtent l="0" t="0" r="0" b="0"/>
                                        <wp:docPr id="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D21DBF">
                                    <w:tc>
                                      <w:tcPr>
                                        <w:tcW w:w="3402" w:type="dxa"/>
                                        <w:shd w:val="clear" w:color="auto" w:fill="auto"/>
                                      </w:tcPr>
                                      <w:p w:rsidR="00D21DBF" w:rsidRPr="000D7A50" w:rsidRDefault="00D21DBF"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Какво да правите</w:t>
                                        </w:r>
                                      </w:p>
                                      <w:p w:rsidR="00D21DBF" w:rsidRPr="00150225" w:rsidRDefault="00D21DBF" w:rsidP="005A301D">
                                        <w:pPr>
                                          <w:pStyle w:val="Hlistbullet"/>
                                          <w:ind w:left="252" w:hanging="252"/>
                                          <w:suppressOverlap/>
                                          <w:rPr>
                                            <w:rFonts w:ascii="Arial" w:hAnsi="Arial" w:cs="Arial"/>
                                            <w:spacing w:val="-4"/>
                                            <w:sz w:val="18"/>
                                            <w:szCs w:val="18"/>
                                          </w:rPr>
                                        </w:pPr>
                                        <w:r w:rsidRPr="00150225">
                                          <w:rPr>
                                            <w:rFonts w:ascii="Arial" w:hAnsi="Arial"/>
                                            <w:spacing w:val="-4"/>
                                            <w:sz w:val="18"/>
                                          </w:rPr>
                                          <w:t>Установете от каква подкрепа може да се нуждаят отговорните за мониторинга и оценката участници, за да изпълнят задълженията си за предоставяне на данни.</w:t>
                                        </w:r>
                                      </w:p>
                                      <w:p w:rsidR="00D21DBF" w:rsidRPr="000D7A50" w:rsidRDefault="00D21DBF" w:rsidP="005A301D">
                                        <w:pPr>
                                          <w:pStyle w:val="Hlistbullet"/>
                                          <w:ind w:left="252" w:hanging="252"/>
                                          <w:suppressOverlap/>
                                          <w:rPr>
                                            <w:rFonts w:ascii="Arial" w:hAnsi="Arial" w:cs="Arial"/>
                                            <w:sz w:val="18"/>
                                            <w:szCs w:val="18"/>
                                          </w:rPr>
                                        </w:pPr>
                                        <w:r>
                                          <w:rPr>
                                            <w:rFonts w:ascii="Arial" w:hAnsi="Arial"/>
                                            <w:sz w:val="18"/>
                                          </w:rPr>
                                          <w:t xml:space="preserve">Посочете и планирайте дейностите за изграждане на капацитет както за УО, така и за МГД (например относно използването на общата база данни за операциите). </w:t>
                                        </w:r>
                                      </w:p>
                                      <w:p w:rsidR="00D21DBF" w:rsidRPr="000D7A50" w:rsidRDefault="00D21DBF" w:rsidP="005A301D">
                                        <w:pPr>
                                          <w:pStyle w:val="Hlistbullet"/>
                                          <w:ind w:left="252" w:hanging="252"/>
                                          <w:suppressOverlap/>
                                          <w:rPr>
                                            <w:rFonts w:ascii="Arial" w:hAnsi="Arial" w:cs="Arial"/>
                                            <w:sz w:val="18"/>
                                            <w:szCs w:val="18"/>
                                          </w:rPr>
                                        </w:pPr>
                                        <w:r>
                                          <w:rPr>
                                            <w:rFonts w:ascii="Arial" w:hAnsi="Arial"/>
                                            <w:sz w:val="18"/>
                                          </w:rPr>
                                          <w:t>Създайте допълнителни оценъчни елементи, ако общите такива не са достатъчни, за да обхванат изцяло всички видове първичен и вторичен принос.</w:t>
                                        </w:r>
                                      </w:p>
                                      <w:p w:rsidR="00D21DBF" w:rsidRPr="000D7A50" w:rsidRDefault="00D21DBF" w:rsidP="005A301D">
                                        <w:pPr>
                                          <w:pStyle w:val="Hlistbullet"/>
                                          <w:ind w:left="252" w:hanging="252"/>
                                          <w:suppressOverlap/>
                                          <w:rPr>
                                            <w:rFonts w:ascii="Arial" w:hAnsi="Arial" w:cs="Arial"/>
                                            <w:sz w:val="18"/>
                                            <w:szCs w:val="18"/>
                                          </w:rPr>
                                        </w:pPr>
                                        <w:r>
                                          <w:rPr>
                                            <w:rFonts w:ascii="Arial" w:hAnsi="Arial"/>
                                            <w:sz w:val="18"/>
                                          </w:rPr>
                                          <w:t xml:space="preserve">Разработете специфични за програмата въпроси за оценка при наличие на конкретен принос на LEADER/ВОМР за специфични за програмата цели на ОПА и ПРСР или за специфични свързани с LEADER/ВОМР теми за оценка. </w:t>
                                        </w:r>
                                      </w:p>
                                      <w:p w:rsidR="00D21DBF" w:rsidRPr="000D7A50" w:rsidRDefault="00D21DBF" w:rsidP="005A301D">
                                        <w:pPr>
                                          <w:pStyle w:val="Hlistbullet"/>
                                          <w:ind w:left="252" w:hanging="252"/>
                                          <w:suppressOverlap/>
                                          <w:rPr>
                                            <w:rFonts w:ascii="Arial" w:hAnsi="Arial" w:cs="Arial"/>
                                            <w:sz w:val="18"/>
                                            <w:szCs w:val="18"/>
                                          </w:rPr>
                                        </w:pPr>
                                        <w:r>
                                          <w:rPr>
                                            <w:rFonts w:ascii="Arial" w:hAnsi="Arial"/>
                                            <w:sz w:val="18"/>
                                          </w:rPr>
                                          <w:t>Започнете събирането на данни възможно най-рано, за да сведете до минимум пропуските в данните и да се впишете в графика.</w:t>
                                        </w:r>
                                      </w:p>
                                      <w:p w:rsidR="00D21DBF" w:rsidRPr="000D7A50" w:rsidRDefault="00D21DBF" w:rsidP="005A301D">
                                        <w:pPr>
                                          <w:pStyle w:val="Hlistbullet"/>
                                          <w:ind w:left="252" w:hanging="252"/>
                                          <w:suppressOverlap/>
                                          <w:rPr>
                                            <w:rFonts w:ascii="Arial" w:hAnsi="Arial" w:cs="Arial"/>
                                            <w:sz w:val="18"/>
                                            <w:szCs w:val="18"/>
                                          </w:rPr>
                                        </w:pPr>
                                        <w:r>
                                          <w:rPr>
                                            <w:rFonts w:ascii="Arial" w:hAnsi="Arial"/>
                                            <w:sz w:val="18"/>
                                          </w:rPr>
                                          <w:t>Вземете предвид също и качествени показатели.</w:t>
                                        </w:r>
                                      </w:p>
                                    </w:tc>
                                    <w:tc>
                                      <w:tcPr>
                                        <w:tcW w:w="3402" w:type="dxa"/>
                                        <w:shd w:val="clear" w:color="auto" w:fill="auto"/>
                                      </w:tcPr>
                                      <w:p w:rsidR="00D21DBF" w:rsidRPr="000D7A50" w:rsidRDefault="00D21DBF"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Какво да не правите</w:t>
                                        </w:r>
                                      </w:p>
                                      <w:p w:rsidR="00D21DBF" w:rsidRPr="000D7A50" w:rsidRDefault="00D21DBF"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Не подценявайте необходимостта от изграждане на капацитет за събиране, запис и предоставяне на данни.</w:t>
                                        </w:r>
                                      </w:p>
                                      <w:p w:rsidR="00D21DBF" w:rsidRPr="000D7A50" w:rsidRDefault="00D21DBF"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Не създавайте прекалено сложни бази данни.</w:t>
                                        </w:r>
                                      </w:p>
                                      <w:p w:rsidR="00D21DBF" w:rsidRPr="000D7A50" w:rsidRDefault="00D21DBF"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Не подценявайте времето, което е необходимо за събирането и записа на данните.</w:t>
                                        </w:r>
                                      </w:p>
                                      <w:p w:rsidR="00D21DBF" w:rsidRPr="000D7A50" w:rsidRDefault="00D21DBF"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Не разработвайте въпроси за оценка, които се намират на високо ниво в интервенционната логика, например „До каква степен LEADER/ВОМР допринася за интелигентния растеж?“.</w:t>
                                        </w:r>
                                      </w:p>
                                      <w:p w:rsidR="00D21DBF" w:rsidRPr="000D7A50" w:rsidRDefault="00D21DBF"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Не мислете само за числа. Много от резултатите на LEADER/ВОМР са нематериални или стават видими само в дългосрочна перспектива.</w:t>
                                        </w:r>
                                      </w:p>
                                      <w:p w:rsidR="00D21DBF" w:rsidRPr="000D7A50" w:rsidRDefault="00D21DBF" w:rsidP="00CB5FC3">
                                        <w:pPr>
                                          <w:suppressOverlap/>
                                          <w:jc w:val="both"/>
                                          <w:rPr>
                                            <w:rFonts w:ascii="Arial" w:hAnsi="Arial" w:cs="Arial"/>
                                            <w:color w:val="161616" w:themeColor="background1" w:themeShade="1A"/>
                                            <w:sz w:val="18"/>
                                            <w:szCs w:val="18"/>
                                          </w:rPr>
                                        </w:pPr>
                                      </w:p>
                                    </w:tc>
                                  </w:tr>
                                </w:tbl>
                                <w:p w:rsidR="00D21DBF" w:rsidRPr="000D7A50" w:rsidRDefault="00D21DBF" w:rsidP="00CB5FC3">
                                  <w:pPr>
                                    <w:autoSpaceDE w:val="0"/>
                                    <w:autoSpaceDN w:val="0"/>
                                    <w:adjustRightInd w:val="0"/>
                                    <w:spacing w:after="0"/>
                                    <w:contextualSpacing/>
                                    <w:suppressOverlap/>
                                    <w:jc w:val="both"/>
                                  </w:pPr>
                                </w:p>
                              </w:tc>
                            </w:tr>
                          </w:tbl>
                          <w:p w:rsidR="00D21DBF" w:rsidRDefault="00D21DBF"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37" o:spid="_x0000_s1038" style="position:absolute;left:0;text-align:left;margin-left:3.5pt;margin-top:24.1pt;width:463.8pt;height:49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890260,6233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" adj="-11796480,,5400" path="m459322,l5890260,r,l5890260,5773838v,253677,-205645,459322,-459322,459322l,6233160r,l,459322c,205645,205645,,459322,xe" fillcolor="white [3204]" strokecolor="#f7a833 [3208]" strokeweight="2pt">
                <v:stroke joinstyle="miter"/>
                <v:formulas/>
                <v:path arrowok="t" o:connecttype="custom" o:connectlocs="459322,0;5890260,0;5890260,0;5890260,5773838;5430938,6233160;0,6233160;0,6233160;0,459322;459322,0" o:connectangles="0,0,0,0,0,0,0,0,0" textboxrect="0,0,5890260,6233160"/>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D21DBF">
                        <w:trPr>
                          <w:jc w:val="left"/>
                        </w:trPr>
                        <w:tc>
                          <w:tcPr>
                            <w:tcW w:w="1134" w:type="dxa"/>
                            <w:shd w:val="clear" w:color="auto" w:fill="auto"/>
                          </w:tcPr>
                          <w:p w:rsidR="00D21DBF" w:rsidRPr="000D7A50" w:rsidRDefault="00D21DBF" w:rsidP="00CB5FC3">
                            <w:pPr>
                              <w:pStyle w:val="HStandard"/>
                              <w:suppressOverlap/>
                              <w:rPr>
                                <w:b/>
                                <w:noProof/>
                                <w:color w:val="6E8967"/>
                              </w:rPr>
                            </w:pPr>
                            <w:r>
                              <w:rPr>
                                <w:b/>
                                <w:noProof/>
                                <w:color w:val="6E8967"/>
                                <w:lang w:val="en-GB" w:eastAsia="en-GB" w:bidi="ar-SA"/>
                              </w:rPr>
                              <w:drawing>
                                <wp:inline distT="0" distB="0" distL="0" distR="0" wp14:anchorId="6525D142" wp14:editId="76D9AC29">
                                  <wp:extent cx="702053" cy="540000"/>
                                  <wp:effectExtent l="0" t="0" r="0" b="0"/>
                                  <wp:docPr id="2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D21DBF">
                              <w:tc>
                                <w:tcPr>
                                  <w:tcW w:w="3402" w:type="dxa"/>
                                  <w:shd w:val="clear" w:color="auto" w:fill="auto"/>
                                </w:tcPr>
                                <w:p w:rsidR="00D21DBF" w:rsidRPr="000D7A50" w:rsidRDefault="00D21DBF"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Какво да правите</w:t>
                                  </w:r>
                                </w:p>
                                <w:p w:rsidR="00D21DBF" w:rsidRPr="00150225" w:rsidRDefault="00D21DBF" w:rsidP="005A301D">
                                  <w:pPr>
                                    <w:pStyle w:val="Hlistbullet"/>
                                    <w:ind w:left="252" w:hanging="252"/>
                                    <w:suppressOverlap/>
                                    <w:rPr>
                                      <w:rFonts w:ascii="Arial" w:hAnsi="Arial" w:cs="Arial"/>
                                      <w:spacing w:val="-4"/>
                                      <w:sz w:val="18"/>
                                      <w:szCs w:val="18"/>
                                    </w:rPr>
                                  </w:pPr>
                                  <w:r w:rsidRPr="00150225">
                                    <w:rPr>
                                      <w:rFonts w:ascii="Arial" w:hAnsi="Arial"/>
                                      <w:spacing w:val="-4"/>
                                      <w:sz w:val="18"/>
                                    </w:rPr>
                                    <w:t>Установете от каква подкрепа може да се нуждаят отговорните за мониторинга и оценката участници, за да изпълнят задълженията си за предоставяне на данни.</w:t>
                                  </w:r>
                                </w:p>
                                <w:p w:rsidR="00D21DBF" w:rsidRPr="000D7A50" w:rsidRDefault="00D21DBF" w:rsidP="005A301D">
                                  <w:pPr>
                                    <w:pStyle w:val="Hlistbullet"/>
                                    <w:ind w:left="252" w:hanging="252"/>
                                    <w:suppressOverlap/>
                                    <w:rPr>
                                      <w:rFonts w:ascii="Arial" w:hAnsi="Arial" w:cs="Arial"/>
                                      <w:sz w:val="18"/>
                                      <w:szCs w:val="18"/>
                                    </w:rPr>
                                  </w:pPr>
                                  <w:r>
                                    <w:rPr>
                                      <w:rFonts w:ascii="Arial" w:hAnsi="Arial"/>
                                      <w:sz w:val="18"/>
                                    </w:rPr>
                                    <w:t xml:space="preserve">Посочете и планирайте дейностите за изграждане на капацитет както за УО, така и за МГД (например относно използването на общата база данни за операциите). </w:t>
                                  </w:r>
                                </w:p>
                                <w:p w:rsidR="00D21DBF" w:rsidRPr="000D7A50" w:rsidRDefault="00D21DBF" w:rsidP="005A301D">
                                  <w:pPr>
                                    <w:pStyle w:val="Hlistbullet"/>
                                    <w:ind w:left="252" w:hanging="252"/>
                                    <w:suppressOverlap/>
                                    <w:rPr>
                                      <w:rFonts w:ascii="Arial" w:hAnsi="Arial" w:cs="Arial"/>
                                      <w:sz w:val="18"/>
                                      <w:szCs w:val="18"/>
                                    </w:rPr>
                                  </w:pPr>
                                  <w:r>
                                    <w:rPr>
                                      <w:rFonts w:ascii="Arial" w:hAnsi="Arial"/>
                                      <w:sz w:val="18"/>
                                    </w:rPr>
                                    <w:t>Създайте допълнителни оценъчни елементи, ако общите такива не са достатъчни, за да обхванат изцяло всички видове първичен и вторичен принос.</w:t>
                                  </w:r>
                                </w:p>
                                <w:p w:rsidR="00D21DBF" w:rsidRPr="000D7A50" w:rsidRDefault="00D21DBF" w:rsidP="005A301D">
                                  <w:pPr>
                                    <w:pStyle w:val="Hlistbullet"/>
                                    <w:ind w:left="252" w:hanging="252"/>
                                    <w:suppressOverlap/>
                                    <w:rPr>
                                      <w:rFonts w:ascii="Arial" w:hAnsi="Arial" w:cs="Arial"/>
                                      <w:sz w:val="18"/>
                                      <w:szCs w:val="18"/>
                                    </w:rPr>
                                  </w:pPr>
                                  <w:r>
                                    <w:rPr>
                                      <w:rFonts w:ascii="Arial" w:hAnsi="Arial"/>
                                      <w:sz w:val="18"/>
                                    </w:rPr>
                                    <w:t xml:space="preserve">Разработете специфични за програмата въпроси за оценка при наличие на конкретен принос на LEADER/ВОМР за специфични за програмата цели на ОПА и ПРСР или за специфични свързани с LEADER/ВОМР теми за оценка. </w:t>
                                  </w:r>
                                </w:p>
                                <w:p w:rsidR="00D21DBF" w:rsidRPr="000D7A50" w:rsidRDefault="00D21DBF" w:rsidP="005A301D">
                                  <w:pPr>
                                    <w:pStyle w:val="Hlistbullet"/>
                                    <w:ind w:left="252" w:hanging="252"/>
                                    <w:suppressOverlap/>
                                    <w:rPr>
                                      <w:rFonts w:ascii="Arial" w:hAnsi="Arial" w:cs="Arial"/>
                                      <w:sz w:val="18"/>
                                      <w:szCs w:val="18"/>
                                    </w:rPr>
                                  </w:pPr>
                                  <w:r>
                                    <w:rPr>
                                      <w:rFonts w:ascii="Arial" w:hAnsi="Arial"/>
                                      <w:sz w:val="18"/>
                                    </w:rPr>
                                    <w:t>Започнете събирането на данни възможно най-рано, за да сведете до минимум пропуските в данните и да се впишете в графика.</w:t>
                                  </w:r>
                                </w:p>
                                <w:p w:rsidR="00D21DBF" w:rsidRPr="000D7A50" w:rsidRDefault="00D21DBF" w:rsidP="005A301D">
                                  <w:pPr>
                                    <w:pStyle w:val="Hlistbullet"/>
                                    <w:ind w:left="252" w:hanging="252"/>
                                    <w:suppressOverlap/>
                                    <w:rPr>
                                      <w:rFonts w:ascii="Arial" w:hAnsi="Arial" w:cs="Arial"/>
                                      <w:sz w:val="18"/>
                                      <w:szCs w:val="18"/>
                                    </w:rPr>
                                  </w:pPr>
                                  <w:r>
                                    <w:rPr>
                                      <w:rFonts w:ascii="Arial" w:hAnsi="Arial"/>
                                      <w:sz w:val="18"/>
                                    </w:rPr>
                                    <w:t>Вземете предвид също и качествени показатели.</w:t>
                                  </w:r>
                                </w:p>
                              </w:tc>
                              <w:tc>
                                <w:tcPr>
                                  <w:tcW w:w="3402" w:type="dxa"/>
                                  <w:shd w:val="clear" w:color="auto" w:fill="auto"/>
                                </w:tcPr>
                                <w:p w:rsidR="00D21DBF" w:rsidRPr="000D7A50" w:rsidRDefault="00D21DBF"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Какво да не правите</w:t>
                                  </w:r>
                                </w:p>
                                <w:p w:rsidR="00D21DBF" w:rsidRPr="000D7A50" w:rsidRDefault="00D21DBF"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Не подценявайте необходимостта от изграждане на капацитет за събиране, запис и предоставяне на данни.</w:t>
                                  </w:r>
                                </w:p>
                                <w:p w:rsidR="00D21DBF" w:rsidRPr="000D7A50" w:rsidRDefault="00D21DBF"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Не създавайте прекалено сложни бази данни.</w:t>
                                  </w:r>
                                </w:p>
                                <w:p w:rsidR="00D21DBF" w:rsidRPr="000D7A50" w:rsidRDefault="00D21DBF"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Не подценявайте времето, което е необходимо за събирането и записа на данните.</w:t>
                                  </w:r>
                                </w:p>
                                <w:p w:rsidR="00D21DBF" w:rsidRPr="000D7A50" w:rsidRDefault="00D21DBF"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Не разработвайте въпроси за оценка, които се намират на високо ниво в интервенционната логика, например „До каква степен LEADER/ВОМР допринася за интелигентния растеж?“.</w:t>
                                  </w:r>
                                </w:p>
                                <w:p w:rsidR="00D21DBF" w:rsidRPr="000D7A50" w:rsidRDefault="00D21DBF"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Не мислете само за числа. Много от резултатите на LEADER/ВОМР са нематериални или стават видими само в дългосрочна перспектива.</w:t>
                                  </w:r>
                                </w:p>
                                <w:p w:rsidR="00D21DBF" w:rsidRPr="000D7A50" w:rsidRDefault="00D21DBF" w:rsidP="00CB5FC3">
                                  <w:pPr>
                                    <w:suppressOverlap/>
                                    <w:jc w:val="both"/>
                                    <w:rPr>
                                      <w:rFonts w:ascii="Arial" w:hAnsi="Arial" w:cs="Arial"/>
                                      <w:color w:val="161616" w:themeColor="background1" w:themeShade="1A"/>
                                      <w:sz w:val="18"/>
                                      <w:szCs w:val="18"/>
                                    </w:rPr>
                                  </w:pPr>
                                </w:p>
                              </w:tc>
                            </w:tr>
                          </w:tbl>
                          <w:p w:rsidR="00D21DBF" w:rsidRPr="000D7A50" w:rsidRDefault="00D21DBF" w:rsidP="00CB5FC3">
                            <w:pPr>
                              <w:autoSpaceDE w:val="0"/>
                              <w:autoSpaceDN w:val="0"/>
                              <w:adjustRightInd w:val="0"/>
                              <w:spacing w:after="0"/>
                              <w:contextualSpacing/>
                              <w:suppressOverlap/>
                              <w:jc w:val="both"/>
                            </w:pPr>
                          </w:p>
                        </w:tc>
                      </w:tr>
                    </w:tbl>
                    <w:p w:rsidR="00D21DBF" w:rsidRDefault="00D21DBF" w:rsidP="00FD7168">
                      <w:pPr>
                        <w:jc w:val="center"/>
                      </w:pPr>
                    </w:p>
                  </w:txbxContent>
                </v:textbox>
              </v:shape>
            </w:pict>
          </mc:Fallback>
        </mc:AlternateContent>
      </w:r>
    </w:p>
    <w:p w:rsidR="007866D4" w:rsidRPr="00FB01AA" w:rsidRDefault="007866D4" w:rsidP="007866D4">
      <w:pPr>
        <w:pStyle w:val="HHeading2"/>
        <w:tabs>
          <w:tab w:val="clear" w:pos="360"/>
          <w:tab w:val="clear" w:pos="510"/>
        </w:tabs>
        <w:ind w:left="567" w:hanging="567"/>
        <w:rPr>
          <w:sz w:val="18"/>
        </w:rPr>
      </w:pPr>
      <w:bookmarkStart w:id="84" w:name="_Toc493497710"/>
      <w:bookmarkStart w:id="85" w:name="_Toc498506713"/>
      <w:r w:rsidRPr="00FB01AA">
        <w:rPr>
          <w:sz w:val="18"/>
        </w:rPr>
        <w:lastRenderedPageBreak/>
        <w:t xml:space="preserve">Оценка на </w:t>
      </w:r>
      <w:bookmarkEnd w:id="82"/>
      <w:r w:rsidRPr="00FB01AA">
        <w:rPr>
          <w:sz w:val="18"/>
        </w:rPr>
        <w:t>механизма за изпълнение на LEADER/ВОМР (препоръчително)</w:t>
      </w:r>
      <w:bookmarkEnd w:id="83"/>
      <w:bookmarkEnd w:id="84"/>
      <w:bookmarkEnd w:id="85"/>
    </w:p>
    <w:p w:rsidR="007866D4" w:rsidRPr="00FB01AA" w:rsidRDefault="007866D4" w:rsidP="007866D4">
      <w:pPr>
        <w:pStyle w:val="HHeading3"/>
        <w:framePr w:wrap="notBeside"/>
        <w:rPr>
          <w:sz w:val="18"/>
        </w:rPr>
      </w:pPr>
      <w:bookmarkStart w:id="86" w:name="_Toc475030386"/>
      <w:bookmarkStart w:id="87" w:name="_Toc493497711"/>
      <w:bookmarkStart w:id="88" w:name="_Toc498506714"/>
      <w:r w:rsidRPr="00FB01AA">
        <w:rPr>
          <w:sz w:val="18"/>
        </w:rPr>
        <w:t>Какво да се оценява?</w:t>
      </w:r>
      <w:bookmarkEnd w:id="86"/>
      <w:bookmarkEnd w:id="87"/>
      <w:bookmarkEnd w:id="88"/>
    </w:p>
    <w:p w:rsidR="007866D4" w:rsidRPr="00FB01AA" w:rsidRDefault="007866D4" w:rsidP="007866D4">
      <w:pPr>
        <w:pStyle w:val="HStandard"/>
        <w:rPr>
          <w:snapToGrid w:val="0"/>
          <w:sz w:val="18"/>
        </w:rPr>
      </w:pPr>
      <w:r w:rsidRPr="00FB01AA">
        <w:rPr>
          <w:b/>
          <w:snapToGrid w:val="0"/>
          <w:sz w:val="18"/>
        </w:rPr>
        <w:t>Механизмът за изпълнение на LEADER/ВОМР</w:t>
      </w:r>
      <w:r w:rsidRPr="00FB01AA">
        <w:rPr>
          <w:sz w:val="18"/>
        </w:rPr>
        <w:t xml:space="preserve"> играе важна роля в прилагането на метода LEADER. Механизмът за изпълнение се определя като „набор от правила, процедури и индивидуални стъпки, които се използват за превръщането на целите на политиката в окончателно изпълнени действия от страна на получателите на средствата“</w:t>
      </w:r>
      <w:r w:rsidRPr="00FB01AA">
        <w:rPr>
          <w:rStyle w:val="FootnoteReference"/>
          <w:snapToGrid w:val="0"/>
          <w:sz w:val="18"/>
        </w:rPr>
        <w:footnoteReference w:id="41"/>
      </w:r>
      <w:r w:rsidRPr="00FB01AA">
        <w:rPr>
          <w:sz w:val="18"/>
        </w:rPr>
        <w:t xml:space="preserve">. </w:t>
      </w:r>
    </w:p>
    <w:p w:rsidR="007866D4" w:rsidRPr="00FB01AA" w:rsidRDefault="007866D4" w:rsidP="007866D4">
      <w:pPr>
        <w:pStyle w:val="HStandard"/>
        <w:rPr>
          <w:snapToGrid w:val="0"/>
          <w:sz w:val="18"/>
        </w:rPr>
      </w:pPr>
      <w:r w:rsidRPr="00FB01AA">
        <w:rPr>
          <w:sz w:val="18"/>
        </w:rPr>
        <w:t>Правилата и процедурите за изпълнение на LEADER/ВОМР се установяват от УО най-напред на равнището на ПРСР. МГД също играят роля за оформянето на правилата и процедурите, когато ги адаптират към специфичните местни потребности и условия. Например УО може да предостави минимален набор от мерки, които се изпълняват в съответствие със специфични критерии за подбор на МГД (вж. глава 3.1).</w:t>
      </w:r>
    </w:p>
    <w:p w:rsidR="007866D4" w:rsidRPr="00FB01AA" w:rsidRDefault="007866D4" w:rsidP="007866D4">
      <w:pPr>
        <w:pStyle w:val="HStandard"/>
        <w:rPr>
          <w:snapToGrid w:val="0"/>
          <w:sz w:val="18"/>
        </w:rPr>
      </w:pPr>
      <w:r w:rsidRPr="00FB01AA">
        <w:rPr>
          <w:sz w:val="18"/>
        </w:rPr>
        <w:t xml:space="preserve">Механизмът за изпълнение на LEADER/ВОМР оказва значително въздействие върху обема на създадената добавена стойност. Например, ако две държави членки </w:t>
      </w:r>
      <w:r w:rsidR="007F43D0">
        <w:rPr>
          <w:sz w:val="18"/>
        </w:rPr>
        <w:t>прилаг</w:t>
      </w:r>
      <w:r w:rsidRPr="00FB01AA">
        <w:rPr>
          <w:sz w:val="18"/>
        </w:rPr>
        <w:t xml:space="preserve">ат различни правила и крайни срокове за кандидатстване по проекти за транснационално сътрудничество, това затруднява подготовката и управлението на тези проекти. Подобни условия излагат на риск принципа на сътрудничество, а оттам и метода LEADER. Може да се даде и друг пример: ако дадена държава членка ограничи видовете операции, които се изпълняват чрез стратегии за ВОМР, това би могло да застраши използването на ориентиран „от долу нагоре“ и основан на характеристиките на района многосекторен подход за развитието на района на МГД. </w:t>
      </w:r>
    </w:p>
    <w:p w:rsidR="007866D4" w:rsidRPr="00FB01AA" w:rsidRDefault="007866D4" w:rsidP="007866D4">
      <w:pPr>
        <w:pStyle w:val="HStandard"/>
        <w:rPr>
          <w:sz w:val="18"/>
        </w:rPr>
      </w:pPr>
      <w:r w:rsidRPr="00FB01AA">
        <w:rPr>
          <w:sz w:val="18"/>
        </w:rPr>
        <w:t xml:space="preserve">Препоръчително е да се направи оценка дали механизмът за изпълнение на ПРСР </w:t>
      </w:r>
      <w:r w:rsidR="00143E86">
        <w:rPr>
          <w:sz w:val="18"/>
        </w:rPr>
        <w:t xml:space="preserve">е </w:t>
      </w:r>
      <w:r w:rsidRPr="00FB01AA">
        <w:rPr>
          <w:sz w:val="18"/>
        </w:rPr>
        <w:t>позволява</w:t>
      </w:r>
      <w:r w:rsidR="00143E86">
        <w:rPr>
          <w:sz w:val="18"/>
        </w:rPr>
        <w:t>л</w:t>
      </w:r>
      <w:r w:rsidRPr="00FB01AA">
        <w:rPr>
          <w:sz w:val="18"/>
        </w:rPr>
        <w:t xml:space="preserve"> изпълнението на метода LEADER (в пълния обхват на неговите седем принципа). За тази цел е необходимо да се разгледат правилата, процедурите и отделните етапи на изпълнение. </w:t>
      </w:r>
      <w:r w:rsidRPr="00FB01AA">
        <w:rPr>
          <w:b/>
          <w:snapToGrid w:val="0"/>
          <w:sz w:val="18"/>
        </w:rPr>
        <w:t xml:space="preserve">Оценката </w:t>
      </w:r>
      <w:r w:rsidRPr="00FB01AA">
        <w:rPr>
          <w:b/>
          <w:sz w:val="18"/>
        </w:rPr>
        <w:t>на механизма за изпълнение на LEADER/ВОМР</w:t>
      </w:r>
      <w:r w:rsidRPr="00FB01AA">
        <w:rPr>
          <w:sz w:val="18"/>
        </w:rPr>
        <w:t xml:space="preserve"> </w:t>
      </w:r>
      <w:r w:rsidRPr="00FB01AA">
        <w:rPr>
          <w:b/>
          <w:sz w:val="18"/>
        </w:rPr>
        <w:t>не е задължителна</w:t>
      </w:r>
      <w:r w:rsidRPr="00FB01AA">
        <w:rPr>
          <w:sz w:val="18"/>
        </w:rPr>
        <w:t xml:space="preserve">. Тя обаче е важна за цялостната оценка на LEADER/ВОМР и освен това предоставя информация за оценката на добавената стойност. </w:t>
      </w:r>
    </w:p>
    <w:p w:rsidR="007866D4" w:rsidRPr="00FB01AA" w:rsidRDefault="007866D4" w:rsidP="007866D4">
      <w:pPr>
        <w:pStyle w:val="HStandard"/>
        <w:rPr>
          <w:sz w:val="18"/>
        </w:rPr>
        <w:sectPr w:rsidR="007866D4" w:rsidRPr="00FB01AA" w:rsidSect="009415A0">
          <w:pgSz w:w="11906" w:h="16838"/>
          <w:pgMar w:top="1418" w:right="1418" w:bottom="1418" w:left="1418" w:header="709" w:footer="709" w:gutter="0"/>
          <w:cols w:num="2" w:space="397"/>
          <w:docGrid w:linePitch="360"/>
        </w:sectPr>
      </w:pPr>
      <w:r w:rsidRPr="00FB01AA">
        <w:rPr>
          <w:noProof/>
          <w:sz w:val="18"/>
          <w:lang w:val="en-GB" w:eastAsia="en-GB" w:bidi="ar-SA"/>
        </w:rPr>
        <mc:AlternateContent>
          <mc:Choice Requires="wps">
            <w:drawing>
              <wp:inline distT="0" distB="0" distL="0" distR="0" wp14:anchorId="312C6262" wp14:editId="0EC70F70">
                <wp:extent cx="2735580" cy="1958340"/>
                <wp:effectExtent l="0" t="0" r="26670" b="22860"/>
                <wp:docPr id="39" name="Rectangle: Diagonal Corners Rounded 39"/>
                <wp:cNvGraphicFramePr/>
                <a:graphic xmlns:a="http://schemas.openxmlformats.org/drawingml/2006/main">
                  <a:graphicData uri="http://schemas.microsoft.com/office/word/2010/wordprocessingShape">
                    <wps:wsp>
                      <wps:cNvSpPr/>
                      <wps:spPr>
                        <a:xfrm>
                          <a:off x="0" y="0"/>
                          <a:ext cx="2735580" cy="19583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DBF" w:rsidRPr="00550F85" w:rsidRDefault="00D21DBF"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07817D56" wp14:editId="0DB1FEF9">
                                  <wp:extent cx="665188" cy="487680"/>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Оценката на механизма за изпълнение на LEADER/ВОМР помага на заинтересованите страни да разберат по какъв начин правилата и процедурите засягат прилагането на метода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12C6262" id="Rectangle: Diagonal Corners Rounded 39" o:spid="_x0000_s1039" style="width:215.4pt;height:154.2pt;visibility:visible;mso-wrap-style:square;mso-left-percent:-10001;mso-top-percent:-10001;mso-position-horizontal:absolute;mso-position-horizontal-relative:char;mso-position-vertical:absolute;mso-position-vertical-relative:line;mso-left-percent:-10001;mso-top-percent:-10001;v-text-anchor:middle" coordsize="2735580,195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" adj="-11796480,,5400" path="m326397,l2735580,r,l2735580,1631943v,180264,-146133,326397,-326397,326397l,1958340r,l,326397c,146133,146133,,326397,xe" fillcolor="white [3204]" strokecolor="#be4a35 [3205]" strokeweight="2pt">
                <v:stroke joinstyle="miter"/>
                <v:formulas/>
                <v:path arrowok="t" o:connecttype="custom" o:connectlocs="326397,0;2735580,0;2735580,0;2735580,1631943;2409183,1958340;0,1958340;0,1958340;0,326397;326397,0" o:connectangles="0,0,0,0,0,0,0,0,0" textboxrect="0,0,2735580,1958340"/>
                <v:textbox>
                  <w:txbxContent>
                    <w:p w:rsidR="00D21DBF" w:rsidRPr="00550F85" w:rsidRDefault="00D21DBF" w:rsidP="007866D4">
                      <w:pPr>
                        <w:jc w:val="both"/>
                        <w:rPr>
                          <w:color w:val="373737"/>
                        </w:rPr>
                      </w:pPr>
                      <w:r>
                        <w:rPr>
                          <w:rFonts w:ascii="Arial" w:hAnsi="Arial" w:cs="Arial"/>
                          <w:noProof/>
                          <w:color w:val="57825E" w:themeColor="accent4"/>
                          <w:sz w:val="20"/>
                          <w:szCs w:val="20"/>
                          <w:lang w:val="en-GB" w:eastAsia="en-GB" w:bidi="ar-SA"/>
                        </w:rPr>
                        <w:drawing>
                          <wp:inline distT="0" distB="0" distL="0" distR="0" wp14:anchorId="07817D56" wp14:editId="0DB1FEF9">
                            <wp:extent cx="665188" cy="487680"/>
                            <wp:effectExtent l="0" t="0" r="0" b="762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Оценката на механизма за изпълнение на LEADER/ВОМР помага на заинтересованите страни да разберат по какъв начин правилата и процедурите засягат прилагането на метода LEADER.</w:t>
                      </w:r>
                    </w:p>
                  </w:txbxContent>
                </v:textbox>
                <w10:anchorlock/>
              </v:shape>
            </w:pict>
          </mc:Fallback>
        </mc:AlternateContent>
      </w:r>
      <w:r w:rsidRPr="00FB01AA">
        <w:rPr>
          <w:sz w:val="18"/>
        </w:rPr>
        <w:br w:type="column"/>
      </w:r>
      <w:bookmarkStart w:id="89" w:name="_Toc475030387"/>
    </w:p>
    <w:p w:rsidR="007866D4" w:rsidRPr="00FB01AA" w:rsidRDefault="007866D4" w:rsidP="00501F94">
      <w:pPr>
        <w:pStyle w:val="HHeading3"/>
        <w:framePr w:wrap="notBeside"/>
        <w:tabs>
          <w:tab w:val="clear" w:pos="851"/>
        </w:tabs>
        <w:rPr>
          <w:sz w:val="18"/>
        </w:rPr>
      </w:pPr>
      <w:bookmarkStart w:id="90" w:name="_Toc493497712"/>
      <w:bookmarkStart w:id="91" w:name="_Toc498506715"/>
      <w:r w:rsidRPr="00FB01AA">
        <w:rPr>
          <w:sz w:val="18"/>
        </w:rPr>
        <w:t>Стъпка по стъпка: как да се оцени механизмът за изпълнение на LEADER/ВОМР</w:t>
      </w:r>
      <w:bookmarkEnd w:id="89"/>
      <w:r w:rsidRPr="00FB01AA">
        <w:rPr>
          <w:sz w:val="18"/>
        </w:rPr>
        <w:t>?</w:t>
      </w:r>
      <w:bookmarkEnd w:id="90"/>
      <w:bookmarkEnd w:id="91"/>
    </w:p>
    <w:p w:rsidR="007866D4" w:rsidRPr="00FB01AA" w:rsidRDefault="007866D4" w:rsidP="007866D4">
      <w:pPr>
        <w:pStyle w:val="HStandard"/>
        <w:rPr>
          <w:sz w:val="18"/>
        </w:rPr>
        <w:sectPr w:rsidR="007866D4" w:rsidRPr="00FB01AA" w:rsidSect="00766525">
          <w:type w:val="continuous"/>
          <w:pgSz w:w="11906" w:h="16838"/>
          <w:pgMar w:top="1418" w:right="1418" w:bottom="1418" w:left="1418" w:header="709" w:footer="709" w:gutter="0"/>
          <w:cols w:space="397"/>
          <w:docGrid w:linePitch="360"/>
        </w:sectPr>
      </w:pPr>
    </w:p>
    <w:p w:rsidR="007866D4" w:rsidRDefault="00150225" w:rsidP="007866D4">
      <w:pPr>
        <w:pStyle w:val="HStandard"/>
        <w:rPr>
          <w:noProof/>
          <w:sz w:val="18"/>
          <w:lang w:val="el-GR" w:eastAsia="el-GR" w:bidi="ar-SA"/>
        </w:rPr>
      </w:pPr>
      <w:r>
        <w:rPr>
          <w:noProof/>
          <w:sz w:val="18"/>
          <w:lang w:val="en-GB" w:eastAsia="en-GB" w:bidi="ar-SA"/>
        </w:rPr>
        <w:drawing>
          <wp:inline distT="0" distB="0" distL="0" distR="0" wp14:anchorId="05A7FA42" wp14:editId="18385CCB">
            <wp:extent cx="5935905" cy="637954"/>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21870" cy="647193"/>
                    </a:xfrm>
                    <a:prstGeom prst="rect">
                      <a:avLst/>
                    </a:prstGeom>
                    <a:noFill/>
                  </pic:spPr>
                </pic:pic>
              </a:graphicData>
            </a:graphic>
          </wp:inline>
        </w:drawing>
      </w:r>
    </w:p>
    <w:p w:rsidR="00150225" w:rsidRPr="00FB01AA" w:rsidRDefault="00150225" w:rsidP="007866D4">
      <w:pPr>
        <w:pStyle w:val="HStandard"/>
        <w:rPr>
          <w:sz w:val="18"/>
        </w:rPr>
      </w:pPr>
    </w:p>
    <w:p w:rsidR="007866D4" w:rsidRPr="00FB01AA" w:rsidRDefault="007866D4" w:rsidP="007866D4">
      <w:pPr>
        <w:pStyle w:val="HHeading5"/>
        <w:rPr>
          <w:sz w:val="18"/>
        </w:rPr>
        <w:sectPr w:rsidR="007866D4" w:rsidRPr="00FB01AA" w:rsidSect="009F15D6">
          <w:type w:val="continuous"/>
          <w:pgSz w:w="11906" w:h="16838"/>
          <w:pgMar w:top="1418" w:right="1418" w:bottom="1418" w:left="1418" w:header="709" w:footer="709" w:gutter="0"/>
          <w:cols w:space="708"/>
          <w:docGrid w:linePitch="360"/>
        </w:sectPr>
      </w:pPr>
    </w:p>
    <w:p w:rsidR="007866D4" w:rsidRPr="00FB01AA" w:rsidRDefault="007866D4" w:rsidP="007866D4">
      <w:pPr>
        <w:pStyle w:val="HHeading5"/>
        <w:rPr>
          <w:sz w:val="18"/>
        </w:rPr>
      </w:pPr>
      <w:r w:rsidRPr="00FB01AA">
        <w:rPr>
          <w:sz w:val="18"/>
        </w:rPr>
        <w:t>Стъпка 1: Разработване на специфични за програмата оценъчни елементи</w:t>
      </w:r>
    </w:p>
    <w:p w:rsidR="007866D4" w:rsidRPr="00FB01AA" w:rsidRDefault="007866D4" w:rsidP="007866D4">
      <w:pPr>
        <w:pStyle w:val="HStandard"/>
        <w:rPr>
          <w:sz w:val="18"/>
        </w:rPr>
      </w:pPr>
      <w:r w:rsidRPr="00FB01AA">
        <w:rPr>
          <w:sz w:val="18"/>
        </w:rPr>
        <w:t xml:space="preserve">Оценката на механизма за изпълнение на LEADER/ВОМР изисква да се отговори на въпроса: </w:t>
      </w:r>
      <w:r w:rsidRPr="00FB01AA">
        <w:rPr>
          <w:b/>
          <w:sz w:val="18"/>
        </w:rPr>
        <w:t xml:space="preserve">„До каква степен механизмът за изпълнение на ПРСР е гарантирал прилагането на метода LEADER?“ </w:t>
      </w:r>
      <w:r w:rsidRPr="00FB01AA">
        <w:rPr>
          <w:sz w:val="18"/>
        </w:rPr>
        <w:t xml:space="preserve">На равнището на ПРСР акцентът се поставя върху етапите на изпълнение, които се контролират от УО. На фигурата по-долу са показани примерни етапи и стъпки на механизма за изпълнение. </w:t>
      </w:r>
    </w:p>
    <w:p w:rsidR="007866D4" w:rsidRPr="00FB01AA" w:rsidRDefault="007866D4" w:rsidP="007866D4">
      <w:pPr>
        <w:pStyle w:val="Hlistbullet"/>
        <w:numPr>
          <w:ilvl w:val="0"/>
          <w:numId w:val="0"/>
        </w:numPr>
        <w:rPr>
          <w:sz w:val="18"/>
        </w:rPr>
      </w:pPr>
      <w:r w:rsidRPr="00FB01AA">
        <w:rPr>
          <w:sz w:val="18"/>
        </w:rPr>
        <w:t>За оценката на механизма за изпълнение на LEADER/ВОМР се предлагат следните работни стъпки:</w:t>
      </w:r>
    </w:p>
    <w:p w:rsidR="007866D4" w:rsidRPr="00FB01AA" w:rsidRDefault="007866D4" w:rsidP="007866D4">
      <w:pPr>
        <w:pStyle w:val="Hlistbullet"/>
        <w:ind w:left="426" w:hanging="426"/>
        <w:rPr>
          <w:sz w:val="18"/>
        </w:rPr>
      </w:pPr>
      <w:r w:rsidRPr="00FB01AA">
        <w:rPr>
          <w:b/>
          <w:sz w:val="18"/>
        </w:rPr>
        <w:t>Уточняване на механизма за изпълнение на LEADER/ВОМР</w:t>
      </w:r>
      <w:r w:rsidRPr="00FB01AA">
        <w:rPr>
          <w:sz w:val="18"/>
        </w:rPr>
        <w:t>. Следва да се има предвид, че от една страна, механизмът за изпълнение на мярка 19 е част от цялостния механизъм за изпълнение на ПРСР, а от друга страна, той трябва да включва метода LEADER.</w:t>
      </w:r>
    </w:p>
    <w:p w:rsidR="007866D4" w:rsidRPr="00FB01AA" w:rsidRDefault="007866D4" w:rsidP="007866D4">
      <w:pPr>
        <w:pStyle w:val="Hlistbullet"/>
        <w:ind w:left="426" w:hanging="426"/>
        <w:rPr>
          <w:sz w:val="18"/>
        </w:rPr>
      </w:pPr>
      <w:r w:rsidRPr="00FB01AA">
        <w:rPr>
          <w:sz w:val="18"/>
        </w:rPr>
        <w:br w:type="column"/>
      </w:r>
      <w:r w:rsidRPr="00FB01AA">
        <w:rPr>
          <w:b/>
          <w:sz w:val="18"/>
        </w:rPr>
        <w:t>Определяне на специфични за програмата критерии</w:t>
      </w:r>
      <w:r w:rsidRPr="00FB01AA">
        <w:rPr>
          <w:sz w:val="18"/>
        </w:rPr>
        <w:t xml:space="preserve"> по начин, който отразява „идеалното прил</w:t>
      </w:r>
      <w:r w:rsidR="00B07694">
        <w:rPr>
          <w:sz w:val="18"/>
        </w:rPr>
        <w:t>агане</w:t>
      </w:r>
      <w:r w:rsidRPr="00FB01AA">
        <w:rPr>
          <w:sz w:val="18"/>
        </w:rPr>
        <w:t>“ на метода LEADER, с цел събиране на доказателства, предоставяне на преценки и намиране на подходящи показатели. Става дума преди всичко за показатели за крайни продукти, въпреки че може да е полезно да се включат някои показатели за процеса (например средна продължителност на стандартните процедури).</w:t>
      </w:r>
    </w:p>
    <w:p w:rsidR="007866D4" w:rsidRPr="00FB01AA" w:rsidRDefault="007866D4" w:rsidP="007866D4">
      <w:pPr>
        <w:pStyle w:val="Hlistbullet"/>
        <w:numPr>
          <w:ilvl w:val="0"/>
          <w:numId w:val="0"/>
        </w:numPr>
        <w:rPr>
          <w:sz w:val="18"/>
        </w:rPr>
      </w:pPr>
      <w:r w:rsidRPr="00FB01AA">
        <w:rPr>
          <w:sz w:val="18"/>
        </w:rPr>
        <w:t>Следват няколко примера за това как би могъл да бъде проучен механизмът за изпълнение, въведен и управляван от управляващия орган (евентуално в сътрудничество с други междинни звена и НМСР):</w:t>
      </w:r>
    </w:p>
    <w:p w:rsidR="007866D4" w:rsidRPr="00FB01AA" w:rsidRDefault="007866D4" w:rsidP="007866D4">
      <w:pPr>
        <w:pStyle w:val="Hlistbullet"/>
        <w:ind w:left="426" w:hanging="426"/>
        <w:rPr>
          <w:sz w:val="18"/>
        </w:rPr>
      </w:pPr>
      <w:r w:rsidRPr="00FB01AA">
        <w:rPr>
          <w:sz w:val="18"/>
        </w:rPr>
        <w:t>До каква степен и по какъв начин УО е повлиял върху оформянето и определянето на границите на районите на МГД?</w:t>
      </w:r>
    </w:p>
    <w:p w:rsidR="007866D4" w:rsidRPr="00FB01AA" w:rsidRDefault="007866D4" w:rsidP="007866D4">
      <w:pPr>
        <w:pStyle w:val="Hlistbullet"/>
        <w:ind w:left="426" w:hanging="426"/>
        <w:rPr>
          <w:sz w:val="18"/>
        </w:rPr>
        <w:sectPr w:rsidR="007866D4" w:rsidRPr="00FB01AA" w:rsidSect="00D16A14">
          <w:type w:val="continuous"/>
          <w:pgSz w:w="11906" w:h="16838"/>
          <w:pgMar w:top="1418" w:right="1418" w:bottom="1418" w:left="1418" w:header="709" w:footer="709" w:gutter="0"/>
          <w:cols w:num="2" w:space="397"/>
          <w:docGrid w:linePitch="360"/>
        </w:sectPr>
      </w:pPr>
      <w:r w:rsidRPr="00FB01AA">
        <w:rPr>
          <w:sz w:val="18"/>
        </w:rPr>
        <w:t>До каква степен и по какъв начин местните участници (например МГД от предишния период) са участвали в разработването на мярката LEADER и на механизма за изпълнение?</w:t>
      </w:r>
    </w:p>
    <w:p w:rsidR="007866D4" w:rsidRPr="00FB01AA" w:rsidRDefault="007866D4" w:rsidP="007866D4">
      <w:pPr>
        <w:pStyle w:val="HHeadingFigure"/>
        <w:rPr>
          <w:sz w:val="14"/>
        </w:rPr>
      </w:pPr>
      <w:bookmarkStart w:id="92" w:name="_Toc493497736"/>
      <w:bookmarkStart w:id="93" w:name="_Toc498507096"/>
      <w:r w:rsidRPr="00FB01AA">
        <w:rPr>
          <w:sz w:val="14"/>
        </w:rPr>
        <w:t>Свързване на метода LEADER с механизма за изпълнение на LEADER/ВОМР на равнището на ПРСР</w:t>
      </w:r>
      <w:bookmarkEnd w:id="92"/>
      <w:bookmarkEnd w:id="93"/>
      <w:r w:rsidRPr="00FB01AA">
        <w:rPr>
          <w:sz w:val="14"/>
        </w:rPr>
        <w:t xml:space="preserve"> </w:t>
      </w:r>
    </w:p>
    <w:p w:rsidR="00150225" w:rsidRPr="00150225" w:rsidRDefault="00B243BA" w:rsidP="007866D4">
      <w:pPr>
        <w:pStyle w:val="HStandard"/>
        <w:jc w:val="center"/>
        <w:rPr>
          <w:sz w:val="18"/>
        </w:rPr>
      </w:pPr>
      <w:r>
        <w:rPr>
          <w:noProof/>
          <w:sz w:val="18"/>
          <w:lang w:val="en-GB" w:eastAsia="en-GB" w:bidi="ar-SA"/>
        </w:rPr>
        <w:drawing>
          <wp:inline distT="0" distB="0" distL="0" distR="0" wp14:anchorId="454C8EAB" wp14:editId="250A156F">
            <wp:extent cx="5919935" cy="2230333"/>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56714" cy="2244189"/>
                    </a:xfrm>
                    <a:prstGeom prst="rect">
                      <a:avLst/>
                    </a:prstGeom>
                    <a:noFill/>
                  </pic:spPr>
                </pic:pic>
              </a:graphicData>
            </a:graphic>
          </wp:inline>
        </w:drawing>
      </w:r>
    </w:p>
    <w:p w:rsidR="007866D4" w:rsidRPr="00FB01AA" w:rsidRDefault="007866D4" w:rsidP="00150225">
      <w:pPr>
        <w:pStyle w:val="HSource"/>
        <w:spacing w:before="240"/>
        <w:rPr>
          <w:rFonts w:cs="Arial"/>
          <w:sz w:val="14"/>
        </w:rPr>
      </w:pPr>
      <w:r w:rsidRPr="00FB01AA">
        <w:rPr>
          <w:sz w:val="14"/>
        </w:rPr>
        <w:lastRenderedPageBreak/>
        <w:t>Източник: Европейско бюро за оценка в областта на развитието на селските райони, 2017 г.</w:t>
      </w:r>
    </w:p>
    <w:p w:rsidR="007866D4" w:rsidRPr="00FB01AA" w:rsidRDefault="007866D4" w:rsidP="007866D4">
      <w:pPr>
        <w:pStyle w:val="Hlistbullet"/>
        <w:ind w:left="426" w:hanging="426"/>
        <w:rPr>
          <w:sz w:val="18"/>
        </w:rPr>
        <w:sectPr w:rsidR="007866D4" w:rsidRPr="00FB01AA" w:rsidSect="00550F85">
          <w:type w:val="continuous"/>
          <w:pgSz w:w="11906" w:h="16838"/>
          <w:pgMar w:top="1418" w:right="1418" w:bottom="1418" w:left="1418" w:header="709" w:footer="709" w:gutter="0"/>
          <w:cols w:space="397"/>
          <w:docGrid w:linePitch="360"/>
        </w:sectPr>
      </w:pPr>
    </w:p>
    <w:p w:rsidR="007866D4" w:rsidRPr="00FB01AA" w:rsidRDefault="007866D4" w:rsidP="007866D4">
      <w:pPr>
        <w:pStyle w:val="Hlistbullet"/>
        <w:ind w:left="426" w:hanging="426"/>
        <w:rPr>
          <w:sz w:val="18"/>
        </w:rPr>
      </w:pPr>
      <w:r w:rsidRPr="00FB01AA">
        <w:rPr>
          <w:sz w:val="18"/>
        </w:rPr>
        <w:t>Какви критерии за местни партньорства са били приложени в допълнение към изискванията на ЕС?</w:t>
      </w:r>
    </w:p>
    <w:p w:rsidR="007866D4" w:rsidRPr="00FB01AA" w:rsidRDefault="007866D4" w:rsidP="007866D4">
      <w:pPr>
        <w:pStyle w:val="Hlistbullet"/>
        <w:ind w:left="426" w:hanging="426"/>
        <w:rPr>
          <w:sz w:val="18"/>
        </w:rPr>
      </w:pPr>
      <w:r w:rsidRPr="00FB01AA">
        <w:rPr>
          <w:sz w:val="18"/>
        </w:rPr>
        <w:t>Как е бил разработен и организиран процесът на подбор на стратегиите за ВОМР (комуникация, критерии за допустимост, специален акцент върху иновациите, хоризонтални теми на ЕС или национални въпроси)?</w:t>
      </w:r>
    </w:p>
    <w:p w:rsidR="007866D4" w:rsidRPr="00FB01AA" w:rsidRDefault="007866D4" w:rsidP="007866D4">
      <w:pPr>
        <w:pStyle w:val="Hlistbullet"/>
        <w:ind w:left="426" w:hanging="426"/>
        <w:rPr>
          <w:sz w:val="18"/>
        </w:rPr>
      </w:pPr>
      <w:r w:rsidRPr="00FB01AA">
        <w:rPr>
          <w:sz w:val="18"/>
        </w:rPr>
        <w:t>Каква е била ролята на УО в периода на изпълнението, и по-специално при определянето на приоритетните теми и в процеса на одобрение на проектите, и как това се е отразило на процесите на вземане на решения на равнището на МГД?</w:t>
      </w:r>
    </w:p>
    <w:p w:rsidR="007866D4" w:rsidRPr="00FB01AA" w:rsidRDefault="007866D4" w:rsidP="007866D4">
      <w:pPr>
        <w:pStyle w:val="Hlistbullet"/>
        <w:ind w:left="426" w:hanging="426"/>
        <w:rPr>
          <w:sz w:val="18"/>
        </w:rPr>
      </w:pPr>
      <w:r w:rsidRPr="00FB01AA">
        <w:rPr>
          <w:sz w:val="18"/>
        </w:rPr>
        <w:t>Какви разпоредби са били предвидени, за да се гарантират изграждането на мрежи и сътрудничеството?</w:t>
      </w:r>
    </w:p>
    <w:p w:rsidR="007866D4" w:rsidRPr="00FB01AA" w:rsidRDefault="007866D4" w:rsidP="007866D4">
      <w:pPr>
        <w:pStyle w:val="Hlistbullet"/>
        <w:ind w:left="426" w:hanging="426"/>
        <w:rPr>
          <w:sz w:val="18"/>
        </w:rPr>
      </w:pPr>
      <w:r w:rsidRPr="00FB01AA">
        <w:rPr>
          <w:sz w:val="18"/>
        </w:rPr>
        <w:t>До каква степен и по какъв начин УО е подкрепил изграждането на капацитета на МГД, и по-специално на новите МГД (1) на етапа на подаване на предложения и (2) на етапа на изпълнение?</w:t>
      </w:r>
    </w:p>
    <w:p w:rsidR="007866D4" w:rsidRPr="00FB01AA" w:rsidRDefault="007866D4" w:rsidP="007866D4">
      <w:pPr>
        <w:pStyle w:val="Hlistbullet"/>
        <w:numPr>
          <w:ilvl w:val="0"/>
          <w:numId w:val="0"/>
        </w:numPr>
        <w:rPr>
          <w:sz w:val="18"/>
        </w:rPr>
      </w:pPr>
      <w:r w:rsidRPr="00FB01AA">
        <w:rPr>
          <w:sz w:val="18"/>
        </w:rPr>
        <w:t>Повечето ефекти на механизма за изпълнение на ВОМР на равнището на ПРСР се материализират на местно равнище, което позволява да се оцени влиянието</w:t>
      </w:r>
      <w:r w:rsidR="00E81512">
        <w:rPr>
          <w:sz w:val="18"/>
        </w:rPr>
        <w:t>, което е оказал</w:t>
      </w:r>
      <w:r w:rsidRPr="00FB01AA">
        <w:rPr>
          <w:sz w:val="18"/>
        </w:rPr>
        <w:t xml:space="preserve"> механизм</w:t>
      </w:r>
      <w:r w:rsidR="00E81512">
        <w:rPr>
          <w:sz w:val="18"/>
        </w:rPr>
        <w:t>ът</w:t>
      </w:r>
      <w:r w:rsidRPr="00FB01AA">
        <w:rPr>
          <w:sz w:val="18"/>
        </w:rPr>
        <w:t xml:space="preserve"> за изпълнение на ПРСР върху прилагането на метода LEADER на местно равнище и върху крайните </w:t>
      </w:r>
      <w:r w:rsidR="001C4F3F">
        <w:rPr>
          <w:sz w:val="18"/>
        </w:rPr>
        <w:t>резултати</w:t>
      </w:r>
      <w:r w:rsidRPr="00FB01AA">
        <w:rPr>
          <w:sz w:val="18"/>
        </w:rPr>
        <w:t xml:space="preserve"> от операциите на МГД като цяло. </w:t>
      </w:r>
      <w:r w:rsidR="00E81512">
        <w:rPr>
          <w:sz w:val="18"/>
        </w:rPr>
        <w:t>Това</w:t>
      </w:r>
      <w:r w:rsidRPr="00FB01AA">
        <w:rPr>
          <w:sz w:val="18"/>
        </w:rPr>
        <w:t xml:space="preserve">, което се счита за краен продукт на равнището на ПРСР — правилата, рамките, подкрепата за МГД и т.н., които са част от механизма за изпълнение — се превръща във </w:t>
      </w:r>
      <w:r w:rsidR="0030212B">
        <w:rPr>
          <w:sz w:val="18"/>
        </w:rPr>
        <w:t>входящ ресурс</w:t>
      </w:r>
      <w:r w:rsidRPr="00FB01AA">
        <w:rPr>
          <w:sz w:val="18"/>
        </w:rPr>
        <w:t xml:space="preserve"> на равнището на МГД. </w:t>
      </w:r>
    </w:p>
    <w:p w:rsidR="007866D4" w:rsidRPr="00FB01AA" w:rsidRDefault="007866D4" w:rsidP="007866D4">
      <w:pPr>
        <w:pStyle w:val="Hlistbullet"/>
        <w:numPr>
          <w:ilvl w:val="0"/>
          <w:numId w:val="0"/>
        </w:numPr>
        <w:rPr>
          <w:sz w:val="18"/>
        </w:rPr>
      </w:pPr>
      <w:r w:rsidRPr="00FB01AA">
        <w:rPr>
          <w:sz w:val="18"/>
        </w:rPr>
        <w:br w:type="column"/>
      </w:r>
      <w:r w:rsidRPr="00FB01AA">
        <w:rPr>
          <w:sz w:val="18"/>
        </w:rPr>
        <w:t xml:space="preserve">Генерирането на допълнителни ефекти зависи главно от начина, по който МГД използват тези </w:t>
      </w:r>
      <w:r w:rsidR="00C207A1">
        <w:rPr>
          <w:sz w:val="18"/>
        </w:rPr>
        <w:t>входящи ресурси</w:t>
      </w:r>
      <w:r w:rsidRPr="00FB01AA">
        <w:rPr>
          <w:sz w:val="18"/>
        </w:rPr>
        <w:t xml:space="preserve"> (например за оформянето на механизма за изпълнение на местно равнище и за изпълнението на стратегията за ВОМР в съответствие с изискванията на метода LEADER). Това означава, че допълнителните крайни </w:t>
      </w:r>
      <w:r w:rsidR="001C4F3F">
        <w:rPr>
          <w:sz w:val="18"/>
        </w:rPr>
        <w:t>резултати</w:t>
      </w:r>
      <w:r w:rsidRPr="00FB01AA">
        <w:rPr>
          <w:sz w:val="18"/>
        </w:rPr>
        <w:t xml:space="preserve"> </w:t>
      </w:r>
      <w:r w:rsidR="001C4F3F">
        <w:rPr>
          <w:sz w:val="18"/>
        </w:rPr>
        <w:t>от</w:t>
      </w:r>
      <w:r w:rsidRPr="00FB01AA">
        <w:rPr>
          <w:sz w:val="18"/>
        </w:rPr>
        <w:t xml:space="preserve"> механизма за изпълнение на програмата </w:t>
      </w:r>
      <w:r w:rsidR="00E81512">
        <w:rPr>
          <w:sz w:val="18"/>
        </w:rPr>
        <w:t>намират израз в</w:t>
      </w:r>
      <w:r w:rsidRPr="00FB01AA">
        <w:rPr>
          <w:sz w:val="18"/>
        </w:rPr>
        <w:t xml:space="preserve"> добавената стойност на метода LEADER. Ето защо за проучването на резултатите може да се използва таблица 3 в глава 2.4.2, в която е даден пример за специфични за програмата оценъчни елементи, създадени за оценка на добавената стойност на ВОМР.</w:t>
      </w:r>
    </w:p>
    <w:p w:rsidR="00150225" w:rsidRDefault="007866D4" w:rsidP="007866D4">
      <w:pPr>
        <w:pStyle w:val="Hlistbullet"/>
        <w:numPr>
          <w:ilvl w:val="0"/>
          <w:numId w:val="0"/>
        </w:numPr>
        <w:rPr>
          <w:sz w:val="18"/>
        </w:rPr>
      </w:pPr>
      <w:r w:rsidRPr="00FB01AA">
        <w:rPr>
          <w:sz w:val="18"/>
        </w:rPr>
        <w:t xml:space="preserve">Повтарящите се ефекти върху </w:t>
      </w:r>
      <w:r w:rsidRPr="00FB01AA">
        <w:rPr>
          <w:b/>
          <w:sz w:val="18"/>
        </w:rPr>
        <w:t>многостепенното управление на равнището на ПРСР</w:t>
      </w:r>
      <w:r w:rsidRPr="00FB01AA">
        <w:rPr>
          <w:sz w:val="18"/>
        </w:rPr>
        <w:t xml:space="preserve"> също следва да бъдат взети предвид. Колкото по-често взаимодействията между равнищата на ПРСР и МГД, включително други участници, като НМСР и междинни</w:t>
      </w:r>
      <w:r w:rsidR="001C15BE">
        <w:rPr>
          <w:sz w:val="18"/>
        </w:rPr>
        <w:t>те</w:t>
      </w:r>
      <w:r w:rsidRPr="00FB01AA">
        <w:rPr>
          <w:sz w:val="18"/>
        </w:rPr>
        <w:t xml:space="preserve"> звена, стават предмет на процеси на текущо обсъждане и придобиване на знания, толкова повече капацитет за успешно ръководене на сложно многостепенно управление ще се изгради</w:t>
      </w:r>
      <w:r w:rsidR="00AF7C3B">
        <w:rPr>
          <w:sz w:val="18"/>
        </w:rPr>
        <w:t>,</w:t>
      </w:r>
      <w:r w:rsidRPr="00FB01AA">
        <w:rPr>
          <w:sz w:val="18"/>
        </w:rPr>
        <w:t xml:space="preserve"> и то по начини, които насърчават умението за вземане на разумни решения в условия</w:t>
      </w:r>
      <w:r w:rsidR="00AF7C3B">
        <w:rPr>
          <w:sz w:val="18"/>
        </w:rPr>
        <w:t>та</w:t>
      </w:r>
      <w:r w:rsidRPr="00FB01AA">
        <w:rPr>
          <w:sz w:val="18"/>
        </w:rPr>
        <w:t xml:space="preserve"> на споделени отговорности между различните равнища. </w:t>
      </w:r>
      <w:r w:rsidR="005A6909">
        <w:rPr>
          <w:sz w:val="18"/>
        </w:rPr>
        <w:t>Тези в</w:t>
      </w:r>
      <w:r w:rsidRPr="00FB01AA">
        <w:rPr>
          <w:sz w:val="18"/>
        </w:rPr>
        <w:t>ъзможни ефекти върху социалния капитал сред заинтересованите страни и върху многостепенното управление могат да бъдат обхванати с показателите за резултати на равнището на ПРСР</w:t>
      </w:r>
      <w:r w:rsidR="005A6909">
        <w:rPr>
          <w:sz w:val="18"/>
        </w:rPr>
        <w:t>.</w:t>
      </w:r>
    </w:p>
    <w:p w:rsidR="007866D4" w:rsidRPr="00FB01AA" w:rsidRDefault="007866D4" w:rsidP="007866D4">
      <w:pPr>
        <w:pStyle w:val="Hlistbullet"/>
        <w:numPr>
          <w:ilvl w:val="0"/>
          <w:numId w:val="0"/>
        </w:numPr>
        <w:rPr>
          <w:sz w:val="18"/>
        </w:rPr>
        <w:sectPr w:rsidR="007866D4" w:rsidRPr="00FB01AA" w:rsidSect="00D16A14">
          <w:type w:val="continuous"/>
          <w:pgSz w:w="11906" w:h="16838"/>
          <w:pgMar w:top="1418" w:right="1418" w:bottom="1418" w:left="1418" w:header="709" w:footer="709" w:gutter="0"/>
          <w:cols w:num="2" w:space="397"/>
          <w:docGrid w:linePitch="360"/>
        </w:sectPr>
      </w:pPr>
      <w:r w:rsidRPr="00FB01AA">
        <w:rPr>
          <w:sz w:val="18"/>
        </w:rPr>
        <w:t>.</w:t>
      </w:r>
    </w:p>
    <w:p w:rsidR="007866D4" w:rsidRPr="00FB01AA" w:rsidRDefault="007866D4" w:rsidP="00056A0D">
      <w:pPr>
        <w:pStyle w:val="HHeadingFigure"/>
        <w:jc w:val="left"/>
        <w:rPr>
          <w:sz w:val="14"/>
        </w:rPr>
      </w:pPr>
      <w:bookmarkStart w:id="94" w:name="_Toc493497737"/>
      <w:bookmarkStart w:id="95" w:name="_Toc498507097"/>
      <w:r w:rsidRPr="00FB01AA">
        <w:rPr>
          <w:sz w:val="14"/>
        </w:rPr>
        <w:t>Възможни ефекти на механизма за изпълнение на ПРСР на различните равнища</w:t>
      </w:r>
      <w:bookmarkEnd w:id="94"/>
      <w:bookmarkEnd w:id="95"/>
    </w:p>
    <w:p w:rsidR="00150225" w:rsidRDefault="00150225" w:rsidP="007866D4">
      <w:pPr>
        <w:pStyle w:val="Hlistbullet"/>
        <w:numPr>
          <w:ilvl w:val="0"/>
          <w:numId w:val="0"/>
        </w:numPr>
        <w:jc w:val="center"/>
        <w:rPr>
          <w:sz w:val="18"/>
        </w:rPr>
      </w:pPr>
      <w:r>
        <w:rPr>
          <w:noProof/>
          <w:sz w:val="18"/>
          <w:lang w:val="en-GB" w:eastAsia="en-GB" w:bidi="ar-SA"/>
        </w:rPr>
        <w:drawing>
          <wp:inline distT="0" distB="0" distL="0" distR="0" wp14:anchorId="0EE4F89A" wp14:editId="0121E50B">
            <wp:extent cx="5175915" cy="1623600"/>
            <wp:effectExtent l="0" t="0" r="5715"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175915" cy="1623600"/>
                    </a:xfrm>
                    <a:prstGeom prst="rect">
                      <a:avLst/>
                    </a:prstGeom>
                    <a:noFill/>
                  </pic:spPr>
                </pic:pic>
              </a:graphicData>
            </a:graphic>
          </wp:inline>
        </w:drawing>
      </w:r>
    </w:p>
    <w:p w:rsidR="007866D4" w:rsidRPr="00FB01AA" w:rsidRDefault="007866D4" w:rsidP="007866D4">
      <w:pPr>
        <w:pStyle w:val="HSource"/>
        <w:rPr>
          <w:sz w:val="14"/>
        </w:rPr>
      </w:pPr>
      <w:r w:rsidRPr="00FB01AA">
        <w:rPr>
          <w:sz w:val="14"/>
        </w:rPr>
        <w:lastRenderedPageBreak/>
        <w:t>Източник: Европейско бюро за оценка в областта на развитието на селските райони, 2017 г.</w:t>
      </w:r>
    </w:p>
    <w:p w:rsidR="007866D4" w:rsidRPr="00FB01AA" w:rsidRDefault="007866D4" w:rsidP="007866D4">
      <w:pPr>
        <w:pStyle w:val="Hlistbullet"/>
        <w:numPr>
          <w:ilvl w:val="0"/>
          <w:numId w:val="0"/>
        </w:numPr>
        <w:rPr>
          <w:sz w:val="18"/>
        </w:rPr>
        <w:sectPr w:rsidR="007866D4" w:rsidRPr="00FB01AA" w:rsidSect="00550F85">
          <w:type w:val="continuous"/>
          <w:pgSz w:w="11906" w:h="16838"/>
          <w:pgMar w:top="1418" w:right="1418" w:bottom="1418" w:left="1418" w:header="709" w:footer="709" w:gutter="0"/>
          <w:cols w:space="397"/>
          <w:docGrid w:linePitch="360"/>
        </w:sectPr>
      </w:pPr>
    </w:p>
    <w:p w:rsidR="007866D4" w:rsidRPr="00FB01AA" w:rsidRDefault="007866D4" w:rsidP="007866D4">
      <w:pPr>
        <w:pStyle w:val="HHeading5"/>
        <w:rPr>
          <w:sz w:val="18"/>
        </w:rPr>
      </w:pPr>
      <w:r w:rsidRPr="00FB01AA">
        <w:rPr>
          <w:sz w:val="18"/>
        </w:rPr>
        <w:t>Стъпка 2: Определяне и подбор на методи за оценка</w:t>
      </w:r>
    </w:p>
    <w:p w:rsidR="007866D4" w:rsidRPr="00FB01AA" w:rsidRDefault="007866D4" w:rsidP="007866D4">
      <w:pPr>
        <w:pStyle w:val="HStandard"/>
        <w:rPr>
          <w:color w:val="373737" w:themeColor="background1" w:themeShade="40"/>
          <w:sz w:val="18"/>
        </w:rPr>
      </w:pPr>
      <w:r w:rsidRPr="00FB01AA">
        <w:rPr>
          <w:b/>
          <w:color w:val="373737" w:themeColor="background1" w:themeShade="40"/>
          <w:sz w:val="18"/>
        </w:rPr>
        <w:t>Методите за оценка,</w:t>
      </w:r>
      <w:r w:rsidRPr="00FB01AA">
        <w:rPr>
          <w:color w:val="373737" w:themeColor="background1" w:themeShade="40"/>
          <w:sz w:val="18"/>
        </w:rPr>
        <w:t xml:space="preserve"> които са най-подходящи за оценката на механизма за изпълнение на LEADER/ВОМР, са преди всичко от качествено естество. Поради силното социално-икономическо измерение, отразено в принципите на ВОМР, </w:t>
      </w:r>
      <w:r w:rsidR="005F0B2B">
        <w:rPr>
          <w:color w:val="373737" w:themeColor="background1" w:themeShade="40"/>
          <w:sz w:val="18"/>
        </w:rPr>
        <w:t xml:space="preserve">основаният на участието </w:t>
      </w:r>
      <w:r w:rsidRPr="00FB01AA">
        <w:rPr>
          <w:color w:val="373737" w:themeColor="background1" w:themeShade="40"/>
          <w:sz w:val="18"/>
        </w:rPr>
        <w:t xml:space="preserve">подход за оценка може да бъде много подходящ. </w:t>
      </w:r>
      <w:r w:rsidRPr="00FB01AA">
        <w:rPr>
          <w:b/>
          <w:color w:val="373737" w:themeColor="background1" w:themeShade="40"/>
          <w:sz w:val="18"/>
        </w:rPr>
        <w:t>Основаната на участието оценка</w:t>
      </w:r>
      <w:r w:rsidRPr="00FB01AA">
        <w:rPr>
          <w:color w:val="373737" w:themeColor="background1" w:themeShade="40"/>
          <w:sz w:val="18"/>
        </w:rPr>
        <w:t xml:space="preserve"> на механизма за изпълнение следва да включва заинтересованите страни, които могат да предоставят полезна информация за ефектите на LEADER/ВОМР и прилагането на принципите на ВОМР (управляващи органи, разплащателни агенции, НМСР, МГД и други).  </w:t>
      </w:r>
    </w:p>
    <w:p w:rsidR="007866D4" w:rsidRPr="00FB01AA" w:rsidRDefault="007866D4" w:rsidP="007866D4">
      <w:pPr>
        <w:pStyle w:val="HStandard"/>
        <w:rPr>
          <w:color w:val="373737" w:themeColor="background1" w:themeShade="40"/>
          <w:sz w:val="18"/>
        </w:rPr>
      </w:pPr>
      <w:r w:rsidRPr="00FB01AA">
        <w:rPr>
          <w:color w:val="373737" w:themeColor="background1" w:themeShade="40"/>
          <w:sz w:val="18"/>
        </w:rPr>
        <w:t>Методите, предложени за тази оценка, включват, наред с другото:</w:t>
      </w:r>
    </w:p>
    <w:p w:rsidR="007866D4" w:rsidRPr="00FB01AA" w:rsidRDefault="007866D4" w:rsidP="002E02E3">
      <w:pPr>
        <w:numPr>
          <w:ilvl w:val="0"/>
          <w:numId w:val="31"/>
        </w:numPr>
        <w:spacing w:before="120"/>
        <w:jc w:val="both"/>
        <w:rPr>
          <w:rFonts w:ascii="Arial" w:hAnsi="Arial"/>
          <w:color w:val="373737" w:themeColor="background1" w:themeShade="40"/>
          <w:sz w:val="18"/>
          <w:szCs w:val="20"/>
        </w:rPr>
      </w:pPr>
      <w:r w:rsidRPr="00FB01AA">
        <w:rPr>
          <w:rFonts w:ascii="Arial" w:hAnsi="Arial"/>
          <w:color w:val="373737" w:themeColor="background1" w:themeShade="40"/>
          <w:sz w:val="18"/>
        </w:rPr>
        <w:t>стандартни методи за оценка, като интервюта, проучвания и казуси от практиката;</w:t>
      </w:r>
    </w:p>
    <w:p w:rsidR="007866D4" w:rsidRPr="00FB01AA" w:rsidRDefault="007866D4" w:rsidP="002E02E3">
      <w:pPr>
        <w:numPr>
          <w:ilvl w:val="0"/>
          <w:numId w:val="31"/>
        </w:numPr>
        <w:spacing w:before="120"/>
        <w:jc w:val="both"/>
        <w:rPr>
          <w:rFonts w:ascii="Arial" w:hAnsi="Arial"/>
          <w:color w:val="373737" w:themeColor="background1" w:themeShade="40"/>
          <w:sz w:val="18"/>
          <w:szCs w:val="20"/>
        </w:rPr>
      </w:pPr>
      <w:r w:rsidRPr="00FB01AA">
        <w:rPr>
          <w:rFonts w:ascii="Arial" w:hAnsi="Arial"/>
          <w:color w:val="373737" w:themeColor="background1" w:themeShade="40"/>
          <w:sz w:val="18"/>
        </w:rPr>
        <w:t>основани на участието методи, като „Мониторинг на най-значимите промени“, „Анализ на потенциала и препятствията“, „Отстраняване на пропуските“ или „Локален мултиплициращ ефект 3“</w:t>
      </w:r>
      <w:r w:rsidRPr="00FB01AA">
        <w:rPr>
          <w:rFonts w:ascii="Arial" w:hAnsi="Arial"/>
          <w:color w:val="373737" w:themeColor="background1" w:themeShade="40"/>
          <w:sz w:val="18"/>
          <w:vertAlign w:val="superscript"/>
        </w:rPr>
        <w:footnoteReference w:id="42"/>
      </w:r>
      <w:r w:rsidRPr="00FB01AA">
        <w:rPr>
          <w:rFonts w:ascii="Arial" w:hAnsi="Arial"/>
          <w:color w:val="373737" w:themeColor="background1" w:themeShade="40"/>
          <w:sz w:val="18"/>
        </w:rPr>
        <w:t>.</w:t>
      </w:r>
    </w:p>
    <w:p w:rsidR="007866D4" w:rsidRPr="00FB01AA" w:rsidRDefault="007866D4" w:rsidP="002E02E3">
      <w:pPr>
        <w:numPr>
          <w:ilvl w:val="0"/>
          <w:numId w:val="31"/>
        </w:numPr>
        <w:spacing w:before="120"/>
        <w:jc w:val="both"/>
        <w:rPr>
          <w:rFonts w:ascii="Arial" w:hAnsi="Arial"/>
          <w:color w:val="373737" w:themeColor="background1" w:themeShade="40"/>
          <w:sz w:val="18"/>
          <w:szCs w:val="20"/>
        </w:rPr>
      </w:pPr>
      <w:r w:rsidRPr="00FB01AA">
        <w:rPr>
          <w:sz w:val="28"/>
        </w:rPr>
        <w:br w:type="column"/>
      </w:r>
      <w:r w:rsidRPr="00FB01AA">
        <w:rPr>
          <w:rFonts w:ascii="Arial" w:hAnsi="Arial"/>
          <w:color w:val="373737" w:themeColor="background1" w:themeShade="40"/>
          <w:sz w:val="18"/>
        </w:rPr>
        <w:t>основани на участието новаторски методи, като например метода MAPP, който е много подходящ за извършване на сравнителен анализ между принципите на ВОМР и стандартните мерки на ПРСР;</w:t>
      </w:r>
    </w:p>
    <w:p w:rsidR="007866D4" w:rsidRPr="00FB01AA" w:rsidRDefault="007866D4" w:rsidP="002E02E3">
      <w:pPr>
        <w:numPr>
          <w:ilvl w:val="0"/>
          <w:numId w:val="31"/>
        </w:numPr>
        <w:spacing w:before="120"/>
        <w:jc w:val="both"/>
        <w:rPr>
          <w:rFonts w:ascii="Arial" w:hAnsi="Arial"/>
          <w:color w:val="373737" w:themeColor="background1" w:themeShade="40"/>
          <w:sz w:val="18"/>
          <w:szCs w:val="20"/>
        </w:rPr>
      </w:pPr>
      <w:r w:rsidRPr="00FB01AA">
        <w:rPr>
          <w:rFonts w:ascii="Arial" w:hAnsi="Arial"/>
          <w:color w:val="373737" w:themeColor="background1" w:themeShade="40"/>
          <w:sz w:val="18"/>
        </w:rPr>
        <w:t>методи за мрежови анализи, като анализ на социалните мрежи или социално счетоводство</w:t>
      </w:r>
      <w:r w:rsidRPr="00FB01AA">
        <w:rPr>
          <w:rFonts w:ascii="Arial" w:hAnsi="Arial"/>
          <w:color w:val="373737" w:themeColor="background1" w:themeShade="40"/>
          <w:sz w:val="18"/>
          <w:vertAlign w:val="superscript"/>
        </w:rPr>
        <w:footnoteReference w:id="43"/>
      </w:r>
      <w:r w:rsidRPr="00FB01AA">
        <w:rPr>
          <w:rFonts w:ascii="Arial" w:hAnsi="Arial"/>
          <w:color w:val="373737" w:themeColor="background1" w:themeShade="40"/>
          <w:sz w:val="18"/>
        </w:rPr>
        <w:t>.</w:t>
      </w:r>
    </w:p>
    <w:p w:rsidR="007866D4" w:rsidRPr="00FB01AA" w:rsidRDefault="007866D4" w:rsidP="007866D4">
      <w:pPr>
        <w:pStyle w:val="HHeading5"/>
        <w:rPr>
          <w:sz w:val="18"/>
        </w:rPr>
      </w:pPr>
      <w:r w:rsidRPr="00FB01AA">
        <w:rPr>
          <w:sz w:val="18"/>
        </w:rPr>
        <w:t xml:space="preserve">Стъпка 3: Събиране на данни и информация </w:t>
      </w:r>
    </w:p>
    <w:p w:rsidR="007866D4" w:rsidRPr="00FB01AA" w:rsidRDefault="007866D4" w:rsidP="007866D4">
      <w:pPr>
        <w:pStyle w:val="HStandard"/>
        <w:rPr>
          <w:sz w:val="18"/>
        </w:rPr>
      </w:pPr>
      <w:r w:rsidRPr="00FB01AA">
        <w:rPr>
          <w:sz w:val="18"/>
        </w:rPr>
        <w:t>Информацията, която се изисква за оценката на механизма за изпълнение на LEADER/ВОМР, се определя от специфичните методи, които са използвани за неговата оценка. Оценителят може да събира и допълнителна информация, като използва качествени методи посредством фокус групи, лични интервюта и т.н.</w:t>
      </w:r>
    </w:p>
    <w:p w:rsidR="007866D4" w:rsidRPr="00FB01AA" w:rsidRDefault="007866D4" w:rsidP="007866D4">
      <w:pPr>
        <w:pStyle w:val="HHeading5"/>
        <w:rPr>
          <w:sz w:val="18"/>
        </w:rPr>
      </w:pPr>
      <w:r w:rsidRPr="00FB01AA">
        <w:rPr>
          <w:sz w:val="18"/>
        </w:rPr>
        <w:t xml:space="preserve"> Стъпка 4: Анализ на информацията </w:t>
      </w:r>
    </w:p>
    <w:p w:rsidR="007866D4" w:rsidRPr="00FB01AA" w:rsidRDefault="007866D4" w:rsidP="007866D4">
      <w:pPr>
        <w:pStyle w:val="HStandard"/>
        <w:rPr>
          <w:sz w:val="18"/>
        </w:rPr>
      </w:pPr>
      <w:r w:rsidRPr="00FB01AA">
        <w:rPr>
          <w:sz w:val="18"/>
        </w:rPr>
        <w:t xml:space="preserve">Събраните от заинтересованите страни данни и информация се анализират и тълкуват, за да се прецени какво е действителното прилагане на метода LEADER във всяка ПРСР. </w:t>
      </w:r>
      <w:r w:rsidR="00EB7638" w:rsidRPr="00251DF4">
        <w:rPr>
          <w:sz w:val="18"/>
        </w:rPr>
        <w:t>Констатаци</w:t>
      </w:r>
      <w:r w:rsidRPr="00FB01AA">
        <w:rPr>
          <w:sz w:val="18"/>
        </w:rPr>
        <w:t xml:space="preserve">ите могат да се използват в отговорите на специфичните за програмата въпроси за оценка, свързани с принципите на ВОМР. </w:t>
      </w:r>
    </w:p>
    <w:p w:rsidR="00056A0D" w:rsidRPr="00FB01AA" w:rsidRDefault="00056A0D" w:rsidP="007866D4">
      <w:pPr>
        <w:pStyle w:val="HStandard"/>
        <w:rPr>
          <w:sz w:val="18"/>
        </w:rPr>
      </w:pPr>
    </w:p>
    <w:p w:rsidR="00056A0D" w:rsidRPr="00FB01AA" w:rsidRDefault="00056A0D" w:rsidP="007866D4">
      <w:pPr>
        <w:pStyle w:val="HStandard"/>
        <w:rPr>
          <w:sz w:val="18"/>
        </w:rPr>
      </w:pPr>
    </w:p>
    <w:p w:rsidR="00056A0D" w:rsidRPr="00FB01AA" w:rsidRDefault="00056A0D" w:rsidP="007866D4">
      <w:pPr>
        <w:pStyle w:val="HStandard"/>
        <w:rPr>
          <w:sz w:val="18"/>
        </w:rPr>
        <w:sectPr w:rsidR="00056A0D" w:rsidRPr="00FB01AA" w:rsidSect="000C3DB8">
          <w:type w:val="continuous"/>
          <w:pgSz w:w="11906" w:h="16838"/>
          <w:pgMar w:top="1418" w:right="1418" w:bottom="1418" w:left="1418" w:header="709" w:footer="709" w:gutter="0"/>
          <w:cols w:num="2" w:space="397"/>
          <w:docGrid w:linePitch="360"/>
        </w:sectPr>
      </w:pPr>
    </w:p>
    <w:p w:rsidR="007866D4" w:rsidRPr="00FB01AA" w:rsidRDefault="007866D4" w:rsidP="007866D4">
      <w:pPr>
        <w:pStyle w:val="HStandard"/>
        <w:rPr>
          <w:sz w:val="18"/>
        </w:rPr>
      </w:pPr>
      <w:r w:rsidRPr="00FB01AA">
        <w:rPr>
          <w:noProof/>
          <w:sz w:val="18"/>
          <w:lang w:val="en-GB" w:eastAsia="en-GB" w:bidi="ar-SA"/>
        </w:rPr>
        <w:lastRenderedPageBreak/>
        <mc:AlternateContent>
          <mc:Choice Requires="wps">
            <w:drawing>
              <wp:inline distT="0" distB="0" distL="0" distR="0" wp14:anchorId="0C5C9A36" wp14:editId="5794BA78">
                <wp:extent cx="5707380" cy="2619375"/>
                <wp:effectExtent l="0" t="0" r="26670" b="28575"/>
                <wp:docPr id="40" name="Rectangle: Diagonal Corners Rounded 40"/>
                <wp:cNvGraphicFramePr/>
                <a:graphic xmlns:a="http://schemas.openxmlformats.org/drawingml/2006/main">
                  <a:graphicData uri="http://schemas.microsoft.com/office/word/2010/wordprocessingShape">
                    <wps:wsp>
                      <wps:cNvSpPr/>
                      <wps:spPr>
                        <a:xfrm>
                          <a:off x="0" y="0"/>
                          <a:ext cx="5707380" cy="261937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D21DBF">
                              <w:trPr>
                                <w:jc w:val="left"/>
                              </w:trPr>
                              <w:tc>
                                <w:tcPr>
                                  <w:tcW w:w="1134" w:type="dxa"/>
                                  <w:shd w:val="clear" w:color="auto" w:fill="auto"/>
                                </w:tcPr>
                                <w:p w:rsidR="00D21DBF" w:rsidRPr="000D7A50" w:rsidRDefault="00D21DBF" w:rsidP="00CB5FC3">
                                  <w:pPr>
                                    <w:pStyle w:val="HStandard"/>
                                    <w:suppressOverlap/>
                                    <w:rPr>
                                      <w:b/>
                                      <w:noProof/>
                                      <w:color w:val="6E8967"/>
                                    </w:rPr>
                                  </w:pPr>
                                  <w:r>
                                    <w:rPr>
                                      <w:b/>
                                      <w:noProof/>
                                      <w:color w:val="6E8967"/>
                                      <w:lang w:val="en-GB" w:eastAsia="en-GB" w:bidi="ar-SA"/>
                                    </w:rPr>
                                    <w:drawing>
                                      <wp:inline distT="0" distB="0" distL="0" distR="0" wp14:anchorId="501B392E" wp14:editId="3F6D890E">
                                        <wp:extent cx="702053" cy="540000"/>
                                        <wp:effectExtent l="0" t="0" r="0" b="0"/>
                                        <wp:docPr id="209"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D21DBF">
                                    <w:tc>
                                      <w:tcPr>
                                        <w:tcW w:w="3402" w:type="dxa"/>
                                        <w:shd w:val="clear" w:color="auto" w:fill="auto"/>
                                      </w:tcPr>
                                      <w:p w:rsidR="00D21DBF" w:rsidRPr="000D7A50" w:rsidRDefault="00D21DBF"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Какво да правите</w:t>
                                        </w:r>
                                      </w:p>
                                      <w:p w:rsidR="00D21DBF" w:rsidRPr="000D7A50" w:rsidRDefault="00D21DBF" w:rsidP="00D16A14">
                                        <w:pPr>
                                          <w:pStyle w:val="Hlistbullet"/>
                                          <w:ind w:left="303" w:hanging="284"/>
                                          <w:suppressOverlap/>
                                          <w:jc w:val="left"/>
                                          <w:rPr>
                                            <w:rFonts w:ascii="Arial" w:hAnsi="Arial" w:cs="Arial"/>
                                            <w:sz w:val="18"/>
                                            <w:szCs w:val="18"/>
                                          </w:rPr>
                                        </w:pPr>
                                        <w:r>
                                          <w:rPr>
                                            <w:rFonts w:ascii="Arial" w:hAnsi="Arial"/>
                                            <w:sz w:val="18"/>
                                          </w:rPr>
                                          <w:t>Разглеждайте принципите на ВОМР като неразделна част от изпълнението на LEADER/ВОМР.</w:t>
                                        </w:r>
                                      </w:p>
                                      <w:p w:rsidR="00D21DBF" w:rsidRPr="000D7A50" w:rsidRDefault="00D21DBF" w:rsidP="00D16A14">
                                        <w:pPr>
                                          <w:pStyle w:val="Hlistbullet"/>
                                          <w:ind w:left="303" w:hanging="284"/>
                                          <w:suppressOverlap/>
                                          <w:jc w:val="left"/>
                                          <w:rPr>
                                            <w:rFonts w:ascii="Arial" w:hAnsi="Arial" w:cs="Arial"/>
                                            <w:sz w:val="18"/>
                                            <w:szCs w:val="18"/>
                                          </w:rPr>
                                        </w:pPr>
                                        <w:r>
                                          <w:rPr>
                                            <w:rFonts w:ascii="Arial" w:hAnsi="Arial"/>
                                            <w:sz w:val="18"/>
                                          </w:rPr>
                                          <w:t>Използвайте предимно качествени методи, за да отговорите на въпросите за оценка.</w:t>
                                        </w:r>
                                      </w:p>
                                      <w:p w:rsidR="00D21DBF" w:rsidRPr="000D7A50" w:rsidRDefault="00D21DBF" w:rsidP="00D16A14">
                                        <w:pPr>
                                          <w:pStyle w:val="Hlistbullet"/>
                                          <w:ind w:left="303" w:hanging="284"/>
                                          <w:suppressOverlap/>
                                          <w:jc w:val="left"/>
                                          <w:rPr>
                                            <w:rFonts w:ascii="Arial" w:hAnsi="Arial" w:cs="Arial"/>
                                            <w:sz w:val="18"/>
                                            <w:szCs w:val="18"/>
                                          </w:rPr>
                                        </w:pPr>
                                        <w:r>
                                          <w:rPr>
                                            <w:rFonts w:ascii="Arial" w:hAnsi="Arial"/>
                                            <w:sz w:val="18"/>
                                          </w:rPr>
                                          <w:t>Направете справка със съществуващите указания относно широк спектър основани на участието полезни методи</w:t>
                                        </w:r>
                                      </w:p>
                                    </w:tc>
                                    <w:tc>
                                      <w:tcPr>
                                        <w:tcW w:w="3402" w:type="dxa"/>
                                        <w:shd w:val="clear" w:color="auto" w:fill="auto"/>
                                      </w:tcPr>
                                      <w:p w:rsidR="00D21DBF" w:rsidRPr="000D7A50" w:rsidRDefault="00D21DBF"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Какво да не правите</w:t>
                                        </w:r>
                                      </w:p>
                                      <w:p w:rsidR="00D21DBF" w:rsidRPr="000D7A50" w:rsidRDefault="00D21DBF"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Не изолирайте принципите на ВОМР един от друг, без да ги разглеждате като едно цяло с метода LEADER. </w:t>
                                        </w:r>
                                      </w:p>
                                      <w:p w:rsidR="00D21DBF" w:rsidRPr="000D7A50" w:rsidRDefault="00D21DBF"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Не подценявайте ползата от качествените методи за оценка на метода LEADER.</w:t>
                                        </w:r>
                                      </w:p>
                                    </w:tc>
                                  </w:tr>
                                </w:tbl>
                                <w:p w:rsidR="00D21DBF" w:rsidRPr="000D7A50" w:rsidRDefault="00D21DBF" w:rsidP="00CB5FC3">
                                  <w:pPr>
                                    <w:autoSpaceDE w:val="0"/>
                                    <w:autoSpaceDN w:val="0"/>
                                    <w:adjustRightInd w:val="0"/>
                                    <w:spacing w:after="0"/>
                                    <w:contextualSpacing/>
                                    <w:suppressOverlap/>
                                    <w:jc w:val="both"/>
                                  </w:pPr>
                                </w:p>
                              </w:tc>
                            </w:tr>
                          </w:tbl>
                          <w:p w:rsidR="00D21DBF" w:rsidRDefault="00D21DBF"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C5C9A36" id="Rectangle: Diagonal Corners Rounded 40" o:spid="_x0000_s1040" style="width:449.4pt;height:206.25pt;visibility:visible;mso-wrap-style:square;mso-left-percent:-10001;mso-top-percent:-10001;mso-position-horizontal:absolute;mso-position-horizontal-relative:char;mso-position-vertical:absolute;mso-position-vertical-relative:line;mso-left-percent:-10001;mso-top-percent:-10001;v-text-anchor:top" coordsize="5707380,2619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" adj="-11796480,,5400" path="m204259,l5707380,r,l5707380,2415116v,112809,-91450,204259,-204259,204259l,2619375r,l,204259c,91450,91450,,204259,xe" fillcolor="white [3204]" strokecolor="#f7a833 [3208]" strokeweight="2pt">
                <v:stroke joinstyle="miter"/>
                <v:formulas/>
                <v:path arrowok="t" o:connecttype="custom" o:connectlocs="204259,0;5707380,0;5707380,0;5707380,2415116;5503121,2619375;0,2619375;0,2619375;0,204259;204259,0" o:connectangles="0,0,0,0,0,0,0,0,0" textboxrect="0,0,5707380,2619375"/>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D21DBF">
                        <w:trPr>
                          <w:jc w:val="left"/>
                        </w:trPr>
                        <w:tc>
                          <w:tcPr>
                            <w:tcW w:w="1134" w:type="dxa"/>
                            <w:shd w:val="clear" w:color="auto" w:fill="auto"/>
                          </w:tcPr>
                          <w:p w:rsidR="00D21DBF" w:rsidRPr="000D7A50" w:rsidRDefault="00D21DBF" w:rsidP="00CB5FC3">
                            <w:pPr>
                              <w:pStyle w:val="HStandard"/>
                              <w:suppressOverlap/>
                              <w:rPr>
                                <w:b/>
                                <w:noProof/>
                                <w:color w:val="6E8967"/>
                              </w:rPr>
                            </w:pPr>
                            <w:r>
                              <w:rPr>
                                <w:b/>
                                <w:noProof/>
                                <w:color w:val="6E8967"/>
                                <w:lang w:val="en-GB" w:eastAsia="en-GB" w:bidi="ar-SA"/>
                              </w:rPr>
                              <w:drawing>
                                <wp:inline distT="0" distB="0" distL="0" distR="0" wp14:anchorId="501B392E" wp14:editId="3F6D890E">
                                  <wp:extent cx="702053" cy="540000"/>
                                  <wp:effectExtent l="0" t="0" r="0" b="0"/>
                                  <wp:docPr id="209"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D21DBF">
                              <w:tc>
                                <w:tcPr>
                                  <w:tcW w:w="3402" w:type="dxa"/>
                                  <w:shd w:val="clear" w:color="auto" w:fill="auto"/>
                                </w:tcPr>
                                <w:p w:rsidR="00D21DBF" w:rsidRPr="000D7A50" w:rsidRDefault="00D21DBF"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Какво да правите</w:t>
                                  </w:r>
                                </w:p>
                                <w:p w:rsidR="00D21DBF" w:rsidRPr="000D7A50" w:rsidRDefault="00D21DBF" w:rsidP="00D16A14">
                                  <w:pPr>
                                    <w:pStyle w:val="Hlistbullet"/>
                                    <w:ind w:left="303" w:hanging="284"/>
                                    <w:suppressOverlap/>
                                    <w:jc w:val="left"/>
                                    <w:rPr>
                                      <w:rFonts w:ascii="Arial" w:hAnsi="Arial" w:cs="Arial"/>
                                      <w:sz w:val="18"/>
                                      <w:szCs w:val="18"/>
                                    </w:rPr>
                                  </w:pPr>
                                  <w:r>
                                    <w:rPr>
                                      <w:rFonts w:ascii="Arial" w:hAnsi="Arial"/>
                                      <w:sz w:val="18"/>
                                    </w:rPr>
                                    <w:t>Разглеждайте принципите на ВОМР като неразделна част от изпълнението на LEADER/ВОМР.</w:t>
                                  </w:r>
                                </w:p>
                                <w:p w:rsidR="00D21DBF" w:rsidRPr="000D7A50" w:rsidRDefault="00D21DBF" w:rsidP="00D16A14">
                                  <w:pPr>
                                    <w:pStyle w:val="Hlistbullet"/>
                                    <w:ind w:left="303" w:hanging="284"/>
                                    <w:suppressOverlap/>
                                    <w:jc w:val="left"/>
                                    <w:rPr>
                                      <w:rFonts w:ascii="Arial" w:hAnsi="Arial" w:cs="Arial"/>
                                      <w:sz w:val="18"/>
                                      <w:szCs w:val="18"/>
                                    </w:rPr>
                                  </w:pPr>
                                  <w:r>
                                    <w:rPr>
                                      <w:rFonts w:ascii="Arial" w:hAnsi="Arial"/>
                                      <w:sz w:val="18"/>
                                    </w:rPr>
                                    <w:t>Използвайте предимно качествени методи, за да отговорите на въпросите за оценка.</w:t>
                                  </w:r>
                                </w:p>
                                <w:p w:rsidR="00D21DBF" w:rsidRPr="000D7A50" w:rsidRDefault="00D21DBF" w:rsidP="00D16A14">
                                  <w:pPr>
                                    <w:pStyle w:val="Hlistbullet"/>
                                    <w:ind w:left="303" w:hanging="284"/>
                                    <w:suppressOverlap/>
                                    <w:jc w:val="left"/>
                                    <w:rPr>
                                      <w:rFonts w:ascii="Arial" w:hAnsi="Arial" w:cs="Arial"/>
                                      <w:sz w:val="18"/>
                                      <w:szCs w:val="18"/>
                                    </w:rPr>
                                  </w:pPr>
                                  <w:r>
                                    <w:rPr>
                                      <w:rFonts w:ascii="Arial" w:hAnsi="Arial"/>
                                      <w:sz w:val="18"/>
                                    </w:rPr>
                                    <w:t>Направете справка със съществуващите указания относно широк спектър основани на участието полезни методи</w:t>
                                  </w:r>
                                </w:p>
                              </w:tc>
                              <w:tc>
                                <w:tcPr>
                                  <w:tcW w:w="3402" w:type="dxa"/>
                                  <w:shd w:val="clear" w:color="auto" w:fill="auto"/>
                                </w:tcPr>
                                <w:p w:rsidR="00D21DBF" w:rsidRPr="000D7A50" w:rsidRDefault="00D21DBF"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Какво да не правите</w:t>
                                  </w:r>
                                </w:p>
                                <w:p w:rsidR="00D21DBF" w:rsidRPr="000D7A50" w:rsidRDefault="00D21DBF"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Не изолирайте принципите на ВОМР един от друг, без да ги разглеждате като едно цяло с метода LEADER. </w:t>
                                  </w:r>
                                </w:p>
                                <w:p w:rsidR="00D21DBF" w:rsidRPr="000D7A50" w:rsidRDefault="00D21DBF"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Не подценявайте ползата от качествените методи за оценка на метода LEADER.</w:t>
                                  </w:r>
                                </w:p>
                              </w:tc>
                            </w:tr>
                          </w:tbl>
                          <w:p w:rsidR="00D21DBF" w:rsidRPr="000D7A50" w:rsidRDefault="00D21DBF" w:rsidP="00CB5FC3">
                            <w:pPr>
                              <w:autoSpaceDE w:val="0"/>
                              <w:autoSpaceDN w:val="0"/>
                              <w:adjustRightInd w:val="0"/>
                              <w:spacing w:after="0"/>
                              <w:contextualSpacing/>
                              <w:suppressOverlap/>
                              <w:jc w:val="both"/>
                            </w:pPr>
                          </w:p>
                        </w:tc>
                      </w:tr>
                    </w:tbl>
                    <w:p w:rsidR="00D21DBF" w:rsidRDefault="00D21DBF" w:rsidP="007866D4">
                      <w:pPr>
                        <w:jc w:val="center"/>
                      </w:pPr>
                    </w:p>
                  </w:txbxContent>
                </v:textbox>
                <w10:anchorlock/>
              </v:shape>
            </w:pict>
          </mc:Fallback>
        </mc:AlternateContent>
      </w:r>
    </w:p>
    <w:p w:rsidR="007866D4" w:rsidRPr="00FB01AA" w:rsidRDefault="007866D4" w:rsidP="007866D4">
      <w:pPr>
        <w:pStyle w:val="HStandard"/>
        <w:rPr>
          <w:sz w:val="18"/>
        </w:rPr>
      </w:pPr>
      <w:r w:rsidRPr="00FB01AA">
        <w:rPr>
          <w:sz w:val="18"/>
        </w:rPr>
        <w:br w:type="page"/>
      </w:r>
    </w:p>
    <w:p w:rsidR="007866D4" w:rsidRPr="00FB01AA" w:rsidRDefault="007866D4" w:rsidP="002E29C6">
      <w:pPr>
        <w:pStyle w:val="HHeading2"/>
        <w:tabs>
          <w:tab w:val="clear" w:pos="360"/>
          <w:tab w:val="clear" w:pos="510"/>
        </w:tabs>
        <w:ind w:left="567" w:hanging="567"/>
        <w:rPr>
          <w:sz w:val="18"/>
        </w:rPr>
      </w:pPr>
      <w:bookmarkStart w:id="96" w:name="_Toc466620166"/>
      <w:bookmarkStart w:id="97" w:name="_Toc475030389"/>
      <w:bookmarkStart w:id="98" w:name="_Toc493497713"/>
      <w:bookmarkStart w:id="99" w:name="_Toc498506716"/>
      <w:r w:rsidRPr="00FB01AA">
        <w:rPr>
          <w:sz w:val="18"/>
        </w:rPr>
        <w:lastRenderedPageBreak/>
        <w:t>Оценка на добавената стойност на LEADER/ВОМР</w:t>
      </w:r>
      <w:bookmarkEnd w:id="96"/>
      <w:r w:rsidRPr="00FB01AA">
        <w:rPr>
          <w:sz w:val="18"/>
        </w:rPr>
        <w:t xml:space="preserve"> (препоръчително)</w:t>
      </w:r>
      <w:bookmarkEnd w:id="97"/>
      <w:bookmarkEnd w:id="98"/>
      <w:bookmarkEnd w:id="99"/>
    </w:p>
    <w:p w:rsidR="007866D4" w:rsidRPr="00FB01AA" w:rsidRDefault="007866D4" w:rsidP="007866D4">
      <w:pPr>
        <w:pStyle w:val="HHeading3"/>
        <w:framePr w:wrap="notBeside"/>
        <w:rPr>
          <w:sz w:val="18"/>
        </w:rPr>
      </w:pPr>
      <w:bookmarkStart w:id="100" w:name="_Toc475030390"/>
      <w:bookmarkStart w:id="101" w:name="_Toc493497714"/>
      <w:bookmarkStart w:id="102" w:name="_Toc498506717"/>
      <w:r w:rsidRPr="00FB01AA">
        <w:rPr>
          <w:sz w:val="18"/>
        </w:rPr>
        <w:t>Какво да се оценява?</w:t>
      </w:r>
      <w:bookmarkEnd w:id="100"/>
      <w:bookmarkEnd w:id="101"/>
      <w:bookmarkEnd w:id="102"/>
    </w:p>
    <w:p w:rsidR="007866D4" w:rsidRPr="00FB01AA" w:rsidRDefault="007866D4" w:rsidP="007866D4">
      <w:pPr>
        <w:pStyle w:val="HStandard"/>
        <w:spacing w:before="240"/>
        <w:rPr>
          <w:color w:val="373737" w:themeColor="background1" w:themeShade="40"/>
          <w:sz w:val="18"/>
          <w:szCs w:val="24"/>
        </w:rPr>
      </w:pPr>
      <w:r w:rsidRPr="00FB01AA">
        <w:rPr>
          <w:b/>
          <w:color w:val="373737" w:themeColor="background1" w:themeShade="40"/>
          <w:sz w:val="18"/>
        </w:rPr>
        <w:t>Добавената стойност на</w:t>
      </w:r>
      <w:r w:rsidRPr="00FB01AA">
        <w:rPr>
          <w:color w:val="373737" w:themeColor="background1" w:themeShade="40"/>
          <w:sz w:val="18"/>
        </w:rPr>
        <w:t xml:space="preserve"> </w:t>
      </w:r>
      <w:r w:rsidRPr="00FB01AA">
        <w:rPr>
          <w:b/>
          <w:color w:val="373737" w:themeColor="background1" w:themeShade="40"/>
          <w:sz w:val="18"/>
        </w:rPr>
        <w:t xml:space="preserve">LEADER/ВОМР </w:t>
      </w:r>
      <w:r w:rsidRPr="00FB01AA">
        <w:rPr>
          <w:color w:val="373737" w:themeColor="background1" w:themeShade="40"/>
          <w:sz w:val="18"/>
        </w:rPr>
        <w:t xml:space="preserve">се определя като ползите, които са постигнати в резултат на правилното прилагане на метода LEADER. На равнището на ПРСР тя се измерва чрез оценка на а) подобряването на социалния капитал сред участващите заинтересовани страни; б) промените в управлението на ПРСР, които се дължат на LEADER/ВОМР; и в) положителните ефекти на метода LEADER върху резултатите и въздействията на ПРСР. </w:t>
      </w:r>
    </w:p>
    <w:p w:rsidR="007866D4" w:rsidRPr="00FB01AA" w:rsidRDefault="007866D4" w:rsidP="002E02E3">
      <w:pPr>
        <w:pStyle w:val="HStandard"/>
        <w:numPr>
          <w:ilvl w:val="0"/>
          <w:numId w:val="27"/>
        </w:numPr>
        <w:ind w:left="426" w:hanging="426"/>
        <w:rPr>
          <w:sz w:val="18"/>
        </w:rPr>
      </w:pPr>
      <w:r w:rsidRPr="00FB01AA">
        <w:rPr>
          <w:b/>
          <w:sz w:val="18"/>
        </w:rPr>
        <w:t>Социалният капитал</w:t>
      </w:r>
      <w:r w:rsidRPr="00FB01AA">
        <w:rPr>
          <w:sz w:val="18"/>
        </w:rPr>
        <w:t xml:space="preserve"> е многоизмерна концепция, която включва: „елементи на социалната организация, като мрежи, стандарти и социално доверие, улесняващи координацията и взаимноизгодното сътрудничество“. Социалният капитал се основава на процеси, които са от решаващо значение за развитието на общността и за функционирането на сплотено и приобщаващо общество.  </w:t>
      </w:r>
    </w:p>
    <w:p w:rsidR="007866D4" w:rsidRPr="00FB01AA" w:rsidRDefault="007866D4" w:rsidP="007866D4">
      <w:pPr>
        <w:pStyle w:val="HStandard"/>
        <w:ind w:left="426"/>
        <w:rPr>
          <w:sz w:val="18"/>
        </w:rPr>
      </w:pPr>
      <w:r w:rsidRPr="00FB01AA">
        <w:rPr>
          <w:sz w:val="18"/>
        </w:rPr>
        <w:t xml:space="preserve">При </w:t>
      </w:r>
      <w:r w:rsidRPr="00FB01AA">
        <w:rPr>
          <w:b/>
          <w:sz w:val="18"/>
        </w:rPr>
        <w:t>оценката на</w:t>
      </w:r>
      <w:r w:rsidRPr="00FB01AA">
        <w:rPr>
          <w:sz w:val="18"/>
        </w:rPr>
        <w:t xml:space="preserve"> </w:t>
      </w:r>
      <w:r w:rsidRPr="00FB01AA">
        <w:rPr>
          <w:b/>
          <w:sz w:val="18"/>
        </w:rPr>
        <w:t>социалния капитал</w:t>
      </w:r>
      <w:r w:rsidRPr="00FB01AA">
        <w:rPr>
          <w:sz w:val="18"/>
        </w:rPr>
        <w:t xml:space="preserve"> като добавена стойност на метода LEADER на равнището на ПРСР се разглеждат социалните процеси, капацитетът и отношенията между всички </w:t>
      </w:r>
      <w:r w:rsidR="008B3D96">
        <w:rPr>
          <w:sz w:val="18"/>
        </w:rPr>
        <w:t xml:space="preserve">участващи </w:t>
      </w:r>
      <w:r w:rsidRPr="00FB01AA">
        <w:rPr>
          <w:sz w:val="18"/>
        </w:rPr>
        <w:t>заинтересовани страни. Правилното прилагане на метода LEADER например може:</w:t>
      </w:r>
    </w:p>
    <w:p w:rsidR="007866D4" w:rsidRPr="00FB01AA" w:rsidRDefault="007866D4" w:rsidP="002E02E3">
      <w:pPr>
        <w:pStyle w:val="Hlistbullet"/>
        <w:numPr>
          <w:ilvl w:val="0"/>
          <w:numId w:val="38"/>
        </w:numPr>
        <w:rPr>
          <w:sz w:val="18"/>
        </w:rPr>
      </w:pPr>
      <w:r w:rsidRPr="00FB01AA">
        <w:rPr>
          <w:sz w:val="18"/>
        </w:rPr>
        <w:t xml:space="preserve">да укрепи </w:t>
      </w:r>
      <w:r w:rsidRPr="00FB01AA">
        <w:rPr>
          <w:b/>
          <w:sz w:val="18"/>
        </w:rPr>
        <w:t>взаимната подкрепа и доверието</w:t>
      </w:r>
      <w:r w:rsidRPr="00FB01AA">
        <w:rPr>
          <w:sz w:val="18"/>
        </w:rPr>
        <w:t xml:space="preserve"> между УО, РА, НМСР, МГД и техните бенефициери и да засили участието на всички заинтересовани страни в разработването и прилагането на ориентиран „от долу нагоре“ подход; </w:t>
      </w:r>
    </w:p>
    <w:p w:rsidR="007866D4" w:rsidRPr="00FB01AA" w:rsidRDefault="007866D4" w:rsidP="002E02E3">
      <w:pPr>
        <w:pStyle w:val="Hlistbullet"/>
        <w:numPr>
          <w:ilvl w:val="0"/>
          <w:numId w:val="38"/>
        </w:numPr>
        <w:rPr>
          <w:sz w:val="18"/>
        </w:rPr>
      </w:pPr>
      <w:r w:rsidRPr="00FB01AA">
        <w:rPr>
          <w:sz w:val="18"/>
        </w:rPr>
        <w:t xml:space="preserve">да доведе до истинско партньорство между заинтересованите страни на всички равнища, </w:t>
      </w:r>
      <w:r w:rsidR="008B3D96">
        <w:rPr>
          <w:sz w:val="18"/>
        </w:rPr>
        <w:t xml:space="preserve">до </w:t>
      </w:r>
      <w:r w:rsidRPr="00FB01AA">
        <w:rPr>
          <w:b/>
          <w:sz w:val="18"/>
        </w:rPr>
        <w:t>общи стандарти и ценности</w:t>
      </w:r>
      <w:r w:rsidRPr="00FB01AA">
        <w:rPr>
          <w:sz w:val="18"/>
        </w:rPr>
        <w:t xml:space="preserve"> и да улесни ефективната и ефикасна комуникация; </w:t>
      </w:r>
    </w:p>
    <w:p w:rsidR="007866D4" w:rsidRPr="00FB01AA" w:rsidRDefault="007866D4" w:rsidP="002E02E3">
      <w:pPr>
        <w:pStyle w:val="Hlistbullet"/>
        <w:numPr>
          <w:ilvl w:val="0"/>
          <w:numId w:val="38"/>
        </w:numPr>
        <w:rPr>
          <w:sz w:val="18"/>
        </w:rPr>
      </w:pPr>
      <w:r w:rsidRPr="00FB01AA">
        <w:rPr>
          <w:sz w:val="18"/>
        </w:rPr>
        <w:t xml:space="preserve">да даде възможност за </w:t>
      </w:r>
      <w:r w:rsidRPr="00FB01AA">
        <w:rPr>
          <w:b/>
          <w:sz w:val="18"/>
        </w:rPr>
        <w:t>укрепване на знанията, уменията и информацията</w:t>
      </w:r>
      <w:r w:rsidRPr="00FB01AA">
        <w:rPr>
          <w:sz w:val="18"/>
        </w:rPr>
        <w:t xml:space="preserve"> чрез добре утвърдени мрежи и </w:t>
      </w:r>
      <w:r w:rsidRPr="00FB01AA">
        <w:rPr>
          <w:sz w:val="18"/>
        </w:rPr>
        <w:t xml:space="preserve">сътрудничество между </w:t>
      </w:r>
      <w:r w:rsidR="008B3D96">
        <w:rPr>
          <w:sz w:val="18"/>
        </w:rPr>
        <w:t xml:space="preserve">участващите </w:t>
      </w:r>
      <w:r w:rsidRPr="00FB01AA">
        <w:rPr>
          <w:sz w:val="18"/>
        </w:rPr>
        <w:t>заинтересовани страни, което е необходимо за изпълнението на LEADER/ВОМР и за постигането на неговите цели.</w:t>
      </w:r>
    </w:p>
    <w:p w:rsidR="007866D4" w:rsidRPr="00FB01AA" w:rsidRDefault="007866D4" w:rsidP="002E02E3">
      <w:pPr>
        <w:pStyle w:val="HStandard"/>
        <w:numPr>
          <w:ilvl w:val="0"/>
          <w:numId w:val="27"/>
        </w:numPr>
        <w:ind w:left="426" w:hanging="426"/>
        <w:rPr>
          <w:color w:val="333333"/>
          <w:sz w:val="18"/>
          <w:shd w:val="clear" w:color="auto" w:fill="FFFFFF"/>
        </w:rPr>
      </w:pPr>
      <w:r w:rsidRPr="00FB01AA">
        <w:rPr>
          <w:b/>
          <w:sz w:val="18"/>
          <w:shd w:val="clear" w:color="auto" w:fill="FFFFFF"/>
        </w:rPr>
        <w:t>Много</w:t>
      </w:r>
      <w:r w:rsidRPr="00FB01AA">
        <w:rPr>
          <w:b/>
          <w:sz w:val="18"/>
        </w:rPr>
        <w:t>степенното управление</w:t>
      </w:r>
      <w:r w:rsidRPr="00FB01AA">
        <w:rPr>
          <w:sz w:val="18"/>
        </w:rPr>
        <w:t xml:space="preserve"> е важна концепция за изпълнението на политиките на ЕС</w:t>
      </w:r>
      <w:r w:rsidRPr="00FB01AA">
        <w:rPr>
          <w:sz w:val="18"/>
          <w:shd w:val="clear" w:color="auto" w:fill="FFFFFF"/>
          <w:vertAlign w:val="superscript"/>
        </w:rPr>
        <w:footnoteReference w:id="44"/>
      </w:r>
      <w:r w:rsidRPr="00FB01AA">
        <w:rPr>
          <w:sz w:val="18"/>
        </w:rPr>
        <w:t xml:space="preserve">. То се характеризира с чести и сложни взаимодействия между различни правителствени и неправителствени участници, които са </w:t>
      </w:r>
      <w:r w:rsidR="008B3D96">
        <w:rPr>
          <w:sz w:val="18"/>
        </w:rPr>
        <w:t>мобилизира</w:t>
      </w:r>
      <w:r w:rsidRPr="00FB01AA">
        <w:rPr>
          <w:sz w:val="18"/>
        </w:rPr>
        <w:t>ни в създаването на политиката на сближаване и на политиките на ЕС като цяло.</w:t>
      </w:r>
      <w:r w:rsidRPr="00FB01AA">
        <w:rPr>
          <w:color w:val="333333"/>
          <w:sz w:val="18"/>
          <w:shd w:val="clear" w:color="auto" w:fill="FFFFFF"/>
        </w:rPr>
        <w:t xml:space="preserve"> </w:t>
      </w:r>
    </w:p>
    <w:p w:rsidR="007866D4" w:rsidRPr="00FB01AA" w:rsidRDefault="007866D4" w:rsidP="007866D4">
      <w:pPr>
        <w:pStyle w:val="HStandard"/>
        <w:ind w:left="426"/>
        <w:rPr>
          <w:color w:val="333333"/>
          <w:sz w:val="18"/>
          <w:shd w:val="clear" w:color="auto" w:fill="FFFFFF"/>
        </w:rPr>
      </w:pPr>
      <w:r w:rsidRPr="00FB01AA">
        <w:rPr>
          <w:b/>
          <w:color w:val="333333"/>
          <w:sz w:val="18"/>
          <w:shd w:val="clear" w:color="auto" w:fill="FFFFFF"/>
        </w:rPr>
        <w:t>Многостепенното управление в контекста на LEADER/ВОМР</w:t>
      </w:r>
      <w:r w:rsidRPr="00FB01AA">
        <w:rPr>
          <w:color w:val="333333"/>
          <w:sz w:val="18"/>
          <w:shd w:val="clear" w:color="auto" w:fill="FFFFFF"/>
        </w:rPr>
        <w:t xml:space="preserve"> може да се разбира като хоризонталн</w:t>
      </w:r>
      <w:r w:rsidR="00E63FAE">
        <w:rPr>
          <w:color w:val="333333"/>
          <w:sz w:val="18"/>
          <w:shd w:val="clear" w:color="auto" w:fill="FFFFFF"/>
        </w:rPr>
        <w:t>и</w:t>
      </w:r>
      <w:r w:rsidRPr="00FB01AA">
        <w:rPr>
          <w:color w:val="333333"/>
          <w:sz w:val="18"/>
          <w:shd w:val="clear" w:color="auto" w:fill="FFFFFF"/>
        </w:rPr>
        <w:t xml:space="preserve"> и вертикалн</w:t>
      </w:r>
      <w:r w:rsidR="00E63FAE">
        <w:rPr>
          <w:color w:val="333333"/>
          <w:sz w:val="18"/>
          <w:shd w:val="clear" w:color="auto" w:fill="FFFFFF"/>
        </w:rPr>
        <w:t>и</w:t>
      </w:r>
      <w:r w:rsidRPr="00FB01AA">
        <w:rPr>
          <w:color w:val="333333"/>
          <w:sz w:val="18"/>
          <w:shd w:val="clear" w:color="auto" w:fill="FFFFFF"/>
        </w:rPr>
        <w:t xml:space="preserve"> взаимодействи</w:t>
      </w:r>
      <w:r w:rsidR="00E63FAE">
        <w:rPr>
          <w:color w:val="333333"/>
          <w:sz w:val="18"/>
          <w:shd w:val="clear" w:color="auto" w:fill="FFFFFF"/>
        </w:rPr>
        <w:t>я</w:t>
      </w:r>
      <w:r w:rsidRPr="00FB01AA">
        <w:rPr>
          <w:color w:val="333333"/>
          <w:sz w:val="18"/>
          <w:shd w:val="clear" w:color="auto" w:fill="FFFFFF"/>
        </w:rPr>
        <w:t xml:space="preserve"> между правителствени и неправителствени заинтересовани страни, участващи в изпълнението на LEADER/ВОМР на европейско, национално, регионално и местно равнище. Тези взаимодействия могат да приемат формата на оперативно и институционализирано сътрудничество, при което LEADER/ВОМР се разработва и изпълнява в съответствие с метода LEADER. </w:t>
      </w:r>
    </w:p>
    <w:p w:rsidR="007866D4" w:rsidRPr="00FB01AA" w:rsidRDefault="007866D4" w:rsidP="007866D4">
      <w:pPr>
        <w:pStyle w:val="HStandard"/>
        <w:ind w:left="426"/>
        <w:rPr>
          <w:sz w:val="18"/>
        </w:rPr>
      </w:pPr>
      <w:r w:rsidRPr="00FB01AA">
        <w:rPr>
          <w:sz w:val="18"/>
        </w:rPr>
        <w:t xml:space="preserve">При </w:t>
      </w:r>
      <w:r w:rsidRPr="00FB01AA">
        <w:rPr>
          <w:b/>
          <w:sz w:val="18"/>
        </w:rPr>
        <w:t xml:space="preserve">оценката на многостепенното управление </w:t>
      </w:r>
      <w:r w:rsidRPr="00FB01AA">
        <w:rPr>
          <w:sz w:val="18"/>
        </w:rPr>
        <w:t xml:space="preserve">като добавена стойност на LEADER/ВОМР следва да се вземе предвид например следното: </w:t>
      </w:r>
    </w:p>
    <w:p w:rsidR="007866D4" w:rsidRPr="00FB01AA" w:rsidRDefault="007866D4" w:rsidP="002E02E3">
      <w:pPr>
        <w:pStyle w:val="Hlistbullet"/>
        <w:numPr>
          <w:ilvl w:val="0"/>
          <w:numId w:val="39"/>
        </w:numPr>
        <w:ind w:left="709"/>
        <w:rPr>
          <w:sz w:val="18"/>
        </w:rPr>
      </w:pPr>
      <w:r w:rsidRPr="00FB01AA">
        <w:rPr>
          <w:b/>
          <w:sz w:val="18"/>
        </w:rPr>
        <w:t xml:space="preserve">укрепването на </w:t>
      </w:r>
      <w:r w:rsidR="00E63FAE">
        <w:rPr>
          <w:b/>
          <w:sz w:val="18"/>
        </w:rPr>
        <w:t>споделен</w:t>
      </w:r>
      <w:r w:rsidRPr="00FB01AA">
        <w:rPr>
          <w:b/>
          <w:sz w:val="18"/>
        </w:rPr>
        <w:t>ото управление на LEADER/ВОМР</w:t>
      </w:r>
      <w:r w:rsidRPr="00FB01AA">
        <w:rPr>
          <w:sz w:val="18"/>
        </w:rPr>
        <w:t xml:space="preserve">: </w:t>
      </w:r>
    </w:p>
    <w:p w:rsidR="007866D4" w:rsidRPr="00FB01AA" w:rsidRDefault="007866D4" w:rsidP="000852A0">
      <w:pPr>
        <w:pStyle w:val="Hlistbullet2"/>
        <w:ind w:left="993"/>
        <w:rPr>
          <w:sz w:val="18"/>
        </w:rPr>
      </w:pPr>
      <w:r w:rsidRPr="00FB01AA">
        <w:rPr>
          <w:sz w:val="18"/>
        </w:rPr>
        <w:t xml:space="preserve">между различните равнища (вертикално), например между УО, МГД и НМСР, за да се улесни по-широкото участие на обществения сектор и НПО/гражданското общество като равноправни партньори; </w:t>
      </w:r>
    </w:p>
    <w:p w:rsidR="007866D4" w:rsidRPr="00FB01AA" w:rsidRDefault="007866D4" w:rsidP="000852A0">
      <w:pPr>
        <w:pStyle w:val="Hlistbullet2"/>
        <w:ind w:left="993"/>
        <w:rPr>
          <w:sz w:val="18"/>
        </w:rPr>
      </w:pPr>
      <w:r w:rsidRPr="00FB01AA">
        <w:rPr>
          <w:sz w:val="18"/>
        </w:rPr>
        <w:t xml:space="preserve">на едно и също равнище (хоризонтално), например между УО и РА, за да се улесни гладкото изпълнение на LEADER/ВОМР; между УО на други оперативни програми, за да се подобри сътрудничеството и управлението между различните ЕСИ </w:t>
      </w:r>
      <w:r w:rsidRPr="00FB01AA">
        <w:rPr>
          <w:sz w:val="18"/>
        </w:rPr>
        <w:lastRenderedPageBreak/>
        <w:t>фондове за постигането на целите на ВОМР по Споразумението за партньорство (например съвместно използване на базата данни за операциите)</w:t>
      </w:r>
      <w:r w:rsidR="00E63FAE">
        <w:rPr>
          <w:sz w:val="18"/>
        </w:rPr>
        <w:t>;</w:t>
      </w:r>
      <w:r w:rsidRPr="00FB01AA">
        <w:rPr>
          <w:sz w:val="18"/>
        </w:rPr>
        <w:t xml:space="preserve"> между МГД, за да се улесни трансферът на умения и знания; </w:t>
      </w:r>
    </w:p>
    <w:p w:rsidR="007866D4" w:rsidRPr="00FB01AA" w:rsidRDefault="007866D4" w:rsidP="002E02E3">
      <w:pPr>
        <w:pStyle w:val="Hlistbullet"/>
        <w:numPr>
          <w:ilvl w:val="0"/>
          <w:numId w:val="29"/>
        </w:numPr>
        <w:ind w:left="993"/>
        <w:rPr>
          <w:sz w:val="18"/>
        </w:rPr>
      </w:pPr>
      <w:r w:rsidRPr="00FB01AA">
        <w:rPr>
          <w:b/>
          <w:sz w:val="18"/>
        </w:rPr>
        <w:t xml:space="preserve">новаторските управленски практики </w:t>
      </w:r>
      <w:r w:rsidRPr="00FB01AA">
        <w:rPr>
          <w:sz w:val="18"/>
        </w:rPr>
        <w:t>в</w:t>
      </w:r>
      <w:r w:rsidRPr="00FB01AA">
        <w:rPr>
          <w:b/>
          <w:sz w:val="18"/>
        </w:rPr>
        <w:t xml:space="preserve"> </w:t>
      </w:r>
      <w:r w:rsidRPr="00FB01AA">
        <w:rPr>
          <w:sz w:val="18"/>
        </w:rPr>
        <w:t xml:space="preserve">LEADER/ВОМР (например участие на публично-частни работни групи в създаването на национални/регионални насоки за разработването на LEADER/ВОМР). </w:t>
      </w:r>
    </w:p>
    <w:p w:rsidR="007866D4" w:rsidRPr="00FB01AA" w:rsidRDefault="007866D4" w:rsidP="0029298B">
      <w:pPr>
        <w:pStyle w:val="HStandard"/>
        <w:numPr>
          <w:ilvl w:val="0"/>
          <w:numId w:val="27"/>
        </w:numPr>
        <w:rPr>
          <w:sz w:val="18"/>
        </w:rPr>
      </w:pPr>
      <w:r w:rsidRPr="00FB01AA">
        <w:rPr>
          <w:b/>
          <w:sz w:val="18"/>
        </w:rPr>
        <w:t xml:space="preserve">Засилване на резултатите и въздействията на ПРСР. </w:t>
      </w:r>
      <w:r w:rsidRPr="00FB01AA">
        <w:rPr>
          <w:sz w:val="18"/>
        </w:rPr>
        <w:t xml:space="preserve">LEADER/ВОМР представлява различна форма за изпълнение на ЕЗФРСР: тя използва метода LEADER за </w:t>
      </w:r>
      <w:r w:rsidR="000806DD">
        <w:rPr>
          <w:sz w:val="18"/>
        </w:rPr>
        <w:t>задовол</w:t>
      </w:r>
      <w:r w:rsidR="00D37580">
        <w:rPr>
          <w:sz w:val="18"/>
        </w:rPr>
        <w:t>яв</w:t>
      </w:r>
      <w:r w:rsidRPr="00FB01AA">
        <w:rPr>
          <w:sz w:val="18"/>
        </w:rPr>
        <w:t xml:space="preserve">ане на местните потребности и </w:t>
      </w:r>
      <w:r w:rsidR="00D37580">
        <w:rPr>
          <w:sz w:val="18"/>
        </w:rPr>
        <w:t>за оказване на принос в</w:t>
      </w:r>
      <w:r w:rsidRPr="00FB01AA">
        <w:rPr>
          <w:sz w:val="18"/>
        </w:rPr>
        <w:t xml:space="preserve"> </w:t>
      </w:r>
      <w:r w:rsidR="0029298B">
        <w:rPr>
          <w:sz w:val="18"/>
        </w:rPr>
        <w:t>постигане</w:t>
      </w:r>
      <w:r w:rsidR="00D37580">
        <w:rPr>
          <w:sz w:val="18"/>
        </w:rPr>
        <w:t>то</w:t>
      </w:r>
      <w:r w:rsidR="0029298B">
        <w:rPr>
          <w:sz w:val="18"/>
        </w:rPr>
        <w:t xml:space="preserve"> на </w:t>
      </w:r>
      <w:r w:rsidRPr="00FB01AA">
        <w:rPr>
          <w:sz w:val="18"/>
        </w:rPr>
        <w:t xml:space="preserve">целите на политиката </w:t>
      </w:r>
      <w:r w:rsidR="0029298B" w:rsidRPr="0029298B">
        <w:rPr>
          <w:sz w:val="18"/>
        </w:rPr>
        <w:t xml:space="preserve">за развитие на селските райони </w:t>
      </w:r>
      <w:r w:rsidRPr="00FB01AA">
        <w:rPr>
          <w:sz w:val="18"/>
        </w:rPr>
        <w:t xml:space="preserve">на </w:t>
      </w:r>
      <w:r w:rsidR="0029298B">
        <w:rPr>
          <w:sz w:val="18"/>
        </w:rPr>
        <w:t xml:space="preserve">равнището на </w:t>
      </w:r>
      <w:r w:rsidRPr="00FB01AA">
        <w:rPr>
          <w:sz w:val="18"/>
        </w:rPr>
        <w:t>ЕС</w:t>
      </w:r>
      <w:r w:rsidR="0029298B">
        <w:rPr>
          <w:sz w:val="18"/>
        </w:rPr>
        <w:t>, на национално и регионално равнище</w:t>
      </w:r>
      <w:r w:rsidRPr="00FB01AA">
        <w:rPr>
          <w:sz w:val="18"/>
        </w:rPr>
        <w:t xml:space="preserve">. Стратегиите за ВОМР се разработват от МГД и следователно позволяват интервенциите да бъдат по-добре пригодени към местните особености. МГД имат правомощия да вземат решения относно това какви средства да се използват, къде, за кого и как, така че да се </w:t>
      </w:r>
      <w:r w:rsidR="00D37580">
        <w:rPr>
          <w:sz w:val="18"/>
        </w:rPr>
        <w:t>отговори на</w:t>
      </w:r>
      <w:r w:rsidRPr="00FB01AA">
        <w:rPr>
          <w:sz w:val="18"/>
        </w:rPr>
        <w:t xml:space="preserve"> местните потребности и да се постигнат съответните цели. </w:t>
      </w:r>
    </w:p>
    <w:p w:rsidR="007866D4" w:rsidRPr="00FB01AA" w:rsidRDefault="007866D4" w:rsidP="007866D4">
      <w:pPr>
        <w:pStyle w:val="HStandard"/>
        <w:ind w:left="426"/>
        <w:rPr>
          <w:sz w:val="18"/>
        </w:rPr>
      </w:pPr>
      <w:r w:rsidRPr="00FB01AA">
        <w:rPr>
          <w:sz w:val="18"/>
        </w:rPr>
        <w:t xml:space="preserve">При прилагането на метода LEADER се генерира добавена стойност и от гледна точка на </w:t>
      </w:r>
      <w:r w:rsidRPr="00FB01AA">
        <w:rPr>
          <w:b/>
          <w:sz w:val="18"/>
        </w:rPr>
        <w:t xml:space="preserve">засилване на резултатите и въздействията на ПРСР. </w:t>
      </w:r>
      <w:r w:rsidRPr="00FB01AA">
        <w:rPr>
          <w:sz w:val="18"/>
        </w:rPr>
        <w:t xml:space="preserve">При измерването на този аспект би могло да се вземе предвид следното: </w:t>
      </w:r>
    </w:p>
    <w:p w:rsidR="007866D4" w:rsidRPr="00FB01AA" w:rsidRDefault="007866D4" w:rsidP="002E02E3">
      <w:pPr>
        <w:pStyle w:val="Hlistbullet"/>
        <w:numPr>
          <w:ilvl w:val="0"/>
          <w:numId w:val="40"/>
        </w:numPr>
        <w:rPr>
          <w:sz w:val="18"/>
        </w:rPr>
      </w:pPr>
      <w:r w:rsidRPr="00FB01AA">
        <w:rPr>
          <w:sz w:val="18"/>
        </w:rPr>
        <w:br w:type="column"/>
      </w:r>
      <w:r w:rsidRPr="00FB01AA">
        <w:rPr>
          <w:sz w:val="18"/>
        </w:rPr>
        <w:t xml:space="preserve">Приносът за постигане на целите на политиката за </w:t>
      </w:r>
      <w:r w:rsidR="000806DD">
        <w:rPr>
          <w:sz w:val="18"/>
        </w:rPr>
        <w:t xml:space="preserve">развитие на </w:t>
      </w:r>
      <w:r w:rsidRPr="00FB01AA">
        <w:rPr>
          <w:sz w:val="18"/>
        </w:rPr>
        <w:t xml:space="preserve">селските райони може да се засили чрез по-ефективен и по-добре интегриран подход за насочване на усилията към потребностите на селските райони. </w:t>
      </w:r>
    </w:p>
    <w:p w:rsidR="007866D4" w:rsidRPr="00FB01AA" w:rsidRDefault="007866D4" w:rsidP="002E02E3">
      <w:pPr>
        <w:pStyle w:val="Hlistbullet"/>
        <w:numPr>
          <w:ilvl w:val="0"/>
          <w:numId w:val="40"/>
        </w:numPr>
        <w:rPr>
          <w:sz w:val="18"/>
        </w:rPr>
      </w:pPr>
      <w:r w:rsidRPr="00FB01AA">
        <w:rPr>
          <w:sz w:val="18"/>
        </w:rPr>
        <w:t xml:space="preserve">Правилното прилагане на ориентирания „от долу нагоре“ подход може да доведе до създаването на </w:t>
      </w:r>
      <w:r w:rsidRPr="00FB01AA">
        <w:rPr>
          <w:b/>
          <w:sz w:val="18"/>
        </w:rPr>
        <w:t>по</w:t>
      </w:r>
      <w:r w:rsidR="000806DD">
        <w:rPr>
          <w:b/>
          <w:sz w:val="18"/>
        </w:rPr>
        <w:t>-</w:t>
      </w:r>
      <w:r w:rsidRPr="00FB01AA">
        <w:rPr>
          <w:b/>
          <w:sz w:val="18"/>
        </w:rPr>
        <w:t>устойчиви работни места</w:t>
      </w:r>
      <w:r w:rsidRPr="00FB01AA">
        <w:rPr>
          <w:sz w:val="18"/>
        </w:rPr>
        <w:t>. Тези работни места са по-добре пригодени към местните нужди, осигуряват по-добри възможности за доходи на местното население и помагат да се спре обезлюдяването на селските райони.</w:t>
      </w:r>
    </w:p>
    <w:p w:rsidR="007866D4" w:rsidRPr="00FB01AA" w:rsidRDefault="007866D4" w:rsidP="002E02E3">
      <w:pPr>
        <w:pStyle w:val="Hlistbullet"/>
        <w:numPr>
          <w:ilvl w:val="0"/>
          <w:numId w:val="40"/>
        </w:numPr>
        <w:rPr>
          <w:sz w:val="18"/>
        </w:rPr>
      </w:pPr>
      <w:r w:rsidRPr="00FB01AA">
        <w:rPr>
          <w:sz w:val="18"/>
        </w:rPr>
        <w:t xml:space="preserve">Правилното прилагане на иновационния принцип може да помогне за създаването на </w:t>
      </w:r>
      <w:r w:rsidRPr="00FB01AA">
        <w:rPr>
          <w:b/>
          <w:sz w:val="18"/>
        </w:rPr>
        <w:t>по</w:t>
      </w:r>
      <w:r w:rsidR="00BE14DA">
        <w:rPr>
          <w:b/>
          <w:sz w:val="18"/>
        </w:rPr>
        <w:t>-иновативни</w:t>
      </w:r>
      <w:r w:rsidRPr="00FB01AA">
        <w:rPr>
          <w:b/>
          <w:sz w:val="18"/>
        </w:rPr>
        <w:t xml:space="preserve"> продукти</w:t>
      </w:r>
      <w:r w:rsidRPr="00FB01AA">
        <w:rPr>
          <w:sz w:val="18"/>
        </w:rPr>
        <w:t>. Благодарение на тях е възможно да се достигне до нишовите пазари в рамките на територията на ВОМР и извън нея.</w:t>
      </w:r>
    </w:p>
    <w:p w:rsidR="00CB73DD" w:rsidRPr="00FB01AA" w:rsidRDefault="007866D4" w:rsidP="007866D4">
      <w:pPr>
        <w:pStyle w:val="Hlistbullet"/>
        <w:numPr>
          <w:ilvl w:val="0"/>
          <w:numId w:val="0"/>
        </w:numPr>
        <w:ind w:left="360"/>
        <w:rPr>
          <w:sz w:val="18"/>
        </w:rPr>
      </w:pPr>
      <w:r w:rsidRPr="00FB01AA">
        <w:rPr>
          <w:noProof/>
          <w:sz w:val="18"/>
          <w:lang w:val="en-GB" w:eastAsia="en-GB" w:bidi="ar-SA"/>
        </w:rPr>
        <mc:AlternateContent>
          <mc:Choice Requires="wps">
            <w:drawing>
              <wp:inline distT="0" distB="0" distL="0" distR="0" wp14:anchorId="7FC2836A" wp14:editId="64387EBA">
                <wp:extent cx="2735580" cy="2493818"/>
                <wp:effectExtent l="0" t="0" r="26670" b="20955"/>
                <wp:docPr id="41" name="Rectangle: Diagonal Corners Rounded 41"/>
                <wp:cNvGraphicFramePr/>
                <a:graphic xmlns:a="http://schemas.openxmlformats.org/drawingml/2006/main">
                  <a:graphicData uri="http://schemas.microsoft.com/office/word/2010/wordprocessingShape">
                    <wps:wsp>
                      <wps:cNvSpPr/>
                      <wps:spPr>
                        <a:xfrm>
                          <a:off x="0" y="0"/>
                          <a:ext cx="2735580" cy="2493818"/>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DBF" w:rsidRDefault="00D21DBF" w:rsidP="007866D4">
                            <w:pPr>
                              <w:jc w:val="both"/>
                            </w:pPr>
                            <w:r>
                              <w:rPr>
                                <w:rFonts w:ascii="Arial" w:hAnsi="Arial" w:cs="Arial"/>
                                <w:noProof/>
                                <w:color w:val="57825E" w:themeColor="accent4"/>
                                <w:sz w:val="20"/>
                                <w:szCs w:val="20"/>
                                <w:lang w:val="en-GB" w:eastAsia="en-GB" w:bidi="ar-SA"/>
                              </w:rPr>
                              <w:drawing>
                                <wp:inline distT="0" distB="0" distL="0" distR="0" wp14:anchorId="215B8F8D" wp14:editId="509ED2B6">
                                  <wp:extent cx="665188" cy="487680"/>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Оценката на добавената стойност на LEADER/ВОМР не е задължителна, но е много полезна. Тя помага да се разбере какви ефекти може да произведе ЕЗФРСР, ако се прилага чрез метода LEADER, в допълнение към ефектите, постигани посредством обичайния начин за изпълнение на мерките за развитие на селските райони.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7FC2836A" id="Rectangle: Diagonal Corners Rounded 41" o:spid="_x0000_s1041" style="width:215.4pt;height:196.35pt;visibility:visible;mso-wrap-style:square;mso-left-percent:-10001;mso-top-percent:-10001;mso-position-horizontal:absolute;mso-position-horizontal-relative:char;mso-position-vertical:absolute;mso-position-vertical-relative:line;mso-left-percent:-10001;mso-top-percent:-10001;v-text-anchor:middle" coordsize="2735580,2493818"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" adj="-11796480,,5400" path="m415645,l2735580,r,l2735580,2078173v,229554,-186091,415645,-415645,415645l,2493818r,l,415645c,186091,186091,,415645,xe" fillcolor="white [3204]" strokecolor="#be4a35 [3205]" strokeweight="2pt">
                <v:stroke joinstyle="miter"/>
                <v:formulas/>
                <v:path arrowok="t" o:connecttype="custom" o:connectlocs="415645,0;2735580,0;2735580,0;2735580,2078173;2319935,2493818;0,2493818;0,2493818;0,415645;415645,0" o:connectangles="0,0,0,0,0,0,0,0,0" textboxrect="0,0,2735580,2493818"/>
                <v:textbox>
                  <w:txbxContent>
                    <w:p w:rsidR="00D21DBF" w:rsidRDefault="00D21DBF" w:rsidP="007866D4">
                      <w:pPr>
                        <w:jc w:val="both"/>
                      </w:pPr>
                      <w:r>
                        <w:rPr>
                          <w:rFonts w:ascii="Arial" w:hAnsi="Arial" w:cs="Arial"/>
                          <w:noProof/>
                          <w:color w:val="57825E" w:themeColor="accent4"/>
                          <w:sz w:val="20"/>
                          <w:szCs w:val="20"/>
                          <w:lang w:val="en-GB" w:eastAsia="en-GB" w:bidi="ar-SA"/>
                        </w:rPr>
                        <w:drawing>
                          <wp:inline distT="0" distB="0" distL="0" distR="0" wp14:anchorId="215B8F8D" wp14:editId="509ED2B6">
                            <wp:extent cx="665188" cy="487680"/>
                            <wp:effectExtent l="0" t="0" r="0" b="762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Оценката на добавената стойност на LEADER/ВОМР не е задължителна, но е много полезна. Тя помага да се разбере какви ефекти може да произведе ЕЗФРСР, ако се прилага чрез метода LEADER, в допълнение към ефектите, постигани посредством обичайния начин за изпълнение на мерките за развитие на селските райони.</w:t>
                      </w:r>
                    </w:p>
                  </w:txbxContent>
                </v:textbox>
                <w10:anchorlock/>
              </v:shape>
            </w:pict>
          </mc:Fallback>
        </mc:AlternateContent>
      </w:r>
    </w:p>
    <w:p w:rsidR="00CB73DD" w:rsidRPr="00FB01AA" w:rsidRDefault="00CB73DD">
      <w:pPr>
        <w:spacing w:after="0" w:line="240" w:lineRule="auto"/>
        <w:rPr>
          <w:rFonts w:ascii="Arial" w:hAnsi="Arial"/>
          <w:color w:val="373737" w:themeColor="background1" w:themeShade="40"/>
          <w:sz w:val="18"/>
          <w:szCs w:val="20"/>
        </w:rPr>
      </w:pPr>
      <w:r w:rsidRPr="00FB01AA">
        <w:rPr>
          <w:sz w:val="28"/>
        </w:rPr>
        <w:br w:type="page"/>
      </w:r>
    </w:p>
    <w:p w:rsidR="007866D4" w:rsidRPr="00FB01AA" w:rsidRDefault="007866D4" w:rsidP="007866D4">
      <w:pPr>
        <w:pStyle w:val="Hlistbullet"/>
        <w:numPr>
          <w:ilvl w:val="0"/>
          <w:numId w:val="0"/>
        </w:numPr>
        <w:ind w:left="360"/>
        <w:rPr>
          <w:sz w:val="18"/>
        </w:rPr>
        <w:sectPr w:rsidR="007866D4" w:rsidRPr="00FB01AA" w:rsidSect="00CB1FBB">
          <w:type w:val="continuous"/>
          <w:pgSz w:w="11906" w:h="16838"/>
          <w:pgMar w:top="1418" w:right="1418" w:bottom="1418" w:left="1418" w:header="709" w:footer="709" w:gutter="0"/>
          <w:cols w:num="2" w:space="397"/>
          <w:docGrid w:linePitch="360"/>
        </w:sectPr>
      </w:pPr>
    </w:p>
    <w:p w:rsidR="007866D4" w:rsidRPr="00FB01AA" w:rsidRDefault="007866D4" w:rsidP="007866D4">
      <w:pPr>
        <w:pStyle w:val="HHeading3"/>
        <w:framePr w:wrap="notBeside"/>
        <w:rPr>
          <w:sz w:val="18"/>
        </w:rPr>
      </w:pPr>
      <w:bookmarkStart w:id="103" w:name="_Toc475030391"/>
      <w:bookmarkStart w:id="104" w:name="_Toc493497715"/>
      <w:bookmarkStart w:id="105" w:name="_Toc498506718"/>
      <w:r w:rsidRPr="00FB01AA">
        <w:rPr>
          <w:sz w:val="18"/>
        </w:rPr>
        <w:lastRenderedPageBreak/>
        <w:t>Стъпка по стъпка: как да се измери добавената стойност на LEADER/ВОМР?</w:t>
      </w:r>
      <w:bookmarkEnd w:id="103"/>
      <w:bookmarkEnd w:id="104"/>
      <w:bookmarkEnd w:id="105"/>
    </w:p>
    <w:p w:rsidR="007866D4" w:rsidRPr="00FB01AA" w:rsidRDefault="007866D4" w:rsidP="007866D4">
      <w:pPr>
        <w:pStyle w:val="HStandard"/>
        <w:rPr>
          <w:sz w:val="18"/>
        </w:rPr>
        <w:sectPr w:rsidR="007866D4" w:rsidRPr="00FB01AA" w:rsidSect="000852A0">
          <w:type w:val="continuous"/>
          <w:pgSz w:w="11906" w:h="16838"/>
          <w:pgMar w:top="1418" w:right="1418" w:bottom="1418" w:left="1418" w:header="709" w:footer="709" w:gutter="0"/>
          <w:cols w:space="397"/>
          <w:docGrid w:linePitch="360"/>
        </w:sectPr>
      </w:pPr>
    </w:p>
    <w:p w:rsidR="00463D5A" w:rsidRPr="00FB01AA" w:rsidRDefault="00463D5A" w:rsidP="007866D4">
      <w:pPr>
        <w:pStyle w:val="HStandard"/>
        <w:rPr>
          <w:sz w:val="18"/>
        </w:rPr>
      </w:pPr>
      <w:r>
        <w:rPr>
          <w:noProof/>
          <w:sz w:val="18"/>
          <w:lang w:val="en-GB" w:eastAsia="en-GB" w:bidi="ar-SA"/>
        </w:rPr>
        <w:drawing>
          <wp:inline distT="0" distB="0" distL="0" distR="0" wp14:anchorId="6662A41F" wp14:editId="713F3172">
            <wp:extent cx="5895989" cy="633664"/>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83289" cy="643046"/>
                    </a:xfrm>
                    <a:prstGeom prst="rect">
                      <a:avLst/>
                    </a:prstGeom>
                    <a:noFill/>
                  </pic:spPr>
                </pic:pic>
              </a:graphicData>
            </a:graphic>
          </wp:inline>
        </w:drawing>
      </w:r>
    </w:p>
    <w:p w:rsidR="007866D4" w:rsidRPr="00FB01AA" w:rsidRDefault="007866D4" w:rsidP="007866D4">
      <w:pPr>
        <w:pStyle w:val="HStandard"/>
        <w:rPr>
          <w:sz w:val="18"/>
        </w:rPr>
      </w:pPr>
    </w:p>
    <w:p w:rsidR="007866D4" w:rsidRPr="00FB01AA" w:rsidRDefault="007866D4" w:rsidP="007866D4">
      <w:pPr>
        <w:pStyle w:val="HHeading5"/>
        <w:rPr>
          <w:sz w:val="18"/>
        </w:rPr>
        <w:sectPr w:rsidR="007866D4" w:rsidRPr="00FB01AA" w:rsidSect="009F15D6">
          <w:type w:val="continuous"/>
          <w:pgSz w:w="11906" w:h="16838"/>
          <w:pgMar w:top="1418" w:right="1418" w:bottom="1418" w:left="1418" w:header="709" w:footer="709" w:gutter="0"/>
          <w:cols w:space="708"/>
          <w:docGrid w:linePitch="360"/>
        </w:sectPr>
      </w:pPr>
    </w:p>
    <w:p w:rsidR="007866D4" w:rsidRPr="00FB01AA" w:rsidRDefault="007866D4" w:rsidP="007866D4">
      <w:pPr>
        <w:pStyle w:val="HHeading5"/>
        <w:rPr>
          <w:sz w:val="18"/>
        </w:rPr>
      </w:pPr>
      <w:r w:rsidRPr="00FB01AA">
        <w:rPr>
          <w:sz w:val="18"/>
        </w:rPr>
        <w:t xml:space="preserve">Стъпка 1: Проверка на конкретни цели, свързани с добавената стойност на LEADER/ВОМР, в интервенционната логика и разработване на специфични за програмата оценъчни елементи </w:t>
      </w:r>
    </w:p>
    <w:p w:rsidR="007866D4" w:rsidRPr="00FB01AA" w:rsidRDefault="000852A0" w:rsidP="007866D4">
      <w:pPr>
        <w:pStyle w:val="HStandard"/>
        <w:rPr>
          <w:color w:val="373737" w:themeColor="background1" w:themeShade="40"/>
          <w:sz w:val="18"/>
        </w:rPr>
      </w:pPr>
      <w:r w:rsidRPr="00FB01AA">
        <w:rPr>
          <w:rFonts w:ascii="Helvetica" w:hAnsi="Helvetica"/>
          <w:noProof/>
          <w:color w:val="auto"/>
          <w:sz w:val="28"/>
          <w:szCs w:val="22"/>
          <w:lang w:val="en-GB" w:eastAsia="en-GB" w:bidi="ar-SA"/>
        </w:rPr>
        <mc:AlternateContent>
          <mc:Choice Requires="wps">
            <w:drawing>
              <wp:anchor distT="0" distB="0" distL="114300" distR="114300" simplePos="0" relativeHeight="251653120" behindDoc="0" locked="0" layoutInCell="1" allowOverlap="1" wp14:anchorId="2058C9BE" wp14:editId="09404416">
                <wp:simplePos x="0" y="0"/>
                <wp:positionH relativeFrom="column">
                  <wp:posOffset>-50165</wp:posOffset>
                </wp:positionH>
                <wp:positionV relativeFrom="paragraph">
                  <wp:posOffset>1741805</wp:posOffset>
                </wp:positionV>
                <wp:extent cx="6012180" cy="5259705"/>
                <wp:effectExtent l="0" t="0" r="26670" b="17145"/>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6012180" cy="5259705"/>
                        </a:xfrm>
                        <a:prstGeom prst="round2DiagRect">
                          <a:avLst/>
                        </a:prstGeom>
                        <a:solidFill>
                          <a:srgbClr val="FFFFFF"/>
                        </a:solidFill>
                        <a:ln w="25400" cap="flat" cmpd="sng" algn="ctr">
                          <a:solidFill>
                            <a:srgbClr val="F07E31"/>
                          </a:solidFill>
                          <a:prstDash val="solid"/>
                        </a:ln>
                        <a:effectLst/>
                      </wps:spPr>
                      <wps:txbx>
                        <w:txbxContent>
                          <w:p w:rsidR="00D21DBF" w:rsidRPr="000852A0" w:rsidRDefault="00D21DBF"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AC198D0" wp14:editId="5010566D">
                                  <wp:extent cx="353202" cy="360000"/>
                                  <wp:effectExtent l="0" t="0" r="8890" b="25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Примерни специфични за програмата оценъчни елементи за оценката на добавената стойност на LEADER/ВОМР</w:t>
                            </w:r>
                          </w:p>
                          <w:tbl>
                            <w:tblPr>
                              <w:tblW w:w="0" w:type="auto"/>
                              <w:jc w:val="center"/>
                              <w:tblCellMar>
                                <w:top w:w="15" w:type="dxa"/>
                                <w:left w:w="15" w:type="dxa"/>
                                <w:bottom w:w="15" w:type="dxa"/>
                                <w:right w:w="15" w:type="dxa"/>
                              </w:tblCellMar>
                              <w:tblLook w:val="04A0" w:firstRow="1" w:lastRow="0" w:firstColumn="1" w:lastColumn="0" w:noHBand="0" w:noVBand="1"/>
                            </w:tblPr>
                            <w:tblGrid>
                              <w:gridCol w:w="1511"/>
                              <w:gridCol w:w="1892"/>
                              <w:gridCol w:w="5048"/>
                            </w:tblGrid>
                            <w:tr w:rsidR="00D21DBF">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D21DBF" w:rsidRPr="00813863" w:rsidRDefault="00D21DBF" w:rsidP="000852A0">
                                  <w:pPr>
                                    <w:spacing w:after="0" w:line="240" w:lineRule="auto"/>
                                    <w:rPr>
                                      <w:rFonts w:ascii="Arial" w:hAnsi="Arial" w:cs="Arial"/>
                                      <w:color w:val="FFFFFF" w:themeColor="accent1"/>
                                      <w:sz w:val="16"/>
                                      <w:szCs w:val="16"/>
                                    </w:rPr>
                                  </w:pPr>
                                  <w:r>
                                    <w:rPr>
                                      <w:rFonts w:ascii="Arial" w:hAnsi="Arial"/>
                                      <w:b/>
                                      <w:color w:val="FFFFFF" w:themeColor="accent1"/>
                                      <w:sz w:val="16"/>
                                    </w:rPr>
                                    <w:t>Въпрос за оценка</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D21DBF" w:rsidRPr="00813863" w:rsidRDefault="00D21DBF" w:rsidP="000852A0">
                                  <w:pPr>
                                    <w:spacing w:after="0" w:line="240" w:lineRule="auto"/>
                                    <w:rPr>
                                      <w:rFonts w:ascii="Arial" w:hAnsi="Arial" w:cs="Arial"/>
                                      <w:color w:val="FFFFFF" w:themeColor="accent1"/>
                                      <w:sz w:val="16"/>
                                      <w:szCs w:val="16"/>
                                    </w:rPr>
                                  </w:pPr>
                                  <w:r>
                                    <w:rPr>
                                      <w:rFonts w:ascii="Arial" w:hAnsi="Arial"/>
                                      <w:b/>
                                      <w:color w:val="FFFFFF" w:themeColor="accent1"/>
                                      <w:sz w:val="16"/>
                                    </w:rPr>
                                    <w:t>Критерии за преценка</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D21DBF" w:rsidRPr="00813863" w:rsidRDefault="00D21DBF" w:rsidP="000852A0">
                                  <w:pPr>
                                    <w:spacing w:after="0" w:line="240" w:lineRule="auto"/>
                                    <w:rPr>
                                      <w:rFonts w:ascii="Arial" w:hAnsi="Arial" w:cs="Arial"/>
                                      <w:color w:val="FFFFFF" w:themeColor="accent1"/>
                                      <w:sz w:val="16"/>
                                      <w:szCs w:val="16"/>
                                    </w:rPr>
                                  </w:pPr>
                                  <w:r>
                                    <w:rPr>
                                      <w:rFonts w:ascii="Arial" w:hAnsi="Arial"/>
                                      <w:b/>
                                      <w:color w:val="FFFFFF" w:themeColor="accent1"/>
                                      <w:sz w:val="16"/>
                                    </w:rPr>
                                    <w:t>Показатели за резултати (количествени и качествени)</w:t>
                                  </w:r>
                                </w:p>
                              </w:tc>
                            </w:tr>
                            <w:tr w:rsidR="00D21DBF">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D21DBF" w:rsidRPr="00813863" w:rsidRDefault="00D21DBF" w:rsidP="000852A0">
                                  <w:pPr>
                                    <w:spacing w:after="0" w:line="240" w:lineRule="auto"/>
                                    <w:rPr>
                                      <w:rFonts w:ascii="Arial" w:hAnsi="Arial" w:cs="Arial"/>
                                      <w:color w:val="373737"/>
                                      <w:sz w:val="16"/>
                                      <w:szCs w:val="16"/>
                                    </w:rPr>
                                  </w:pPr>
                                  <w:r>
                                    <w:rPr>
                                      <w:rFonts w:ascii="Arial" w:hAnsi="Arial"/>
                                      <w:color w:val="373737"/>
                                      <w:sz w:val="16"/>
                                    </w:rPr>
                                    <w:t>До каква степен LEADER/ВОМР е довел до създаване на добавена стойност на равнището на ПРСР?</w:t>
                                  </w:r>
                                </w:p>
                                <w:p w:rsidR="00D21DBF" w:rsidRPr="00813863" w:rsidRDefault="00D21DBF"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D21DBF" w:rsidRPr="00813863" w:rsidRDefault="00D21DBF" w:rsidP="000852A0">
                                  <w:pPr>
                                    <w:spacing w:after="0" w:line="240" w:lineRule="auto"/>
                                    <w:rPr>
                                      <w:rFonts w:ascii="Arial" w:hAnsi="Arial" w:cs="Arial"/>
                                      <w:color w:val="373737"/>
                                      <w:sz w:val="16"/>
                                      <w:szCs w:val="16"/>
                                    </w:rPr>
                                  </w:pPr>
                                  <w:r>
                                    <w:rPr>
                                      <w:rFonts w:ascii="Arial" w:hAnsi="Arial"/>
                                      <w:color w:val="373737"/>
                                      <w:sz w:val="16"/>
                                    </w:rPr>
                                    <w:t>Прилагането на метода LEADER/ВОМР е довело до подобряване на социалния капитал.</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813863" w:rsidRDefault="00D21DBF" w:rsidP="000852A0">
                                  <w:pPr>
                                    <w:pStyle w:val="Htablebullet"/>
                                    <w:rPr>
                                      <w:rFonts w:ascii="Arial" w:hAnsi="Arial"/>
                                      <w:color w:val="373737"/>
                                      <w:sz w:val="16"/>
                                      <w:szCs w:val="16"/>
                                    </w:rPr>
                                  </w:pPr>
                                  <w:r>
                                    <w:rPr>
                                      <w:rFonts w:ascii="Arial" w:hAnsi="Arial"/>
                                      <w:color w:val="373737"/>
                                      <w:sz w:val="16"/>
                                    </w:rPr>
                                    <w:t>Подобряване на взаимната подкрепа и доверието между УО, РА, НМСР, МГД (общи стандарти и ценности)</w:t>
                                  </w:r>
                                </w:p>
                                <w:p w:rsidR="00D21DBF" w:rsidRPr="00813863" w:rsidRDefault="00D21DBF" w:rsidP="000852A0">
                                  <w:pPr>
                                    <w:pStyle w:val="Htablebullet"/>
                                    <w:ind w:left="143" w:hanging="143"/>
                                    <w:rPr>
                                      <w:rFonts w:ascii="Arial" w:hAnsi="Arial"/>
                                      <w:color w:val="373737"/>
                                      <w:sz w:val="16"/>
                                      <w:szCs w:val="16"/>
                                    </w:rPr>
                                  </w:pPr>
                                  <w:r>
                                    <w:rPr>
                                      <w:rFonts w:ascii="Arial" w:hAnsi="Arial"/>
                                      <w:color w:val="373737"/>
                                      <w:sz w:val="16"/>
                                    </w:rPr>
                                    <w:t>Засилване на участието на всички заинтересовани страни в разработването и изпълнението на LEADER/ВОМР</w:t>
                                  </w:r>
                                </w:p>
                                <w:p w:rsidR="00D21DBF" w:rsidRPr="00813863" w:rsidRDefault="00D21DBF" w:rsidP="000852A0">
                                  <w:pPr>
                                    <w:pStyle w:val="Htablebullet"/>
                                    <w:ind w:left="143" w:hanging="143"/>
                                    <w:rPr>
                                      <w:rFonts w:ascii="Arial" w:hAnsi="Arial"/>
                                      <w:color w:val="373737"/>
                                      <w:sz w:val="16"/>
                                      <w:szCs w:val="16"/>
                                    </w:rPr>
                                  </w:pPr>
                                  <w:r>
                                    <w:rPr>
                                      <w:rFonts w:ascii="Arial" w:hAnsi="Arial"/>
                                      <w:color w:val="373737"/>
                                      <w:sz w:val="16"/>
                                    </w:rPr>
                                    <w:t>Повишаване на ефективността и ефикасността на общуването между заинтересованите страни</w:t>
                                  </w:r>
                                </w:p>
                                <w:p w:rsidR="00D21DBF" w:rsidRPr="00813863" w:rsidRDefault="00D21DBF" w:rsidP="000852A0">
                                  <w:pPr>
                                    <w:pStyle w:val="Htablebullet"/>
                                    <w:ind w:left="143" w:hanging="143"/>
                                    <w:rPr>
                                      <w:rFonts w:ascii="Arial" w:hAnsi="Arial"/>
                                      <w:color w:val="373737"/>
                                      <w:sz w:val="16"/>
                                      <w:szCs w:val="16"/>
                                    </w:rPr>
                                  </w:pPr>
                                  <w:r>
                                    <w:rPr>
                                      <w:rFonts w:ascii="Arial" w:hAnsi="Arial"/>
                                      <w:color w:val="373737"/>
                                      <w:sz w:val="16"/>
                                    </w:rPr>
                                    <w:t>Засилване на капацитета (знания, умения и информация) на заинтересованите страни, ангажирани в изпълнението на LEADER/ВОМР (напр. стратегическо планиране, мониторинг и оценка).</w:t>
                                  </w:r>
                                </w:p>
                              </w:tc>
                            </w:tr>
                            <w:tr w:rsidR="00D21DBF">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D21DBF" w:rsidRPr="00813863" w:rsidRDefault="00D21DBF"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D21DBF" w:rsidRPr="00813863" w:rsidRDefault="00D21DBF" w:rsidP="000852A0">
                                  <w:pPr>
                                    <w:spacing w:after="0" w:line="240" w:lineRule="auto"/>
                                    <w:ind w:left="20"/>
                                    <w:rPr>
                                      <w:rFonts w:ascii="Arial" w:hAnsi="Arial" w:cs="Arial"/>
                                      <w:color w:val="373737"/>
                                      <w:sz w:val="16"/>
                                      <w:szCs w:val="16"/>
                                    </w:rPr>
                                  </w:pPr>
                                  <w:r>
                                    <w:rPr>
                                      <w:rFonts w:ascii="Arial" w:hAnsi="Arial"/>
                                      <w:color w:val="373737"/>
                                      <w:sz w:val="16"/>
                                    </w:rPr>
                                    <w:t>Прилагането на метода LEADER/ВОМР е довело до създаването на ефективна многостепенна система за управление.</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D21DBF" w:rsidRPr="00813863" w:rsidRDefault="00D21DBF" w:rsidP="000852A0">
                                  <w:pPr>
                                    <w:pStyle w:val="Htablebullet"/>
                                    <w:ind w:left="143" w:hanging="143"/>
                                    <w:rPr>
                                      <w:rFonts w:ascii="Arial" w:hAnsi="Arial"/>
                                      <w:color w:val="373737"/>
                                      <w:sz w:val="16"/>
                                      <w:szCs w:val="16"/>
                                    </w:rPr>
                                  </w:pPr>
                                  <w:r>
                                    <w:rPr>
                                      <w:rFonts w:ascii="Arial" w:hAnsi="Arial"/>
                                      <w:color w:val="373737"/>
                                      <w:sz w:val="16"/>
                                    </w:rPr>
                                    <w:t xml:space="preserve">Разработване на иновативни управленски практики </w:t>
                                  </w:r>
                                </w:p>
                                <w:p w:rsidR="00D21DBF" w:rsidRPr="00813863" w:rsidRDefault="00D21DBF" w:rsidP="000852A0">
                                  <w:pPr>
                                    <w:pStyle w:val="Htablebullet"/>
                                    <w:ind w:left="143" w:hanging="143"/>
                                    <w:rPr>
                                      <w:rFonts w:ascii="Arial" w:hAnsi="Arial"/>
                                      <w:color w:val="373737"/>
                                      <w:sz w:val="16"/>
                                      <w:szCs w:val="16"/>
                                    </w:rPr>
                                  </w:pPr>
                                  <w:r>
                                    <w:rPr>
                                      <w:rFonts w:ascii="Arial" w:hAnsi="Arial"/>
                                      <w:color w:val="373737"/>
                                      <w:sz w:val="16"/>
                                    </w:rPr>
                                    <w:t xml:space="preserve">Подобряване на координацията между различните равнища на управление </w:t>
                                  </w:r>
                                </w:p>
                                <w:p w:rsidR="00D21DBF" w:rsidRPr="00813863" w:rsidRDefault="00D21DBF" w:rsidP="000852A0">
                                  <w:pPr>
                                    <w:pStyle w:val="Htablebullet"/>
                                    <w:ind w:left="143" w:hanging="143"/>
                                    <w:rPr>
                                      <w:rFonts w:ascii="Arial" w:hAnsi="Arial"/>
                                      <w:color w:val="373737"/>
                                      <w:sz w:val="16"/>
                                      <w:szCs w:val="16"/>
                                    </w:rPr>
                                  </w:pPr>
                                  <w:r>
                                    <w:rPr>
                                      <w:rFonts w:ascii="Arial" w:hAnsi="Arial"/>
                                      <w:color w:val="373737"/>
                                      <w:sz w:val="16"/>
                                    </w:rPr>
                                    <w:t>Подобряване на качеството на взаимодействията между съответните институции</w:t>
                                  </w:r>
                                </w:p>
                                <w:p w:rsidR="00D21DBF" w:rsidRPr="00813863" w:rsidRDefault="00D21DBF" w:rsidP="000852A0">
                                  <w:pPr>
                                    <w:pStyle w:val="Htablebullet"/>
                                    <w:ind w:left="143" w:hanging="143"/>
                                    <w:rPr>
                                      <w:rFonts w:ascii="Arial" w:hAnsi="Arial"/>
                                      <w:color w:val="373737"/>
                                      <w:sz w:val="16"/>
                                      <w:szCs w:val="16"/>
                                    </w:rPr>
                                  </w:pPr>
                                  <w:r>
                                    <w:rPr>
                                      <w:rFonts w:ascii="Arial" w:hAnsi="Arial"/>
                                      <w:color w:val="373737"/>
                                      <w:sz w:val="16"/>
                                    </w:rPr>
                                    <w:t xml:space="preserve">Подобряване на качеството на взаимодействията между заинтересовани страни от обществения сектор и извън него </w:t>
                                  </w:r>
                                </w:p>
                              </w:tc>
                            </w:tr>
                            <w:tr w:rsidR="00D21DBF">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D21DBF" w:rsidRPr="00813863" w:rsidRDefault="00D21DBF"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D21DBF" w:rsidRPr="00813863" w:rsidRDefault="00D21DBF" w:rsidP="000852A0">
                                  <w:pPr>
                                    <w:spacing w:after="0" w:line="240" w:lineRule="auto"/>
                                    <w:rPr>
                                      <w:rFonts w:ascii="Arial" w:hAnsi="Arial" w:cs="Arial"/>
                                      <w:color w:val="373737"/>
                                      <w:sz w:val="16"/>
                                      <w:szCs w:val="16"/>
                                    </w:rPr>
                                  </w:pPr>
                                  <w:r>
                                    <w:rPr>
                                      <w:rFonts w:ascii="Arial" w:hAnsi="Arial"/>
                                      <w:color w:val="373737"/>
                                      <w:sz w:val="16"/>
                                    </w:rPr>
                                    <w:t>Резултатите от ПРСР са били засилени благодарение на прилагането на метода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813863" w:rsidRDefault="00D21DBF" w:rsidP="000852A0">
                                  <w:pPr>
                                    <w:pStyle w:val="Htablebullet"/>
                                    <w:ind w:left="143" w:hanging="143"/>
                                    <w:rPr>
                                      <w:rFonts w:ascii="Arial" w:hAnsi="Arial"/>
                                      <w:color w:val="373737"/>
                                      <w:sz w:val="16"/>
                                      <w:szCs w:val="16"/>
                                    </w:rPr>
                                  </w:pPr>
                                  <w:r>
                                    <w:rPr>
                                      <w:rFonts w:ascii="Arial" w:hAnsi="Arial"/>
                                      <w:color w:val="373737"/>
                                      <w:sz w:val="16"/>
                                    </w:rPr>
                                    <w:t xml:space="preserve">Увеличаване на капацитета на ангажираните с LEADER/ВОМР заинтересовани страни </w:t>
                                  </w:r>
                                </w:p>
                                <w:p w:rsidR="00D21DBF" w:rsidRPr="00813863" w:rsidRDefault="00D21DBF" w:rsidP="000852A0">
                                  <w:pPr>
                                    <w:pStyle w:val="Htablebullet"/>
                                    <w:ind w:left="143" w:hanging="143"/>
                                    <w:rPr>
                                      <w:rFonts w:ascii="Arial" w:hAnsi="Arial"/>
                                      <w:color w:val="373737"/>
                                      <w:sz w:val="16"/>
                                      <w:szCs w:val="16"/>
                                    </w:rPr>
                                  </w:pPr>
                                  <w:r>
                                    <w:rPr>
                                      <w:rFonts w:ascii="Arial" w:hAnsi="Arial"/>
                                      <w:color w:val="373737"/>
                                      <w:sz w:val="16"/>
                                    </w:rPr>
                                    <w:t xml:space="preserve">Резултатите от ПРСР са били засилени (едни и същи показатели за резултати като тези за оценката на ПРСР се използват и за измерването на ефектите от операциите, изпълнявани по M19, сравнени с ефектите от операциите, изпълнявани по други мерки). </w:t>
                                  </w:r>
                                  <w:r>
                                    <w:rPr>
                                      <w:rFonts w:ascii="Arial" w:hAnsi="Arial"/>
                                      <w:color w:val="373737"/>
                                      <w:sz w:val="16"/>
                                      <w:szCs w:val="16"/>
                                    </w:rPr>
                                    <w:br/>
                                  </w:r>
                                  <w:r>
                                    <w:rPr>
                                      <w:rFonts w:ascii="Arial" w:hAnsi="Arial"/>
                                      <w:i/>
                                      <w:color w:val="373737"/>
                                      <w:sz w:val="16"/>
                                    </w:rPr>
                                    <w:t>Забележка: да се вземат предвид само ОПА с вторични ефекти от M19.</w:t>
                                  </w:r>
                                </w:p>
                              </w:tc>
                            </w:tr>
                          </w:tbl>
                          <w:p w:rsidR="00D21DBF" w:rsidRPr="000852A0" w:rsidRDefault="00D21DBF"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58C9BE" id="Rectangle: Diagonal Corners Rounded 3" o:spid="_x0000_s1042" style="position:absolute;left:0;text-align:left;margin-left:-3.95pt;margin-top:137.15pt;width:473.4pt;height:414.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012180,52597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" adj="-11796480,,5400" path="m876635,l6012180,r,l6012180,4383070v,484152,-392483,876635,-876635,876635l,5259705r,l,876635c,392483,392483,,876635,xe" strokecolor="#f07e31" strokeweight="2pt">
                <v:stroke joinstyle="miter"/>
                <v:formulas/>
                <v:path arrowok="t" o:connecttype="custom" o:connectlocs="876635,0;6012180,0;6012180,0;6012180,4383070;5135545,5259705;0,5259705;0,5259705;0,876635;876635,0" o:connectangles="0,0,0,0,0,0,0,0,0" textboxrect="0,0,6012180,5259705"/>
                <v:textbox>
                  <w:txbxContent>
                    <w:p w:rsidR="00D21DBF" w:rsidRPr="000852A0" w:rsidRDefault="00D21DBF" w:rsidP="000852A0">
                      <w:pPr>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5AC198D0" wp14:editId="5010566D">
                            <wp:extent cx="353202" cy="360000"/>
                            <wp:effectExtent l="0" t="0" r="8890" b="254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Примерни специфични за програмата оценъчни елементи за оценката на добавената стойност на LEADER/ВОМР</w:t>
                      </w:r>
                    </w:p>
                    <w:tbl>
                      <w:tblPr>
                        <w:tblW w:w="0" w:type="auto"/>
                        <w:jc w:val="center"/>
                        <w:tblCellMar>
                          <w:top w:w="15" w:type="dxa"/>
                          <w:left w:w="15" w:type="dxa"/>
                          <w:bottom w:w="15" w:type="dxa"/>
                          <w:right w:w="15" w:type="dxa"/>
                        </w:tblCellMar>
                        <w:tblLook w:val="04A0" w:firstRow="1" w:lastRow="0" w:firstColumn="1" w:lastColumn="0" w:noHBand="0" w:noVBand="1"/>
                      </w:tblPr>
                      <w:tblGrid>
                        <w:gridCol w:w="1511"/>
                        <w:gridCol w:w="1892"/>
                        <w:gridCol w:w="5048"/>
                      </w:tblGrid>
                      <w:tr w:rsidR="00D21DBF">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D21DBF" w:rsidRPr="00813863" w:rsidRDefault="00D21DBF" w:rsidP="000852A0">
                            <w:pPr>
                              <w:spacing w:after="0" w:line="240" w:lineRule="auto"/>
                              <w:rPr>
                                <w:rFonts w:ascii="Arial" w:hAnsi="Arial" w:cs="Arial"/>
                                <w:color w:val="FFFFFF" w:themeColor="accent1"/>
                                <w:sz w:val="16"/>
                                <w:szCs w:val="16"/>
                              </w:rPr>
                            </w:pPr>
                            <w:r>
                              <w:rPr>
                                <w:rFonts w:ascii="Arial" w:hAnsi="Arial"/>
                                <w:b/>
                                <w:color w:val="FFFFFF" w:themeColor="accent1"/>
                                <w:sz w:val="16"/>
                              </w:rPr>
                              <w:t>Въпрос за оценка</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D21DBF" w:rsidRPr="00813863" w:rsidRDefault="00D21DBF" w:rsidP="000852A0">
                            <w:pPr>
                              <w:spacing w:after="0" w:line="240" w:lineRule="auto"/>
                              <w:rPr>
                                <w:rFonts w:ascii="Arial" w:hAnsi="Arial" w:cs="Arial"/>
                                <w:color w:val="FFFFFF" w:themeColor="accent1"/>
                                <w:sz w:val="16"/>
                                <w:szCs w:val="16"/>
                              </w:rPr>
                            </w:pPr>
                            <w:r>
                              <w:rPr>
                                <w:rFonts w:ascii="Arial" w:hAnsi="Arial"/>
                                <w:b/>
                                <w:color w:val="FFFFFF" w:themeColor="accent1"/>
                                <w:sz w:val="16"/>
                              </w:rPr>
                              <w:t>Критерии за преценка</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D21DBF" w:rsidRPr="00813863" w:rsidRDefault="00D21DBF" w:rsidP="000852A0">
                            <w:pPr>
                              <w:spacing w:after="0" w:line="240" w:lineRule="auto"/>
                              <w:rPr>
                                <w:rFonts w:ascii="Arial" w:hAnsi="Arial" w:cs="Arial"/>
                                <w:color w:val="FFFFFF" w:themeColor="accent1"/>
                                <w:sz w:val="16"/>
                                <w:szCs w:val="16"/>
                              </w:rPr>
                            </w:pPr>
                            <w:r>
                              <w:rPr>
                                <w:rFonts w:ascii="Arial" w:hAnsi="Arial"/>
                                <w:b/>
                                <w:color w:val="FFFFFF" w:themeColor="accent1"/>
                                <w:sz w:val="16"/>
                              </w:rPr>
                              <w:t>Показатели за резултати (количествени и качествени)</w:t>
                            </w:r>
                          </w:p>
                        </w:tc>
                      </w:tr>
                      <w:tr w:rsidR="00D21DBF">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D21DBF" w:rsidRPr="00813863" w:rsidRDefault="00D21DBF" w:rsidP="000852A0">
                            <w:pPr>
                              <w:spacing w:after="0" w:line="240" w:lineRule="auto"/>
                              <w:rPr>
                                <w:rFonts w:ascii="Arial" w:hAnsi="Arial" w:cs="Arial"/>
                                <w:color w:val="373737"/>
                                <w:sz w:val="16"/>
                                <w:szCs w:val="16"/>
                              </w:rPr>
                            </w:pPr>
                            <w:r>
                              <w:rPr>
                                <w:rFonts w:ascii="Arial" w:hAnsi="Arial"/>
                                <w:color w:val="373737"/>
                                <w:sz w:val="16"/>
                              </w:rPr>
                              <w:t>До каква степен LEADER/ВОМР е довел до създаване на добавена стойност на равнището на ПРСР?</w:t>
                            </w:r>
                          </w:p>
                          <w:p w:rsidR="00D21DBF" w:rsidRPr="00813863" w:rsidRDefault="00D21DBF"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D21DBF" w:rsidRPr="00813863" w:rsidRDefault="00D21DBF" w:rsidP="000852A0">
                            <w:pPr>
                              <w:spacing w:after="0" w:line="240" w:lineRule="auto"/>
                              <w:rPr>
                                <w:rFonts w:ascii="Arial" w:hAnsi="Arial" w:cs="Arial"/>
                                <w:color w:val="373737"/>
                                <w:sz w:val="16"/>
                                <w:szCs w:val="16"/>
                              </w:rPr>
                            </w:pPr>
                            <w:r>
                              <w:rPr>
                                <w:rFonts w:ascii="Arial" w:hAnsi="Arial"/>
                                <w:color w:val="373737"/>
                                <w:sz w:val="16"/>
                              </w:rPr>
                              <w:t>Прилагането на метода LEADER/ВОМР е довело до подобряване на социалния капитал.</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813863" w:rsidRDefault="00D21DBF" w:rsidP="000852A0">
                            <w:pPr>
                              <w:pStyle w:val="Htablebullet"/>
                              <w:rPr>
                                <w:rFonts w:ascii="Arial" w:hAnsi="Arial"/>
                                <w:color w:val="373737"/>
                                <w:sz w:val="16"/>
                                <w:szCs w:val="16"/>
                              </w:rPr>
                            </w:pPr>
                            <w:r>
                              <w:rPr>
                                <w:rFonts w:ascii="Arial" w:hAnsi="Arial"/>
                                <w:color w:val="373737"/>
                                <w:sz w:val="16"/>
                              </w:rPr>
                              <w:t>Подобряване на взаимната подкрепа и доверието между УО, РА, НМСР, МГД (общи стандарти и ценности)</w:t>
                            </w:r>
                          </w:p>
                          <w:p w:rsidR="00D21DBF" w:rsidRPr="00813863" w:rsidRDefault="00D21DBF" w:rsidP="000852A0">
                            <w:pPr>
                              <w:pStyle w:val="Htablebullet"/>
                              <w:ind w:left="143" w:hanging="143"/>
                              <w:rPr>
                                <w:rFonts w:ascii="Arial" w:hAnsi="Arial"/>
                                <w:color w:val="373737"/>
                                <w:sz w:val="16"/>
                                <w:szCs w:val="16"/>
                              </w:rPr>
                            </w:pPr>
                            <w:r>
                              <w:rPr>
                                <w:rFonts w:ascii="Arial" w:hAnsi="Arial"/>
                                <w:color w:val="373737"/>
                                <w:sz w:val="16"/>
                              </w:rPr>
                              <w:t>Засилване на участието на всички заинтересовани страни в разработването и изпълнението на LEADER/ВОМР</w:t>
                            </w:r>
                          </w:p>
                          <w:p w:rsidR="00D21DBF" w:rsidRPr="00813863" w:rsidRDefault="00D21DBF" w:rsidP="000852A0">
                            <w:pPr>
                              <w:pStyle w:val="Htablebullet"/>
                              <w:ind w:left="143" w:hanging="143"/>
                              <w:rPr>
                                <w:rFonts w:ascii="Arial" w:hAnsi="Arial"/>
                                <w:color w:val="373737"/>
                                <w:sz w:val="16"/>
                                <w:szCs w:val="16"/>
                              </w:rPr>
                            </w:pPr>
                            <w:r>
                              <w:rPr>
                                <w:rFonts w:ascii="Arial" w:hAnsi="Arial"/>
                                <w:color w:val="373737"/>
                                <w:sz w:val="16"/>
                              </w:rPr>
                              <w:t>Повишаване на ефективността и ефикасността на общуването между заинтересованите страни</w:t>
                            </w:r>
                          </w:p>
                          <w:p w:rsidR="00D21DBF" w:rsidRPr="00813863" w:rsidRDefault="00D21DBF" w:rsidP="000852A0">
                            <w:pPr>
                              <w:pStyle w:val="Htablebullet"/>
                              <w:ind w:left="143" w:hanging="143"/>
                              <w:rPr>
                                <w:rFonts w:ascii="Arial" w:hAnsi="Arial"/>
                                <w:color w:val="373737"/>
                                <w:sz w:val="16"/>
                                <w:szCs w:val="16"/>
                              </w:rPr>
                            </w:pPr>
                            <w:r>
                              <w:rPr>
                                <w:rFonts w:ascii="Arial" w:hAnsi="Arial"/>
                                <w:color w:val="373737"/>
                                <w:sz w:val="16"/>
                              </w:rPr>
                              <w:t>Засилване на капацитета (знания, умения и информация) на заинтересованите страни, ангажирани в изпълнението на LEADER/ВОМР (напр. стратегическо планиране, мониторинг и оценка).</w:t>
                            </w:r>
                          </w:p>
                        </w:tc>
                      </w:tr>
                      <w:tr w:rsidR="00D21DBF">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D21DBF" w:rsidRPr="00813863" w:rsidRDefault="00D21DBF"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D21DBF" w:rsidRPr="00813863" w:rsidRDefault="00D21DBF" w:rsidP="000852A0">
                            <w:pPr>
                              <w:spacing w:after="0" w:line="240" w:lineRule="auto"/>
                              <w:ind w:left="20"/>
                              <w:rPr>
                                <w:rFonts w:ascii="Arial" w:hAnsi="Arial" w:cs="Arial"/>
                                <w:color w:val="373737"/>
                                <w:sz w:val="16"/>
                                <w:szCs w:val="16"/>
                              </w:rPr>
                            </w:pPr>
                            <w:r>
                              <w:rPr>
                                <w:rFonts w:ascii="Arial" w:hAnsi="Arial"/>
                                <w:color w:val="373737"/>
                                <w:sz w:val="16"/>
                              </w:rPr>
                              <w:t>Прилагането на метода LEADER/ВОМР е довело до създаването на ефективна многостепенна система за управление.</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D21DBF" w:rsidRPr="00813863" w:rsidRDefault="00D21DBF" w:rsidP="000852A0">
                            <w:pPr>
                              <w:pStyle w:val="Htablebullet"/>
                              <w:ind w:left="143" w:hanging="143"/>
                              <w:rPr>
                                <w:rFonts w:ascii="Arial" w:hAnsi="Arial"/>
                                <w:color w:val="373737"/>
                                <w:sz w:val="16"/>
                                <w:szCs w:val="16"/>
                              </w:rPr>
                            </w:pPr>
                            <w:r>
                              <w:rPr>
                                <w:rFonts w:ascii="Arial" w:hAnsi="Arial"/>
                                <w:color w:val="373737"/>
                                <w:sz w:val="16"/>
                              </w:rPr>
                              <w:t xml:space="preserve">Разработване на иновативни управленски практики </w:t>
                            </w:r>
                          </w:p>
                          <w:p w:rsidR="00D21DBF" w:rsidRPr="00813863" w:rsidRDefault="00D21DBF" w:rsidP="000852A0">
                            <w:pPr>
                              <w:pStyle w:val="Htablebullet"/>
                              <w:ind w:left="143" w:hanging="143"/>
                              <w:rPr>
                                <w:rFonts w:ascii="Arial" w:hAnsi="Arial"/>
                                <w:color w:val="373737"/>
                                <w:sz w:val="16"/>
                                <w:szCs w:val="16"/>
                              </w:rPr>
                            </w:pPr>
                            <w:r>
                              <w:rPr>
                                <w:rFonts w:ascii="Arial" w:hAnsi="Arial"/>
                                <w:color w:val="373737"/>
                                <w:sz w:val="16"/>
                              </w:rPr>
                              <w:t xml:space="preserve">Подобряване на координацията между различните равнища на управление </w:t>
                            </w:r>
                          </w:p>
                          <w:p w:rsidR="00D21DBF" w:rsidRPr="00813863" w:rsidRDefault="00D21DBF" w:rsidP="000852A0">
                            <w:pPr>
                              <w:pStyle w:val="Htablebullet"/>
                              <w:ind w:left="143" w:hanging="143"/>
                              <w:rPr>
                                <w:rFonts w:ascii="Arial" w:hAnsi="Arial"/>
                                <w:color w:val="373737"/>
                                <w:sz w:val="16"/>
                                <w:szCs w:val="16"/>
                              </w:rPr>
                            </w:pPr>
                            <w:r>
                              <w:rPr>
                                <w:rFonts w:ascii="Arial" w:hAnsi="Arial"/>
                                <w:color w:val="373737"/>
                                <w:sz w:val="16"/>
                              </w:rPr>
                              <w:t>Подобряване на качеството на взаимодействията между съответните институции</w:t>
                            </w:r>
                          </w:p>
                          <w:p w:rsidR="00D21DBF" w:rsidRPr="00813863" w:rsidRDefault="00D21DBF" w:rsidP="000852A0">
                            <w:pPr>
                              <w:pStyle w:val="Htablebullet"/>
                              <w:ind w:left="143" w:hanging="143"/>
                              <w:rPr>
                                <w:rFonts w:ascii="Arial" w:hAnsi="Arial"/>
                                <w:color w:val="373737"/>
                                <w:sz w:val="16"/>
                                <w:szCs w:val="16"/>
                              </w:rPr>
                            </w:pPr>
                            <w:r>
                              <w:rPr>
                                <w:rFonts w:ascii="Arial" w:hAnsi="Arial"/>
                                <w:color w:val="373737"/>
                                <w:sz w:val="16"/>
                              </w:rPr>
                              <w:t xml:space="preserve">Подобряване на качеството на взаимодействията между заинтересовани страни от обществения сектор и извън него </w:t>
                            </w:r>
                          </w:p>
                        </w:tc>
                      </w:tr>
                      <w:tr w:rsidR="00D21DBF">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D21DBF" w:rsidRPr="00813863" w:rsidRDefault="00D21DBF"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D21DBF" w:rsidRPr="00813863" w:rsidRDefault="00D21DBF" w:rsidP="000852A0">
                            <w:pPr>
                              <w:spacing w:after="0" w:line="240" w:lineRule="auto"/>
                              <w:rPr>
                                <w:rFonts w:ascii="Arial" w:hAnsi="Arial" w:cs="Arial"/>
                                <w:color w:val="373737"/>
                                <w:sz w:val="16"/>
                                <w:szCs w:val="16"/>
                              </w:rPr>
                            </w:pPr>
                            <w:r>
                              <w:rPr>
                                <w:rFonts w:ascii="Arial" w:hAnsi="Arial"/>
                                <w:color w:val="373737"/>
                                <w:sz w:val="16"/>
                              </w:rPr>
                              <w:t>Резултатите от ПРСР са били засилени благодарение на прилагането на метода LEADER.</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813863" w:rsidRDefault="00D21DBF" w:rsidP="000852A0">
                            <w:pPr>
                              <w:pStyle w:val="Htablebullet"/>
                              <w:ind w:left="143" w:hanging="143"/>
                              <w:rPr>
                                <w:rFonts w:ascii="Arial" w:hAnsi="Arial"/>
                                <w:color w:val="373737"/>
                                <w:sz w:val="16"/>
                                <w:szCs w:val="16"/>
                              </w:rPr>
                            </w:pPr>
                            <w:r>
                              <w:rPr>
                                <w:rFonts w:ascii="Arial" w:hAnsi="Arial"/>
                                <w:color w:val="373737"/>
                                <w:sz w:val="16"/>
                              </w:rPr>
                              <w:t xml:space="preserve">Увеличаване на капацитета на ангажираните с LEADER/ВОМР заинтересовани страни </w:t>
                            </w:r>
                          </w:p>
                          <w:p w:rsidR="00D21DBF" w:rsidRPr="00813863" w:rsidRDefault="00D21DBF" w:rsidP="000852A0">
                            <w:pPr>
                              <w:pStyle w:val="Htablebullet"/>
                              <w:ind w:left="143" w:hanging="143"/>
                              <w:rPr>
                                <w:rFonts w:ascii="Arial" w:hAnsi="Arial"/>
                                <w:color w:val="373737"/>
                                <w:sz w:val="16"/>
                                <w:szCs w:val="16"/>
                              </w:rPr>
                            </w:pPr>
                            <w:r>
                              <w:rPr>
                                <w:rFonts w:ascii="Arial" w:hAnsi="Arial"/>
                                <w:color w:val="373737"/>
                                <w:sz w:val="16"/>
                              </w:rPr>
                              <w:t xml:space="preserve">Резултатите от ПРСР са били засилени (едни и същи показатели за резултати като тези за оценката на ПРСР се използват и за измерването на ефектите от операциите, изпълнявани по M19, сравнени с ефектите от операциите, изпълнявани по други мерки). </w:t>
                            </w:r>
                            <w:r>
                              <w:rPr>
                                <w:rFonts w:ascii="Arial" w:hAnsi="Arial"/>
                                <w:color w:val="373737"/>
                                <w:sz w:val="16"/>
                                <w:szCs w:val="16"/>
                              </w:rPr>
                              <w:br/>
                            </w:r>
                            <w:r>
                              <w:rPr>
                                <w:rFonts w:ascii="Arial" w:hAnsi="Arial"/>
                                <w:i/>
                                <w:color w:val="373737"/>
                                <w:sz w:val="16"/>
                              </w:rPr>
                              <w:t>Забележка: да се вземат предвид само ОПА с вторични ефекти от M19.</w:t>
                            </w:r>
                          </w:p>
                        </w:tc>
                      </w:tr>
                    </w:tbl>
                    <w:p w:rsidR="00D21DBF" w:rsidRPr="000852A0" w:rsidRDefault="00D21DBF" w:rsidP="000852A0">
                      <w:pPr>
                        <w:rPr>
                          <w:rFonts w:ascii="Arial" w:hAnsi="Arial" w:cs="Arial"/>
                          <w:sz w:val="20"/>
                          <w:szCs w:val="20"/>
                        </w:rPr>
                      </w:pPr>
                    </w:p>
                  </w:txbxContent>
                </v:textbox>
                <w10:wrap type="square"/>
              </v:shape>
            </w:pict>
          </mc:Fallback>
        </mc:AlternateContent>
      </w:r>
      <w:r w:rsidRPr="00FB01AA">
        <w:rPr>
          <w:b/>
          <w:sz w:val="18"/>
        </w:rPr>
        <w:t>Не съществуват общи оценъчни елементи за оценка на добавената стойност на LEADER/ВОМР.</w:t>
      </w:r>
      <w:r w:rsidRPr="00FB01AA">
        <w:rPr>
          <w:sz w:val="18"/>
        </w:rPr>
        <w:t xml:space="preserve"> Поради това държавите членки следва да разработят такива, за да оценят този аспект. Макар в идеалния случай </w:t>
      </w:r>
      <w:r w:rsidR="00BE14DA">
        <w:rPr>
          <w:sz w:val="18"/>
        </w:rPr>
        <w:t xml:space="preserve">това </w:t>
      </w:r>
      <w:r w:rsidRPr="00FB01AA">
        <w:rPr>
          <w:sz w:val="18"/>
        </w:rPr>
        <w:t xml:space="preserve">да се прави в началото на програмния период, то може да се осъществи и на по-късен етап, когато оценителите на ПРСР </w:t>
      </w:r>
      <w:r w:rsidR="00BE14DA">
        <w:rPr>
          <w:sz w:val="18"/>
        </w:rPr>
        <w:t>формулират</w:t>
      </w:r>
      <w:r w:rsidRPr="00FB01AA">
        <w:rPr>
          <w:sz w:val="18"/>
        </w:rPr>
        <w:t xml:space="preserve"> съответните оценъчни елементи, </w:t>
      </w:r>
      <w:r w:rsidR="00BE14DA">
        <w:rPr>
          <w:sz w:val="18"/>
        </w:rPr>
        <w:t xml:space="preserve">по </w:t>
      </w:r>
      <w:r w:rsidRPr="00FB01AA">
        <w:rPr>
          <w:sz w:val="18"/>
        </w:rPr>
        <w:t>които мо</w:t>
      </w:r>
      <w:r w:rsidR="00BE14DA">
        <w:rPr>
          <w:sz w:val="18"/>
        </w:rPr>
        <w:t xml:space="preserve">же да се проведат </w:t>
      </w:r>
      <w:r w:rsidR="00BE14DA">
        <w:rPr>
          <w:sz w:val="18"/>
        </w:rPr>
        <w:t>допълнителни консултации</w:t>
      </w:r>
      <w:r w:rsidRPr="00FB01AA">
        <w:rPr>
          <w:sz w:val="18"/>
        </w:rPr>
        <w:t xml:space="preserve"> със заинтересованите страни. </w:t>
      </w:r>
      <w:r w:rsidRPr="00FB01AA">
        <w:rPr>
          <w:b/>
          <w:color w:val="373737" w:themeColor="background1" w:themeShade="40"/>
          <w:sz w:val="18"/>
        </w:rPr>
        <w:t>Специфичните за програмата</w:t>
      </w:r>
      <w:r w:rsidRPr="00FB01AA">
        <w:rPr>
          <w:color w:val="373737" w:themeColor="background1" w:themeShade="40"/>
          <w:sz w:val="18"/>
        </w:rPr>
        <w:t xml:space="preserve"> </w:t>
      </w:r>
      <w:r w:rsidRPr="00FB01AA">
        <w:rPr>
          <w:b/>
          <w:color w:val="373737" w:themeColor="background1" w:themeShade="40"/>
          <w:sz w:val="18"/>
        </w:rPr>
        <w:t>въпроси за оценка</w:t>
      </w:r>
      <w:r w:rsidRPr="00FB01AA">
        <w:rPr>
          <w:color w:val="373737" w:themeColor="background1" w:themeShade="40"/>
          <w:sz w:val="18"/>
        </w:rPr>
        <w:t xml:space="preserve"> следва да обхващат следните измерения: </w:t>
      </w:r>
    </w:p>
    <w:p w:rsidR="007866D4" w:rsidRPr="00FB01AA" w:rsidRDefault="007866D4" w:rsidP="002E02E3">
      <w:pPr>
        <w:pStyle w:val="HStandard"/>
        <w:numPr>
          <w:ilvl w:val="0"/>
          <w:numId w:val="26"/>
        </w:numPr>
        <w:ind w:left="426" w:hanging="426"/>
        <w:rPr>
          <w:color w:val="373737" w:themeColor="background1" w:themeShade="40"/>
          <w:sz w:val="18"/>
        </w:rPr>
      </w:pPr>
      <w:r w:rsidRPr="00FB01AA">
        <w:rPr>
          <w:color w:val="373737" w:themeColor="background1" w:themeShade="40"/>
          <w:sz w:val="18"/>
        </w:rPr>
        <w:t xml:space="preserve">подобряването на социалния капитал сред </w:t>
      </w:r>
      <w:r w:rsidR="008E4428">
        <w:rPr>
          <w:color w:val="373737" w:themeColor="background1" w:themeShade="40"/>
          <w:sz w:val="18"/>
        </w:rPr>
        <w:t xml:space="preserve">участващите </w:t>
      </w:r>
      <w:r w:rsidRPr="00FB01AA">
        <w:rPr>
          <w:color w:val="373737" w:themeColor="background1" w:themeShade="40"/>
          <w:sz w:val="18"/>
        </w:rPr>
        <w:t xml:space="preserve">заинтересовани страни; </w:t>
      </w:r>
    </w:p>
    <w:p w:rsidR="007866D4" w:rsidRPr="00FB01AA" w:rsidRDefault="007866D4" w:rsidP="002E02E3">
      <w:pPr>
        <w:pStyle w:val="HStandard"/>
        <w:numPr>
          <w:ilvl w:val="0"/>
          <w:numId w:val="26"/>
        </w:numPr>
        <w:ind w:left="426" w:hanging="426"/>
        <w:rPr>
          <w:color w:val="373737" w:themeColor="background1" w:themeShade="40"/>
          <w:sz w:val="18"/>
        </w:rPr>
      </w:pPr>
      <w:r w:rsidRPr="00FB01AA">
        <w:rPr>
          <w:color w:val="373737" w:themeColor="background1" w:themeShade="40"/>
          <w:sz w:val="18"/>
        </w:rPr>
        <w:t xml:space="preserve">многостепенното управление на LEADER/ВОМР; </w:t>
      </w:r>
    </w:p>
    <w:p w:rsidR="007866D4" w:rsidRPr="00FB01AA" w:rsidRDefault="007866D4" w:rsidP="002E02E3">
      <w:pPr>
        <w:pStyle w:val="HStandard"/>
        <w:numPr>
          <w:ilvl w:val="0"/>
          <w:numId w:val="26"/>
        </w:numPr>
        <w:ind w:left="426" w:hanging="426"/>
        <w:rPr>
          <w:color w:val="373737" w:themeColor="background1" w:themeShade="40"/>
          <w:sz w:val="18"/>
        </w:rPr>
      </w:pPr>
      <w:r w:rsidRPr="00FB01AA">
        <w:rPr>
          <w:color w:val="373737" w:themeColor="background1" w:themeShade="40"/>
          <w:sz w:val="18"/>
        </w:rPr>
        <w:t xml:space="preserve">засилване на резултатите и въздействията на ПРСР в резултат на прилагането на метода LEADER. </w:t>
      </w:r>
    </w:p>
    <w:p w:rsidR="000852A0" w:rsidRPr="00FB01AA" w:rsidRDefault="00112124" w:rsidP="00112124">
      <w:pPr>
        <w:pStyle w:val="H-Standard"/>
        <w:rPr>
          <w:sz w:val="18"/>
        </w:rPr>
      </w:pPr>
      <w:r w:rsidRPr="00FB01AA">
        <w:rPr>
          <w:sz w:val="18"/>
        </w:rPr>
        <w:br w:type="column"/>
      </w:r>
      <w:r w:rsidRPr="00FB01AA">
        <w:rPr>
          <w:b/>
          <w:sz w:val="18"/>
        </w:rPr>
        <w:lastRenderedPageBreak/>
        <w:t xml:space="preserve">Преди да се </w:t>
      </w:r>
      <w:r w:rsidR="00BE14DA">
        <w:rPr>
          <w:b/>
          <w:sz w:val="18"/>
        </w:rPr>
        <w:t>формулират</w:t>
      </w:r>
      <w:r w:rsidRPr="00FB01AA">
        <w:rPr>
          <w:b/>
          <w:sz w:val="18"/>
        </w:rPr>
        <w:t xml:space="preserve"> специфичните за програмата оценъчни елементи, е важно да се определи очакваната добавена стойност</w:t>
      </w:r>
      <w:r w:rsidRPr="00FB01AA">
        <w:rPr>
          <w:sz w:val="18"/>
        </w:rPr>
        <w:t xml:space="preserve"> на равнището на ПРСР и в трите измерения. Това включва </w:t>
      </w:r>
      <w:r w:rsidR="00BE14DA">
        <w:rPr>
          <w:sz w:val="18"/>
        </w:rPr>
        <w:t>формулир</w:t>
      </w:r>
      <w:r w:rsidRPr="00FB01AA">
        <w:rPr>
          <w:sz w:val="18"/>
        </w:rPr>
        <w:t>ането на цели, които да бъдат постигнати посредством добавената стойност на LEADER/ВОМР, и определянето на темите за оценка и на свързани с тях специфични за програмата оценъчни елементи.</w:t>
      </w:r>
    </w:p>
    <w:p w:rsidR="007866D4" w:rsidRPr="00FB01AA" w:rsidRDefault="007866D4" w:rsidP="000852A0">
      <w:pPr>
        <w:pStyle w:val="HHeading5"/>
        <w:rPr>
          <w:sz w:val="18"/>
        </w:rPr>
      </w:pPr>
      <w:r w:rsidRPr="00FB01AA">
        <w:rPr>
          <w:sz w:val="18"/>
        </w:rPr>
        <w:t>Стъпки 2 и 3: Определяне и подбор на методи/подходи за оценка, събиране на данни и информация</w:t>
      </w:r>
    </w:p>
    <w:p w:rsidR="007866D4" w:rsidRPr="00FB01AA" w:rsidRDefault="007866D4" w:rsidP="007866D4">
      <w:pPr>
        <w:pStyle w:val="HStandard"/>
        <w:rPr>
          <w:color w:val="373737" w:themeColor="background1" w:themeShade="40"/>
          <w:sz w:val="18"/>
        </w:rPr>
      </w:pPr>
      <w:r w:rsidRPr="00FB01AA">
        <w:rPr>
          <w:color w:val="373737" w:themeColor="background1" w:themeShade="40"/>
          <w:sz w:val="18"/>
        </w:rPr>
        <w:t xml:space="preserve">След определяне на посочените по-горе оценъчни елементи (въпроси за оценка, критерии за преценка и показатели) е важно да </w:t>
      </w:r>
      <w:r w:rsidR="008E4428">
        <w:rPr>
          <w:color w:val="373737" w:themeColor="background1" w:themeShade="40"/>
          <w:sz w:val="18"/>
        </w:rPr>
        <w:t xml:space="preserve">се </w:t>
      </w:r>
      <w:r w:rsidRPr="00FB01AA">
        <w:rPr>
          <w:color w:val="373737" w:themeColor="background1" w:themeShade="40"/>
          <w:sz w:val="18"/>
        </w:rPr>
        <w:t xml:space="preserve">установи какви данни и каква информация трябва да бъдат събирани. Данните за много от предложените показатели биха могли да бъдат събирани посредством мониторинг на дейностите, организиран от управляващите органи, НМСР и други (например работни групи, семинари, работни срещи и т.н.). В този контекст проучванията, интервютата и фокус групите с </w:t>
      </w:r>
      <w:r w:rsidR="008E4428">
        <w:rPr>
          <w:color w:val="373737" w:themeColor="background1" w:themeShade="40"/>
          <w:sz w:val="18"/>
        </w:rPr>
        <w:t>участващ</w:t>
      </w:r>
      <w:r w:rsidRPr="00FB01AA">
        <w:rPr>
          <w:color w:val="373737" w:themeColor="background1" w:themeShade="40"/>
          <w:sz w:val="18"/>
        </w:rPr>
        <w:t xml:space="preserve">ите </w:t>
      </w:r>
      <w:r w:rsidR="008E4428">
        <w:rPr>
          <w:color w:val="373737" w:themeColor="background1" w:themeShade="40"/>
          <w:sz w:val="18"/>
        </w:rPr>
        <w:t>в</w:t>
      </w:r>
      <w:r w:rsidRPr="00FB01AA">
        <w:rPr>
          <w:color w:val="373737" w:themeColor="background1" w:themeShade="40"/>
          <w:sz w:val="18"/>
        </w:rPr>
        <w:t xml:space="preserve"> LEADER/ВОМР заинтересовани страни също са важен източник на количествени и качествени показатели (основно показатели за резултатите, както е посочено в предходната таблица). Изборът на техники за събиране на данни и информация зависи от прилаганите методи за оценка. </w:t>
      </w:r>
      <w:r w:rsidR="008E4428">
        <w:rPr>
          <w:color w:val="373737" w:themeColor="background1" w:themeShade="40"/>
          <w:sz w:val="18"/>
        </w:rPr>
        <w:t>З</w:t>
      </w:r>
      <w:r w:rsidRPr="00FB01AA">
        <w:rPr>
          <w:color w:val="373737" w:themeColor="background1" w:themeShade="40"/>
          <w:sz w:val="18"/>
        </w:rPr>
        <w:t xml:space="preserve">а оценка на добавената стойност на LEADER/ВОМР </w:t>
      </w:r>
      <w:r w:rsidR="008E4428">
        <w:rPr>
          <w:color w:val="373737" w:themeColor="background1" w:themeShade="40"/>
          <w:sz w:val="18"/>
        </w:rPr>
        <w:t>може да се наложи</w:t>
      </w:r>
      <w:r w:rsidRPr="00FB01AA">
        <w:rPr>
          <w:color w:val="373737" w:themeColor="background1" w:themeShade="40"/>
          <w:sz w:val="18"/>
        </w:rPr>
        <w:t xml:space="preserve"> оценителите да разчитат преди всичко на качествени методи.</w:t>
      </w:r>
    </w:p>
    <w:p w:rsidR="007866D4" w:rsidRPr="00FB01AA" w:rsidRDefault="007866D4" w:rsidP="007866D4">
      <w:pPr>
        <w:pStyle w:val="HStandard"/>
        <w:rPr>
          <w:color w:val="373737" w:themeColor="background1" w:themeShade="40"/>
          <w:sz w:val="18"/>
        </w:rPr>
      </w:pPr>
      <w:r w:rsidRPr="00FB01AA">
        <w:rPr>
          <w:color w:val="373737" w:themeColor="background1" w:themeShade="40"/>
          <w:sz w:val="18"/>
        </w:rPr>
        <w:t>За оценката на добавената стойност на LEADER/ВОМР може да са приложими и методите, които са предложени за оценката на механизма за изпълнение на LEADER/ВОМР (вж. глава 2.3.2). Общ преглед и кратко описание на съответните качествени методи могат да бъдат намерени в други съществуващи указания</w:t>
      </w:r>
      <w:r w:rsidRPr="00FB01AA">
        <w:rPr>
          <w:color w:val="373737" w:themeColor="background1" w:themeShade="40"/>
          <w:sz w:val="18"/>
          <w:vertAlign w:val="superscript"/>
        </w:rPr>
        <w:footnoteReference w:id="45"/>
      </w:r>
      <w:r w:rsidRPr="00FB01AA">
        <w:rPr>
          <w:color w:val="373737" w:themeColor="background1" w:themeShade="40"/>
          <w:sz w:val="18"/>
        </w:rPr>
        <w:t>.</w:t>
      </w:r>
    </w:p>
    <w:p w:rsidR="007866D4" w:rsidRPr="00FB01AA" w:rsidRDefault="007866D4" w:rsidP="007866D4">
      <w:pPr>
        <w:pStyle w:val="HHeading5"/>
        <w:rPr>
          <w:sz w:val="18"/>
        </w:rPr>
      </w:pPr>
      <w:r w:rsidRPr="00FB01AA">
        <w:rPr>
          <w:sz w:val="18"/>
        </w:rPr>
        <w:t>Стъпка 4: Анализ на информацията и отговор на въпросите за оценка</w:t>
      </w:r>
    </w:p>
    <w:p w:rsidR="007866D4" w:rsidRPr="00FB01AA" w:rsidRDefault="007866D4" w:rsidP="007866D4">
      <w:pPr>
        <w:pStyle w:val="HStandard"/>
        <w:rPr>
          <w:color w:val="373737" w:themeColor="background1" w:themeShade="40"/>
          <w:sz w:val="18"/>
        </w:rPr>
      </w:pPr>
      <w:r w:rsidRPr="00FB01AA">
        <w:rPr>
          <w:color w:val="373737" w:themeColor="background1" w:themeShade="40"/>
          <w:sz w:val="18"/>
        </w:rPr>
        <w:t>Данните и информацията, събрани от различните видове заинтересовани страни по линия на LEADER/ВОМР, следва да бъдат анализирани и разтълкувани, за да се преценят мащабът и обхватът на създадената добавена стойност. Например анализ</w:t>
      </w:r>
      <w:r w:rsidR="005D4241">
        <w:rPr>
          <w:color w:val="373737" w:themeColor="background1" w:themeShade="40"/>
          <w:sz w:val="18"/>
        </w:rPr>
        <w:t>ът</w:t>
      </w:r>
      <w:r w:rsidRPr="00FB01AA">
        <w:rPr>
          <w:color w:val="373737" w:themeColor="background1" w:themeShade="40"/>
          <w:sz w:val="18"/>
        </w:rPr>
        <w:t xml:space="preserve"> следва да се </w:t>
      </w:r>
      <w:r w:rsidR="005D4241">
        <w:rPr>
          <w:color w:val="373737" w:themeColor="background1" w:themeShade="40"/>
          <w:sz w:val="18"/>
        </w:rPr>
        <w:t>стреми</w:t>
      </w:r>
      <w:r w:rsidRPr="00FB01AA">
        <w:rPr>
          <w:color w:val="373737" w:themeColor="background1" w:themeShade="40"/>
          <w:sz w:val="18"/>
        </w:rPr>
        <w:t xml:space="preserve"> да покаже:</w:t>
      </w:r>
    </w:p>
    <w:p w:rsidR="007866D4" w:rsidRPr="00FB01AA" w:rsidRDefault="007866D4" w:rsidP="007866D4">
      <w:pPr>
        <w:pStyle w:val="Hlistbullet"/>
        <w:ind w:left="426" w:hanging="426"/>
        <w:rPr>
          <w:sz w:val="18"/>
        </w:rPr>
      </w:pPr>
      <w:r w:rsidRPr="00FB01AA">
        <w:rPr>
          <w:sz w:val="18"/>
        </w:rPr>
        <w:t xml:space="preserve">дали са били укрепени връзките и капацитетът (знания и умения) сред заинтересованите страни по линия на LEADER/ВОМР на различните управленски равнища; </w:t>
      </w:r>
    </w:p>
    <w:p w:rsidR="007866D4" w:rsidRPr="00FB01AA" w:rsidRDefault="007866D4" w:rsidP="007866D4">
      <w:pPr>
        <w:pStyle w:val="Hlistbullet"/>
        <w:ind w:left="426" w:hanging="426"/>
        <w:rPr>
          <w:sz w:val="18"/>
        </w:rPr>
      </w:pPr>
      <w:r w:rsidRPr="00FB01AA">
        <w:rPr>
          <w:sz w:val="18"/>
        </w:rPr>
        <w:t xml:space="preserve">дали хоризонталните и вертикалните взаимодействия между заинтересованите страни, участващи в изпълнението на LEADER/ВОМР, са </w:t>
      </w:r>
      <w:r w:rsidR="005D4241">
        <w:rPr>
          <w:sz w:val="18"/>
        </w:rPr>
        <w:t>се</w:t>
      </w:r>
      <w:r w:rsidRPr="00FB01AA">
        <w:rPr>
          <w:sz w:val="18"/>
        </w:rPr>
        <w:t xml:space="preserve"> засил</w:t>
      </w:r>
      <w:r w:rsidR="005D4241">
        <w:rPr>
          <w:sz w:val="18"/>
        </w:rPr>
        <w:t>или</w:t>
      </w:r>
      <w:r w:rsidRPr="00FB01AA">
        <w:rPr>
          <w:sz w:val="18"/>
        </w:rPr>
        <w:t xml:space="preserve"> (например дали МГД са участвали в оформянето на мярката LEADER/МОМР в рамките на ПРСР); и</w:t>
      </w:r>
    </w:p>
    <w:p w:rsidR="007866D4" w:rsidRPr="00FB01AA" w:rsidRDefault="007866D4" w:rsidP="007866D4">
      <w:pPr>
        <w:pStyle w:val="Hlistbullet"/>
        <w:ind w:left="426" w:hanging="426"/>
        <w:rPr>
          <w:sz w:val="18"/>
        </w:rPr>
      </w:pPr>
      <w:r w:rsidRPr="00FB01AA">
        <w:rPr>
          <w:sz w:val="18"/>
        </w:rPr>
        <w:t xml:space="preserve">дали прилагането на метода LEADER в механизма за изпълнение е засилило резултатите от ПРСР (чрез по-ефективно постигане на целите на ОПА и на ПРСР, свързани с политиката за развитие на селските райони). </w:t>
      </w:r>
    </w:p>
    <w:p w:rsidR="007866D4" w:rsidRPr="00FB01AA" w:rsidRDefault="007866D4" w:rsidP="007866D4">
      <w:pPr>
        <w:pStyle w:val="HStandard"/>
        <w:rPr>
          <w:color w:val="373737" w:themeColor="background1" w:themeShade="40"/>
          <w:sz w:val="18"/>
        </w:rPr>
      </w:pPr>
      <w:r w:rsidRPr="00FB01AA">
        <w:rPr>
          <w:color w:val="373737" w:themeColor="background1" w:themeShade="40"/>
          <w:sz w:val="18"/>
        </w:rPr>
        <w:t xml:space="preserve">Събраните доказателства се използват, за да се отговори на специфичните за програмата въпроси за оценка. В крайна сметка </w:t>
      </w:r>
      <w:r w:rsidR="00E8553B" w:rsidRPr="00251DF4">
        <w:rPr>
          <w:color w:val="373737" w:themeColor="background1" w:themeShade="40"/>
          <w:sz w:val="18"/>
        </w:rPr>
        <w:t>констатаци</w:t>
      </w:r>
      <w:r w:rsidRPr="00FB01AA">
        <w:rPr>
          <w:color w:val="373737" w:themeColor="background1" w:themeShade="40"/>
          <w:sz w:val="18"/>
        </w:rPr>
        <w:t>ите помагат за по-ефективното и ефикасно разработване и прилагане на LEADER/ВОМР.</w:t>
      </w:r>
    </w:p>
    <w:p w:rsidR="007866D4" w:rsidRPr="00FB01AA" w:rsidRDefault="007866D4" w:rsidP="007866D4">
      <w:pPr>
        <w:pStyle w:val="HStandard"/>
        <w:rPr>
          <w:color w:val="373737" w:themeColor="background1" w:themeShade="40"/>
          <w:sz w:val="18"/>
        </w:rPr>
        <w:sectPr w:rsidR="007866D4" w:rsidRPr="00FB01AA" w:rsidSect="002E46A5">
          <w:type w:val="continuous"/>
          <w:pgSz w:w="11906" w:h="16838"/>
          <w:pgMar w:top="1418" w:right="1418" w:bottom="1418" w:left="1418" w:header="709" w:footer="709" w:gutter="0"/>
          <w:cols w:num="2" w:space="397"/>
          <w:docGrid w:linePitch="360"/>
        </w:sectPr>
      </w:pPr>
    </w:p>
    <w:p w:rsidR="007866D4" w:rsidRPr="00FB01AA" w:rsidRDefault="007866D4" w:rsidP="007866D4">
      <w:pPr>
        <w:pStyle w:val="HStandard"/>
        <w:rPr>
          <w:sz w:val="18"/>
        </w:rPr>
      </w:pPr>
      <w:bookmarkStart w:id="106" w:name="_Toc466620167"/>
      <w:r w:rsidRPr="00FB01AA">
        <w:rPr>
          <w:noProof/>
          <w:sz w:val="18"/>
          <w:lang w:val="en-GB" w:eastAsia="en-GB" w:bidi="ar-SA"/>
        </w:rPr>
        <w:lastRenderedPageBreak/>
        <mc:AlternateContent>
          <mc:Choice Requires="wps">
            <w:drawing>
              <wp:inline distT="0" distB="0" distL="0" distR="0" wp14:anchorId="0180AD1A" wp14:editId="407D7F42">
                <wp:extent cx="5707380" cy="2647507"/>
                <wp:effectExtent l="0" t="0" r="26670" b="19685"/>
                <wp:docPr id="42" name="Rectangle: Diagonal Corners Rounded 42"/>
                <wp:cNvGraphicFramePr/>
                <a:graphic xmlns:a="http://schemas.openxmlformats.org/drawingml/2006/main">
                  <a:graphicData uri="http://schemas.microsoft.com/office/word/2010/wordprocessingShape">
                    <wps:wsp>
                      <wps:cNvSpPr/>
                      <wps:spPr>
                        <a:xfrm>
                          <a:off x="0" y="0"/>
                          <a:ext cx="5707380" cy="2647507"/>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D21DBF" w:rsidRPr="00463D5A">
                              <w:trPr>
                                <w:jc w:val="left"/>
                              </w:trPr>
                              <w:tc>
                                <w:tcPr>
                                  <w:tcW w:w="1134" w:type="dxa"/>
                                  <w:shd w:val="clear" w:color="auto" w:fill="auto"/>
                                </w:tcPr>
                                <w:p w:rsidR="00D21DBF" w:rsidRPr="00463D5A" w:rsidRDefault="00D21DBF" w:rsidP="00CB5FC3">
                                  <w:pPr>
                                    <w:pStyle w:val="HStandard"/>
                                    <w:suppressOverlap/>
                                    <w:rPr>
                                      <w:b/>
                                      <w:noProof/>
                                      <w:color w:val="6E8967"/>
                                    </w:rPr>
                                  </w:pPr>
                                  <w:r w:rsidRPr="00463D5A">
                                    <w:rPr>
                                      <w:b/>
                                      <w:noProof/>
                                      <w:color w:val="6E8967"/>
                                      <w:lang w:val="en-GB" w:eastAsia="en-GB" w:bidi="ar-SA"/>
                                    </w:rPr>
                                    <w:drawing>
                                      <wp:inline distT="0" distB="0" distL="0" distR="0" wp14:anchorId="08A35DF3" wp14:editId="7E57DA9C">
                                        <wp:extent cx="702053" cy="540000"/>
                                        <wp:effectExtent l="0" t="0" r="0" b="0"/>
                                        <wp:docPr id="21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D21DBF" w:rsidRPr="00463D5A">
                                    <w:tc>
                                      <w:tcPr>
                                        <w:tcW w:w="3402" w:type="dxa"/>
                                        <w:shd w:val="clear" w:color="auto" w:fill="auto"/>
                                      </w:tcPr>
                                      <w:p w:rsidR="00D21DBF" w:rsidRPr="00463D5A" w:rsidRDefault="00D21DBF" w:rsidP="003E0769">
                                        <w:pPr>
                                          <w:spacing w:before="40" w:after="80"/>
                                          <w:suppressOverlap/>
                                          <w:rPr>
                                            <w:rFonts w:ascii="Arial" w:hAnsi="Arial" w:cs="Arial"/>
                                            <w:b/>
                                            <w:color w:val="373737" w:themeColor="background1" w:themeShade="40"/>
                                            <w:sz w:val="18"/>
                                            <w:szCs w:val="18"/>
                                          </w:rPr>
                                        </w:pPr>
                                        <w:r w:rsidRPr="00463D5A">
                                          <w:rPr>
                                            <w:rFonts w:ascii="Arial" w:hAnsi="Arial"/>
                                            <w:b/>
                                            <w:color w:val="373737" w:themeColor="background1" w:themeShade="40"/>
                                            <w:sz w:val="18"/>
                                          </w:rPr>
                                          <w:t>Какво да правите</w:t>
                                        </w:r>
                                      </w:p>
                                      <w:p w:rsidR="00D21DBF" w:rsidRPr="00463D5A" w:rsidRDefault="00D21DBF" w:rsidP="003E0769">
                                        <w:pPr>
                                          <w:pStyle w:val="Hlistbullet"/>
                                          <w:spacing w:before="40" w:after="80"/>
                                          <w:ind w:left="303" w:hanging="303"/>
                                          <w:suppressOverlap/>
                                          <w:rPr>
                                            <w:rFonts w:ascii="Arial" w:hAnsi="Arial" w:cs="Arial"/>
                                            <w:sz w:val="18"/>
                                            <w:szCs w:val="18"/>
                                          </w:rPr>
                                        </w:pPr>
                                        <w:r w:rsidRPr="00463D5A">
                                          <w:rPr>
                                            <w:rFonts w:ascii="Arial" w:hAnsi="Arial"/>
                                            <w:sz w:val="18"/>
                                          </w:rPr>
                                          <w:t>Разглеждайте добавената стойност като неразделна част от LEADER/ВОМР.</w:t>
                                        </w:r>
                                      </w:p>
                                      <w:p w:rsidR="00D21DBF" w:rsidRPr="003E0769" w:rsidRDefault="00D21DBF" w:rsidP="003E0769">
                                        <w:pPr>
                                          <w:pStyle w:val="Hlistbullet"/>
                                          <w:spacing w:before="40" w:after="80"/>
                                          <w:ind w:left="303" w:hanging="303"/>
                                          <w:suppressOverlap/>
                                          <w:rPr>
                                            <w:rFonts w:ascii="Arial" w:hAnsi="Arial" w:cs="Arial"/>
                                            <w:spacing w:val="-6"/>
                                            <w:w w:val="95"/>
                                            <w:sz w:val="18"/>
                                            <w:szCs w:val="18"/>
                                          </w:rPr>
                                        </w:pPr>
                                        <w:r w:rsidRPr="003E0769">
                                          <w:rPr>
                                            <w:rFonts w:ascii="Arial" w:hAnsi="Arial"/>
                                            <w:spacing w:val="-6"/>
                                            <w:w w:val="95"/>
                                            <w:sz w:val="18"/>
                                          </w:rPr>
                                          <w:t>Мислете за подобряването на многостепенното управление, подобряването на социалния капитал и засилването на резултатите и въздействията на ПРСР като за трите измерения на добавената стойност на LEADER/</w:t>
                                        </w:r>
                                        <w:r w:rsidRPr="003E0769">
                                          <w:rPr>
                                            <w:rFonts w:ascii="Arial" w:hAnsi="Arial"/>
                                            <w:spacing w:val="-6"/>
                                            <w:w w:val="95"/>
                                            <w:sz w:val="18"/>
                                            <w:lang w:val="ru-RU"/>
                                          </w:rPr>
                                          <w:t xml:space="preserve"> </w:t>
                                        </w:r>
                                        <w:r w:rsidRPr="003E0769">
                                          <w:rPr>
                                            <w:rFonts w:ascii="Arial" w:hAnsi="Arial"/>
                                            <w:spacing w:val="-6"/>
                                            <w:w w:val="95"/>
                                            <w:sz w:val="18"/>
                                          </w:rPr>
                                          <w:t>ВОМР.</w:t>
                                        </w:r>
                                      </w:p>
                                      <w:p w:rsidR="00D21DBF" w:rsidRPr="00463D5A" w:rsidRDefault="00D21DBF" w:rsidP="003E0769">
                                        <w:pPr>
                                          <w:pStyle w:val="Hlistbullet"/>
                                          <w:spacing w:before="40" w:after="80"/>
                                          <w:ind w:left="303" w:hanging="303"/>
                                          <w:suppressOverlap/>
                                          <w:rPr>
                                            <w:rFonts w:ascii="Arial" w:hAnsi="Arial" w:cs="Arial"/>
                                            <w:sz w:val="18"/>
                                            <w:szCs w:val="18"/>
                                          </w:rPr>
                                        </w:pPr>
                                        <w:r w:rsidRPr="00463D5A">
                                          <w:rPr>
                                            <w:rFonts w:ascii="Arial" w:hAnsi="Arial"/>
                                            <w:sz w:val="18"/>
                                          </w:rPr>
                                          <w:t>Използвайте основани на участие методи и ги триангулирайте.</w:t>
                                        </w:r>
                                      </w:p>
                                    </w:tc>
                                    <w:tc>
                                      <w:tcPr>
                                        <w:tcW w:w="3402" w:type="dxa"/>
                                        <w:shd w:val="clear" w:color="auto" w:fill="auto"/>
                                      </w:tcPr>
                                      <w:p w:rsidR="00D21DBF" w:rsidRPr="00463D5A" w:rsidRDefault="00D21DBF" w:rsidP="003E0769">
                                        <w:pPr>
                                          <w:spacing w:before="40" w:after="80"/>
                                          <w:suppressOverlap/>
                                          <w:jc w:val="both"/>
                                          <w:rPr>
                                            <w:rFonts w:ascii="Arial" w:hAnsi="Arial" w:cs="Arial"/>
                                            <w:b/>
                                            <w:color w:val="373737" w:themeColor="background1" w:themeShade="40"/>
                                            <w:sz w:val="18"/>
                                            <w:szCs w:val="18"/>
                                          </w:rPr>
                                        </w:pPr>
                                        <w:r w:rsidRPr="00463D5A">
                                          <w:rPr>
                                            <w:rFonts w:ascii="Arial" w:hAnsi="Arial"/>
                                            <w:b/>
                                            <w:color w:val="373737" w:themeColor="background1" w:themeShade="40"/>
                                            <w:sz w:val="18"/>
                                          </w:rPr>
                                          <w:t>Какво да не правите</w:t>
                                        </w:r>
                                      </w:p>
                                      <w:p w:rsidR="00D21DBF" w:rsidRPr="00463D5A" w:rsidRDefault="00D21DBF" w:rsidP="003E0769">
                                        <w:pPr>
                                          <w:numPr>
                                            <w:ilvl w:val="0"/>
                                            <w:numId w:val="25"/>
                                          </w:numPr>
                                          <w:spacing w:before="40" w:after="80"/>
                                          <w:ind w:left="272" w:hanging="218"/>
                                          <w:suppressOverlap/>
                                          <w:jc w:val="both"/>
                                          <w:rPr>
                                            <w:rFonts w:ascii="Arial" w:hAnsi="Arial" w:cs="Arial"/>
                                            <w:color w:val="373737" w:themeColor="background1" w:themeShade="40"/>
                                            <w:sz w:val="18"/>
                                            <w:szCs w:val="18"/>
                                          </w:rPr>
                                        </w:pPr>
                                        <w:r w:rsidRPr="00463D5A">
                                          <w:rPr>
                                            <w:rFonts w:ascii="Arial" w:hAnsi="Arial"/>
                                            <w:color w:val="373737" w:themeColor="background1" w:themeShade="40"/>
                                            <w:sz w:val="18"/>
                                          </w:rPr>
                                          <w:t>Не разглеждайте погрешно добавената стойност като изолиран компонент на LEADER/</w:t>
                                        </w:r>
                                        <w:r w:rsidRPr="00463D5A">
                                          <w:rPr>
                                            <w:rFonts w:ascii="Arial" w:hAnsi="Arial"/>
                                            <w:color w:val="373737" w:themeColor="background1" w:themeShade="40"/>
                                            <w:sz w:val="18"/>
                                            <w:lang w:val="ru-RU"/>
                                          </w:rPr>
                                          <w:t xml:space="preserve"> </w:t>
                                        </w:r>
                                        <w:r w:rsidRPr="00463D5A">
                                          <w:rPr>
                                            <w:rFonts w:ascii="Arial" w:hAnsi="Arial"/>
                                            <w:color w:val="373737" w:themeColor="background1" w:themeShade="40"/>
                                            <w:sz w:val="18"/>
                                          </w:rPr>
                                          <w:t>ВОМР.</w:t>
                                        </w:r>
                                      </w:p>
                                      <w:p w:rsidR="00D21DBF" w:rsidRPr="00463D5A" w:rsidRDefault="00D21DBF" w:rsidP="003E0769">
                                        <w:pPr>
                                          <w:numPr>
                                            <w:ilvl w:val="0"/>
                                            <w:numId w:val="25"/>
                                          </w:numPr>
                                          <w:spacing w:before="40" w:after="80"/>
                                          <w:ind w:left="272" w:hanging="218"/>
                                          <w:suppressOverlap/>
                                          <w:jc w:val="both"/>
                                          <w:rPr>
                                            <w:rFonts w:ascii="Arial" w:hAnsi="Arial" w:cs="Arial"/>
                                            <w:color w:val="373737" w:themeColor="background1" w:themeShade="40"/>
                                            <w:sz w:val="18"/>
                                            <w:szCs w:val="18"/>
                                          </w:rPr>
                                        </w:pPr>
                                        <w:r w:rsidRPr="00463D5A">
                                          <w:rPr>
                                            <w:rFonts w:ascii="Arial" w:hAnsi="Arial"/>
                                            <w:color w:val="373737" w:themeColor="background1" w:themeShade="40"/>
                                            <w:sz w:val="18"/>
                                          </w:rPr>
                                          <w:t>Не считайте добавената стойност за непряк ефект от LEADER/</w:t>
                                        </w:r>
                                        <w:r w:rsidRPr="00463D5A">
                                          <w:rPr>
                                            <w:rFonts w:ascii="Arial" w:hAnsi="Arial"/>
                                            <w:color w:val="373737" w:themeColor="background1" w:themeShade="40"/>
                                            <w:sz w:val="18"/>
                                            <w:lang w:val="ru-RU"/>
                                          </w:rPr>
                                          <w:t xml:space="preserve"> </w:t>
                                        </w:r>
                                        <w:r w:rsidRPr="00463D5A">
                                          <w:rPr>
                                            <w:rFonts w:ascii="Arial" w:hAnsi="Arial"/>
                                            <w:color w:val="373737" w:themeColor="background1" w:themeShade="40"/>
                                            <w:sz w:val="18"/>
                                          </w:rPr>
                                          <w:t>ВОМР.</w:t>
                                        </w:r>
                                      </w:p>
                                      <w:p w:rsidR="00D21DBF" w:rsidRPr="00463D5A" w:rsidRDefault="00D21DBF" w:rsidP="003E0769">
                                        <w:pPr>
                                          <w:spacing w:before="40" w:after="80"/>
                                          <w:ind w:left="54"/>
                                          <w:suppressOverlap/>
                                          <w:jc w:val="both"/>
                                          <w:rPr>
                                            <w:rFonts w:ascii="Arial" w:hAnsi="Arial" w:cs="Arial"/>
                                            <w:color w:val="373737" w:themeColor="background1" w:themeShade="40"/>
                                            <w:sz w:val="18"/>
                                            <w:szCs w:val="18"/>
                                          </w:rPr>
                                        </w:pPr>
                                      </w:p>
                                    </w:tc>
                                  </w:tr>
                                </w:tbl>
                                <w:p w:rsidR="00D21DBF" w:rsidRPr="00463D5A" w:rsidRDefault="00D21DBF" w:rsidP="00CB5FC3">
                                  <w:pPr>
                                    <w:autoSpaceDE w:val="0"/>
                                    <w:autoSpaceDN w:val="0"/>
                                    <w:adjustRightInd w:val="0"/>
                                    <w:spacing w:after="0"/>
                                    <w:contextualSpacing/>
                                    <w:suppressOverlap/>
                                    <w:jc w:val="both"/>
                                  </w:pPr>
                                </w:p>
                              </w:tc>
                            </w:tr>
                          </w:tbl>
                          <w:p w:rsidR="00D21DBF" w:rsidRPr="00463D5A" w:rsidRDefault="00D21DBF"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0180AD1A" id="Rectangle: Diagonal Corners Rounded 42" o:spid="_x0000_s1043" style="width:449.4pt;height:208.45pt;visibility:visible;mso-wrap-style:square;mso-left-percent:-10001;mso-top-percent:-10001;mso-position-horizontal:absolute;mso-position-horizontal-relative:char;mso-position-vertical:absolute;mso-position-vertical-relative:line;mso-left-percent:-10001;mso-top-percent:-10001;v-text-anchor:top" coordsize="5707380,264750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" adj="-11796480,,5400" path="m206453,l5707380,r,l5707380,2441054v,114021,-92432,206453,-206453,206453l,2647507r,l,206453c,92432,92432,,206453,xe" fillcolor="white [3204]" strokecolor="#f7a833 [3208]" strokeweight="2pt">
                <v:stroke joinstyle="miter"/>
                <v:formulas/>
                <v:path arrowok="t" o:connecttype="custom" o:connectlocs="206453,0;5707380,0;5707380,0;5707380,2441054;5500927,2647507;0,2647507;0,2647507;0,206453;206453,0" o:connectangles="0,0,0,0,0,0,0,0,0" textboxrect="0,0,5707380,2647507"/>
                <v:textbox inset=",0,,0">
                  <w:txbxContent>
                    <w:tbl>
                      <w:tblPr>
                        <w:tblStyle w:val="TableGrid"/>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D21DBF" w:rsidRPr="00463D5A">
                        <w:trPr>
                          <w:jc w:val="left"/>
                        </w:trPr>
                        <w:tc>
                          <w:tcPr>
                            <w:tcW w:w="1134" w:type="dxa"/>
                            <w:shd w:val="clear" w:color="auto" w:fill="auto"/>
                          </w:tcPr>
                          <w:p w:rsidR="00D21DBF" w:rsidRPr="00463D5A" w:rsidRDefault="00D21DBF" w:rsidP="00CB5FC3">
                            <w:pPr>
                              <w:pStyle w:val="HStandard"/>
                              <w:suppressOverlap/>
                              <w:rPr>
                                <w:b/>
                                <w:noProof/>
                                <w:color w:val="6E8967"/>
                              </w:rPr>
                            </w:pPr>
                            <w:r w:rsidRPr="00463D5A">
                              <w:rPr>
                                <w:b/>
                                <w:noProof/>
                                <w:color w:val="6E8967"/>
                                <w:lang w:val="en-GB" w:eastAsia="en-GB" w:bidi="ar-SA"/>
                              </w:rPr>
                              <w:drawing>
                                <wp:inline distT="0" distB="0" distL="0" distR="0" wp14:anchorId="08A35DF3" wp14:editId="7E57DA9C">
                                  <wp:extent cx="702053" cy="540000"/>
                                  <wp:effectExtent l="0" t="0" r="0" b="0"/>
                                  <wp:docPr id="21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48"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D21DBF" w:rsidRPr="00463D5A">
                              <w:tc>
                                <w:tcPr>
                                  <w:tcW w:w="3402" w:type="dxa"/>
                                  <w:shd w:val="clear" w:color="auto" w:fill="auto"/>
                                </w:tcPr>
                                <w:p w:rsidR="00D21DBF" w:rsidRPr="00463D5A" w:rsidRDefault="00D21DBF" w:rsidP="003E0769">
                                  <w:pPr>
                                    <w:spacing w:before="40" w:after="80"/>
                                    <w:suppressOverlap/>
                                    <w:rPr>
                                      <w:rFonts w:ascii="Arial" w:hAnsi="Arial" w:cs="Arial"/>
                                      <w:b/>
                                      <w:color w:val="373737" w:themeColor="background1" w:themeShade="40"/>
                                      <w:sz w:val="18"/>
                                      <w:szCs w:val="18"/>
                                    </w:rPr>
                                  </w:pPr>
                                  <w:r w:rsidRPr="00463D5A">
                                    <w:rPr>
                                      <w:rFonts w:ascii="Arial" w:hAnsi="Arial"/>
                                      <w:b/>
                                      <w:color w:val="373737" w:themeColor="background1" w:themeShade="40"/>
                                      <w:sz w:val="18"/>
                                    </w:rPr>
                                    <w:t>Какво да правите</w:t>
                                  </w:r>
                                </w:p>
                                <w:p w:rsidR="00D21DBF" w:rsidRPr="00463D5A" w:rsidRDefault="00D21DBF" w:rsidP="003E0769">
                                  <w:pPr>
                                    <w:pStyle w:val="Hlistbullet"/>
                                    <w:spacing w:before="40" w:after="80"/>
                                    <w:ind w:left="303" w:hanging="303"/>
                                    <w:suppressOverlap/>
                                    <w:rPr>
                                      <w:rFonts w:ascii="Arial" w:hAnsi="Arial" w:cs="Arial"/>
                                      <w:sz w:val="18"/>
                                      <w:szCs w:val="18"/>
                                    </w:rPr>
                                  </w:pPr>
                                  <w:r w:rsidRPr="00463D5A">
                                    <w:rPr>
                                      <w:rFonts w:ascii="Arial" w:hAnsi="Arial"/>
                                      <w:sz w:val="18"/>
                                    </w:rPr>
                                    <w:t>Разглеждайте добавената стойност като неразделна част от LEADER/ВОМР.</w:t>
                                  </w:r>
                                </w:p>
                                <w:p w:rsidR="00D21DBF" w:rsidRPr="003E0769" w:rsidRDefault="00D21DBF" w:rsidP="003E0769">
                                  <w:pPr>
                                    <w:pStyle w:val="Hlistbullet"/>
                                    <w:spacing w:before="40" w:after="80"/>
                                    <w:ind w:left="303" w:hanging="303"/>
                                    <w:suppressOverlap/>
                                    <w:rPr>
                                      <w:rFonts w:ascii="Arial" w:hAnsi="Arial" w:cs="Arial"/>
                                      <w:spacing w:val="-6"/>
                                      <w:w w:val="95"/>
                                      <w:sz w:val="18"/>
                                      <w:szCs w:val="18"/>
                                    </w:rPr>
                                  </w:pPr>
                                  <w:r w:rsidRPr="003E0769">
                                    <w:rPr>
                                      <w:rFonts w:ascii="Arial" w:hAnsi="Arial"/>
                                      <w:spacing w:val="-6"/>
                                      <w:w w:val="95"/>
                                      <w:sz w:val="18"/>
                                    </w:rPr>
                                    <w:t>Мислете за подобряването на многостепенното управление, подобряването на социалния капитал и засилването на резултатите и въздействията на ПРСР като за трите измерения на добавената стойност на LEADER/</w:t>
                                  </w:r>
                                  <w:r w:rsidRPr="003E0769">
                                    <w:rPr>
                                      <w:rFonts w:ascii="Arial" w:hAnsi="Arial"/>
                                      <w:spacing w:val="-6"/>
                                      <w:w w:val="95"/>
                                      <w:sz w:val="18"/>
                                      <w:lang w:val="ru-RU"/>
                                    </w:rPr>
                                    <w:t xml:space="preserve"> </w:t>
                                  </w:r>
                                  <w:r w:rsidRPr="003E0769">
                                    <w:rPr>
                                      <w:rFonts w:ascii="Arial" w:hAnsi="Arial"/>
                                      <w:spacing w:val="-6"/>
                                      <w:w w:val="95"/>
                                      <w:sz w:val="18"/>
                                    </w:rPr>
                                    <w:t>ВОМР.</w:t>
                                  </w:r>
                                </w:p>
                                <w:p w:rsidR="00D21DBF" w:rsidRPr="00463D5A" w:rsidRDefault="00D21DBF" w:rsidP="003E0769">
                                  <w:pPr>
                                    <w:pStyle w:val="Hlistbullet"/>
                                    <w:spacing w:before="40" w:after="80"/>
                                    <w:ind w:left="303" w:hanging="303"/>
                                    <w:suppressOverlap/>
                                    <w:rPr>
                                      <w:rFonts w:ascii="Arial" w:hAnsi="Arial" w:cs="Arial"/>
                                      <w:sz w:val="18"/>
                                      <w:szCs w:val="18"/>
                                    </w:rPr>
                                  </w:pPr>
                                  <w:r w:rsidRPr="00463D5A">
                                    <w:rPr>
                                      <w:rFonts w:ascii="Arial" w:hAnsi="Arial"/>
                                      <w:sz w:val="18"/>
                                    </w:rPr>
                                    <w:t>Използвайте основани на участие методи и ги триангулирайте.</w:t>
                                  </w:r>
                                </w:p>
                              </w:tc>
                              <w:tc>
                                <w:tcPr>
                                  <w:tcW w:w="3402" w:type="dxa"/>
                                  <w:shd w:val="clear" w:color="auto" w:fill="auto"/>
                                </w:tcPr>
                                <w:p w:rsidR="00D21DBF" w:rsidRPr="00463D5A" w:rsidRDefault="00D21DBF" w:rsidP="003E0769">
                                  <w:pPr>
                                    <w:spacing w:before="40" w:after="80"/>
                                    <w:suppressOverlap/>
                                    <w:jc w:val="both"/>
                                    <w:rPr>
                                      <w:rFonts w:ascii="Arial" w:hAnsi="Arial" w:cs="Arial"/>
                                      <w:b/>
                                      <w:color w:val="373737" w:themeColor="background1" w:themeShade="40"/>
                                      <w:sz w:val="18"/>
                                      <w:szCs w:val="18"/>
                                    </w:rPr>
                                  </w:pPr>
                                  <w:r w:rsidRPr="00463D5A">
                                    <w:rPr>
                                      <w:rFonts w:ascii="Arial" w:hAnsi="Arial"/>
                                      <w:b/>
                                      <w:color w:val="373737" w:themeColor="background1" w:themeShade="40"/>
                                      <w:sz w:val="18"/>
                                    </w:rPr>
                                    <w:t>Какво да не правите</w:t>
                                  </w:r>
                                </w:p>
                                <w:p w:rsidR="00D21DBF" w:rsidRPr="00463D5A" w:rsidRDefault="00D21DBF" w:rsidP="003E0769">
                                  <w:pPr>
                                    <w:numPr>
                                      <w:ilvl w:val="0"/>
                                      <w:numId w:val="25"/>
                                    </w:numPr>
                                    <w:spacing w:before="40" w:after="80"/>
                                    <w:ind w:left="272" w:hanging="218"/>
                                    <w:suppressOverlap/>
                                    <w:jc w:val="both"/>
                                    <w:rPr>
                                      <w:rFonts w:ascii="Arial" w:hAnsi="Arial" w:cs="Arial"/>
                                      <w:color w:val="373737" w:themeColor="background1" w:themeShade="40"/>
                                      <w:sz w:val="18"/>
                                      <w:szCs w:val="18"/>
                                    </w:rPr>
                                  </w:pPr>
                                  <w:r w:rsidRPr="00463D5A">
                                    <w:rPr>
                                      <w:rFonts w:ascii="Arial" w:hAnsi="Arial"/>
                                      <w:color w:val="373737" w:themeColor="background1" w:themeShade="40"/>
                                      <w:sz w:val="18"/>
                                    </w:rPr>
                                    <w:t>Не разглеждайте погрешно добавената стойност като изолиран компонент на LEADER/</w:t>
                                  </w:r>
                                  <w:r w:rsidRPr="00463D5A">
                                    <w:rPr>
                                      <w:rFonts w:ascii="Arial" w:hAnsi="Arial"/>
                                      <w:color w:val="373737" w:themeColor="background1" w:themeShade="40"/>
                                      <w:sz w:val="18"/>
                                      <w:lang w:val="ru-RU"/>
                                    </w:rPr>
                                    <w:t xml:space="preserve"> </w:t>
                                  </w:r>
                                  <w:r w:rsidRPr="00463D5A">
                                    <w:rPr>
                                      <w:rFonts w:ascii="Arial" w:hAnsi="Arial"/>
                                      <w:color w:val="373737" w:themeColor="background1" w:themeShade="40"/>
                                      <w:sz w:val="18"/>
                                    </w:rPr>
                                    <w:t>ВОМР.</w:t>
                                  </w:r>
                                </w:p>
                                <w:p w:rsidR="00D21DBF" w:rsidRPr="00463D5A" w:rsidRDefault="00D21DBF" w:rsidP="003E0769">
                                  <w:pPr>
                                    <w:numPr>
                                      <w:ilvl w:val="0"/>
                                      <w:numId w:val="25"/>
                                    </w:numPr>
                                    <w:spacing w:before="40" w:after="80"/>
                                    <w:ind w:left="272" w:hanging="218"/>
                                    <w:suppressOverlap/>
                                    <w:jc w:val="both"/>
                                    <w:rPr>
                                      <w:rFonts w:ascii="Arial" w:hAnsi="Arial" w:cs="Arial"/>
                                      <w:color w:val="373737" w:themeColor="background1" w:themeShade="40"/>
                                      <w:sz w:val="18"/>
                                      <w:szCs w:val="18"/>
                                    </w:rPr>
                                  </w:pPr>
                                  <w:r w:rsidRPr="00463D5A">
                                    <w:rPr>
                                      <w:rFonts w:ascii="Arial" w:hAnsi="Arial"/>
                                      <w:color w:val="373737" w:themeColor="background1" w:themeShade="40"/>
                                      <w:sz w:val="18"/>
                                    </w:rPr>
                                    <w:t>Не считайте добавената стойност за непряк ефект от LEADER/</w:t>
                                  </w:r>
                                  <w:r w:rsidRPr="00463D5A">
                                    <w:rPr>
                                      <w:rFonts w:ascii="Arial" w:hAnsi="Arial"/>
                                      <w:color w:val="373737" w:themeColor="background1" w:themeShade="40"/>
                                      <w:sz w:val="18"/>
                                      <w:lang w:val="ru-RU"/>
                                    </w:rPr>
                                    <w:t xml:space="preserve"> </w:t>
                                  </w:r>
                                  <w:r w:rsidRPr="00463D5A">
                                    <w:rPr>
                                      <w:rFonts w:ascii="Arial" w:hAnsi="Arial"/>
                                      <w:color w:val="373737" w:themeColor="background1" w:themeShade="40"/>
                                      <w:sz w:val="18"/>
                                    </w:rPr>
                                    <w:t>ВОМР.</w:t>
                                  </w:r>
                                </w:p>
                                <w:p w:rsidR="00D21DBF" w:rsidRPr="00463D5A" w:rsidRDefault="00D21DBF" w:rsidP="003E0769">
                                  <w:pPr>
                                    <w:spacing w:before="40" w:after="80"/>
                                    <w:ind w:left="54"/>
                                    <w:suppressOverlap/>
                                    <w:jc w:val="both"/>
                                    <w:rPr>
                                      <w:rFonts w:ascii="Arial" w:hAnsi="Arial" w:cs="Arial"/>
                                      <w:color w:val="373737" w:themeColor="background1" w:themeShade="40"/>
                                      <w:sz w:val="18"/>
                                      <w:szCs w:val="18"/>
                                    </w:rPr>
                                  </w:pPr>
                                </w:p>
                              </w:tc>
                            </w:tr>
                          </w:tbl>
                          <w:p w:rsidR="00D21DBF" w:rsidRPr="00463D5A" w:rsidRDefault="00D21DBF" w:rsidP="00CB5FC3">
                            <w:pPr>
                              <w:autoSpaceDE w:val="0"/>
                              <w:autoSpaceDN w:val="0"/>
                              <w:adjustRightInd w:val="0"/>
                              <w:spacing w:after="0"/>
                              <w:contextualSpacing/>
                              <w:suppressOverlap/>
                              <w:jc w:val="both"/>
                            </w:pPr>
                          </w:p>
                        </w:tc>
                      </w:tr>
                    </w:tbl>
                    <w:p w:rsidR="00D21DBF" w:rsidRPr="00463D5A" w:rsidRDefault="00D21DBF" w:rsidP="007866D4">
                      <w:pPr>
                        <w:jc w:val="center"/>
                      </w:pPr>
                    </w:p>
                  </w:txbxContent>
                </v:textbox>
                <w10:anchorlock/>
              </v:shape>
            </w:pict>
          </mc:Fallback>
        </mc:AlternateContent>
      </w:r>
    </w:p>
    <w:p w:rsidR="00056A0D" w:rsidRPr="00FB01AA" w:rsidRDefault="00056A0D" w:rsidP="007866D4">
      <w:pPr>
        <w:pStyle w:val="HStandard"/>
        <w:rPr>
          <w:sz w:val="18"/>
        </w:rPr>
      </w:pPr>
    </w:p>
    <w:p w:rsidR="007866D4" w:rsidRPr="003E0769" w:rsidRDefault="007866D4" w:rsidP="007866D4">
      <w:pPr>
        <w:pStyle w:val="HHeading2"/>
        <w:rPr>
          <w:sz w:val="8"/>
        </w:rPr>
        <w:sectPr w:rsidR="007866D4" w:rsidRPr="003E0769" w:rsidSect="009F15D6">
          <w:type w:val="continuous"/>
          <w:pgSz w:w="11906" w:h="16838"/>
          <w:pgMar w:top="1418" w:right="1418" w:bottom="1418" w:left="1418" w:header="709" w:footer="709" w:gutter="0"/>
          <w:cols w:space="708"/>
          <w:docGrid w:linePitch="360"/>
        </w:sectPr>
      </w:pPr>
      <w:bookmarkStart w:id="107" w:name="_Toc475030393"/>
    </w:p>
    <w:p w:rsidR="007866D4" w:rsidRPr="00FB01AA" w:rsidRDefault="007866D4" w:rsidP="007866D4">
      <w:pPr>
        <w:pStyle w:val="HHeading2"/>
        <w:spacing w:before="120"/>
        <w:rPr>
          <w:sz w:val="18"/>
        </w:rPr>
      </w:pPr>
      <w:bookmarkStart w:id="108" w:name="_Toc493497716"/>
      <w:bookmarkStart w:id="109" w:name="_Toc498506719"/>
      <w:r w:rsidRPr="00FB01AA">
        <w:rPr>
          <w:sz w:val="18"/>
        </w:rPr>
        <w:t>Докладване на оценката на LEADER/ВОМР на равнището на ПРСР</w:t>
      </w:r>
      <w:bookmarkEnd w:id="106"/>
      <w:bookmarkEnd w:id="107"/>
      <w:bookmarkEnd w:id="108"/>
      <w:bookmarkEnd w:id="109"/>
    </w:p>
    <w:p w:rsidR="007866D4" w:rsidRPr="003E0769" w:rsidRDefault="007866D4" w:rsidP="007866D4">
      <w:pPr>
        <w:pStyle w:val="HStandard"/>
        <w:rPr>
          <w:color w:val="373737" w:themeColor="background1" w:themeShade="40"/>
          <w:spacing w:val="-4"/>
          <w:sz w:val="18"/>
        </w:rPr>
      </w:pPr>
      <w:r w:rsidRPr="003E0769">
        <w:rPr>
          <w:color w:val="373737" w:themeColor="background1" w:themeShade="40"/>
          <w:spacing w:val="-4"/>
          <w:sz w:val="18"/>
        </w:rPr>
        <w:t xml:space="preserve">На равнището на ПРСР </w:t>
      </w:r>
      <w:r w:rsidR="00E8553B" w:rsidRPr="00251DF4">
        <w:rPr>
          <w:color w:val="373737" w:themeColor="background1" w:themeShade="40"/>
          <w:spacing w:val="-4"/>
          <w:sz w:val="18"/>
        </w:rPr>
        <w:t>констатаци</w:t>
      </w:r>
      <w:r w:rsidRPr="003E0769">
        <w:rPr>
          <w:color w:val="373737" w:themeColor="background1" w:themeShade="40"/>
          <w:spacing w:val="-4"/>
          <w:sz w:val="18"/>
        </w:rPr>
        <w:t xml:space="preserve">ите от оценката на LEADER/ВОМР се докладват заедно с </w:t>
      </w:r>
      <w:r w:rsidR="00E8553B" w:rsidRPr="00251DF4">
        <w:rPr>
          <w:color w:val="373737" w:themeColor="background1" w:themeShade="40"/>
          <w:spacing w:val="-4"/>
          <w:sz w:val="18"/>
        </w:rPr>
        <w:t>констатаци</w:t>
      </w:r>
      <w:r w:rsidRPr="003E0769">
        <w:rPr>
          <w:color w:val="373737" w:themeColor="background1" w:themeShade="40"/>
          <w:spacing w:val="-4"/>
          <w:sz w:val="18"/>
        </w:rPr>
        <w:t xml:space="preserve">ите от оценката на ПРСР в годишните доклади за изпълнение (ГДИ) и в доклада за последваща оценка. По желание може да бъде изготвен отделен доклад за оценка (например в случай че </w:t>
      </w:r>
      <w:r w:rsidR="002C1281">
        <w:rPr>
          <w:color w:val="373737" w:themeColor="background1" w:themeShade="40"/>
          <w:spacing w:val="-4"/>
          <w:sz w:val="18"/>
        </w:rPr>
        <w:t>се извършва</w:t>
      </w:r>
      <w:r w:rsidRPr="003E0769">
        <w:rPr>
          <w:color w:val="373737" w:themeColor="background1" w:themeShade="40"/>
          <w:spacing w:val="-4"/>
          <w:sz w:val="18"/>
        </w:rPr>
        <w:t xml:space="preserve"> самостоятелна оценка на LEADER/ВОМР). </w:t>
      </w:r>
      <w:r w:rsidR="00E8553B" w:rsidRPr="00251DF4">
        <w:rPr>
          <w:color w:val="373737" w:themeColor="background1" w:themeShade="40"/>
          <w:spacing w:val="-4"/>
          <w:sz w:val="18"/>
        </w:rPr>
        <w:t>Констатаци</w:t>
      </w:r>
      <w:r w:rsidRPr="003E0769">
        <w:rPr>
          <w:color w:val="373737" w:themeColor="background1" w:themeShade="40"/>
          <w:spacing w:val="-4"/>
          <w:sz w:val="18"/>
        </w:rPr>
        <w:t xml:space="preserve">ите от оценката могат да бъдат разпространявани в различни формати в зависимост от заинтересованите страни, за които се отнасят. </w:t>
      </w:r>
    </w:p>
    <w:p w:rsidR="007866D4" w:rsidRPr="00FB01AA" w:rsidRDefault="007866D4" w:rsidP="007866D4">
      <w:pPr>
        <w:pStyle w:val="HHeading5"/>
        <w:rPr>
          <w:sz w:val="18"/>
        </w:rPr>
      </w:pPr>
      <w:r w:rsidRPr="00FB01AA">
        <w:rPr>
          <w:sz w:val="18"/>
        </w:rPr>
        <w:t>Докладване във формуляра на SFC</w:t>
      </w:r>
      <w:r w:rsidR="00212688">
        <w:rPr>
          <w:sz w:val="18"/>
        </w:rPr>
        <w:t xml:space="preserve"> (</w:t>
      </w:r>
      <w:r w:rsidR="00212688" w:rsidRPr="007207A0">
        <w:rPr>
          <w:sz w:val="18"/>
        </w:rPr>
        <w:t>Обща</w:t>
      </w:r>
      <w:r w:rsidR="00212688" w:rsidRPr="002F08EF">
        <w:rPr>
          <w:sz w:val="18"/>
        </w:rPr>
        <w:t>та</w:t>
      </w:r>
      <w:r w:rsidR="00212688" w:rsidRPr="007207A0">
        <w:rPr>
          <w:sz w:val="18"/>
        </w:rPr>
        <w:t xml:space="preserve"> система за споделено управление на фондове</w:t>
      </w:r>
      <w:r w:rsidR="007207A0" w:rsidRPr="00251DF4">
        <w:rPr>
          <w:sz w:val="18"/>
        </w:rPr>
        <w:t>)</w:t>
      </w:r>
      <w:r w:rsidRPr="00FB01AA">
        <w:rPr>
          <w:sz w:val="18"/>
        </w:rPr>
        <w:t xml:space="preserve">, предназначен за годишния доклад за изпълнение (ГДИ) </w:t>
      </w:r>
    </w:p>
    <w:p w:rsidR="007866D4" w:rsidRPr="00FB01AA" w:rsidRDefault="007866D4" w:rsidP="007866D4">
      <w:pPr>
        <w:rPr>
          <w:rFonts w:ascii="Arial" w:hAnsi="Arial" w:cs="Arial"/>
          <w:bCs/>
          <w:i/>
          <w:color w:val="BE4A35" w:themeColor="accent2"/>
          <w:kern w:val="32"/>
          <w:sz w:val="18"/>
          <w:szCs w:val="20"/>
        </w:rPr>
      </w:pPr>
      <w:r w:rsidRPr="00FB01AA">
        <w:rPr>
          <w:rFonts w:ascii="Arial" w:hAnsi="Arial"/>
          <w:i/>
          <w:color w:val="373737"/>
          <w:kern w:val="32"/>
          <w:sz w:val="18"/>
        </w:rPr>
        <w:t xml:space="preserve">Отговори на общите въпроси за оценка в ГДИ, подадени </w:t>
      </w:r>
      <w:r w:rsidR="007207A0" w:rsidRPr="00251DF4">
        <w:rPr>
          <w:rFonts w:ascii="Arial" w:hAnsi="Arial"/>
          <w:i/>
          <w:color w:val="373737"/>
          <w:kern w:val="32"/>
          <w:sz w:val="18"/>
        </w:rPr>
        <w:t>през</w:t>
      </w:r>
      <w:r w:rsidRPr="00FB01AA">
        <w:rPr>
          <w:rFonts w:ascii="Arial" w:hAnsi="Arial"/>
          <w:i/>
          <w:color w:val="373737"/>
          <w:kern w:val="32"/>
          <w:sz w:val="18"/>
        </w:rPr>
        <w:t xml:space="preserve"> 2017 г. и 2019 г.</w:t>
      </w:r>
    </w:p>
    <w:p w:rsidR="003E0769" w:rsidRDefault="007866D4" w:rsidP="007866D4">
      <w:pPr>
        <w:pStyle w:val="HStandard"/>
        <w:rPr>
          <w:color w:val="373737" w:themeColor="background1" w:themeShade="40"/>
          <w:spacing w:val="-4"/>
          <w:sz w:val="18"/>
        </w:rPr>
      </w:pPr>
      <w:r w:rsidRPr="00463D5A">
        <w:rPr>
          <w:color w:val="373737" w:themeColor="background1" w:themeShade="40"/>
          <w:spacing w:val="-4"/>
          <w:sz w:val="18"/>
        </w:rPr>
        <w:t xml:space="preserve">LEADER/ВОМР обикновено се планира по ОПА 6Б, но освен това допринася и за други ОПА в съответствие с интервенционната логика на LEADER/ВОМР. Следователно </w:t>
      </w:r>
      <w:r w:rsidR="00E8553B" w:rsidRPr="00251DF4">
        <w:rPr>
          <w:color w:val="373737" w:themeColor="background1" w:themeShade="40"/>
          <w:spacing w:val="-4"/>
          <w:sz w:val="18"/>
        </w:rPr>
        <w:t>констатаци</w:t>
      </w:r>
      <w:r w:rsidRPr="00463D5A">
        <w:rPr>
          <w:color w:val="373737" w:themeColor="background1" w:themeShade="40"/>
          <w:spacing w:val="-4"/>
          <w:sz w:val="18"/>
        </w:rPr>
        <w:t>и</w:t>
      </w:r>
      <w:r w:rsidR="00856D2F">
        <w:rPr>
          <w:color w:val="373737" w:themeColor="background1" w:themeShade="40"/>
          <w:spacing w:val="-4"/>
          <w:sz w:val="18"/>
        </w:rPr>
        <w:t>те</w:t>
      </w:r>
      <w:r w:rsidRPr="00463D5A">
        <w:rPr>
          <w:color w:val="373737" w:themeColor="background1" w:themeShade="40"/>
          <w:spacing w:val="-4"/>
          <w:sz w:val="18"/>
        </w:rPr>
        <w:t xml:space="preserve"> от</w:t>
      </w:r>
      <w:r w:rsidR="00856D2F">
        <w:rPr>
          <w:color w:val="373737" w:themeColor="background1" w:themeShade="40"/>
          <w:spacing w:val="-4"/>
          <w:sz w:val="18"/>
        </w:rPr>
        <w:t>носно</w:t>
      </w:r>
      <w:r w:rsidRPr="00463D5A">
        <w:rPr>
          <w:color w:val="373737" w:themeColor="background1" w:themeShade="40"/>
          <w:spacing w:val="-4"/>
          <w:sz w:val="18"/>
        </w:rPr>
        <w:t xml:space="preserve"> приноса на LEADER/ВОМР по принцип могат да бъдат отчитани във всички свързани с ОПА общи въпроси за оценка (ОВО), включени в глава 7 от образеца </w:t>
      </w:r>
      <w:r w:rsidR="007207A0" w:rsidRPr="00251DF4">
        <w:rPr>
          <w:color w:val="373737" w:themeColor="background1" w:themeShade="40"/>
          <w:spacing w:val="-4"/>
          <w:sz w:val="18"/>
        </w:rPr>
        <w:t xml:space="preserve">на </w:t>
      </w:r>
      <w:r w:rsidR="007207A0" w:rsidRPr="00463D5A">
        <w:rPr>
          <w:color w:val="373737" w:themeColor="background1" w:themeShade="40"/>
          <w:spacing w:val="-4"/>
          <w:sz w:val="18"/>
        </w:rPr>
        <w:t>SFC</w:t>
      </w:r>
      <w:r w:rsidR="007207A0" w:rsidRPr="00251DF4">
        <w:rPr>
          <w:color w:val="373737" w:themeColor="background1" w:themeShade="40"/>
          <w:spacing w:val="-4"/>
          <w:sz w:val="18"/>
        </w:rPr>
        <w:t xml:space="preserve"> </w:t>
      </w:r>
      <w:r w:rsidRPr="00463D5A">
        <w:rPr>
          <w:color w:val="373737" w:themeColor="background1" w:themeShade="40"/>
          <w:spacing w:val="-4"/>
          <w:sz w:val="18"/>
        </w:rPr>
        <w:t>за ГДИ</w:t>
      </w:r>
      <w:r w:rsidR="007207A0" w:rsidRPr="00251DF4">
        <w:rPr>
          <w:color w:val="373737" w:themeColor="background1" w:themeShade="40"/>
          <w:spacing w:val="-4"/>
          <w:sz w:val="18"/>
        </w:rPr>
        <w:t>, подадени</w:t>
      </w:r>
      <w:r w:rsidRPr="00463D5A">
        <w:rPr>
          <w:color w:val="373737" w:themeColor="background1" w:themeShade="40"/>
          <w:spacing w:val="-4"/>
          <w:sz w:val="18"/>
        </w:rPr>
        <w:t xml:space="preserve"> </w:t>
      </w:r>
      <w:r w:rsidR="007207A0" w:rsidRPr="00251DF4">
        <w:rPr>
          <w:color w:val="373737" w:themeColor="background1" w:themeShade="40"/>
          <w:spacing w:val="-4"/>
          <w:sz w:val="18"/>
        </w:rPr>
        <w:t>през</w:t>
      </w:r>
      <w:r w:rsidRPr="00463D5A">
        <w:rPr>
          <w:color w:val="373737" w:themeColor="background1" w:themeShade="40"/>
          <w:spacing w:val="-4"/>
          <w:sz w:val="18"/>
        </w:rPr>
        <w:t xml:space="preserve"> 2017 г. и 2019 г.. Относимите общи въпроси за оценка, свързани с ОПА</w:t>
      </w:r>
      <w:r w:rsidR="00FE0FFD">
        <w:rPr>
          <w:color w:val="373737" w:themeColor="background1" w:themeShade="40"/>
          <w:spacing w:val="-4"/>
          <w:sz w:val="18"/>
        </w:rPr>
        <w:t>,</w:t>
      </w:r>
      <w:r w:rsidR="003E0769" w:rsidRPr="00FB01AA">
        <w:rPr>
          <w:color w:val="373737" w:themeColor="background1" w:themeShade="40"/>
          <w:sz w:val="18"/>
        </w:rPr>
        <w:t xml:space="preserve"> са тези, </w:t>
      </w:r>
      <w:r w:rsidR="00D3341A">
        <w:rPr>
          <w:color w:val="373737" w:themeColor="background1" w:themeShade="40"/>
          <w:sz w:val="18"/>
        </w:rPr>
        <w:t>при</w:t>
      </w:r>
      <w:r w:rsidR="003E0769" w:rsidRPr="00FB01AA">
        <w:rPr>
          <w:color w:val="373737" w:themeColor="background1" w:themeShade="40"/>
          <w:sz w:val="18"/>
        </w:rPr>
        <w:t xml:space="preserve"> които операциите, изпълнявани чрез стратегиите за ВОМР, </w:t>
      </w:r>
      <w:r w:rsidR="00FE0FFD">
        <w:rPr>
          <w:color w:val="373737" w:themeColor="background1" w:themeShade="40"/>
          <w:sz w:val="18"/>
        </w:rPr>
        <w:t>са показали</w:t>
      </w:r>
      <w:r w:rsidR="003E0769" w:rsidRPr="00FB01AA">
        <w:rPr>
          <w:color w:val="373737" w:themeColor="background1" w:themeShade="40"/>
          <w:sz w:val="18"/>
        </w:rPr>
        <w:t xml:space="preserve"> първичен или вторичен принос (вж. глава 2.3.1).</w:t>
      </w:r>
    </w:p>
    <w:p w:rsidR="007866D4" w:rsidRPr="00FB01AA" w:rsidRDefault="007866D4" w:rsidP="007866D4">
      <w:pPr>
        <w:pStyle w:val="HStandard"/>
        <w:rPr>
          <w:color w:val="373737" w:themeColor="background1" w:themeShade="40"/>
          <w:sz w:val="18"/>
        </w:rPr>
      </w:pPr>
      <w:r w:rsidRPr="00FB01AA">
        <w:rPr>
          <w:color w:val="373737" w:themeColor="background1" w:themeShade="40"/>
          <w:sz w:val="18"/>
        </w:rPr>
        <w:t>Приносът на LEADER/ВОМР се докладва в образеца на SFC по следния начин:</w:t>
      </w:r>
    </w:p>
    <w:p w:rsidR="007866D4" w:rsidRPr="00463D5A" w:rsidRDefault="007866D4" w:rsidP="007866D4">
      <w:pPr>
        <w:pStyle w:val="Hlistbullet"/>
        <w:ind w:left="426" w:hanging="426"/>
        <w:rPr>
          <w:snapToGrid w:val="0"/>
          <w:spacing w:val="-4"/>
          <w:sz w:val="18"/>
        </w:rPr>
      </w:pPr>
      <w:r w:rsidRPr="00463D5A">
        <w:rPr>
          <w:spacing w:val="-4"/>
          <w:sz w:val="18"/>
        </w:rPr>
        <w:t>количествено изразен като дял от стойностите, постигнати по общите показатели за резултатите/</w:t>
      </w:r>
      <w:r w:rsidR="00856D2F">
        <w:rPr>
          <w:spacing w:val="-4"/>
          <w:sz w:val="18"/>
        </w:rPr>
        <w:t xml:space="preserve">за </w:t>
      </w:r>
      <w:r w:rsidRPr="00463D5A">
        <w:rPr>
          <w:spacing w:val="-4"/>
          <w:sz w:val="18"/>
        </w:rPr>
        <w:t xml:space="preserve">целите и допълнителните показатели, ако държавите членки </w:t>
      </w:r>
      <w:r w:rsidR="00E66582">
        <w:rPr>
          <w:spacing w:val="-4"/>
          <w:sz w:val="18"/>
        </w:rPr>
        <w:t xml:space="preserve">са </w:t>
      </w:r>
      <w:r w:rsidRPr="00463D5A">
        <w:rPr>
          <w:spacing w:val="-4"/>
          <w:sz w:val="18"/>
        </w:rPr>
        <w:t>ги използва</w:t>
      </w:r>
      <w:r w:rsidR="00E66582">
        <w:rPr>
          <w:spacing w:val="-4"/>
          <w:sz w:val="18"/>
        </w:rPr>
        <w:t>ли</w:t>
      </w:r>
      <w:r w:rsidRPr="00463D5A">
        <w:rPr>
          <w:spacing w:val="-4"/>
          <w:sz w:val="18"/>
        </w:rPr>
        <w:t>, за да отгов</w:t>
      </w:r>
      <w:r w:rsidR="00E66582">
        <w:rPr>
          <w:spacing w:val="-4"/>
          <w:sz w:val="18"/>
        </w:rPr>
        <w:t>о</w:t>
      </w:r>
      <w:r w:rsidRPr="00463D5A">
        <w:rPr>
          <w:spacing w:val="-4"/>
          <w:sz w:val="18"/>
        </w:rPr>
        <w:t>рят на ОВО</w:t>
      </w:r>
      <w:r w:rsidRPr="00463D5A">
        <w:rPr>
          <w:snapToGrid w:val="0"/>
          <w:spacing w:val="-4"/>
          <w:sz w:val="18"/>
          <w:vertAlign w:val="superscript"/>
        </w:rPr>
        <w:footnoteReference w:id="46"/>
      </w:r>
      <w:r w:rsidRPr="00463D5A">
        <w:rPr>
          <w:spacing w:val="-4"/>
          <w:sz w:val="18"/>
        </w:rPr>
        <w:t>;</w:t>
      </w:r>
    </w:p>
    <w:p w:rsidR="007866D4" w:rsidRPr="00FB01AA" w:rsidRDefault="007866D4" w:rsidP="007866D4">
      <w:pPr>
        <w:pStyle w:val="Hlistbullet"/>
        <w:ind w:left="426" w:hanging="426"/>
        <w:rPr>
          <w:snapToGrid w:val="0"/>
          <w:sz w:val="18"/>
        </w:rPr>
      </w:pPr>
      <w:r w:rsidRPr="00FB01AA">
        <w:rPr>
          <w:sz w:val="18"/>
        </w:rPr>
        <w:t>или качествено оценен с помощта на теоретични или качествени методи</w:t>
      </w:r>
      <w:r w:rsidRPr="00FB01AA">
        <w:rPr>
          <w:snapToGrid w:val="0"/>
          <w:sz w:val="18"/>
          <w:vertAlign w:val="superscript"/>
        </w:rPr>
        <w:footnoteReference w:id="47"/>
      </w:r>
      <w:r w:rsidRPr="00FB01AA">
        <w:rPr>
          <w:sz w:val="18"/>
        </w:rPr>
        <w:t>.</w:t>
      </w:r>
    </w:p>
    <w:p w:rsidR="007866D4" w:rsidRPr="00FB01AA" w:rsidRDefault="007866D4" w:rsidP="007866D4">
      <w:pPr>
        <w:pStyle w:val="HStandard"/>
        <w:rPr>
          <w:sz w:val="18"/>
        </w:rPr>
      </w:pPr>
      <w:r w:rsidRPr="00FB01AA">
        <w:rPr>
          <w:b/>
          <w:sz w:val="18"/>
        </w:rPr>
        <w:t>Първичният принос</w:t>
      </w:r>
      <w:r w:rsidRPr="00FB01AA">
        <w:rPr>
          <w:sz w:val="18"/>
        </w:rPr>
        <w:t xml:space="preserve"> на LEADER/ВОМР, планиран по подразбиране за ОПА 6Б, се докладва в ГДИ, подадени през 2017 г. и 2019 г., основно чрез отговор</w:t>
      </w:r>
      <w:r w:rsidR="00E66582">
        <w:rPr>
          <w:sz w:val="18"/>
        </w:rPr>
        <w:t>а</w:t>
      </w:r>
      <w:r w:rsidRPr="00FB01AA">
        <w:rPr>
          <w:sz w:val="18"/>
        </w:rPr>
        <w:t xml:space="preserve"> на ОВО № 17 (вж. глава 2.3.1). </w:t>
      </w:r>
    </w:p>
    <w:p w:rsidR="003876D5" w:rsidRDefault="007866D4" w:rsidP="00FD7168">
      <w:pPr>
        <w:pStyle w:val="HStandard"/>
        <w:rPr>
          <w:sz w:val="18"/>
        </w:rPr>
      </w:pPr>
      <w:r w:rsidRPr="00FB01AA">
        <w:rPr>
          <w:b/>
          <w:sz w:val="18"/>
        </w:rPr>
        <w:t>Вторични</w:t>
      </w:r>
      <w:r w:rsidR="00E66582">
        <w:rPr>
          <w:b/>
          <w:sz w:val="18"/>
        </w:rPr>
        <w:t>я</w:t>
      </w:r>
      <w:r w:rsidRPr="00FB01AA">
        <w:rPr>
          <w:b/>
          <w:sz w:val="18"/>
        </w:rPr>
        <w:t>т принос</w:t>
      </w:r>
      <w:r w:rsidRPr="00FB01AA">
        <w:rPr>
          <w:sz w:val="18"/>
        </w:rPr>
        <w:t xml:space="preserve"> следва да се докладва посредством отговорите на всички ОВО, свързани с ОПА, за които LEADER/ВОМР има принос. За ОВО № 4, 11, 12, 13 и 14</w:t>
      </w:r>
      <w:r w:rsidRPr="00FB01AA">
        <w:rPr>
          <w:rStyle w:val="FootnoteReference"/>
          <w:sz w:val="18"/>
        </w:rPr>
        <w:footnoteReference w:id="48"/>
      </w:r>
      <w:r w:rsidRPr="00FB01AA">
        <w:rPr>
          <w:sz w:val="18"/>
        </w:rPr>
        <w:t xml:space="preserve"> вторичните приноси следва да бъдат изразени също и като дял от</w:t>
      </w:r>
      <w:r w:rsidR="003876D5">
        <w:rPr>
          <w:sz w:val="18"/>
        </w:rPr>
        <w:br w:type="page"/>
      </w:r>
    </w:p>
    <w:p w:rsidR="007866D4" w:rsidRPr="00FB01AA" w:rsidRDefault="007866D4" w:rsidP="007866D4">
      <w:pPr>
        <w:pStyle w:val="HStandard"/>
        <w:rPr>
          <w:sz w:val="18"/>
        </w:rPr>
        <w:sectPr w:rsidR="007866D4" w:rsidRPr="00FB01AA" w:rsidSect="002E46A5">
          <w:type w:val="continuous"/>
          <w:pgSz w:w="11906" w:h="16838"/>
          <w:pgMar w:top="1418" w:right="1418" w:bottom="1418" w:left="1418" w:header="709" w:footer="709" w:gutter="0"/>
          <w:cols w:num="2" w:space="397"/>
          <w:docGrid w:linePitch="360"/>
        </w:sectPr>
      </w:pPr>
      <w:r w:rsidRPr="00FB01AA">
        <w:rPr>
          <w:sz w:val="18"/>
        </w:rPr>
        <w:lastRenderedPageBreak/>
        <w:t xml:space="preserve"> брутните стойности, изчислени за общите и допълнителните показатели, които са използвани </w:t>
      </w:r>
      <w:r w:rsidR="00D21DBF" w:rsidRPr="00FB01AA">
        <w:rPr>
          <w:sz w:val="18"/>
        </w:rPr>
        <w:t>за отговор на съответния ОВО.</w:t>
      </w:r>
    </w:p>
    <w:p w:rsidR="007866D4" w:rsidRPr="00FB01AA" w:rsidRDefault="007866D4" w:rsidP="007866D4">
      <w:pPr>
        <w:pStyle w:val="H-Table"/>
        <w:keepNext/>
        <w:keepLines/>
        <w:spacing w:before="120" w:after="120" w:line="260" w:lineRule="atLeast"/>
        <w:ind w:left="851" w:hanging="851"/>
        <w:rPr>
          <w:rFonts w:cs="Arial"/>
          <w:sz w:val="14"/>
        </w:rPr>
      </w:pPr>
      <w:bookmarkStart w:id="110" w:name="_Toc493497747"/>
      <w:bookmarkStart w:id="111" w:name="_Toc498507397"/>
      <w:r w:rsidRPr="00FB01AA">
        <w:rPr>
          <w:sz w:val="14"/>
        </w:rPr>
        <w:t>Общ преглед на докладването за LEADER/ВОМР, отговорности за докладване и целеви групи.</w:t>
      </w:r>
      <w:bookmarkEnd w:id="110"/>
      <w:bookmarkEnd w:id="111"/>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96"/>
        <w:gridCol w:w="1292"/>
        <w:gridCol w:w="3798"/>
      </w:tblGrid>
      <w:tr w:rsidR="007866D4" w:rsidRPr="00FB01AA" w:rsidTr="009415A0">
        <w:tc>
          <w:tcPr>
            <w:tcW w:w="0" w:type="auto"/>
            <w:tcBorders>
              <w:right w:val="single" w:sz="4" w:space="0" w:color="FFFFFF" w:themeColor="accent1"/>
            </w:tcBorders>
            <w:shd w:val="clear" w:color="auto" w:fill="F07E31" w:themeFill="background2"/>
          </w:tcPr>
          <w:p w:rsidR="007866D4" w:rsidRPr="00FB01AA" w:rsidRDefault="007866D4" w:rsidP="009415A0">
            <w:pPr>
              <w:jc w:val="center"/>
              <w:rPr>
                <w:rFonts w:ascii="Arial" w:hAnsi="Arial" w:cs="Arial"/>
                <w:b/>
                <w:bCs/>
                <w:color w:val="FFFFFF" w:themeColor="accent1"/>
                <w:kern w:val="32"/>
                <w:sz w:val="16"/>
                <w:szCs w:val="18"/>
              </w:rPr>
            </w:pPr>
            <w:r w:rsidRPr="00FB01AA">
              <w:rPr>
                <w:rFonts w:ascii="Arial" w:hAnsi="Arial"/>
                <w:b/>
                <w:color w:val="FFFFFF" w:themeColor="accent1"/>
                <w:kern w:val="32"/>
                <w:sz w:val="16"/>
              </w:rPr>
              <w:t xml:space="preserve">Формат на докладите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FB01AA" w:rsidRDefault="007866D4" w:rsidP="009415A0">
            <w:pPr>
              <w:jc w:val="center"/>
              <w:rPr>
                <w:rFonts w:ascii="Arial" w:hAnsi="Arial" w:cs="Arial"/>
                <w:b/>
                <w:bCs/>
                <w:color w:val="FFFFFF" w:themeColor="accent1"/>
                <w:kern w:val="32"/>
                <w:sz w:val="16"/>
                <w:szCs w:val="18"/>
              </w:rPr>
            </w:pPr>
            <w:r w:rsidRPr="00FB01AA">
              <w:rPr>
                <w:rFonts w:ascii="Arial" w:hAnsi="Arial"/>
                <w:b/>
                <w:color w:val="FFFFFF" w:themeColor="accent1"/>
                <w:kern w:val="32"/>
                <w:sz w:val="16"/>
              </w:rPr>
              <w:t xml:space="preserve">Отговорност </w:t>
            </w:r>
          </w:p>
        </w:tc>
        <w:tc>
          <w:tcPr>
            <w:tcW w:w="0" w:type="auto"/>
            <w:tcBorders>
              <w:left w:val="single" w:sz="4" w:space="0" w:color="FFFFFF" w:themeColor="accent1"/>
            </w:tcBorders>
            <w:shd w:val="clear" w:color="auto" w:fill="F07E31" w:themeFill="background2"/>
          </w:tcPr>
          <w:p w:rsidR="007866D4" w:rsidRPr="00FB01AA" w:rsidRDefault="007866D4" w:rsidP="009415A0">
            <w:pPr>
              <w:jc w:val="center"/>
              <w:rPr>
                <w:rFonts w:ascii="Arial" w:hAnsi="Arial" w:cs="Arial"/>
                <w:b/>
                <w:bCs/>
                <w:color w:val="FFFFFF" w:themeColor="accent1"/>
                <w:kern w:val="32"/>
                <w:sz w:val="16"/>
                <w:szCs w:val="18"/>
              </w:rPr>
            </w:pPr>
            <w:r w:rsidRPr="00FB01AA">
              <w:rPr>
                <w:rFonts w:ascii="Arial" w:hAnsi="Arial"/>
                <w:b/>
                <w:color w:val="FFFFFF" w:themeColor="accent1"/>
                <w:kern w:val="32"/>
                <w:sz w:val="16"/>
              </w:rPr>
              <w:t>Получатели</w:t>
            </w:r>
          </w:p>
        </w:tc>
      </w:tr>
      <w:tr w:rsidR="007866D4" w:rsidRPr="00FB01AA" w:rsidTr="009415A0">
        <w:tc>
          <w:tcPr>
            <w:tcW w:w="0" w:type="auto"/>
            <w:tcBorders>
              <w:right w:val="single" w:sz="4" w:space="0" w:color="FFFFFF" w:themeColor="accent1"/>
            </w:tcBorders>
            <w:shd w:val="clear" w:color="auto" w:fill="FCE5D5" w:themeFill="background2" w:themeFillTint="33"/>
          </w:tcPr>
          <w:p w:rsidR="007866D4" w:rsidRPr="00FB01AA" w:rsidRDefault="00E8553B" w:rsidP="00E8553B">
            <w:pPr>
              <w:pStyle w:val="Htableleft"/>
              <w:rPr>
                <w:rFonts w:ascii="Arial" w:hAnsi="Arial" w:cs="Arial"/>
                <w:color w:val="373737"/>
                <w:sz w:val="16"/>
              </w:rPr>
            </w:pPr>
            <w:r w:rsidRPr="00251DF4">
              <w:rPr>
                <w:color w:val="373737"/>
                <w:sz w:val="16"/>
              </w:rPr>
              <w:t>Констатаци</w:t>
            </w:r>
            <w:r w:rsidR="007866D4" w:rsidRPr="00FB01AA">
              <w:rPr>
                <w:rFonts w:ascii="Arial" w:hAnsi="Arial"/>
                <w:color w:val="373737"/>
                <w:sz w:val="16"/>
              </w:rPr>
              <w:t>и от оценката на LEADER/ВОМР като част от ГДИ, подаден чрез образеца на SFC (Система за управление на фондовете в ЕС)</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FB01AA" w:rsidRDefault="007866D4" w:rsidP="009415A0">
            <w:pPr>
              <w:pStyle w:val="Htableleft"/>
              <w:rPr>
                <w:rFonts w:ascii="Arial" w:hAnsi="Arial" w:cs="Arial"/>
                <w:color w:val="373737"/>
                <w:sz w:val="16"/>
              </w:rPr>
            </w:pPr>
            <w:r w:rsidRPr="00FB01AA">
              <w:rPr>
                <w:rFonts w:ascii="Arial" w:hAnsi="Arial"/>
                <w:color w:val="373737"/>
                <w:sz w:val="16"/>
              </w:rPr>
              <w:t>УО</w:t>
            </w:r>
          </w:p>
        </w:tc>
        <w:tc>
          <w:tcPr>
            <w:tcW w:w="0" w:type="auto"/>
            <w:tcBorders>
              <w:left w:val="single" w:sz="4" w:space="0" w:color="FFFFFF" w:themeColor="accent1"/>
            </w:tcBorders>
            <w:shd w:val="clear" w:color="auto" w:fill="FCE5D5" w:themeFill="background2" w:themeFillTint="33"/>
          </w:tcPr>
          <w:p w:rsidR="007866D4" w:rsidRPr="00FB01AA" w:rsidRDefault="007866D4" w:rsidP="009415A0">
            <w:pPr>
              <w:pStyle w:val="Htableleft"/>
              <w:rPr>
                <w:rFonts w:ascii="Arial" w:hAnsi="Arial" w:cs="Arial"/>
                <w:color w:val="373737"/>
                <w:sz w:val="16"/>
              </w:rPr>
            </w:pPr>
            <w:r w:rsidRPr="00FB01AA">
              <w:rPr>
                <w:rFonts w:ascii="Arial" w:hAnsi="Arial"/>
                <w:color w:val="373737"/>
                <w:sz w:val="16"/>
              </w:rPr>
              <w:t>Европейска комисия</w:t>
            </w:r>
          </w:p>
        </w:tc>
      </w:tr>
      <w:tr w:rsidR="007866D4" w:rsidRPr="00FB01AA" w:rsidTr="009415A0">
        <w:tc>
          <w:tcPr>
            <w:tcW w:w="0" w:type="auto"/>
            <w:tcBorders>
              <w:right w:val="single" w:sz="4" w:space="0" w:color="FFFFFF" w:themeColor="accent1"/>
            </w:tcBorders>
            <w:shd w:val="clear" w:color="auto" w:fill="F9CBAC" w:themeFill="background2" w:themeFillTint="66"/>
          </w:tcPr>
          <w:p w:rsidR="007866D4" w:rsidRPr="00FB01AA" w:rsidRDefault="00E8553B" w:rsidP="00E8553B">
            <w:pPr>
              <w:pStyle w:val="Htableleft"/>
              <w:rPr>
                <w:rFonts w:ascii="Arial" w:hAnsi="Arial" w:cs="Arial"/>
                <w:color w:val="373737"/>
                <w:sz w:val="16"/>
              </w:rPr>
            </w:pPr>
            <w:r w:rsidRPr="00251DF4">
              <w:rPr>
                <w:color w:val="373737"/>
                <w:sz w:val="16"/>
              </w:rPr>
              <w:t>Констатаци</w:t>
            </w:r>
            <w:r w:rsidR="007866D4" w:rsidRPr="00FB01AA">
              <w:rPr>
                <w:rFonts w:ascii="Arial" w:hAnsi="Arial"/>
                <w:color w:val="373737"/>
                <w:sz w:val="16"/>
              </w:rPr>
              <w:t xml:space="preserve">и от оценката на LEADER/ВОМР като част от доклада за последваща оценка на ПРСР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FB01AA" w:rsidRDefault="007866D4" w:rsidP="009415A0">
            <w:pPr>
              <w:pStyle w:val="Htableleft"/>
              <w:rPr>
                <w:rFonts w:ascii="Arial" w:hAnsi="Arial" w:cs="Arial"/>
                <w:color w:val="373737"/>
                <w:sz w:val="16"/>
              </w:rPr>
            </w:pPr>
            <w:r w:rsidRPr="00FB01AA">
              <w:rPr>
                <w:rFonts w:ascii="Arial" w:hAnsi="Arial"/>
                <w:color w:val="373737"/>
                <w:sz w:val="16"/>
              </w:rPr>
              <w:t xml:space="preserve">Оценители </w:t>
            </w:r>
          </w:p>
        </w:tc>
        <w:tc>
          <w:tcPr>
            <w:tcW w:w="0" w:type="auto"/>
            <w:tcBorders>
              <w:left w:val="single" w:sz="4" w:space="0" w:color="FFFFFF" w:themeColor="accent1"/>
            </w:tcBorders>
            <w:shd w:val="clear" w:color="auto" w:fill="F9CBAC" w:themeFill="background2" w:themeFillTint="66"/>
          </w:tcPr>
          <w:p w:rsidR="007866D4" w:rsidRPr="00FB01AA" w:rsidRDefault="007866D4" w:rsidP="009415A0">
            <w:pPr>
              <w:pStyle w:val="Htableleft"/>
              <w:rPr>
                <w:rFonts w:ascii="Arial" w:hAnsi="Arial" w:cs="Arial"/>
                <w:color w:val="373737"/>
                <w:sz w:val="16"/>
              </w:rPr>
            </w:pPr>
            <w:r w:rsidRPr="00FB01AA">
              <w:rPr>
                <w:rFonts w:ascii="Arial" w:hAnsi="Arial"/>
                <w:color w:val="373737"/>
                <w:sz w:val="16"/>
              </w:rPr>
              <w:t xml:space="preserve">УО, комитет за мониторинг (КМ), Европейска комисия </w:t>
            </w:r>
          </w:p>
        </w:tc>
      </w:tr>
      <w:tr w:rsidR="007866D4" w:rsidRPr="00FB01AA" w:rsidTr="009415A0">
        <w:tc>
          <w:tcPr>
            <w:tcW w:w="0" w:type="auto"/>
            <w:tcBorders>
              <w:right w:val="single" w:sz="4" w:space="0" w:color="FFFFFF" w:themeColor="accent1"/>
            </w:tcBorders>
            <w:shd w:val="clear" w:color="auto" w:fill="FCE5D5" w:themeFill="background2" w:themeFillTint="33"/>
          </w:tcPr>
          <w:p w:rsidR="007866D4" w:rsidRPr="00FB01AA" w:rsidRDefault="007866D4" w:rsidP="009415A0">
            <w:pPr>
              <w:pStyle w:val="Htableleft"/>
              <w:rPr>
                <w:rFonts w:ascii="Arial" w:hAnsi="Arial" w:cs="Arial"/>
                <w:color w:val="373737"/>
                <w:sz w:val="16"/>
              </w:rPr>
            </w:pPr>
            <w:r w:rsidRPr="00FB01AA">
              <w:rPr>
                <w:rFonts w:ascii="Arial" w:hAnsi="Arial"/>
                <w:color w:val="373737"/>
                <w:sz w:val="16"/>
              </w:rPr>
              <w:t>Самостоятелен доклад за оценка на LEADER/ВОМР</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FB01AA" w:rsidRDefault="007866D4" w:rsidP="009415A0">
            <w:pPr>
              <w:pStyle w:val="Htableleft"/>
              <w:rPr>
                <w:rFonts w:ascii="Arial" w:hAnsi="Arial" w:cs="Arial"/>
                <w:color w:val="373737"/>
                <w:sz w:val="16"/>
              </w:rPr>
            </w:pPr>
            <w:r w:rsidRPr="00FB01AA">
              <w:rPr>
                <w:rFonts w:ascii="Arial" w:hAnsi="Arial"/>
                <w:color w:val="373737"/>
                <w:sz w:val="16"/>
              </w:rPr>
              <w:t xml:space="preserve">Оценители </w:t>
            </w:r>
          </w:p>
        </w:tc>
        <w:tc>
          <w:tcPr>
            <w:tcW w:w="0" w:type="auto"/>
            <w:tcBorders>
              <w:left w:val="single" w:sz="4" w:space="0" w:color="FFFFFF" w:themeColor="accent1"/>
            </w:tcBorders>
            <w:shd w:val="clear" w:color="auto" w:fill="FCE5D5" w:themeFill="background2" w:themeFillTint="33"/>
          </w:tcPr>
          <w:p w:rsidR="007866D4" w:rsidRPr="00FB01AA" w:rsidRDefault="007866D4" w:rsidP="00810F81">
            <w:pPr>
              <w:pStyle w:val="Htableleft"/>
              <w:rPr>
                <w:rFonts w:ascii="Arial" w:hAnsi="Arial" w:cs="Arial"/>
                <w:color w:val="373737"/>
                <w:sz w:val="16"/>
              </w:rPr>
            </w:pPr>
            <w:r w:rsidRPr="00FB01AA">
              <w:rPr>
                <w:rFonts w:ascii="Arial" w:hAnsi="Arial"/>
                <w:color w:val="373737"/>
                <w:sz w:val="16"/>
              </w:rPr>
              <w:t>У</w:t>
            </w:r>
            <w:r w:rsidR="00810F81">
              <w:rPr>
                <w:rFonts w:ascii="Arial" w:hAnsi="Arial"/>
                <w:color w:val="373737"/>
                <w:sz w:val="16"/>
              </w:rPr>
              <w:t>О</w:t>
            </w:r>
            <w:r w:rsidRPr="00FB01AA">
              <w:rPr>
                <w:rFonts w:ascii="Arial" w:hAnsi="Arial"/>
                <w:color w:val="373737"/>
                <w:sz w:val="16"/>
              </w:rPr>
              <w:t xml:space="preserve">, КМ, Европейска комисия </w:t>
            </w:r>
          </w:p>
        </w:tc>
      </w:tr>
      <w:tr w:rsidR="007866D4" w:rsidRPr="00FB01AA" w:rsidTr="009415A0">
        <w:tc>
          <w:tcPr>
            <w:tcW w:w="0" w:type="auto"/>
            <w:tcBorders>
              <w:right w:val="single" w:sz="4" w:space="0" w:color="FFFFFF" w:themeColor="accent1"/>
            </w:tcBorders>
            <w:shd w:val="clear" w:color="auto" w:fill="F9CBAC" w:themeFill="background2" w:themeFillTint="66"/>
          </w:tcPr>
          <w:p w:rsidR="007866D4" w:rsidRPr="00FB01AA" w:rsidRDefault="007866D4" w:rsidP="004F376C">
            <w:pPr>
              <w:pStyle w:val="Htableleft"/>
              <w:rPr>
                <w:rFonts w:ascii="Arial" w:hAnsi="Arial" w:cs="Arial"/>
                <w:color w:val="373737"/>
                <w:sz w:val="16"/>
              </w:rPr>
            </w:pPr>
            <w:r w:rsidRPr="00FB01AA">
              <w:rPr>
                <w:rFonts w:ascii="Arial" w:hAnsi="Arial"/>
                <w:color w:val="373737"/>
                <w:sz w:val="16"/>
              </w:rPr>
              <w:t xml:space="preserve">Резюме на </w:t>
            </w:r>
            <w:r w:rsidR="004F376C" w:rsidRPr="00251DF4">
              <w:rPr>
                <w:color w:val="373737"/>
                <w:sz w:val="16"/>
              </w:rPr>
              <w:t>констатаци</w:t>
            </w:r>
            <w:r w:rsidRPr="00FB01AA">
              <w:rPr>
                <w:rFonts w:ascii="Arial" w:hAnsi="Arial"/>
                <w:color w:val="373737"/>
                <w:sz w:val="16"/>
              </w:rPr>
              <w:t xml:space="preserve">ите от оценката на LEADER/ВОМР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FB01AA" w:rsidRDefault="007866D4" w:rsidP="00810F81">
            <w:pPr>
              <w:pStyle w:val="Htableleft"/>
              <w:rPr>
                <w:rFonts w:ascii="Arial" w:hAnsi="Arial" w:cs="Arial"/>
                <w:color w:val="373737"/>
                <w:sz w:val="16"/>
              </w:rPr>
            </w:pPr>
            <w:r w:rsidRPr="00FB01AA">
              <w:rPr>
                <w:rFonts w:ascii="Arial" w:hAnsi="Arial"/>
                <w:color w:val="373737"/>
                <w:sz w:val="16"/>
              </w:rPr>
              <w:t>У</w:t>
            </w:r>
            <w:r w:rsidR="00810F81">
              <w:rPr>
                <w:rFonts w:ascii="Arial" w:hAnsi="Arial"/>
                <w:color w:val="373737"/>
                <w:sz w:val="16"/>
              </w:rPr>
              <w:t>О</w:t>
            </w:r>
            <w:r w:rsidRPr="00FB01AA">
              <w:rPr>
                <w:rFonts w:ascii="Arial" w:hAnsi="Arial"/>
                <w:color w:val="373737"/>
                <w:sz w:val="16"/>
              </w:rPr>
              <w:t xml:space="preserve"> и оценители</w:t>
            </w:r>
          </w:p>
        </w:tc>
        <w:tc>
          <w:tcPr>
            <w:tcW w:w="0" w:type="auto"/>
            <w:tcBorders>
              <w:left w:val="single" w:sz="4" w:space="0" w:color="FFFFFF" w:themeColor="accent1"/>
            </w:tcBorders>
            <w:shd w:val="clear" w:color="auto" w:fill="F9CBAC" w:themeFill="background2" w:themeFillTint="66"/>
          </w:tcPr>
          <w:p w:rsidR="007866D4" w:rsidRPr="00FB01AA" w:rsidRDefault="007866D4" w:rsidP="009415A0">
            <w:pPr>
              <w:pStyle w:val="Htableleft"/>
              <w:rPr>
                <w:rFonts w:ascii="Arial" w:hAnsi="Arial" w:cs="Arial"/>
                <w:color w:val="373737"/>
                <w:sz w:val="16"/>
              </w:rPr>
            </w:pPr>
            <w:r w:rsidRPr="00FB01AA">
              <w:rPr>
                <w:rFonts w:ascii="Arial" w:hAnsi="Arial"/>
                <w:color w:val="373737"/>
                <w:sz w:val="16"/>
              </w:rPr>
              <w:t>Различни групи заинтересовани страни по линия на LEADER/ВОМР, КМ, сдружения на МГД, бенефициери, НМСР и др.</w:t>
            </w:r>
          </w:p>
        </w:tc>
      </w:tr>
      <w:tr w:rsidR="007866D4" w:rsidRPr="00FB01AA" w:rsidTr="009415A0">
        <w:tc>
          <w:tcPr>
            <w:tcW w:w="0" w:type="auto"/>
            <w:tcBorders>
              <w:right w:val="single" w:sz="4" w:space="0" w:color="FFFFFF" w:themeColor="accent1"/>
            </w:tcBorders>
            <w:shd w:val="clear" w:color="auto" w:fill="FCE5D5" w:themeFill="background2" w:themeFillTint="33"/>
          </w:tcPr>
          <w:p w:rsidR="007866D4" w:rsidRPr="00FB01AA" w:rsidRDefault="007866D4" w:rsidP="004F376C">
            <w:pPr>
              <w:pStyle w:val="Htableleft"/>
              <w:rPr>
                <w:rFonts w:ascii="Arial" w:hAnsi="Arial" w:cs="Arial"/>
                <w:color w:val="373737"/>
                <w:sz w:val="16"/>
              </w:rPr>
            </w:pPr>
            <w:r w:rsidRPr="00FB01AA">
              <w:rPr>
                <w:rFonts w:ascii="Arial" w:hAnsi="Arial"/>
                <w:color w:val="373737"/>
                <w:sz w:val="16"/>
              </w:rPr>
              <w:t xml:space="preserve">Кратко резюме на </w:t>
            </w:r>
            <w:r w:rsidR="004F376C" w:rsidRPr="00251DF4">
              <w:rPr>
                <w:color w:val="373737"/>
                <w:sz w:val="16"/>
              </w:rPr>
              <w:t>констатаци</w:t>
            </w:r>
            <w:r w:rsidRPr="00FB01AA">
              <w:rPr>
                <w:rFonts w:ascii="Arial" w:hAnsi="Arial"/>
                <w:color w:val="373737"/>
                <w:sz w:val="16"/>
              </w:rPr>
              <w:t xml:space="preserve">ите от оценката на LEADER/ВОМР с акцент върху основните проблеми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FB01AA" w:rsidRDefault="007866D4" w:rsidP="009415A0">
            <w:pPr>
              <w:pStyle w:val="Htableleft"/>
              <w:rPr>
                <w:rFonts w:ascii="Arial" w:hAnsi="Arial" w:cs="Arial"/>
                <w:color w:val="373737"/>
                <w:sz w:val="16"/>
              </w:rPr>
            </w:pPr>
            <w:r w:rsidRPr="00FB01AA">
              <w:rPr>
                <w:rFonts w:ascii="Arial" w:hAnsi="Arial"/>
                <w:color w:val="373737"/>
                <w:sz w:val="16"/>
              </w:rPr>
              <w:t>УО</w:t>
            </w:r>
          </w:p>
        </w:tc>
        <w:tc>
          <w:tcPr>
            <w:tcW w:w="0" w:type="auto"/>
            <w:tcBorders>
              <w:left w:val="single" w:sz="4" w:space="0" w:color="FFFFFF" w:themeColor="accent1"/>
            </w:tcBorders>
            <w:shd w:val="clear" w:color="auto" w:fill="FCE5D5" w:themeFill="background2" w:themeFillTint="33"/>
          </w:tcPr>
          <w:p w:rsidR="007866D4" w:rsidRPr="00FB01AA" w:rsidRDefault="007866D4" w:rsidP="009415A0">
            <w:pPr>
              <w:pStyle w:val="Htableleft"/>
              <w:rPr>
                <w:rFonts w:ascii="Arial" w:hAnsi="Arial" w:cs="Arial"/>
                <w:color w:val="373737"/>
                <w:sz w:val="16"/>
              </w:rPr>
            </w:pPr>
            <w:r w:rsidRPr="00FB01AA">
              <w:rPr>
                <w:rFonts w:ascii="Arial" w:hAnsi="Arial"/>
                <w:color w:val="373737"/>
                <w:sz w:val="16"/>
              </w:rPr>
              <w:t>Широката общественост</w:t>
            </w:r>
          </w:p>
        </w:tc>
      </w:tr>
    </w:tbl>
    <w:p w:rsidR="007866D4" w:rsidRPr="00FB01AA" w:rsidRDefault="007866D4" w:rsidP="007866D4">
      <w:pPr>
        <w:pStyle w:val="HStandard"/>
        <w:rPr>
          <w:sz w:val="18"/>
        </w:rPr>
        <w:sectPr w:rsidR="007866D4" w:rsidRPr="00FB01AA" w:rsidSect="00CB1FBB">
          <w:type w:val="continuous"/>
          <w:pgSz w:w="11906" w:h="16838"/>
          <w:pgMar w:top="1418" w:right="1418" w:bottom="1418" w:left="1418" w:header="709" w:footer="709" w:gutter="0"/>
          <w:cols w:space="397"/>
          <w:docGrid w:linePitch="360"/>
        </w:sectPr>
      </w:pPr>
    </w:p>
    <w:p w:rsidR="007866D4" w:rsidRPr="00FB01AA" w:rsidRDefault="007866D4" w:rsidP="007866D4">
      <w:pPr>
        <w:pStyle w:val="HStandard"/>
        <w:rPr>
          <w:sz w:val="18"/>
        </w:rPr>
      </w:pPr>
      <w:r w:rsidRPr="00FB01AA">
        <w:rPr>
          <w:b/>
          <w:sz w:val="18"/>
        </w:rPr>
        <w:t>Освен</w:t>
      </w:r>
      <w:r w:rsidRPr="00FB01AA">
        <w:rPr>
          <w:sz w:val="18"/>
        </w:rPr>
        <w:t xml:space="preserve"> в свързаните с ОПА ОВО</w:t>
      </w:r>
      <w:r w:rsidR="00091981">
        <w:rPr>
          <w:sz w:val="18"/>
        </w:rPr>
        <w:t>,</w:t>
      </w:r>
      <w:r w:rsidRPr="00FB01AA">
        <w:rPr>
          <w:sz w:val="18"/>
        </w:rPr>
        <w:t xml:space="preserve"> приносът на LEADER/ВОМР се разглежда и в отговорите на други </w:t>
      </w:r>
      <w:r w:rsidR="00091981">
        <w:rPr>
          <w:sz w:val="18"/>
        </w:rPr>
        <w:t xml:space="preserve">видове </w:t>
      </w:r>
      <w:r w:rsidRPr="00FB01AA">
        <w:rPr>
          <w:sz w:val="18"/>
        </w:rPr>
        <w:t>ОВО, като:</w:t>
      </w:r>
    </w:p>
    <w:p w:rsidR="007866D4" w:rsidRPr="00FB01AA" w:rsidRDefault="007866D4" w:rsidP="007866D4">
      <w:pPr>
        <w:pStyle w:val="Hlistbullet"/>
        <w:ind w:left="426" w:hanging="426"/>
        <w:rPr>
          <w:snapToGrid w:val="0"/>
          <w:sz w:val="18"/>
        </w:rPr>
      </w:pPr>
      <w:r w:rsidRPr="00FB01AA">
        <w:rPr>
          <w:sz w:val="18"/>
        </w:rPr>
        <w:t>ОВО № 19 относно взаимодействията на програмата, в глава 7 на подадени</w:t>
      </w:r>
      <w:r w:rsidR="00CC780E">
        <w:rPr>
          <w:sz w:val="18"/>
        </w:rPr>
        <w:t>я</w:t>
      </w:r>
      <w:r w:rsidRPr="00FB01AA">
        <w:rPr>
          <w:sz w:val="18"/>
        </w:rPr>
        <w:t xml:space="preserve"> през 2017 г. ГДИ;</w:t>
      </w:r>
    </w:p>
    <w:p w:rsidR="007866D4" w:rsidRPr="00FB01AA" w:rsidRDefault="007866D4" w:rsidP="007866D4">
      <w:pPr>
        <w:pStyle w:val="Hlistbullet"/>
        <w:ind w:left="426" w:hanging="437"/>
        <w:rPr>
          <w:snapToGrid w:val="0"/>
          <w:sz w:val="18"/>
        </w:rPr>
      </w:pPr>
      <w:r w:rsidRPr="00FB01AA">
        <w:rPr>
          <w:sz w:val="18"/>
        </w:rPr>
        <w:t>ОВО № 29 относно приноса на програмата за целта на ОСП за постигане на балансирано териториално развитие на селските икономики и общности, включително създаването и поддържането на заетост, в глава 7 на подадени</w:t>
      </w:r>
      <w:r w:rsidR="00CC780E">
        <w:rPr>
          <w:sz w:val="18"/>
        </w:rPr>
        <w:t>я</w:t>
      </w:r>
      <w:r w:rsidRPr="00FB01AA">
        <w:rPr>
          <w:sz w:val="18"/>
        </w:rPr>
        <w:t xml:space="preserve"> през 2019 г. ГДИ; </w:t>
      </w:r>
    </w:p>
    <w:p w:rsidR="007866D4" w:rsidRPr="00FB01AA" w:rsidRDefault="007866D4" w:rsidP="007866D4">
      <w:pPr>
        <w:pStyle w:val="Hlistbullet"/>
        <w:ind w:left="426" w:hanging="437"/>
        <w:rPr>
          <w:snapToGrid w:val="0"/>
          <w:sz w:val="18"/>
        </w:rPr>
      </w:pPr>
      <w:r w:rsidRPr="00FB01AA">
        <w:rPr>
          <w:sz w:val="18"/>
        </w:rPr>
        <w:t xml:space="preserve">други </w:t>
      </w:r>
      <w:r w:rsidR="00091981">
        <w:rPr>
          <w:sz w:val="18"/>
        </w:rPr>
        <w:t xml:space="preserve">ОВО, </w:t>
      </w:r>
      <w:r w:rsidRPr="00FB01AA">
        <w:rPr>
          <w:sz w:val="18"/>
        </w:rPr>
        <w:t xml:space="preserve">свързани с цели на </w:t>
      </w:r>
      <w:r w:rsidR="00091981">
        <w:rPr>
          <w:sz w:val="18"/>
        </w:rPr>
        <w:t xml:space="preserve">равнището на </w:t>
      </w:r>
      <w:r w:rsidRPr="00FB01AA">
        <w:rPr>
          <w:sz w:val="18"/>
        </w:rPr>
        <w:t>ЕС, ако е приложимо, в глава 7 на подадени</w:t>
      </w:r>
      <w:r w:rsidR="00091981">
        <w:rPr>
          <w:sz w:val="18"/>
        </w:rPr>
        <w:t>я</w:t>
      </w:r>
      <w:r w:rsidRPr="00FB01AA">
        <w:rPr>
          <w:sz w:val="18"/>
        </w:rPr>
        <w:t xml:space="preserve"> през 2019 г. ГДИ.</w:t>
      </w:r>
    </w:p>
    <w:p w:rsidR="007866D4" w:rsidRPr="00FB01AA" w:rsidRDefault="007866D4" w:rsidP="007866D4">
      <w:pPr>
        <w:rPr>
          <w:rFonts w:ascii="Arial" w:hAnsi="Arial" w:cs="Arial"/>
          <w:bCs/>
          <w:i/>
          <w:color w:val="BE4A35" w:themeColor="accent2"/>
          <w:kern w:val="32"/>
          <w:sz w:val="18"/>
          <w:szCs w:val="20"/>
        </w:rPr>
      </w:pPr>
      <w:r w:rsidRPr="00FB01AA">
        <w:rPr>
          <w:rFonts w:ascii="Arial" w:hAnsi="Arial"/>
          <w:i/>
          <w:color w:val="373737"/>
          <w:kern w:val="32"/>
          <w:sz w:val="18"/>
        </w:rPr>
        <w:t>Отговори на специфичните за програмата въпроси за оценка в подадените през 2017 г. и 2019 г. ГДИ</w:t>
      </w:r>
    </w:p>
    <w:p w:rsidR="007866D4" w:rsidRPr="00FB01AA" w:rsidRDefault="007866D4" w:rsidP="007866D4">
      <w:pPr>
        <w:pStyle w:val="HStandard"/>
        <w:rPr>
          <w:sz w:val="18"/>
        </w:rPr>
      </w:pPr>
      <w:r w:rsidRPr="00FB01AA">
        <w:rPr>
          <w:sz w:val="18"/>
        </w:rPr>
        <w:t xml:space="preserve">Възможно е УО да са включили в плана за оценка конкретна тема за оценка, свързана с LEADER/ВОМР (напр. оценка на метода на LEADER или на един или няколко принципа на ВОМР), и да са добавили към нея специфичен(и) за програмата въпрос(и) за оценка. Специфичните за програмата въпроси за оценка може също така да бъдат разработени на по-късен етап от оценителя и съгласувани с УО. И в двата случая от УО ще се изисква да докладват съответните </w:t>
      </w:r>
      <w:r w:rsidR="004F376C" w:rsidRPr="00251DF4">
        <w:rPr>
          <w:sz w:val="18"/>
        </w:rPr>
        <w:t>констатаци</w:t>
      </w:r>
      <w:r w:rsidRPr="00FB01AA">
        <w:rPr>
          <w:sz w:val="18"/>
        </w:rPr>
        <w:t xml:space="preserve">и от оценките в специална таблица (отговори на специфични за програмата въпроси за оценка) в глава 7 на подадените през 2017 г. и 2019 г. ГДИ. </w:t>
      </w:r>
    </w:p>
    <w:p w:rsidR="007866D4" w:rsidRPr="00FB01AA" w:rsidRDefault="00112124" w:rsidP="007866D4">
      <w:pPr>
        <w:rPr>
          <w:rFonts w:ascii="Arial" w:hAnsi="Arial" w:cs="Arial"/>
          <w:bCs/>
          <w:i/>
          <w:color w:val="BE4A35" w:themeColor="accent2"/>
          <w:kern w:val="32"/>
          <w:sz w:val="18"/>
          <w:szCs w:val="20"/>
        </w:rPr>
      </w:pPr>
      <w:r w:rsidRPr="00FB01AA">
        <w:rPr>
          <w:rFonts w:ascii="Arial" w:hAnsi="Arial"/>
          <w:i/>
          <w:color w:val="373737"/>
          <w:kern w:val="32"/>
          <w:sz w:val="18"/>
        </w:rPr>
        <w:t>Докладване в стандартни</w:t>
      </w:r>
      <w:r w:rsidR="002D70F3">
        <w:rPr>
          <w:rFonts w:ascii="Arial" w:hAnsi="Arial"/>
          <w:i/>
          <w:color w:val="373737"/>
          <w:kern w:val="32"/>
          <w:sz w:val="18"/>
        </w:rPr>
        <w:t>я</w:t>
      </w:r>
      <w:r w:rsidRPr="00FB01AA">
        <w:rPr>
          <w:rFonts w:ascii="Arial" w:hAnsi="Arial"/>
          <w:i/>
          <w:color w:val="373737"/>
          <w:kern w:val="32"/>
          <w:sz w:val="18"/>
        </w:rPr>
        <w:t xml:space="preserve"> ГДИ</w:t>
      </w:r>
    </w:p>
    <w:p w:rsidR="007866D4" w:rsidRPr="00FB01AA" w:rsidRDefault="007866D4" w:rsidP="007866D4">
      <w:pPr>
        <w:pStyle w:val="HStandard"/>
        <w:rPr>
          <w:sz w:val="18"/>
        </w:rPr>
      </w:pPr>
      <w:r w:rsidRPr="00FB01AA">
        <w:rPr>
          <w:sz w:val="18"/>
        </w:rPr>
        <w:t xml:space="preserve">От държавите членки се изисква да докладват в глава 2 на стандартния ГДИ всяка свързана с LEADER/ВОМР дейност за оценка, </w:t>
      </w:r>
      <w:r w:rsidR="002D70F3">
        <w:rPr>
          <w:sz w:val="18"/>
        </w:rPr>
        <w:t>приключ</w:t>
      </w:r>
      <w:r w:rsidRPr="00FB01AA">
        <w:rPr>
          <w:sz w:val="18"/>
        </w:rPr>
        <w:t xml:space="preserve">ените дейности за оценка и комуникационните дейности. Ако УО е решил да извърши самостоятелна оценка на LEADER/ВОМР (с акцент върху LEADER/CLLD като цяло или върху конкретен негов аспект) и ако тази оценка е включена в плана за оценка на ПРСР, от УО ще се изисква да докладва тази оценка в глава 2 на стандартния ГДИ за годината, през която е извършена оценката. </w:t>
      </w:r>
    </w:p>
    <w:p w:rsidR="007866D4" w:rsidRPr="00FB01AA" w:rsidRDefault="007866D4" w:rsidP="007866D4">
      <w:pPr>
        <w:pStyle w:val="HHeading5"/>
        <w:rPr>
          <w:sz w:val="18"/>
        </w:rPr>
      </w:pPr>
      <w:r w:rsidRPr="00FB01AA">
        <w:rPr>
          <w:sz w:val="18"/>
        </w:rPr>
        <w:t xml:space="preserve">Докладване в последващата оценка на ПРСР </w:t>
      </w:r>
    </w:p>
    <w:p w:rsidR="007866D4" w:rsidRPr="00FB01AA" w:rsidRDefault="007866D4" w:rsidP="007866D4">
      <w:pPr>
        <w:pStyle w:val="HStandard"/>
        <w:rPr>
          <w:sz w:val="18"/>
        </w:rPr>
      </w:pPr>
      <w:r w:rsidRPr="00FB01AA">
        <w:rPr>
          <w:sz w:val="18"/>
        </w:rPr>
        <w:t xml:space="preserve">В момента на </w:t>
      </w:r>
      <w:r w:rsidR="002D70F3">
        <w:rPr>
          <w:sz w:val="18"/>
        </w:rPr>
        <w:t>приключ</w:t>
      </w:r>
      <w:r w:rsidRPr="00FB01AA">
        <w:rPr>
          <w:sz w:val="18"/>
        </w:rPr>
        <w:t xml:space="preserve">ване на програмата, но не по-късно от 2024 г., в оценката на LEADER/ВОМР в рамките на последващата оценка на ПРСР следва да се покаже неговият принос за целите, резултатите и въздействията на ПРСР и неговата ефективност и ефикасност. Както в подадените през 2017 г. и 2019 г. ГДИ, в последващата оценка също следва да се представят актуализираните отговори на ОВО. Тези актуализирани отговори следва да отразяват всички приключили интервенции и приноса на LEADER/ВОМР.  Освен това приносът на операциите по LEADER/ВОМР за стойностите на показателите следва да бъде определен количествено. </w:t>
      </w:r>
    </w:p>
    <w:p w:rsidR="007866D4" w:rsidRPr="00FB01AA" w:rsidRDefault="007866D4" w:rsidP="007866D4">
      <w:pPr>
        <w:pStyle w:val="HHeading5"/>
        <w:rPr>
          <w:sz w:val="18"/>
        </w:rPr>
      </w:pPr>
      <w:r w:rsidRPr="00FB01AA">
        <w:rPr>
          <w:sz w:val="18"/>
        </w:rPr>
        <w:t>Самостоятелен доклад за оценка на LEADER/ВОМР</w:t>
      </w:r>
    </w:p>
    <w:p w:rsidR="007866D4" w:rsidRPr="00FB01AA" w:rsidRDefault="007866D4" w:rsidP="003E0769">
      <w:pPr>
        <w:pStyle w:val="HStandard"/>
        <w:spacing w:after="80"/>
        <w:rPr>
          <w:sz w:val="18"/>
        </w:rPr>
      </w:pPr>
      <w:r w:rsidRPr="00FB01AA">
        <w:rPr>
          <w:sz w:val="18"/>
        </w:rPr>
        <w:t xml:space="preserve">Когато в плана за оценка УО е предвидил и самостоятелна оценка на LEADER/ВОМР в допълнение към задължителните дейности за оценка, свързани с ЕС, може да се очаква оценителите да представят на УО пълен доклад за оценката. Той включва </w:t>
      </w:r>
      <w:r w:rsidR="008F674C" w:rsidRPr="00251DF4">
        <w:rPr>
          <w:sz w:val="18"/>
        </w:rPr>
        <w:t>констатаци</w:t>
      </w:r>
      <w:r w:rsidRPr="00FB01AA">
        <w:rPr>
          <w:sz w:val="18"/>
        </w:rPr>
        <w:t xml:space="preserve">и, заключения и </w:t>
      </w:r>
      <w:r w:rsidRPr="00FB01AA">
        <w:rPr>
          <w:sz w:val="18"/>
        </w:rPr>
        <w:lastRenderedPageBreak/>
        <w:t>препоръки за създателите на политики и други</w:t>
      </w:r>
      <w:r w:rsidR="002D70F3">
        <w:rPr>
          <w:sz w:val="18"/>
        </w:rPr>
        <w:t>те участващи</w:t>
      </w:r>
      <w:r w:rsidRPr="00FB01AA">
        <w:rPr>
          <w:sz w:val="18"/>
        </w:rPr>
        <w:t xml:space="preserve"> заинтересовани страни, насочени към подобряване на разработването и изпълнението на LEADER/ВОМР в съответните области.</w:t>
      </w:r>
    </w:p>
    <w:p w:rsidR="007866D4" w:rsidRPr="00FB01AA" w:rsidRDefault="007866D4" w:rsidP="003E0769">
      <w:pPr>
        <w:pStyle w:val="HHeading5"/>
        <w:spacing w:before="160" w:after="80"/>
        <w:rPr>
          <w:sz w:val="18"/>
        </w:rPr>
      </w:pPr>
      <w:r w:rsidRPr="00FB01AA">
        <w:rPr>
          <w:sz w:val="18"/>
        </w:rPr>
        <w:t xml:space="preserve">Други формати за докладване </w:t>
      </w:r>
    </w:p>
    <w:p w:rsidR="007866D4" w:rsidRPr="003E0769" w:rsidRDefault="007866D4" w:rsidP="003E0769">
      <w:pPr>
        <w:pStyle w:val="HStandard"/>
        <w:spacing w:after="80"/>
        <w:rPr>
          <w:spacing w:val="-6"/>
          <w:sz w:val="18"/>
        </w:rPr>
      </w:pPr>
      <w:r w:rsidRPr="003E0769">
        <w:rPr>
          <w:spacing w:val="-6"/>
          <w:sz w:val="18"/>
        </w:rPr>
        <w:t xml:space="preserve">УО следва да разпространява </w:t>
      </w:r>
      <w:r w:rsidR="008F674C" w:rsidRPr="00251DF4">
        <w:rPr>
          <w:spacing w:val="-6"/>
          <w:sz w:val="18"/>
        </w:rPr>
        <w:t>констатаци</w:t>
      </w:r>
      <w:r w:rsidRPr="003E0769">
        <w:rPr>
          <w:spacing w:val="-6"/>
          <w:sz w:val="18"/>
        </w:rPr>
        <w:t xml:space="preserve">ите от оценката в по-лесен </w:t>
      </w:r>
      <w:r w:rsidR="002D70F3">
        <w:rPr>
          <w:spacing w:val="-6"/>
          <w:sz w:val="18"/>
        </w:rPr>
        <w:t xml:space="preserve">за ползване </w:t>
      </w:r>
      <w:r w:rsidRPr="003E0769">
        <w:rPr>
          <w:spacing w:val="-6"/>
          <w:sz w:val="18"/>
        </w:rPr>
        <w:t xml:space="preserve">формат от тези, които се използват за официалното докладване, свързано с ЕС. Докато целта на последното е да се подобри ефикасността на обобщаването и обработването на информацията на равнището на ЕС, използваните от управляващите органи формати могат да бъдат насочени към конкретна аудитория и да бъдат по-привлекателни и по-разбираеми за читателите. Тези формати биха могли да включват например кратък преглед на </w:t>
      </w:r>
      <w:r w:rsidR="008F674C" w:rsidRPr="00251DF4">
        <w:rPr>
          <w:spacing w:val="-6"/>
          <w:sz w:val="18"/>
        </w:rPr>
        <w:t>констатаци</w:t>
      </w:r>
      <w:r w:rsidRPr="003E0769">
        <w:rPr>
          <w:spacing w:val="-6"/>
          <w:sz w:val="18"/>
        </w:rPr>
        <w:t>ите, заключенията и препоръките от оценката за по-широка публика или кратки версии на отговорите на въпросите за оценка за различни аудитории. За докладите, предназначени за комитета за мониторинг или за различни сдружения на заинтересовани страни, може да се използват специфични резюмета.</w:t>
      </w:r>
    </w:p>
    <w:p w:rsidR="007866D4" w:rsidRPr="00FB01AA" w:rsidRDefault="007866D4" w:rsidP="003E0769">
      <w:pPr>
        <w:pStyle w:val="HHeading2"/>
        <w:spacing w:before="160" w:after="80"/>
        <w:rPr>
          <w:sz w:val="18"/>
        </w:rPr>
      </w:pPr>
      <w:bookmarkStart w:id="112" w:name="_Toc475030394"/>
      <w:bookmarkStart w:id="113" w:name="_Toc493497717"/>
      <w:bookmarkStart w:id="114" w:name="_Toc498506720"/>
      <w:r w:rsidRPr="00FB01AA">
        <w:rPr>
          <w:sz w:val="18"/>
        </w:rPr>
        <w:t>Разпространение на оценките на LEADER/ВОМР и последващи действия на равнището на ПРСР</w:t>
      </w:r>
      <w:bookmarkEnd w:id="112"/>
      <w:bookmarkEnd w:id="113"/>
      <w:bookmarkEnd w:id="114"/>
    </w:p>
    <w:p w:rsidR="007866D4" w:rsidRPr="00FB01AA" w:rsidRDefault="007866D4" w:rsidP="003E0769">
      <w:pPr>
        <w:pStyle w:val="HHeading5"/>
        <w:spacing w:before="0" w:after="80" w:line="280" w:lineRule="atLeast"/>
        <w:rPr>
          <w:b w:val="0"/>
          <w:sz w:val="18"/>
        </w:rPr>
      </w:pPr>
      <w:r w:rsidRPr="00FB01AA">
        <w:rPr>
          <w:sz w:val="18"/>
        </w:rPr>
        <w:t xml:space="preserve">Разпространение на </w:t>
      </w:r>
      <w:r w:rsidR="008F674C" w:rsidRPr="00251DF4">
        <w:rPr>
          <w:sz w:val="18"/>
        </w:rPr>
        <w:t>констатаци</w:t>
      </w:r>
      <w:r w:rsidRPr="00FB01AA">
        <w:rPr>
          <w:sz w:val="18"/>
        </w:rPr>
        <w:t xml:space="preserve">ите от оценката на LEADER/ВОМР </w:t>
      </w:r>
    </w:p>
    <w:p w:rsidR="007866D4" w:rsidRPr="003E0769" w:rsidRDefault="00A7081E" w:rsidP="007866D4">
      <w:pPr>
        <w:pStyle w:val="HStandard"/>
        <w:rPr>
          <w:spacing w:val="-4"/>
          <w:w w:val="95"/>
          <w:sz w:val="18"/>
        </w:rPr>
      </w:pPr>
      <w:r>
        <w:rPr>
          <w:spacing w:val="-4"/>
          <w:w w:val="95"/>
          <w:sz w:val="18"/>
        </w:rPr>
        <w:t>Ползата от</w:t>
      </w:r>
      <w:r w:rsidR="007866D4" w:rsidRPr="003E0769">
        <w:rPr>
          <w:spacing w:val="-4"/>
          <w:w w:val="95"/>
          <w:sz w:val="18"/>
        </w:rPr>
        <w:t xml:space="preserve"> оценката зависи от разпространението, последващите действия и използването на </w:t>
      </w:r>
      <w:r w:rsidR="008F674C" w:rsidRPr="00251DF4">
        <w:rPr>
          <w:spacing w:val="-4"/>
          <w:w w:val="95"/>
          <w:sz w:val="18"/>
        </w:rPr>
        <w:t>констатаци</w:t>
      </w:r>
      <w:r w:rsidR="007866D4" w:rsidRPr="003E0769">
        <w:rPr>
          <w:spacing w:val="-4"/>
          <w:w w:val="95"/>
          <w:sz w:val="18"/>
        </w:rPr>
        <w:t xml:space="preserve">ите от нея. </w:t>
      </w:r>
      <w:r w:rsidR="007866D4" w:rsidRPr="003E0769">
        <w:rPr>
          <w:b/>
          <w:spacing w:val="-4"/>
          <w:w w:val="95"/>
          <w:sz w:val="18"/>
        </w:rPr>
        <w:t xml:space="preserve">Съобщаването и разпространението на </w:t>
      </w:r>
      <w:r w:rsidR="008F674C" w:rsidRPr="00251DF4">
        <w:rPr>
          <w:b/>
          <w:spacing w:val="-4"/>
          <w:w w:val="95"/>
          <w:sz w:val="18"/>
        </w:rPr>
        <w:t>констатаци</w:t>
      </w:r>
      <w:r w:rsidR="007866D4" w:rsidRPr="003E0769">
        <w:rPr>
          <w:b/>
          <w:spacing w:val="-4"/>
          <w:w w:val="95"/>
          <w:sz w:val="18"/>
        </w:rPr>
        <w:t xml:space="preserve">ите от оценката </w:t>
      </w:r>
      <w:r w:rsidR="007866D4" w:rsidRPr="003E0769">
        <w:rPr>
          <w:spacing w:val="-4"/>
          <w:w w:val="95"/>
          <w:sz w:val="18"/>
        </w:rPr>
        <w:t>играят важна роля за:</w:t>
      </w:r>
    </w:p>
    <w:p w:rsidR="007866D4" w:rsidRPr="003E0769" w:rsidRDefault="007866D4" w:rsidP="003E0769">
      <w:pPr>
        <w:pStyle w:val="Hlistbullet"/>
        <w:spacing w:after="80"/>
        <w:ind w:left="425" w:hanging="425"/>
        <w:rPr>
          <w:spacing w:val="-4"/>
          <w:sz w:val="18"/>
        </w:rPr>
      </w:pPr>
      <w:r w:rsidRPr="003E0769">
        <w:rPr>
          <w:spacing w:val="-4"/>
          <w:sz w:val="18"/>
        </w:rPr>
        <w:t>повишаването на равнището на ангажираност;</w:t>
      </w:r>
    </w:p>
    <w:p w:rsidR="007866D4" w:rsidRPr="003E0769" w:rsidRDefault="007866D4" w:rsidP="003E0769">
      <w:pPr>
        <w:pStyle w:val="Hlistbullet"/>
        <w:spacing w:after="80"/>
        <w:ind w:left="425" w:hanging="425"/>
        <w:rPr>
          <w:spacing w:val="-4"/>
          <w:sz w:val="18"/>
        </w:rPr>
      </w:pPr>
      <w:r w:rsidRPr="003E0769">
        <w:rPr>
          <w:spacing w:val="-4"/>
          <w:sz w:val="18"/>
        </w:rPr>
        <w:t>улесняването на потока от знания относно приноса на LEADER/ВОМР за целите на ПРСР;</w:t>
      </w:r>
    </w:p>
    <w:p w:rsidR="007866D4" w:rsidRPr="003E0769" w:rsidRDefault="007866D4" w:rsidP="003E0769">
      <w:pPr>
        <w:pStyle w:val="Hlistbullet"/>
        <w:spacing w:after="80"/>
        <w:ind w:left="425" w:hanging="425"/>
        <w:rPr>
          <w:spacing w:val="-4"/>
          <w:sz w:val="18"/>
        </w:rPr>
      </w:pPr>
      <w:r w:rsidRPr="003E0769">
        <w:rPr>
          <w:spacing w:val="-4"/>
          <w:sz w:val="18"/>
        </w:rPr>
        <w:t>признаването на значението на метода LEADER за създаването на добавена стойност;</w:t>
      </w:r>
    </w:p>
    <w:p w:rsidR="007866D4" w:rsidRPr="00FB01AA" w:rsidRDefault="007866D4" w:rsidP="003E0769">
      <w:pPr>
        <w:pStyle w:val="Hlistbullet"/>
        <w:spacing w:after="80"/>
        <w:ind w:left="425" w:hanging="425"/>
        <w:rPr>
          <w:sz w:val="18"/>
        </w:rPr>
      </w:pPr>
      <w:r w:rsidRPr="00FB01AA">
        <w:rPr>
          <w:sz w:val="18"/>
        </w:rPr>
        <w:t>гарантирането на отчетност и използването на резултатите от оценката в ПРСР.</w:t>
      </w:r>
    </w:p>
    <w:p w:rsidR="007866D4" w:rsidRPr="003E0769" w:rsidRDefault="007866D4" w:rsidP="003E0769">
      <w:pPr>
        <w:pStyle w:val="HStandard"/>
        <w:spacing w:after="80"/>
        <w:rPr>
          <w:spacing w:val="-4"/>
          <w:sz w:val="18"/>
        </w:rPr>
      </w:pPr>
      <w:r w:rsidRPr="003E0769">
        <w:rPr>
          <w:spacing w:val="-4"/>
          <w:sz w:val="18"/>
        </w:rPr>
        <w:t xml:space="preserve">Системата </w:t>
      </w:r>
      <w:r w:rsidR="002D70F3" w:rsidRPr="002D70F3">
        <w:rPr>
          <w:spacing w:val="-4"/>
          <w:sz w:val="18"/>
        </w:rPr>
        <w:t xml:space="preserve">на LEADER/ВОМР </w:t>
      </w:r>
      <w:r w:rsidRPr="003E0769">
        <w:rPr>
          <w:spacing w:val="-4"/>
          <w:sz w:val="18"/>
        </w:rPr>
        <w:t>за комуникация</w:t>
      </w:r>
      <w:r w:rsidRPr="003E0769">
        <w:rPr>
          <w:spacing w:val="-4"/>
          <w:sz w:val="18"/>
          <w:vertAlign w:val="superscript"/>
        </w:rPr>
        <w:footnoteReference w:id="49"/>
      </w:r>
      <w:r w:rsidRPr="003E0769">
        <w:rPr>
          <w:spacing w:val="-4"/>
          <w:sz w:val="18"/>
        </w:rPr>
        <w:t xml:space="preserve"> и разпространение</w:t>
      </w:r>
      <w:r w:rsidRPr="003E0769">
        <w:rPr>
          <w:spacing w:val="-4"/>
          <w:sz w:val="18"/>
          <w:vertAlign w:val="superscript"/>
        </w:rPr>
        <w:footnoteReference w:id="50"/>
      </w:r>
      <w:r w:rsidRPr="003E0769">
        <w:rPr>
          <w:spacing w:val="-4"/>
          <w:sz w:val="18"/>
        </w:rPr>
        <w:t xml:space="preserve"> е интегрирана в по-широката система на ПРСР. Важно е точно да се определи кои </w:t>
      </w:r>
      <w:r w:rsidR="008F674C" w:rsidRPr="00251DF4">
        <w:rPr>
          <w:spacing w:val="-4"/>
          <w:sz w:val="18"/>
        </w:rPr>
        <w:t>констатаци</w:t>
      </w:r>
      <w:r w:rsidRPr="003E0769">
        <w:rPr>
          <w:spacing w:val="-4"/>
          <w:sz w:val="18"/>
        </w:rPr>
        <w:t xml:space="preserve">и от оценката следва да бъдат </w:t>
      </w:r>
      <w:r w:rsidRPr="003E0769">
        <w:rPr>
          <w:spacing w:val="-4"/>
          <w:sz w:val="18"/>
        </w:rPr>
        <w:t xml:space="preserve">предоставени на различните заинтересовани страни по линия на LEADER/ВОМР. Основният формат и основните информационни канали се определят от УО, който може да работи съвместно с НМСР. Докладите за оценка следва да се предоставят на всички заинтересовани участници и на широката общественост (например чрез уебсайта на УО/ПРСР). </w:t>
      </w:r>
      <w:r w:rsidR="008F674C" w:rsidRPr="00251DF4">
        <w:rPr>
          <w:spacing w:val="-4"/>
          <w:sz w:val="18"/>
        </w:rPr>
        <w:t>Констатаци</w:t>
      </w:r>
      <w:r w:rsidRPr="003E0769">
        <w:rPr>
          <w:spacing w:val="-4"/>
          <w:sz w:val="18"/>
        </w:rPr>
        <w:t>ите от оценката могат да бъдат използвани само ако бъдат съобщавани на целевите получатели своевременно и ефективно.</w:t>
      </w:r>
    </w:p>
    <w:p w:rsidR="007866D4" w:rsidRPr="00FB01AA" w:rsidRDefault="007866D4" w:rsidP="003E0769">
      <w:pPr>
        <w:pStyle w:val="HStandard"/>
        <w:spacing w:after="80"/>
        <w:rPr>
          <w:sz w:val="18"/>
        </w:rPr>
      </w:pPr>
      <w:r w:rsidRPr="00FB01AA">
        <w:rPr>
          <w:sz w:val="18"/>
        </w:rPr>
        <w:t>Една ефективна стратегия за комуникация и разпространение следва:</w:t>
      </w:r>
    </w:p>
    <w:p w:rsidR="007866D4" w:rsidRPr="00FB01AA" w:rsidRDefault="007866D4" w:rsidP="003E0769">
      <w:pPr>
        <w:pStyle w:val="Hlistbullet"/>
        <w:spacing w:after="80"/>
        <w:ind w:left="426" w:hanging="426"/>
        <w:rPr>
          <w:sz w:val="18"/>
        </w:rPr>
      </w:pPr>
      <w:r w:rsidRPr="00FB01AA">
        <w:rPr>
          <w:sz w:val="18"/>
        </w:rPr>
        <w:t>да се възползва от социалните медии и новите технологии за разпространение на резултатите от LEADER/ВОМР;</w:t>
      </w:r>
    </w:p>
    <w:p w:rsidR="007866D4" w:rsidRPr="00FB01AA" w:rsidRDefault="007866D4" w:rsidP="003E0769">
      <w:pPr>
        <w:pStyle w:val="Hlistbullet"/>
        <w:spacing w:after="80"/>
        <w:ind w:left="426" w:hanging="426"/>
        <w:rPr>
          <w:sz w:val="18"/>
        </w:rPr>
      </w:pPr>
      <w:r w:rsidRPr="00FB01AA">
        <w:rPr>
          <w:sz w:val="18"/>
        </w:rPr>
        <w:t xml:space="preserve">да използва срещи и семинари с цел засилване на дискусиите и по този начин да допринася за по-доброто разбиране и тълкуване на </w:t>
      </w:r>
      <w:r w:rsidR="008F674C" w:rsidRPr="00251DF4">
        <w:rPr>
          <w:sz w:val="18"/>
        </w:rPr>
        <w:t>констатаци</w:t>
      </w:r>
      <w:r w:rsidRPr="00FB01AA">
        <w:rPr>
          <w:sz w:val="18"/>
        </w:rPr>
        <w:t>ите от оценката и включените в нея препоръки;</w:t>
      </w:r>
    </w:p>
    <w:p w:rsidR="007866D4" w:rsidRPr="00FB01AA" w:rsidRDefault="007866D4" w:rsidP="003E0769">
      <w:pPr>
        <w:pStyle w:val="Hlistbullet"/>
        <w:spacing w:after="80"/>
        <w:ind w:left="426" w:hanging="426"/>
        <w:rPr>
          <w:sz w:val="18"/>
        </w:rPr>
      </w:pPr>
      <w:r w:rsidRPr="00FB01AA">
        <w:rPr>
          <w:sz w:val="18"/>
        </w:rPr>
        <w:t>да комбинира подходи, които обединяват устна и писмена, формална и неформална комуникация.</w:t>
      </w:r>
    </w:p>
    <w:p w:rsidR="007866D4" w:rsidRPr="00FB01AA" w:rsidRDefault="007866D4" w:rsidP="003E0769">
      <w:pPr>
        <w:pStyle w:val="HHeading5"/>
        <w:spacing w:before="0" w:after="80" w:line="280" w:lineRule="atLeast"/>
        <w:rPr>
          <w:b w:val="0"/>
          <w:sz w:val="18"/>
        </w:rPr>
      </w:pPr>
      <w:r w:rsidRPr="00FB01AA">
        <w:rPr>
          <w:sz w:val="18"/>
        </w:rPr>
        <w:t>Последващи действия във връзка с резултатите от оценката</w:t>
      </w:r>
    </w:p>
    <w:p w:rsidR="007866D4" w:rsidRPr="003E0769" w:rsidRDefault="007866D4" w:rsidP="003E0769">
      <w:pPr>
        <w:pStyle w:val="HStandard"/>
        <w:spacing w:after="80"/>
        <w:rPr>
          <w:spacing w:val="-4"/>
          <w:sz w:val="18"/>
        </w:rPr>
      </w:pPr>
      <w:r w:rsidRPr="003E0769">
        <w:rPr>
          <w:spacing w:val="-4"/>
          <w:sz w:val="18"/>
        </w:rPr>
        <w:t xml:space="preserve">Оценката е инструмент за стратегическо управление. Когато се използват ефективно, </w:t>
      </w:r>
      <w:r w:rsidR="008F674C" w:rsidRPr="00251DF4">
        <w:rPr>
          <w:spacing w:val="-4"/>
          <w:sz w:val="18"/>
        </w:rPr>
        <w:t>констатаци</w:t>
      </w:r>
      <w:r w:rsidRPr="003E0769">
        <w:rPr>
          <w:spacing w:val="-4"/>
          <w:sz w:val="18"/>
        </w:rPr>
        <w:t xml:space="preserve">ите от оценките водят до подобряване на разработването и изпълнението на LEADER/ВОМР, стимулират култура на придобиване на знания в рамките на организацията и повишават отчетността на резултатите. </w:t>
      </w:r>
    </w:p>
    <w:p w:rsidR="007866D4" w:rsidRPr="00FB01AA" w:rsidRDefault="007866D4" w:rsidP="003E0769">
      <w:pPr>
        <w:pStyle w:val="HStandard"/>
        <w:spacing w:after="80"/>
        <w:rPr>
          <w:sz w:val="18"/>
        </w:rPr>
      </w:pPr>
      <w:r w:rsidRPr="00FB01AA">
        <w:rPr>
          <w:sz w:val="18"/>
        </w:rPr>
        <w:t>УО отговаря за качеството на оценките. Висококачествените оценки могат с по-голяма вероятност да допринесат за подобряване на разработването на политиката и за нейното по-ефективно изпълнение.</w:t>
      </w:r>
    </w:p>
    <w:p w:rsidR="007866D4" w:rsidRPr="00FB01AA" w:rsidRDefault="007866D4" w:rsidP="003E0769">
      <w:pPr>
        <w:pStyle w:val="HStandard"/>
        <w:spacing w:after="80"/>
        <w:rPr>
          <w:rFonts w:cs="Helvetica"/>
          <w:i/>
          <w:szCs w:val="21"/>
        </w:rPr>
      </w:pPr>
      <w:r w:rsidRPr="00FB01AA">
        <w:rPr>
          <w:sz w:val="18"/>
        </w:rPr>
        <w:t xml:space="preserve">Механизмите за проследяване на включените в оценката на LEADER/ВОМР препоръки са същите като тези, които се използват за ПРСР, и следователно са описани в </w:t>
      </w:r>
      <w:hyperlink r:id="rId53">
        <w:r w:rsidRPr="00FB01AA">
          <w:rPr>
            <w:rStyle w:val="Hyperlink"/>
            <w:sz w:val="18"/>
          </w:rPr>
          <w:t>„Насоки за оценката на резултатите от ПРСР: как да се подготвите за докладване на оценката през 2017 г.“.</w:t>
        </w:r>
      </w:hyperlink>
      <w:r w:rsidRPr="00FB01AA">
        <w:rPr>
          <w:i/>
          <w:sz w:val="18"/>
        </w:rPr>
        <w:t xml:space="preserve"> </w:t>
      </w:r>
    </w:p>
    <w:p w:rsidR="007866D4" w:rsidRPr="00FB01AA" w:rsidRDefault="007866D4" w:rsidP="00CB5FC3">
      <w:pPr>
        <w:pStyle w:val="HHeading1"/>
        <w:tabs>
          <w:tab w:val="clear" w:pos="474"/>
          <w:tab w:val="clear" w:pos="510"/>
        </w:tabs>
        <w:rPr>
          <w:sz w:val="28"/>
        </w:rPr>
        <w:sectPr w:rsidR="007866D4" w:rsidRPr="00FB01AA" w:rsidSect="003E0769">
          <w:type w:val="continuous"/>
          <w:pgSz w:w="11906" w:h="16838"/>
          <w:pgMar w:top="1418" w:right="1418" w:bottom="1244" w:left="1418" w:header="709" w:footer="709" w:gutter="0"/>
          <w:cols w:num="2" w:space="397"/>
          <w:docGrid w:linePitch="360"/>
        </w:sectPr>
      </w:pPr>
    </w:p>
    <w:p w:rsidR="002E46A5" w:rsidRPr="00FB01AA" w:rsidRDefault="002E46A5" w:rsidP="00F01AC7">
      <w:pPr>
        <w:pStyle w:val="HHeading1"/>
        <w:rPr>
          <w:sz w:val="28"/>
        </w:rPr>
        <w:sectPr w:rsidR="002E46A5" w:rsidRPr="00FB01AA" w:rsidSect="002E46A5">
          <w:type w:val="continuous"/>
          <w:pgSz w:w="11906" w:h="16838"/>
          <w:pgMar w:top="1418" w:right="1418" w:bottom="1418" w:left="1418" w:header="709" w:footer="709" w:gutter="0"/>
          <w:cols w:num="2" w:space="397"/>
          <w:docGrid w:linePitch="360"/>
        </w:sectPr>
      </w:pPr>
      <w:bookmarkStart w:id="115" w:name="_Toc463520436"/>
      <w:bookmarkStart w:id="116" w:name="_Toc474333775"/>
      <w:bookmarkStart w:id="117" w:name="_Toc475030395"/>
      <w:bookmarkStart w:id="118" w:name="_Toc479677078"/>
      <w:bookmarkEnd w:id="46"/>
      <w:bookmarkEnd w:id="47"/>
    </w:p>
    <w:p w:rsidR="00C82478" w:rsidRPr="00FB01AA" w:rsidRDefault="00C82478" w:rsidP="002E46A5">
      <w:pPr>
        <w:pStyle w:val="HHeading1"/>
        <w:tabs>
          <w:tab w:val="clear" w:pos="474"/>
          <w:tab w:val="clear" w:pos="510"/>
        </w:tabs>
        <w:rPr>
          <w:sz w:val="28"/>
        </w:rPr>
      </w:pPr>
      <w:bookmarkStart w:id="119" w:name="_Toc493497718"/>
      <w:bookmarkStart w:id="120" w:name="_Toc498506721"/>
      <w:r w:rsidRPr="00FB01AA">
        <w:rPr>
          <w:sz w:val="28"/>
        </w:rPr>
        <w:lastRenderedPageBreak/>
        <w:t>Оценка на LEADER/ВОМР на равнището на МГД</w:t>
      </w:r>
      <w:bookmarkEnd w:id="115"/>
      <w:bookmarkEnd w:id="116"/>
      <w:bookmarkEnd w:id="117"/>
      <w:bookmarkEnd w:id="118"/>
      <w:bookmarkEnd w:id="119"/>
      <w:bookmarkEnd w:id="120"/>
      <w:r w:rsidRPr="00FB01AA">
        <w:rPr>
          <w:sz w:val="28"/>
        </w:rPr>
        <w:t xml:space="preserve"> </w:t>
      </w:r>
    </w:p>
    <w:p w:rsidR="00C82478" w:rsidRPr="00FB01AA" w:rsidRDefault="00C82478" w:rsidP="002F71EB">
      <w:pPr>
        <w:pStyle w:val="HHeading2"/>
        <w:tabs>
          <w:tab w:val="clear" w:pos="360"/>
          <w:tab w:val="clear" w:pos="510"/>
        </w:tabs>
        <w:ind w:left="567" w:hanging="567"/>
        <w:rPr>
          <w:sz w:val="18"/>
        </w:rPr>
      </w:pPr>
      <w:bookmarkStart w:id="121" w:name="_Toc463520456"/>
      <w:bookmarkStart w:id="122" w:name="_Toc474333776"/>
      <w:bookmarkStart w:id="123" w:name="_Toc475030396"/>
      <w:bookmarkStart w:id="124" w:name="_Toc479677079"/>
      <w:bookmarkStart w:id="125" w:name="_Toc493497719"/>
      <w:bookmarkStart w:id="126" w:name="_Toc498506722"/>
      <w:r w:rsidRPr="00FB01AA">
        <w:rPr>
          <w:sz w:val="18"/>
        </w:rPr>
        <w:t>Какво и как да се оценява на местно равнище?</w:t>
      </w:r>
      <w:bookmarkEnd w:id="121"/>
      <w:bookmarkEnd w:id="122"/>
      <w:bookmarkEnd w:id="123"/>
      <w:bookmarkEnd w:id="124"/>
      <w:bookmarkEnd w:id="125"/>
      <w:bookmarkEnd w:id="126"/>
    </w:p>
    <w:p w:rsidR="00C82478" w:rsidRPr="00FB01AA" w:rsidRDefault="00C82478" w:rsidP="00A677D8">
      <w:pPr>
        <w:pStyle w:val="HHeading5"/>
        <w:rPr>
          <w:sz w:val="18"/>
        </w:rPr>
      </w:pPr>
      <w:bookmarkStart w:id="127" w:name="_Toc479677080"/>
      <w:r w:rsidRPr="00FB01AA">
        <w:rPr>
          <w:sz w:val="18"/>
        </w:rPr>
        <w:t>Какво да се оценява на местно равнище?</w:t>
      </w:r>
      <w:bookmarkEnd w:id="127"/>
    </w:p>
    <w:p w:rsidR="00C82478" w:rsidRPr="00FB01AA" w:rsidRDefault="00C82478" w:rsidP="00583285">
      <w:pPr>
        <w:pStyle w:val="HStandard"/>
        <w:rPr>
          <w:rFonts w:cs="Arial"/>
          <w:b/>
          <w:sz w:val="18"/>
        </w:rPr>
      </w:pPr>
      <w:r w:rsidRPr="00FB01AA">
        <w:rPr>
          <w:sz w:val="18"/>
        </w:rPr>
        <w:t xml:space="preserve">Както е посочено в част I на насоките, съществуват задължителни, както и препоръчителни елементи за извършване на дейностите за оценка на LEADER/ВОМР на местно равнище (вж. глава 1.2.2.). В насоките се предоставя информация относно това кое може да се </w:t>
      </w:r>
      <w:r w:rsidR="001B2B78">
        <w:rPr>
          <w:sz w:val="18"/>
        </w:rPr>
        <w:t>счита за</w:t>
      </w:r>
      <w:r w:rsidRPr="00FB01AA">
        <w:rPr>
          <w:sz w:val="18"/>
        </w:rPr>
        <w:t xml:space="preserve"> силно препоръчителна</w:t>
      </w:r>
      <w:r w:rsidRPr="00FB01AA">
        <w:rPr>
          <w:b/>
          <w:sz w:val="18"/>
        </w:rPr>
        <w:t xml:space="preserve"> практика</w:t>
      </w:r>
      <w:r w:rsidRPr="00FB01AA">
        <w:rPr>
          <w:sz w:val="18"/>
        </w:rPr>
        <w:t xml:space="preserve"> за извършването на цялостна и надеждна оценка и самооценка.</w:t>
      </w:r>
    </w:p>
    <w:p w:rsidR="001E74AA" w:rsidRPr="00FB01AA" w:rsidRDefault="001E74AA" w:rsidP="001E74AA">
      <w:pPr>
        <w:pStyle w:val="HStandard"/>
        <w:rPr>
          <w:b/>
          <w:sz w:val="18"/>
        </w:rPr>
      </w:pPr>
      <w:r w:rsidRPr="00FB01AA">
        <w:rPr>
          <w:b/>
          <w:sz w:val="18"/>
        </w:rPr>
        <w:t>Акцентът в настоящите насоки е поставен върху стратегиите за ВОМР, финансирани изключително от ЕЗФРСР, т.е. МГД, които използват средства само от ЕЗФРСР.</w:t>
      </w:r>
    </w:p>
    <w:p w:rsidR="009D7530" w:rsidRPr="00FB01AA" w:rsidRDefault="00B91C6B" w:rsidP="00C82478">
      <w:pPr>
        <w:pStyle w:val="HStandard"/>
        <w:rPr>
          <w:sz w:val="18"/>
        </w:rPr>
      </w:pPr>
      <w:r w:rsidRPr="00FB01AA">
        <w:rPr>
          <w:sz w:val="18"/>
        </w:rPr>
        <w:t xml:space="preserve">Освен </w:t>
      </w:r>
      <w:r w:rsidRPr="00FB01AA">
        <w:rPr>
          <w:b/>
          <w:sz w:val="18"/>
        </w:rPr>
        <w:t>задължителната оценка на стратегията за ВОМР</w:t>
      </w:r>
      <w:r w:rsidR="001B2B78">
        <w:rPr>
          <w:b/>
          <w:sz w:val="18"/>
        </w:rPr>
        <w:t>,</w:t>
      </w:r>
      <w:r w:rsidRPr="00FB01AA">
        <w:rPr>
          <w:b/>
          <w:sz w:val="18"/>
        </w:rPr>
        <w:t xml:space="preserve"> </w:t>
      </w:r>
      <w:r w:rsidRPr="00FB01AA">
        <w:rPr>
          <w:sz w:val="18"/>
        </w:rPr>
        <w:t>в насоките се препоръчва на местно равнище да се извърши оценка на следното (вж. глава 1.2.2):</w:t>
      </w:r>
    </w:p>
    <w:p w:rsidR="009D7530" w:rsidRPr="00FB01AA" w:rsidRDefault="00D557D1" w:rsidP="002E02E3">
      <w:pPr>
        <w:pStyle w:val="HStandard"/>
        <w:numPr>
          <w:ilvl w:val="0"/>
          <w:numId w:val="32"/>
        </w:numPr>
        <w:ind w:left="426" w:hanging="426"/>
        <w:rPr>
          <w:sz w:val="18"/>
        </w:rPr>
      </w:pPr>
      <w:r w:rsidRPr="00FB01AA">
        <w:rPr>
          <w:sz w:val="18"/>
        </w:rPr>
        <w:t xml:space="preserve">популяризирането на МГД, </w:t>
      </w:r>
    </w:p>
    <w:p w:rsidR="009D7530" w:rsidRPr="00FB01AA" w:rsidRDefault="009D7530" w:rsidP="002E02E3">
      <w:pPr>
        <w:pStyle w:val="HStandard"/>
        <w:numPr>
          <w:ilvl w:val="0"/>
          <w:numId w:val="32"/>
        </w:numPr>
        <w:ind w:left="426" w:hanging="426"/>
        <w:rPr>
          <w:sz w:val="18"/>
        </w:rPr>
      </w:pPr>
      <w:r w:rsidRPr="00FB01AA">
        <w:rPr>
          <w:sz w:val="18"/>
        </w:rPr>
        <w:t xml:space="preserve">механизма за изпълнение на LEADER/ВОМР за гарантиране </w:t>
      </w:r>
      <w:r w:rsidR="001B2B78">
        <w:rPr>
          <w:sz w:val="18"/>
        </w:rPr>
        <w:t xml:space="preserve">на прилагането </w:t>
      </w:r>
      <w:r w:rsidRPr="00FB01AA">
        <w:rPr>
          <w:sz w:val="18"/>
        </w:rPr>
        <w:t xml:space="preserve">на метода LEADER, </w:t>
      </w:r>
    </w:p>
    <w:p w:rsidR="00D557D1" w:rsidRPr="00FB01AA" w:rsidRDefault="009D7530" w:rsidP="002E02E3">
      <w:pPr>
        <w:pStyle w:val="HStandard"/>
        <w:numPr>
          <w:ilvl w:val="0"/>
          <w:numId w:val="32"/>
        </w:numPr>
        <w:ind w:left="426" w:hanging="426"/>
        <w:rPr>
          <w:sz w:val="18"/>
        </w:rPr>
      </w:pPr>
      <w:r w:rsidRPr="00FB01AA">
        <w:rPr>
          <w:sz w:val="18"/>
        </w:rPr>
        <w:t>добавената стойност на LEADER/ВОМР.</w:t>
      </w:r>
    </w:p>
    <w:p w:rsidR="00DF2EDF" w:rsidRPr="00FB01AA" w:rsidRDefault="00DF2EDF" w:rsidP="00DF2EDF">
      <w:pPr>
        <w:pStyle w:val="HStandard"/>
        <w:rPr>
          <w:sz w:val="18"/>
        </w:rPr>
      </w:pPr>
      <w:r w:rsidRPr="00FB01AA">
        <w:rPr>
          <w:sz w:val="18"/>
        </w:rPr>
        <w:t>Макар от аналитична гледна точка разграничаването на тези компоненти да е полезно (вж. глава 1.2.3), те не могат лесно да бъдат отделени един от друг. На фигура 15 са показани взаимовръзките между прилагането на метода LEADER със специален акцент върху</w:t>
      </w:r>
      <w:r w:rsidR="009A1654">
        <w:rPr>
          <w:sz w:val="18"/>
        </w:rPr>
        <w:t>:</w:t>
      </w:r>
      <w:r w:rsidRPr="00FB01AA">
        <w:rPr>
          <w:sz w:val="18"/>
        </w:rPr>
        <w:t xml:space="preserve"> </w:t>
      </w:r>
    </w:p>
    <w:p w:rsidR="00DF2EDF" w:rsidRPr="00FB01AA" w:rsidRDefault="00DF2EDF" w:rsidP="004A5FB8">
      <w:pPr>
        <w:pStyle w:val="Hlistbullet"/>
        <w:rPr>
          <w:sz w:val="18"/>
        </w:rPr>
      </w:pPr>
      <w:r w:rsidRPr="00FB01AA">
        <w:rPr>
          <w:sz w:val="18"/>
        </w:rPr>
        <w:t>механизма за изпълнение както на равнището на П</w:t>
      </w:r>
      <w:r w:rsidR="009A1654">
        <w:rPr>
          <w:sz w:val="18"/>
        </w:rPr>
        <w:t>Р</w:t>
      </w:r>
      <w:r w:rsidRPr="00FB01AA">
        <w:rPr>
          <w:sz w:val="18"/>
        </w:rPr>
        <w:t>СР, така и на равнището на МГД, и</w:t>
      </w:r>
    </w:p>
    <w:p w:rsidR="00DF2EDF" w:rsidRPr="00FB01AA" w:rsidRDefault="00DF2EDF" w:rsidP="004A5FB8">
      <w:pPr>
        <w:pStyle w:val="Hlistbullet"/>
        <w:rPr>
          <w:sz w:val="18"/>
        </w:rPr>
      </w:pPr>
      <w:r w:rsidRPr="00FB01AA">
        <w:rPr>
          <w:sz w:val="18"/>
        </w:rPr>
        <w:t>дейностите на МГД:</w:t>
      </w:r>
    </w:p>
    <w:p w:rsidR="00DF2EDF" w:rsidRPr="00FB01AA" w:rsidRDefault="00DF2EDF" w:rsidP="002E46A5">
      <w:pPr>
        <w:pStyle w:val="Hlistbullet2"/>
        <w:ind w:left="709"/>
        <w:rPr>
          <w:sz w:val="18"/>
        </w:rPr>
      </w:pPr>
      <w:r w:rsidRPr="00FB01AA">
        <w:rPr>
          <w:sz w:val="18"/>
        </w:rPr>
        <w:t xml:space="preserve">от по-широка гледна точка във връзка с популяризирането на територията, и </w:t>
      </w:r>
    </w:p>
    <w:p w:rsidR="00DF2EDF" w:rsidRPr="00FB01AA" w:rsidRDefault="00DF2EDF" w:rsidP="002E46A5">
      <w:pPr>
        <w:pStyle w:val="Hlistbullet2"/>
        <w:ind w:left="709"/>
        <w:rPr>
          <w:sz w:val="18"/>
        </w:rPr>
      </w:pPr>
      <w:r w:rsidRPr="00FB01AA">
        <w:rPr>
          <w:sz w:val="18"/>
        </w:rPr>
        <w:t xml:space="preserve">от по-тясна гледна точка във връзка с изпълнението на стратегията за ВОМР. </w:t>
      </w:r>
    </w:p>
    <w:p w:rsidR="00DF2EDF" w:rsidRPr="00FB01AA" w:rsidRDefault="00DF2EDF" w:rsidP="00DF2EDF">
      <w:pPr>
        <w:pStyle w:val="HStandard"/>
        <w:rPr>
          <w:sz w:val="18"/>
        </w:rPr>
      </w:pPr>
      <w:r w:rsidRPr="00FB01AA">
        <w:rPr>
          <w:sz w:val="18"/>
        </w:rPr>
        <w:t>Очаква се комбинацията от всичко това да създаде добавената стойност на LEADER, която следва да се изразява в подобряване на социалния капитал и местното управление, както и в засилване на резултатите от проектите.</w:t>
      </w:r>
    </w:p>
    <w:p w:rsidR="00DF2EDF" w:rsidRPr="00FB01AA" w:rsidRDefault="00DF2EDF" w:rsidP="00DF2EDF">
      <w:pPr>
        <w:pStyle w:val="HStandard"/>
        <w:rPr>
          <w:sz w:val="18"/>
        </w:rPr>
      </w:pPr>
      <w:r w:rsidRPr="00FB01AA">
        <w:rPr>
          <w:sz w:val="18"/>
        </w:rPr>
        <w:t xml:space="preserve">На ниво въздействие тези динамики би следвало да предизвикат структурни промени в областта, различни от онези, които биха били постигнати без прилагането на метода LEADER. Тези промени следва: </w:t>
      </w:r>
    </w:p>
    <w:p w:rsidR="00DF2EDF" w:rsidRPr="00FB01AA" w:rsidRDefault="00DF2EDF" w:rsidP="004A5FB8">
      <w:pPr>
        <w:pStyle w:val="Hlistbullet"/>
        <w:rPr>
          <w:sz w:val="18"/>
        </w:rPr>
      </w:pPr>
      <w:r w:rsidRPr="00FB01AA">
        <w:rPr>
          <w:sz w:val="18"/>
        </w:rPr>
        <w:t>да отговарят по-добре на потребностите на конкретни части от населението и на територията като цяло;</w:t>
      </w:r>
    </w:p>
    <w:p w:rsidR="00DF2EDF" w:rsidRPr="00FB01AA" w:rsidRDefault="00DF2EDF" w:rsidP="004A5FB8">
      <w:pPr>
        <w:pStyle w:val="Hlistbullet"/>
        <w:rPr>
          <w:sz w:val="18"/>
        </w:rPr>
      </w:pPr>
      <w:r w:rsidRPr="00FB01AA">
        <w:rPr>
          <w:sz w:val="18"/>
        </w:rPr>
        <w:t xml:space="preserve">да бъдат по-иновативни от онова, което е било изпробвано преди в същата област или </w:t>
      </w:r>
      <w:r w:rsidR="00B84BBD">
        <w:rPr>
          <w:sz w:val="18"/>
        </w:rPr>
        <w:t>на</w:t>
      </w:r>
      <w:r w:rsidRPr="00FB01AA">
        <w:rPr>
          <w:sz w:val="18"/>
        </w:rPr>
        <w:t xml:space="preserve"> други </w:t>
      </w:r>
      <w:r w:rsidR="00B84BBD">
        <w:rPr>
          <w:sz w:val="18"/>
        </w:rPr>
        <w:t xml:space="preserve">места в </w:t>
      </w:r>
      <w:r w:rsidRPr="00FB01AA">
        <w:rPr>
          <w:sz w:val="18"/>
        </w:rPr>
        <w:t>подобни области;</w:t>
      </w:r>
    </w:p>
    <w:p w:rsidR="00DF2EDF" w:rsidRPr="00FB01AA" w:rsidRDefault="00DF2EDF" w:rsidP="004A5FB8">
      <w:pPr>
        <w:pStyle w:val="Hlistbullet"/>
        <w:rPr>
          <w:sz w:val="18"/>
        </w:rPr>
      </w:pPr>
      <w:r w:rsidRPr="00FB01AA">
        <w:rPr>
          <w:sz w:val="18"/>
        </w:rPr>
        <w:t xml:space="preserve">да бъдат по-чувствителни към глобалните аспекти на местното развитие (например от гледна точка на изменението на климата, производителността на ресурсите, екологосъобразните производствени модели, демографията, миграцията и социалното сближаване); </w:t>
      </w:r>
    </w:p>
    <w:p w:rsidR="00DF2EDF" w:rsidRPr="00FB01AA" w:rsidRDefault="00DF2EDF" w:rsidP="004A5FB8">
      <w:pPr>
        <w:pStyle w:val="Hlistbullet"/>
        <w:rPr>
          <w:sz w:val="18"/>
        </w:rPr>
      </w:pPr>
      <w:r w:rsidRPr="00FB01AA">
        <w:rPr>
          <w:sz w:val="18"/>
        </w:rPr>
        <w:t>да бъдат по-устойчиви (т.е. обратното на повърхностни и склонни да се завърнат към предишното състояние на нещата след изтичането на срока на подкрепата);</w:t>
      </w:r>
    </w:p>
    <w:p w:rsidR="00DF2EDF" w:rsidRPr="00FB01AA" w:rsidRDefault="00DF2EDF" w:rsidP="004A5FB8">
      <w:pPr>
        <w:pStyle w:val="Hlistbullet"/>
        <w:rPr>
          <w:sz w:val="18"/>
        </w:rPr>
      </w:pPr>
      <w:r w:rsidRPr="00FB01AA">
        <w:rPr>
          <w:sz w:val="18"/>
        </w:rPr>
        <w:t>да водят до допълнителни промени в желаната посока: тази самозадвижваща се динамика е илюстрирана чрез двупосочните стрелки на фигура 15.</w:t>
      </w:r>
    </w:p>
    <w:p w:rsidR="00DF2EDF" w:rsidRPr="00FB01AA" w:rsidRDefault="00DF2EDF" w:rsidP="00DF2EDF">
      <w:pPr>
        <w:pStyle w:val="HStandard"/>
        <w:rPr>
          <w:sz w:val="18"/>
        </w:rPr>
      </w:pPr>
      <w:r w:rsidRPr="00FB01AA">
        <w:rPr>
          <w:sz w:val="18"/>
        </w:rPr>
        <w:t xml:space="preserve">Повишаването на социалния капитал може да се разглежда както като краен ефект от прилагането на подхода LEADER, така и като ускорител на промени в областта на предприемаческите умения, промени в използването и </w:t>
      </w:r>
      <w:r w:rsidR="00B84BBD" w:rsidRPr="00B84BBD">
        <w:rPr>
          <w:sz w:val="18"/>
        </w:rPr>
        <w:t>оползотворяване</w:t>
      </w:r>
      <w:r w:rsidR="00B84BBD">
        <w:rPr>
          <w:sz w:val="18"/>
        </w:rPr>
        <w:t>то</w:t>
      </w:r>
      <w:r w:rsidRPr="00FB01AA">
        <w:rPr>
          <w:sz w:val="18"/>
        </w:rPr>
        <w:t xml:space="preserve"> на местните ресурси (природни, културни, исторически), промени в административния капацитет на местните органи (напр. общини; сътрудничество между общини; и т.н.); промени в институционалния капацитет (за привличане, генериране и </w:t>
      </w:r>
      <w:r w:rsidR="00ED10DA">
        <w:rPr>
          <w:sz w:val="18"/>
        </w:rPr>
        <w:t>запазв</w:t>
      </w:r>
      <w:r w:rsidRPr="00FB01AA">
        <w:rPr>
          <w:sz w:val="18"/>
        </w:rPr>
        <w:t>ане на знания</w:t>
      </w:r>
      <w:r w:rsidR="00ED10DA">
        <w:rPr>
          <w:sz w:val="18"/>
        </w:rPr>
        <w:t>та</w:t>
      </w:r>
      <w:r w:rsidRPr="00FB01AA">
        <w:rPr>
          <w:sz w:val="18"/>
        </w:rPr>
        <w:t xml:space="preserve"> в </w:t>
      </w:r>
      <w:r w:rsidR="00ED10DA">
        <w:rPr>
          <w:sz w:val="18"/>
        </w:rPr>
        <w:t>района</w:t>
      </w:r>
      <w:r w:rsidRPr="00FB01AA">
        <w:rPr>
          <w:sz w:val="18"/>
        </w:rPr>
        <w:t>; за защита на интересите на групи</w:t>
      </w:r>
      <w:r w:rsidR="00ED10DA">
        <w:rPr>
          <w:sz w:val="18"/>
        </w:rPr>
        <w:t>те в неравностойно положение</w:t>
      </w:r>
      <w:r w:rsidRPr="00FB01AA">
        <w:rPr>
          <w:sz w:val="18"/>
        </w:rPr>
        <w:t xml:space="preserve">; за създаване на възможности за сътрудничество и работа в мрежа; за ръководене и управление на обществените блага, например природа и околна среда, </w:t>
      </w:r>
      <w:r w:rsidRPr="00FB01AA">
        <w:rPr>
          <w:sz w:val="18"/>
        </w:rPr>
        <w:lastRenderedPageBreak/>
        <w:t xml:space="preserve">ландшафт, вода, културно наследство, публични пространства в градовете и селата). </w:t>
      </w:r>
    </w:p>
    <w:p w:rsidR="003B5168" w:rsidRPr="00FB01AA" w:rsidRDefault="00AA64A5" w:rsidP="00C82478">
      <w:pPr>
        <w:pStyle w:val="HStandard"/>
        <w:rPr>
          <w:sz w:val="18"/>
        </w:rPr>
      </w:pPr>
      <w:r w:rsidRPr="00FB01AA">
        <w:rPr>
          <w:sz w:val="18"/>
        </w:rPr>
        <w:t xml:space="preserve">Социалният капитал </w:t>
      </w:r>
      <w:r w:rsidR="00E81512">
        <w:rPr>
          <w:sz w:val="18"/>
        </w:rPr>
        <w:t>намира израз в</w:t>
      </w:r>
      <w:r w:rsidRPr="00FB01AA">
        <w:rPr>
          <w:sz w:val="18"/>
        </w:rPr>
        <w:t xml:space="preserve"> колективния капацитет на ключови</w:t>
      </w:r>
      <w:r w:rsidR="00E81512">
        <w:rPr>
          <w:sz w:val="18"/>
        </w:rPr>
        <w:t>те</w:t>
      </w:r>
      <w:r w:rsidRPr="00FB01AA">
        <w:rPr>
          <w:sz w:val="18"/>
        </w:rPr>
        <w:t xml:space="preserve"> участници да създават и разработват нови идеи и решения, както и </w:t>
      </w:r>
      <w:r w:rsidR="00E81512">
        <w:rPr>
          <w:sz w:val="18"/>
        </w:rPr>
        <w:t>във</w:t>
      </w:r>
      <w:r w:rsidRPr="00FB01AA">
        <w:rPr>
          <w:sz w:val="18"/>
        </w:rPr>
        <w:t xml:space="preserve"> формални</w:t>
      </w:r>
      <w:r w:rsidR="00B84BBD">
        <w:rPr>
          <w:sz w:val="18"/>
        </w:rPr>
        <w:t>те</w:t>
      </w:r>
      <w:r w:rsidRPr="00FB01AA">
        <w:rPr>
          <w:sz w:val="18"/>
        </w:rPr>
        <w:t xml:space="preserve"> и неформални</w:t>
      </w:r>
      <w:r w:rsidR="00B84BBD">
        <w:rPr>
          <w:sz w:val="18"/>
        </w:rPr>
        <w:t>те</w:t>
      </w:r>
      <w:r w:rsidRPr="00FB01AA">
        <w:rPr>
          <w:sz w:val="18"/>
        </w:rPr>
        <w:t xml:space="preserve"> мрежи, които позволяват например обмен на опит между различни среди и различни по вид области и т.н. </w:t>
      </w:r>
      <w:bookmarkStart w:id="128" w:name="_Toc490160032"/>
      <w:bookmarkStart w:id="129" w:name="_Toc490160095"/>
      <w:bookmarkEnd w:id="128"/>
      <w:bookmarkEnd w:id="129"/>
    </w:p>
    <w:p w:rsidR="00C82478" w:rsidRPr="00FB01AA" w:rsidRDefault="003B5168" w:rsidP="00C82478">
      <w:pPr>
        <w:pStyle w:val="HStandard"/>
        <w:rPr>
          <w:sz w:val="18"/>
        </w:rPr>
      </w:pPr>
      <w:r w:rsidRPr="00FB01AA">
        <w:rPr>
          <w:b/>
          <w:sz w:val="18"/>
        </w:rPr>
        <w:t>Добавената стойност на LEADER/ВОМР</w:t>
      </w:r>
      <w:r w:rsidRPr="00FB01AA">
        <w:rPr>
          <w:sz w:val="18"/>
        </w:rPr>
        <w:t xml:space="preserve"> на местно равнище се създава посредством различни </w:t>
      </w:r>
      <w:r w:rsidRPr="00FB01AA">
        <w:rPr>
          <w:b/>
          <w:sz w:val="18"/>
        </w:rPr>
        <w:t>видове дейности на МГД,</w:t>
      </w:r>
      <w:r w:rsidRPr="00FB01AA">
        <w:rPr>
          <w:sz w:val="18"/>
        </w:rPr>
        <w:t xml:space="preserve"> които се изпълняват в съответствие с </w:t>
      </w:r>
      <w:r w:rsidRPr="00FB01AA">
        <w:rPr>
          <w:b/>
          <w:sz w:val="18"/>
        </w:rPr>
        <w:t>метода LEADER</w:t>
      </w:r>
      <w:r w:rsidRPr="00FB01AA">
        <w:rPr>
          <w:sz w:val="18"/>
        </w:rPr>
        <w:t>. Различните видове дейности на МГД включват поне</w:t>
      </w:r>
      <w:r w:rsidRPr="00FB01AA">
        <w:rPr>
          <w:rStyle w:val="FootnoteReference"/>
          <w:sz w:val="18"/>
        </w:rPr>
        <w:footnoteReference w:id="51"/>
      </w:r>
      <w:r w:rsidRPr="00FB01AA">
        <w:rPr>
          <w:sz w:val="18"/>
        </w:rPr>
        <w:t xml:space="preserve">: </w:t>
      </w:r>
    </w:p>
    <w:p w:rsidR="00C82478" w:rsidRPr="00FB01AA" w:rsidRDefault="00C82478" w:rsidP="00F01AC7">
      <w:pPr>
        <w:pStyle w:val="Hlistbullet"/>
        <w:rPr>
          <w:sz w:val="18"/>
        </w:rPr>
      </w:pPr>
      <w:r w:rsidRPr="00FB01AA">
        <w:rPr>
          <w:b/>
          <w:sz w:val="18"/>
        </w:rPr>
        <w:t xml:space="preserve">Подготовката, подборът на проекти и изпълнението на стратегията за ВОМР </w:t>
      </w:r>
      <w:r w:rsidRPr="00FB01AA">
        <w:rPr>
          <w:sz w:val="18"/>
        </w:rPr>
        <w:t xml:space="preserve">са най-важната дейност на МГД. Те се отнасят до дейности, свързани с </w:t>
      </w:r>
      <w:r w:rsidR="00416D98">
        <w:rPr>
          <w:sz w:val="18"/>
        </w:rPr>
        <w:t xml:space="preserve">осъществяването на </w:t>
      </w:r>
      <w:r w:rsidRPr="00FB01AA">
        <w:rPr>
          <w:sz w:val="18"/>
        </w:rPr>
        <w:t>комуник</w:t>
      </w:r>
      <w:r w:rsidR="00D13D9E" w:rsidRPr="00251DF4">
        <w:rPr>
          <w:sz w:val="18"/>
        </w:rPr>
        <w:t>ация</w:t>
      </w:r>
      <w:r w:rsidRPr="00FB01AA">
        <w:rPr>
          <w:sz w:val="18"/>
        </w:rPr>
        <w:t xml:space="preserve"> и предоставянето на подкрепа за създаването, разработването, изпълнението, мониторинга на проектите и на свързаното с тях сътрудничество.</w:t>
      </w:r>
    </w:p>
    <w:p w:rsidR="005060C1" w:rsidRPr="00FB01AA" w:rsidRDefault="005060C1" w:rsidP="005060C1">
      <w:pPr>
        <w:pStyle w:val="Hlistbullet"/>
        <w:rPr>
          <w:sz w:val="18"/>
        </w:rPr>
      </w:pPr>
      <w:r w:rsidRPr="00FB01AA">
        <w:rPr>
          <w:b/>
          <w:sz w:val="18"/>
        </w:rPr>
        <w:t>Популяризирането на територията на МГД</w:t>
      </w:r>
      <w:r w:rsidRPr="00FB01AA">
        <w:rPr>
          <w:sz w:val="18"/>
        </w:rPr>
        <w:t xml:space="preserve"> може да включва различни по вид инициативи, които може да:</w:t>
      </w:r>
    </w:p>
    <w:p w:rsidR="005060C1" w:rsidRPr="00FB01AA" w:rsidRDefault="003B5168" w:rsidP="00CB6DC7">
      <w:pPr>
        <w:pStyle w:val="Hlistbullet2"/>
        <w:ind w:left="709"/>
        <w:rPr>
          <w:sz w:val="18"/>
        </w:rPr>
      </w:pPr>
      <w:r w:rsidRPr="00FB01AA">
        <w:rPr>
          <w:sz w:val="18"/>
        </w:rPr>
        <w:br w:type="column"/>
      </w:r>
      <w:r w:rsidRPr="00FB01AA">
        <w:rPr>
          <w:sz w:val="18"/>
        </w:rPr>
        <w:t>са свързани с изпълнението на стратегията за ВОМР</w:t>
      </w:r>
      <w:r w:rsidRPr="00FB01AA">
        <w:rPr>
          <w:rStyle w:val="FootnoteReference"/>
          <w:sz w:val="18"/>
        </w:rPr>
        <w:footnoteReference w:id="52"/>
      </w:r>
      <w:r w:rsidRPr="00FB01AA">
        <w:rPr>
          <w:sz w:val="18"/>
        </w:rPr>
        <w:t xml:space="preserve"> и да са насочени към овластяването на местните участници и към готовността им да се справят с предизвикателствата посредством изпълнението на проекти, подкрепяни от стратегията за LEADER/ВОМР (например интегрирани инвестиции, които засилват конкурентните предимства на дадена територия; целесъобразност на инвестициите в местни услуги и инфраструктури);</w:t>
      </w:r>
    </w:p>
    <w:p w:rsidR="003B5168" w:rsidRPr="00FB01AA" w:rsidRDefault="005060C1" w:rsidP="00CB6DC7">
      <w:pPr>
        <w:pStyle w:val="Hlistbullet2"/>
        <w:ind w:left="709"/>
        <w:rPr>
          <w:sz w:val="18"/>
        </w:rPr>
        <w:sectPr w:rsidR="003B5168" w:rsidRPr="00FB01AA" w:rsidSect="00CB6DC7">
          <w:headerReference w:type="default" r:id="rId54"/>
          <w:type w:val="continuous"/>
          <w:pgSz w:w="11906" w:h="16838"/>
          <w:pgMar w:top="1418" w:right="1418" w:bottom="1418" w:left="1418" w:header="709" w:footer="709" w:gutter="0"/>
          <w:cols w:num="2" w:space="397"/>
          <w:docGrid w:linePitch="360"/>
        </w:sectPr>
      </w:pPr>
      <w:r w:rsidRPr="00FB01AA">
        <w:rPr>
          <w:sz w:val="18"/>
        </w:rPr>
        <w:t>не са пряко свързани със стратегията за ВОМР или с конкретен проект, а са насочени към територията и населението като такива (например улесняване на обмена между заинтересованите страни, както е предвидено в правната рамка, повишаване на осведомеността относно местното (природно и културно) наследство).</w:t>
      </w:r>
    </w:p>
    <w:p w:rsidR="003B5168" w:rsidRPr="00FB01AA" w:rsidRDefault="003B5168" w:rsidP="003B5168">
      <w:pPr>
        <w:pStyle w:val="HHeadingFigure"/>
        <w:rPr>
          <w:sz w:val="14"/>
        </w:rPr>
      </w:pPr>
      <w:bookmarkStart w:id="130" w:name="_Toc493497738"/>
      <w:bookmarkStart w:id="131" w:name="_Toc498507098"/>
      <w:r w:rsidRPr="00FB01AA">
        <w:rPr>
          <w:sz w:val="14"/>
        </w:rPr>
        <w:lastRenderedPageBreak/>
        <w:t>Връзки между механизма за изпълнение, дейностите на МГД и добавената стойност</w:t>
      </w:r>
      <w:bookmarkEnd w:id="130"/>
      <w:bookmarkEnd w:id="131"/>
    </w:p>
    <w:p w:rsidR="003E0769" w:rsidRDefault="003E0769" w:rsidP="003B5168">
      <w:pPr>
        <w:pStyle w:val="HStandard"/>
        <w:jc w:val="center"/>
        <w:rPr>
          <w:sz w:val="18"/>
        </w:rPr>
      </w:pPr>
      <w:r>
        <w:rPr>
          <w:noProof/>
          <w:sz w:val="18"/>
          <w:lang w:val="en-GB" w:eastAsia="en-GB" w:bidi="ar-SA"/>
        </w:rPr>
        <w:drawing>
          <wp:inline distT="0" distB="0" distL="0" distR="0" wp14:anchorId="4503E4F7" wp14:editId="4173AEF2">
            <wp:extent cx="4665508" cy="3362400"/>
            <wp:effectExtent l="0" t="0" r="1905"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65508" cy="3362400"/>
                    </a:xfrm>
                    <a:prstGeom prst="rect">
                      <a:avLst/>
                    </a:prstGeom>
                    <a:noFill/>
                  </pic:spPr>
                </pic:pic>
              </a:graphicData>
            </a:graphic>
          </wp:inline>
        </w:drawing>
      </w:r>
    </w:p>
    <w:p w:rsidR="003B5168" w:rsidRPr="00FB01AA" w:rsidRDefault="003B5168" w:rsidP="003B5168">
      <w:pPr>
        <w:pStyle w:val="HSource"/>
        <w:rPr>
          <w:sz w:val="14"/>
        </w:rPr>
      </w:pPr>
      <w:r w:rsidRPr="00FB01AA">
        <w:rPr>
          <w:sz w:val="14"/>
        </w:rPr>
        <w:t>Източник: Европейско бюро за оценка в областта на развитието на селските райони, 2017 г.</w:t>
      </w:r>
    </w:p>
    <w:p w:rsidR="003B5168" w:rsidRPr="00FB01AA" w:rsidRDefault="003B5168" w:rsidP="00CB6DC7">
      <w:pPr>
        <w:pStyle w:val="Hlistbullet2"/>
        <w:ind w:left="709"/>
        <w:rPr>
          <w:sz w:val="18"/>
        </w:rPr>
        <w:sectPr w:rsidR="003B5168" w:rsidRPr="00FB01AA" w:rsidSect="003B5168">
          <w:type w:val="continuous"/>
          <w:pgSz w:w="11906" w:h="16838"/>
          <w:pgMar w:top="1418" w:right="1418" w:bottom="1418" w:left="1418" w:header="709" w:footer="709" w:gutter="0"/>
          <w:cols w:space="397"/>
          <w:docGrid w:linePitch="360"/>
        </w:sectPr>
      </w:pPr>
    </w:p>
    <w:p w:rsidR="004B3177" w:rsidRPr="00FB01AA" w:rsidRDefault="004B3177" w:rsidP="004210A8">
      <w:pPr>
        <w:pStyle w:val="Hlistbullet"/>
        <w:numPr>
          <w:ilvl w:val="0"/>
          <w:numId w:val="0"/>
        </w:numPr>
        <w:rPr>
          <w:snapToGrid w:val="0"/>
          <w:sz w:val="18"/>
        </w:rPr>
      </w:pPr>
      <w:r w:rsidRPr="00FB01AA">
        <w:rPr>
          <w:b/>
          <w:snapToGrid w:val="0"/>
          <w:sz w:val="18"/>
        </w:rPr>
        <w:t>Механизмът за изпълнение на LEADER/ВОМР</w:t>
      </w:r>
      <w:r w:rsidRPr="00FB01AA">
        <w:rPr>
          <w:sz w:val="18"/>
        </w:rPr>
        <w:t xml:space="preserve"> осигурява институционална основа, която се простира от европейското равнище до местните равнища. В съответствие с разпоредбите, въведени от Регламента за ЕЗФРСР, и по-специално мярка 19, той се установява най-вече от управляващите органи, които отговарят за националните и регионалните ПРСР. В тази предварително установена рамка МГД може да адаптира и създава свои собствени правила и процедури (критерии за подбор на проекти, профили на целеви</w:t>
      </w:r>
      <w:r w:rsidR="003F5AD2">
        <w:rPr>
          <w:sz w:val="18"/>
        </w:rPr>
        <w:t>те</w:t>
      </w:r>
      <w:r w:rsidRPr="00FB01AA">
        <w:rPr>
          <w:sz w:val="18"/>
        </w:rPr>
        <w:t xml:space="preserve"> бенефициери и др.), за да осъществява своите операции и да задоволява потребностите на територията (вж. глава 2.3.1).</w:t>
      </w:r>
    </w:p>
    <w:p w:rsidR="00CB6DC7" w:rsidRPr="00FB01AA" w:rsidRDefault="004B3177" w:rsidP="009573BA">
      <w:pPr>
        <w:pStyle w:val="HStandard"/>
        <w:rPr>
          <w:snapToGrid w:val="0"/>
          <w:sz w:val="18"/>
        </w:rPr>
      </w:pPr>
      <w:r w:rsidRPr="00FB01AA">
        <w:rPr>
          <w:b/>
          <w:snapToGrid w:val="0"/>
          <w:sz w:val="18"/>
        </w:rPr>
        <w:t>Методът LEADER</w:t>
      </w:r>
      <w:r w:rsidRPr="00FB01AA">
        <w:rPr>
          <w:sz w:val="18"/>
        </w:rPr>
        <w:t xml:space="preserve"> (вж. глава 1.1.1.) следва да се приложи още преди </w:t>
      </w:r>
      <w:r w:rsidR="006B44BA">
        <w:rPr>
          <w:sz w:val="18"/>
        </w:rPr>
        <w:t xml:space="preserve">да е започнала каквато и да е </w:t>
      </w:r>
      <w:r w:rsidRPr="00FB01AA">
        <w:rPr>
          <w:sz w:val="18"/>
        </w:rPr>
        <w:t xml:space="preserve">интервенция в района: </w:t>
      </w:r>
      <w:r w:rsidR="003F5AD2">
        <w:rPr>
          <w:sz w:val="18"/>
        </w:rPr>
        <w:t>п</w:t>
      </w:r>
      <w:r w:rsidRPr="00FB01AA">
        <w:rPr>
          <w:sz w:val="18"/>
        </w:rPr>
        <w:t>ри формирането на МГД, при изготвянето на стратегията за ВОМР, но преди всичко при предварителното установяване на рамката на механизма за изпълнение на ПРСР/М19, в която МГД ще разработва собствената си местна система за изпълнение на стратегията за ВОМР. МГД може да променя собствените си правила и процедури по време на периода на изпълнение.</w:t>
      </w:r>
    </w:p>
    <w:p w:rsidR="00056A0D" w:rsidRPr="00FB01AA" w:rsidRDefault="00056A0D" w:rsidP="009573BA">
      <w:pPr>
        <w:pStyle w:val="HStandard"/>
        <w:rPr>
          <w:snapToGrid w:val="0"/>
          <w:sz w:val="18"/>
        </w:rPr>
      </w:pPr>
    </w:p>
    <w:p w:rsidR="004B3177" w:rsidRPr="00FB01AA" w:rsidRDefault="00CB6DC7" w:rsidP="009573BA">
      <w:pPr>
        <w:pStyle w:val="HStandard"/>
        <w:rPr>
          <w:snapToGrid w:val="0"/>
          <w:sz w:val="18"/>
        </w:rPr>
      </w:pPr>
      <w:r w:rsidRPr="00FB01AA">
        <w:rPr>
          <w:noProof/>
          <w:sz w:val="18"/>
          <w:lang w:val="en-GB" w:eastAsia="en-GB" w:bidi="ar-SA"/>
        </w:rPr>
        <mc:AlternateContent>
          <mc:Choice Requires="wps">
            <w:drawing>
              <wp:inline distT="0" distB="0" distL="0" distR="0" wp14:anchorId="4C8207D7" wp14:editId="33739B86">
                <wp:extent cx="2735580" cy="2307266"/>
                <wp:effectExtent l="0" t="0" r="26670" b="17145"/>
                <wp:docPr id="141" name="Rectangle: Diagonal Corners Rounded 141"/>
                <wp:cNvGraphicFramePr/>
                <a:graphic xmlns:a="http://schemas.openxmlformats.org/drawingml/2006/main">
                  <a:graphicData uri="http://schemas.microsoft.com/office/word/2010/wordprocessingShape">
                    <wps:wsp>
                      <wps:cNvSpPr/>
                      <wps:spPr>
                        <a:xfrm>
                          <a:off x="0" y="0"/>
                          <a:ext cx="2735580" cy="2307266"/>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DBF" w:rsidRPr="003B5168" w:rsidRDefault="00D21DBF"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53DE4594" wp14:editId="112016BC">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Оценката на механизма за изпълнение на LEADER/ВОМР позволява да се установят пропуските и предизвикателствата, свързани с правилата и процедурите във вида, в който те са разработени на равнището на ПРСР и на МГД, и по този начин улеснява опазването на метода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4C8207D7" id="Rectangle: Diagonal Corners Rounded 141" o:spid="_x0000_s1044" style="width:215.4pt;height:181.65pt;visibility:visible;mso-wrap-style:square;mso-left-percent:-10001;mso-top-percent:-10001;mso-position-horizontal:absolute;mso-position-horizontal-relative:char;mso-position-vertical:absolute;mso-position-vertical-relative:line;mso-left-percent:-10001;mso-top-percent:-10001;v-text-anchor:middle" coordsize="2735580,2307266"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" adj="-11796480,,5400" path="m384552,l2735580,r,l2735580,1922714v,212382,-172170,384552,-384552,384552l,2307266r,l,384552c,172170,172170,,384552,xe" fillcolor="white [3204]" strokecolor="#be4a35 [3205]" strokeweight="2pt">
                <v:stroke joinstyle="miter"/>
                <v:formulas/>
                <v:path arrowok="t" o:connecttype="custom" o:connectlocs="384552,0;2735580,0;2735580,0;2735580,1922714;2351028,2307266;0,2307266;0,2307266;0,384552;384552,0" o:connectangles="0,0,0,0,0,0,0,0,0" textboxrect="0,0,2735580,2307266"/>
                <v:textbox>
                  <w:txbxContent>
                    <w:p w:rsidR="00D21DBF" w:rsidRPr="003B5168" w:rsidRDefault="00D21DBF"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53DE4594" wp14:editId="112016BC">
                            <wp:extent cx="665188" cy="4876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Оценката на механизма за изпълнение на LEADER/ВОМР позволява да се установят пропуските и предизвикателствата, свързани с правилата и процедурите във вида, в който те са разработени на равнището на ПРСР и на МГД, и по този начин улеснява опазването на метода LEADER.</w:t>
                      </w:r>
                    </w:p>
                  </w:txbxContent>
                </v:textbox>
                <w10:anchorlock/>
              </v:shape>
            </w:pict>
          </mc:Fallback>
        </mc:AlternateContent>
      </w:r>
    </w:p>
    <w:p w:rsidR="003B5168" w:rsidRPr="00FB01AA" w:rsidRDefault="003B5168" w:rsidP="00CB6DC7">
      <w:pPr>
        <w:pStyle w:val="HStandard"/>
        <w:rPr>
          <w:sz w:val="18"/>
        </w:rPr>
      </w:pPr>
      <w:r w:rsidRPr="00FB01AA">
        <w:rPr>
          <w:sz w:val="18"/>
        </w:rPr>
        <w:br w:type="column"/>
      </w:r>
      <w:r w:rsidRPr="00FB01AA">
        <w:rPr>
          <w:sz w:val="18"/>
        </w:rPr>
        <w:lastRenderedPageBreak/>
        <w:t xml:space="preserve">Всички посочени по-горе видове дейности на МГД се изпълняват с </w:t>
      </w:r>
      <w:r w:rsidR="0030212B">
        <w:rPr>
          <w:sz w:val="18"/>
        </w:rPr>
        <w:t>входящи ресурси</w:t>
      </w:r>
      <w:r w:rsidRPr="00FB01AA">
        <w:rPr>
          <w:sz w:val="18"/>
        </w:rPr>
        <w:t xml:space="preserve"> (например ЕСИ фондове). Те произвеждат </w:t>
      </w:r>
      <w:r w:rsidR="00CD5AB9">
        <w:rPr>
          <w:sz w:val="18"/>
        </w:rPr>
        <w:t>материални</w:t>
      </w:r>
      <w:r w:rsidRPr="00FB01AA">
        <w:rPr>
          <w:sz w:val="18"/>
        </w:rPr>
        <w:t xml:space="preserve"> крайни продукти (напр. брой дейности, технологии, сгради и други активи, обучени лица), материални и нематериални резултати (напр. повече работни места, нови предприятия, продукти, услуги, усвояване на нови умения) и материални и нематериални въздействия (напр. по-добър доход, по-добра структура на заетостта, по-добра инфраструктура, подобрен социален капитал). </w:t>
      </w:r>
    </w:p>
    <w:p w:rsidR="00CB6DC7" w:rsidRPr="00FB01AA" w:rsidRDefault="00CB6DC7" w:rsidP="00CB6DC7">
      <w:pPr>
        <w:pStyle w:val="HStandard"/>
        <w:rPr>
          <w:sz w:val="18"/>
        </w:rPr>
      </w:pPr>
      <w:r w:rsidRPr="00FB01AA">
        <w:rPr>
          <w:sz w:val="18"/>
        </w:rPr>
        <w:t xml:space="preserve">Макар че по принцип всички посочени по-горе крайни продукти, резултати и въздействия могат да бъдат постигнати и с традиционните мерки на ПРСР, от стратегиите, които се изпълняват в съответствие с метода LEADER, се очаква да създадат добавена стойност. Добавената стойност на местно равнище се създава под формата на </w:t>
      </w:r>
      <w:r w:rsidRPr="00FB01AA">
        <w:rPr>
          <w:b/>
          <w:sz w:val="18"/>
        </w:rPr>
        <w:t>подобряване на</w:t>
      </w:r>
      <w:r w:rsidRPr="00FB01AA">
        <w:rPr>
          <w:sz w:val="18"/>
        </w:rPr>
        <w:t xml:space="preserve"> </w:t>
      </w:r>
      <w:r w:rsidRPr="00FB01AA">
        <w:rPr>
          <w:b/>
          <w:sz w:val="18"/>
        </w:rPr>
        <w:t>социалния капитал,</w:t>
      </w:r>
      <w:r w:rsidRPr="00FB01AA">
        <w:rPr>
          <w:sz w:val="18"/>
        </w:rPr>
        <w:t xml:space="preserve"> </w:t>
      </w:r>
      <w:r w:rsidRPr="00FB01AA">
        <w:rPr>
          <w:b/>
          <w:sz w:val="18"/>
        </w:rPr>
        <w:t>подобряване на местното управление и засилване на резултатите</w:t>
      </w:r>
      <w:r w:rsidRPr="00FB01AA">
        <w:rPr>
          <w:sz w:val="18"/>
        </w:rPr>
        <w:t xml:space="preserve">. </w:t>
      </w:r>
    </w:p>
    <w:p w:rsidR="00056A0D" w:rsidRPr="00FB01AA" w:rsidRDefault="00056A0D" w:rsidP="00CB6DC7">
      <w:pPr>
        <w:pStyle w:val="HStandard"/>
        <w:rPr>
          <w:sz w:val="18"/>
        </w:rPr>
      </w:pPr>
    </w:p>
    <w:p w:rsidR="00CB6DC7" w:rsidRPr="00FB01AA" w:rsidRDefault="00CB6DC7" w:rsidP="009573BA">
      <w:pPr>
        <w:pStyle w:val="HStandard"/>
        <w:rPr>
          <w:snapToGrid w:val="0"/>
          <w:sz w:val="18"/>
        </w:rPr>
      </w:pPr>
      <w:r w:rsidRPr="00FB01AA">
        <w:rPr>
          <w:noProof/>
          <w:sz w:val="18"/>
          <w:lang w:val="en-GB" w:eastAsia="en-GB" w:bidi="ar-SA"/>
        </w:rPr>
        <mc:AlternateContent>
          <mc:Choice Requires="wps">
            <w:drawing>
              <wp:inline distT="0" distB="0" distL="0" distR="0" wp14:anchorId="0C1B3A80" wp14:editId="0B9FF10F">
                <wp:extent cx="2735580" cy="2392680"/>
                <wp:effectExtent l="0" t="0" r="26670" b="26670"/>
                <wp:docPr id="145" name="Rectangle: Diagonal Corners Rounded 145"/>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DBF" w:rsidRPr="003B5168" w:rsidRDefault="00D21DBF"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68B3C596" wp14:editId="53B0045A">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Оценката на добавената стойност показва какви допълнителни ползи (подобряване на социалния капитал, подобряване на местното управление, засилване на резултатите) са били създадени благодарение на правилното прилагане на метода LEADER посредством дейностите на МГД.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0C1B3A80" id="Rectangle: Diagonal Corners Rounded 145" o:spid="_x0000_s1045"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lD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DFQ9lD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D21DBF" w:rsidRPr="003B5168" w:rsidRDefault="00D21DBF" w:rsidP="00CB6DC7">
                      <w:pPr>
                        <w:jc w:val="both"/>
                        <w:rPr>
                          <w:color w:val="373737"/>
                        </w:rPr>
                      </w:pPr>
                      <w:r>
                        <w:rPr>
                          <w:rFonts w:ascii="Arial" w:hAnsi="Arial" w:cs="Arial"/>
                          <w:noProof/>
                          <w:color w:val="57825E" w:themeColor="accent4"/>
                          <w:sz w:val="20"/>
                          <w:szCs w:val="20"/>
                          <w:lang w:val="en-GB" w:eastAsia="en-GB" w:bidi="ar-SA"/>
                        </w:rPr>
                        <w:drawing>
                          <wp:inline distT="0" distB="0" distL="0" distR="0" wp14:anchorId="68B3C596" wp14:editId="53B0045A">
                            <wp:extent cx="665188" cy="4876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Оценката на добавената стойност показва какви допълнителни ползи (подобряване на социалния капитал, подобряване на местното управление, засилване на резултатите) са били създадени благодарение на правилното прилагане на метода LEADER посредством дейностите на МГД.</w:t>
                      </w:r>
                    </w:p>
                  </w:txbxContent>
                </v:textbox>
                <w10:anchorlock/>
              </v:shape>
            </w:pict>
          </mc:Fallback>
        </mc:AlternateContent>
      </w:r>
    </w:p>
    <w:p w:rsidR="00CB6DC7" w:rsidRPr="00FB01AA" w:rsidRDefault="00CB6DC7" w:rsidP="00A26E1E">
      <w:pPr>
        <w:pStyle w:val="HStandard"/>
        <w:rPr>
          <w:rFonts w:cs="Arial"/>
          <w:i/>
          <w:sz w:val="18"/>
        </w:rPr>
        <w:sectPr w:rsidR="00CB6DC7" w:rsidRPr="00FB01AA" w:rsidSect="00CB6DC7">
          <w:type w:val="continuous"/>
          <w:pgSz w:w="11906" w:h="16838"/>
          <w:pgMar w:top="1418" w:right="1418" w:bottom="1418" w:left="1418" w:header="709" w:footer="709" w:gutter="0"/>
          <w:cols w:num="2" w:space="397"/>
          <w:docGrid w:linePitch="360"/>
        </w:sectPr>
      </w:pPr>
    </w:p>
    <w:p w:rsidR="0012122D" w:rsidRPr="00FB01AA" w:rsidRDefault="00C5760E" w:rsidP="003876D5">
      <w:pPr>
        <w:rPr>
          <w:sz w:val="18"/>
        </w:rPr>
        <w:sectPr w:rsidR="0012122D" w:rsidRPr="00FB01AA" w:rsidSect="009F15D6">
          <w:type w:val="continuous"/>
          <w:pgSz w:w="11906" w:h="16838"/>
          <w:pgMar w:top="1418" w:right="1418" w:bottom="1418" w:left="1418" w:header="709" w:footer="709" w:gutter="0"/>
          <w:cols w:space="708"/>
          <w:docGrid w:linePitch="360"/>
        </w:sectPr>
      </w:pPr>
      <w:r w:rsidRPr="00FB01AA">
        <w:rPr>
          <w:sz w:val="28"/>
        </w:rPr>
        <w:br w:type="column"/>
      </w:r>
      <w:r w:rsidRPr="00FB01AA">
        <w:rPr>
          <w:noProof/>
          <w:sz w:val="28"/>
          <w:lang w:val="en-GB" w:eastAsia="en-GB" w:bidi="ar-SA"/>
        </w:rPr>
        <w:lastRenderedPageBreak/>
        <mc:AlternateContent>
          <mc:Choice Requires="wps">
            <w:drawing>
              <wp:inline distT="0" distB="0" distL="0" distR="0">
                <wp:extent cx="6492240" cy="9380220"/>
                <wp:effectExtent l="0" t="0" r="22860" b="11430"/>
                <wp:docPr id="147" name="Rectangle: Diagonal Corners Rounded 147"/>
                <wp:cNvGraphicFramePr/>
                <a:graphic xmlns:a="http://schemas.openxmlformats.org/drawingml/2006/main">
                  <a:graphicData uri="http://schemas.microsoft.com/office/word/2010/wordprocessingShape">
                    <wps:wsp>
                      <wps:cNvSpPr/>
                      <wps:spPr>
                        <a:xfrm>
                          <a:off x="0" y="0"/>
                          <a:ext cx="6492240" cy="938022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DBF" w:rsidRDefault="00D21DBF"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22E0403F" wp14:editId="100D7BAB">
                                  <wp:extent cx="353202" cy="360000"/>
                                  <wp:effectExtent l="0" t="0" r="8890" b="254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Как може да се наблюдава добавената стойност?</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82"/>
                              <w:gridCol w:w="4116"/>
                            </w:tblGrid>
                            <w:tr w:rsidR="00D21DBF">
                              <w:tc>
                                <w:tcPr>
                                  <w:tcW w:w="9196" w:type="dxa"/>
                                  <w:gridSpan w:val="3"/>
                                </w:tcPr>
                                <w:p w:rsidR="00D21DBF" w:rsidRDefault="00D21DBF" w:rsidP="003B4466">
                                  <w:pPr>
                                    <w:pStyle w:val="HStandard"/>
                                    <w:ind w:right="279"/>
                                    <w:rPr>
                                      <w:rFonts w:cs="Arial"/>
                                      <w:b/>
                                      <w:sz w:val="18"/>
                                      <w:szCs w:val="18"/>
                                    </w:rPr>
                                  </w:pPr>
                                  <w:r>
                                    <w:rPr>
                                      <w:rFonts w:ascii="Arial" w:hAnsi="Arial"/>
                                      <w:sz w:val="18"/>
                                    </w:rPr>
                                    <w:t xml:space="preserve">Прилагането на принципите на ВОМР следва да подобри социалния капитал и местното управление в района на МГД, като предизвика промяна в поведението на ключови участници и/или на населението като цяло. </w:t>
                                  </w:r>
                                  <w:r>
                                    <w:rPr>
                                      <w:rFonts w:ascii="Arial" w:hAnsi="Arial"/>
                                      <w:b/>
                                      <w:color w:val="F07E31" w:themeColor="background2"/>
                                      <w:sz w:val="18"/>
                                    </w:rPr>
                                    <w:t>Промените в поведението</w:t>
                                  </w:r>
                                  <w:r>
                                    <w:rPr>
                                      <w:rFonts w:ascii="Arial" w:hAnsi="Arial"/>
                                      <w:color w:val="F07E31" w:themeColor="background2"/>
                                      <w:sz w:val="18"/>
                                    </w:rPr>
                                    <w:t xml:space="preserve"> </w:t>
                                  </w:r>
                                  <w:r>
                                    <w:rPr>
                                      <w:rFonts w:ascii="Arial" w:hAnsi="Arial"/>
                                      <w:sz w:val="18"/>
                                    </w:rPr>
                                    <w:t xml:space="preserve">може да са свързани с i) моделите на мислене и нагласите (мотивация, самочувствие), които са необходими за възприемането на определено поведение; ii) способностите и капацитета на индивидуалните и колективните участници (доверие, реципрочност, сътрудничество и мрежи); iii) новите възможности (т.е. достъп до ресурси и социална подкрепа (умения, знания, съвети). </w:t>
                                  </w:r>
                                </w:p>
                              </w:tc>
                            </w:tr>
                            <w:tr w:rsidR="00D21DBF">
                              <w:tc>
                                <w:tcPr>
                                  <w:tcW w:w="5082" w:type="dxa"/>
                                  <w:gridSpan w:val="2"/>
                                  <w:vAlign w:val="center"/>
                                </w:tcPr>
                                <w:p w:rsidR="00D21DBF" w:rsidRPr="000D7A50" w:rsidRDefault="00D21DBF" w:rsidP="00CB5FC3">
                                  <w:pPr>
                                    <w:pStyle w:val="HStandard"/>
                                    <w:jc w:val="center"/>
                                    <w:rPr>
                                      <w:rFonts w:cs="Arial"/>
                                      <w:b/>
                                      <w:noProof/>
                                      <w:sz w:val="18"/>
                                      <w:szCs w:val="18"/>
                                    </w:rPr>
                                  </w:pPr>
                                  <w:r w:rsidRPr="003E0769">
                                    <w:rPr>
                                      <w:rFonts w:cs="Arial"/>
                                      <w:b/>
                                      <w:noProof/>
                                      <w:sz w:val="18"/>
                                      <w:szCs w:val="18"/>
                                      <w:lang w:val="en-GB" w:eastAsia="en-GB" w:bidi="ar-SA"/>
                                    </w:rPr>
                                    <w:drawing>
                                      <wp:inline distT="0" distB="0" distL="0" distR="0" wp14:anchorId="704E0D3C" wp14:editId="7D5EA6E3">
                                        <wp:extent cx="3017520" cy="13716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17520" cy="1371600"/>
                                                </a:xfrm>
                                                <a:prstGeom prst="rect">
                                                  <a:avLst/>
                                                </a:prstGeom>
                                                <a:noFill/>
                                                <a:ln>
                                                  <a:noFill/>
                                                </a:ln>
                                              </pic:spPr>
                                            </pic:pic>
                                          </a:graphicData>
                                        </a:graphic>
                                      </wp:inline>
                                    </w:drawing>
                                  </w:r>
                                </w:p>
                              </w:tc>
                              <w:tc>
                                <w:tcPr>
                                  <w:tcW w:w="4114" w:type="dxa"/>
                                </w:tcPr>
                                <w:p w:rsidR="00D21DBF" w:rsidRDefault="00D21DBF" w:rsidP="00CB5FC3">
                                  <w:pPr>
                                    <w:pStyle w:val="HStandard"/>
                                    <w:rPr>
                                      <w:rFonts w:ascii="Arial" w:hAnsi="Arial" w:cs="Arial"/>
                                      <w:sz w:val="18"/>
                                      <w:szCs w:val="18"/>
                                    </w:rPr>
                                  </w:pPr>
                                  <w:r>
                                    <w:rPr>
                                      <w:rFonts w:ascii="Arial" w:hAnsi="Arial"/>
                                      <w:sz w:val="18"/>
                                    </w:rPr>
                                    <w:t>Съществуват начини за оценка на вида и посоката на поведенческите промени. Определено поведение може да бъде i) засилено, ii) отслабено, iii) подобрено, iv) усъвършенствано или дори v) запазено въпреки отрицателния натиск.</w:t>
                                  </w:r>
                                </w:p>
                                <w:p w:rsidR="00D21DBF" w:rsidRDefault="00D21DBF" w:rsidP="00CB5FC3">
                                  <w:pPr>
                                    <w:pStyle w:val="HStandard"/>
                                    <w:rPr>
                                      <w:rFonts w:cs="Arial"/>
                                      <w:b/>
                                      <w:sz w:val="18"/>
                                      <w:szCs w:val="18"/>
                                    </w:rPr>
                                  </w:pPr>
                                </w:p>
                              </w:tc>
                            </w:tr>
                            <w:tr w:rsidR="00D21DBF">
                              <w:tc>
                                <w:tcPr>
                                  <w:tcW w:w="5082" w:type="dxa"/>
                                  <w:gridSpan w:val="2"/>
                                </w:tcPr>
                                <w:p w:rsidR="00D21DBF" w:rsidRDefault="00D21DBF" w:rsidP="00CB5FC3">
                                  <w:pPr>
                                    <w:pStyle w:val="HStandard"/>
                                    <w:rPr>
                                      <w:rFonts w:ascii="Arial" w:hAnsi="Arial" w:cs="Arial"/>
                                      <w:sz w:val="18"/>
                                      <w:szCs w:val="18"/>
                                    </w:rPr>
                                  </w:pPr>
                                  <w:r>
                                    <w:rPr>
                                      <w:rFonts w:ascii="Arial" w:hAnsi="Arial"/>
                                      <w:b/>
                                      <w:color w:val="F07E31" w:themeColor="background2"/>
                                      <w:sz w:val="18"/>
                                    </w:rPr>
                                    <w:t>Подобряването на местното управление</w:t>
                                  </w:r>
                                  <w:r>
                                    <w:rPr>
                                      <w:rFonts w:ascii="Arial" w:hAnsi="Arial"/>
                                      <w:color w:val="F07E31" w:themeColor="background2"/>
                                      <w:sz w:val="18"/>
                                    </w:rPr>
                                    <w:t xml:space="preserve"> </w:t>
                                  </w:r>
                                  <w:r>
                                    <w:rPr>
                                      <w:rFonts w:ascii="Arial" w:hAnsi="Arial"/>
                                      <w:sz w:val="18"/>
                                    </w:rPr>
                                    <w:t>може да се изразява в: i) готовността за разширяване на процесите на вземане на решения чрез включване на по-големи части от общностите и на повече заинтересовани страни при зачитане на социалното, географското, институционалното равенство и равновесието между половете; ii) способността и капацитета за споделено ръководство на района; iii) капацитета за управление на средства от различни публични и частни източници; iv) активна роля при формирането на многостепенно управление чрез укрепването на капацитета за изграждане на партньорства и за сътрудничество в управлението и т.н.</w:t>
                                  </w:r>
                                </w:p>
                                <w:p w:rsidR="00D21DBF" w:rsidRPr="00B070B0" w:rsidRDefault="00D21DBF" w:rsidP="00CB5FC3">
                                  <w:pPr>
                                    <w:pStyle w:val="HStandard"/>
                                    <w:rPr>
                                      <w:rFonts w:ascii="Arial" w:hAnsi="Arial" w:cs="Arial"/>
                                      <w:sz w:val="18"/>
                                      <w:szCs w:val="18"/>
                                    </w:rPr>
                                  </w:pPr>
                                  <w:r>
                                    <w:rPr>
                                      <w:rFonts w:ascii="Arial" w:hAnsi="Arial"/>
                                      <w:sz w:val="18"/>
                                    </w:rPr>
                                    <w:t xml:space="preserve">Желаните промени в </w:t>
                                  </w:r>
                                  <w:r>
                                    <w:rPr>
                                      <w:rFonts w:ascii="Arial" w:hAnsi="Arial"/>
                                      <w:b/>
                                      <w:color w:val="F07E31" w:themeColor="background2"/>
                                      <w:sz w:val="18"/>
                                    </w:rPr>
                                    <w:t>социалния капитал</w:t>
                                  </w:r>
                                  <w:r>
                                    <w:rPr>
                                      <w:rFonts w:ascii="Arial" w:hAnsi="Arial"/>
                                      <w:color w:val="F07E31" w:themeColor="background2"/>
                                      <w:sz w:val="18"/>
                                    </w:rPr>
                                    <w:t xml:space="preserve"> </w:t>
                                  </w:r>
                                  <w:r>
                                    <w:rPr>
                                      <w:rFonts w:ascii="Arial" w:hAnsi="Arial"/>
                                      <w:sz w:val="18"/>
                                    </w:rPr>
                                    <w:t xml:space="preserve">и местното управление следва да бъдат формулирани още при подготовката на дейностите на МГД (напр. да бъдат описани в интервенционната логика на стратегията за ВОМР или в обосновката на проектите за сътрудничество и на различните дейности за популяризиране). </w:t>
                                  </w:r>
                                </w:p>
                              </w:tc>
                              <w:tc>
                                <w:tcPr>
                                  <w:tcW w:w="4114" w:type="dxa"/>
                                  <w:vAlign w:val="center"/>
                                </w:tcPr>
                                <w:p w:rsidR="00D21DBF" w:rsidRPr="000D7A50" w:rsidRDefault="00D21DBF" w:rsidP="00CB5FC3">
                                  <w:pPr>
                                    <w:pStyle w:val="HStandard"/>
                                    <w:jc w:val="center"/>
                                    <w:rPr>
                                      <w:rFonts w:cs="Arial"/>
                                      <w:sz w:val="18"/>
                                      <w:szCs w:val="18"/>
                                    </w:rPr>
                                  </w:pPr>
                                  <w:r w:rsidRPr="003E0769">
                                    <w:rPr>
                                      <w:rFonts w:cs="Arial"/>
                                      <w:b/>
                                      <w:noProof/>
                                      <w:color w:val="F07E31" w:themeColor="background2"/>
                                      <w:sz w:val="18"/>
                                      <w:szCs w:val="18"/>
                                      <w:lang w:val="en-GB" w:eastAsia="en-GB" w:bidi="ar-SA"/>
                                    </w:rPr>
                                    <w:drawing>
                                      <wp:inline distT="0" distB="0" distL="0" distR="0" wp14:anchorId="3335487A" wp14:editId="1E2A4D75">
                                        <wp:extent cx="2468880" cy="1371600"/>
                                        <wp:effectExtent l="0" t="0" r="762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68880" cy="1371600"/>
                                                </a:xfrm>
                                                <a:prstGeom prst="rect">
                                                  <a:avLst/>
                                                </a:prstGeom>
                                                <a:noFill/>
                                                <a:ln>
                                                  <a:noFill/>
                                                </a:ln>
                                              </pic:spPr>
                                            </pic:pic>
                                          </a:graphicData>
                                        </a:graphic>
                                      </wp:inline>
                                    </w:drawing>
                                  </w:r>
                                </w:p>
                              </w:tc>
                            </w:tr>
                            <w:tr w:rsidR="00D21DBF">
                              <w:tc>
                                <w:tcPr>
                                  <w:tcW w:w="9196" w:type="dxa"/>
                                  <w:gridSpan w:val="3"/>
                                </w:tcPr>
                                <w:p w:rsidR="00D21DBF" w:rsidRPr="00B070B0" w:rsidRDefault="00D21DBF" w:rsidP="00CB5FC3">
                                  <w:pPr>
                                    <w:pStyle w:val="HStandard"/>
                                    <w:rPr>
                                      <w:rFonts w:ascii="Arial" w:hAnsi="Arial" w:cs="Arial"/>
                                      <w:sz w:val="18"/>
                                      <w:szCs w:val="18"/>
                                    </w:rPr>
                                  </w:pPr>
                                  <w:r>
                                    <w:rPr>
                                      <w:rFonts w:ascii="Arial" w:hAnsi="Arial"/>
                                      <w:sz w:val="18"/>
                                    </w:rPr>
                                    <w:t>В случаите когато очакваните промени в социалния капитал не са заложени в дейностите на МГД и в интервенционната логика, екипът за оценка или самооценка може: i) да се опита недвусмислено да ги изведе (т.е. като произтичащи от всичко, което е било приведено в действие от страна на МГД); или ii) да се опита да осъществи наблюденията, като използва различни методи за оценка.</w:t>
                                  </w:r>
                                </w:p>
                              </w:tc>
                            </w:tr>
                            <w:tr w:rsidR="00D21DBF">
                              <w:tc>
                                <w:tcPr>
                                  <w:tcW w:w="4598" w:type="dxa"/>
                                  <w:vAlign w:val="center"/>
                                </w:tcPr>
                                <w:p w:rsidR="00D21DBF" w:rsidRPr="000D7A50" w:rsidRDefault="00D21DBF" w:rsidP="00CB5FC3">
                                  <w:pPr>
                                    <w:pStyle w:val="HStandard"/>
                                    <w:jc w:val="center"/>
                                    <w:rPr>
                                      <w:rFonts w:cs="Arial"/>
                                      <w:sz w:val="18"/>
                                      <w:szCs w:val="18"/>
                                    </w:rPr>
                                  </w:pPr>
                                  <w:r w:rsidRPr="003E0769">
                                    <w:rPr>
                                      <w:rFonts w:cs="Arial"/>
                                      <w:noProof/>
                                      <w:sz w:val="18"/>
                                      <w:szCs w:val="18"/>
                                      <w:lang w:val="en-GB" w:eastAsia="en-GB" w:bidi="ar-SA"/>
                                    </w:rPr>
                                    <w:drawing>
                                      <wp:inline distT="0" distB="0" distL="0" distR="0" wp14:anchorId="57EA52E0" wp14:editId="537A3F41">
                                        <wp:extent cx="2743200" cy="128016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3200" cy="1280160"/>
                                                </a:xfrm>
                                                <a:prstGeom prst="rect">
                                                  <a:avLst/>
                                                </a:prstGeom>
                                                <a:noFill/>
                                                <a:ln>
                                                  <a:noFill/>
                                                </a:ln>
                                              </pic:spPr>
                                            </pic:pic>
                                          </a:graphicData>
                                        </a:graphic>
                                      </wp:inline>
                                    </w:drawing>
                                  </w:r>
                                </w:p>
                              </w:tc>
                              <w:tc>
                                <w:tcPr>
                                  <w:tcW w:w="4598" w:type="dxa"/>
                                  <w:gridSpan w:val="2"/>
                                </w:tcPr>
                                <w:p w:rsidR="00D21DBF" w:rsidRPr="000D7A50" w:rsidRDefault="00D21DBF" w:rsidP="003B4466">
                                  <w:pPr>
                                    <w:pStyle w:val="HStandard"/>
                                    <w:rPr>
                                      <w:rFonts w:cs="Arial"/>
                                      <w:sz w:val="18"/>
                                      <w:szCs w:val="18"/>
                                    </w:rPr>
                                  </w:pPr>
                                  <w:r>
                                    <w:rPr>
                                      <w:rFonts w:ascii="Arial" w:hAnsi="Arial"/>
                                      <w:sz w:val="18"/>
                                    </w:rPr>
                                    <w:t xml:space="preserve">И накрая, добавената стойност на метода LEADER следва да се прояви и под формата на </w:t>
                                  </w:r>
                                  <w:r>
                                    <w:rPr>
                                      <w:rFonts w:ascii="Arial" w:hAnsi="Arial"/>
                                      <w:b/>
                                      <w:color w:val="F07E31" w:themeColor="background2"/>
                                      <w:sz w:val="18"/>
                                    </w:rPr>
                                    <w:t>засилване на резултатите</w:t>
                                  </w:r>
                                  <w:r>
                                    <w:rPr>
                                      <w:rFonts w:ascii="Arial" w:hAnsi="Arial"/>
                                      <w:sz w:val="18"/>
                                    </w:rPr>
                                    <w:t xml:space="preserve">, (т.е. видът и качеството на изпълняваните проекти следва да водят до различни резултати от онези, които се изпълняват или теоретично биха могли да бъдат изпълнени по различни програми/мерки). </w:t>
                                  </w:r>
                                </w:p>
                              </w:tc>
                            </w:tr>
                            <w:tr w:rsidR="00D21DBF">
                              <w:tc>
                                <w:tcPr>
                                  <w:tcW w:w="9196" w:type="dxa"/>
                                  <w:gridSpan w:val="3"/>
                                </w:tcPr>
                                <w:p w:rsidR="00D21DBF" w:rsidRPr="00B070B0" w:rsidRDefault="00D21DBF" w:rsidP="00CB5FC3">
                                  <w:pPr>
                                    <w:pStyle w:val="HStandard"/>
                                    <w:rPr>
                                      <w:rFonts w:cs="Arial"/>
                                      <w:sz w:val="18"/>
                                      <w:szCs w:val="18"/>
                                    </w:rPr>
                                  </w:pPr>
                                </w:p>
                              </w:tc>
                            </w:tr>
                          </w:tbl>
                          <w:p w:rsidR="00D21DBF" w:rsidRPr="000D7A50" w:rsidRDefault="00D21DBF" w:rsidP="0012122D">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id="Rectangle: Diagonal Corners Rounded 147" o:spid="_x0000_s1046" style="width:511.2pt;height:738.6pt;visibility:visible;mso-wrap-style:square;mso-left-percent:-10001;mso-top-percent:-10001;mso-position-horizontal:absolute;mso-position-horizontal-relative:char;mso-position-vertical:absolute;mso-position-vertical-relative:line;mso-left-percent:-10001;mso-top-percent:-10001;v-text-anchor:top" coordsize="6492240,93802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" adj="-11796480,,5400" path="m506265,l6492240,r,l6492240,8873955v,279602,-226663,506265,-506265,506265l,9380220r,l,506265c,226663,226663,,506265,xe" fillcolor="white [3204]" strokecolor="#f07e31 [3214]" strokeweight="2pt">
                <v:stroke joinstyle="miter"/>
                <v:formulas/>
                <v:path arrowok="t" o:connecttype="custom" o:connectlocs="506265,0;6492240,0;6492240,0;6492240,8873955;5985975,9380220;0,9380220;0,9380220;0,506265;506265,0" o:connectangles="0,0,0,0,0,0,0,0,0" textboxrect="0,0,6492240,9380220"/>
                <v:textbox inset=",0,,0">
                  <w:txbxContent>
                    <w:p w:rsidR="00D21DBF" w:rsidRDefault="00D21DBF" w:rsidP="0012122D">
                      <w:pPr>
                        <w:pStyle w:val="HStandard"/>
                        <w:rPr>
                          <w:rFonts w:cs="Arial"/>
                          <w:b/>
                          <w:color w:val="F07E31" w:themeColor="background2"/>
                          <w:szCs w:val="18"/>
                        </w:rPr>
                      </w:pPr>
                      <w:r>
                        <w:rPr>
                          <w:rFonts w:cs="Arial"/>
                          <w:b/>
                          <w:bCs/>
                          <w:iCs/>
                          <w:noProof/>
                          <w:color w:val="F07E31" w:themeColor="background2"/>
                          <w:sz w:val="18"/>
                          <w:szCs w:val="18"/>
                          <w:lang w:val="en-GB" w:eastAsia="en-GB" w:bidi="ar-SA"/>
                        </w:rPr>
                        <w:drawing>
                          <wp:inline distT="0" distB="0" distL="0" distR="0" wp14:anchorId="22E0403F" wp14:editId="100D7BAB">
                            <wp:extent cx="353202" cy="360000"/>
                            <wp:effectExtent l="0" t="0" r="8890" b="254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Как може да се наблюдава добавената стойност?</w:t>
                      </w:r>
                    </w:p>
                    <w:tbl>
                      <w:tblPr>
                        <w:tblStyle w:val="TableGrid"/>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82"/>
                        <w:gridCol w:w="4116"/>
                      </w:tblGrid>
                      <w:tr w:rsidR="00D21DBF">
                        <w:tc>
                          <w:tcPr>
                            <w:tcW w:w="9196" w:type="dxa"/>
                            <w:gridSpan w:val="3"/>
                          </w:tcPr>
                          <w:p w:rsidR="00D21DBF" w:rsidRDefault="00D21DBF" w:rsidP="003B4466">
                            <w:pPr>
                              <w:pStyle w:val="HStandard"/>
                              <w:ind w:right="279"/>
                              <w:rPr>
                                <w:rFonts w:cs="Arial"/>
                                <w:b/>
                                <w:sz w:val="18"/>
                                <w:szCs w:val="18"/>
                              </w:rPr>
                            </w:pPr>
                            <w:r>
                              <w:rPr>
                                <w:rFonts w:ascii="Arial" w:hAnsi="Arial"/>
                                <w:sz w:val="18"/>
                              </w:rPr>
                              <w:t xml:space="preserve">Прилагането на принципите на ВОМР следва да подобри социалния капитал и местното управление в района на МГД, като предизвика промяна в поведението на ключови участници и/или на населението като цяло. </w:t>
                            </w:r>
                            <w:r>
                              <w:rPr>
                                <w:rFonts w:ascii="Arial" w:hAnsi="Arial"/>
                                <w:b/>
                                <w:color w:val="F07E31" w:themeColor="background2"/>
                                <w:sz w:val="18"/>
                              </w:rPr>
                              <w:t>Промените в поведението</w:t>
                            </w:r>
                            <w:r>
                              <w:rPr>
                                <w:rFonts w:ascii="Arial" w:hAnsi="Arial"/>
                                <w:color w:val="F07E31" w:themeColor="background2"/>
                                <w:sz w:val="18"/>
                              </w:rPr>
                              <w:t xml:space="preserve"> </w:t>
                            </w:r>
                            <w:r>
                              <w:rPr>
                                <w:rFonts w:ascii="Arial" w:hAnsi="Arial"/>
                                <w:sz w:val="18"/>
                              </w:rPr>
                              <w:t xml:space="preserve">може да са свързани с i) моделите на мислене и нагласите (мотивация, самочувствие), които са необходими за възприемането на определено поведение; ii) способностите и капацитета на индивидуалните и колективните участници (доверие, реципрочност, сътрудничество и мрежи); iii) новите възможности (т.е. достъп до ресурси и социална подкрепа (умения, знания, съвети). </w:t>
                            </w:r>
                          </w:p>
                        </w:tc>
                      </w:tr>
                      <w:tr w:rsidR="00D21DBF">
                        <w:tc>
                          <w:tcPr>
                            <w:tcW w:w="5082" w:type="dxa"/>
                            <w:gridSpan w:val="2"/>
                            <w:vAlign w:val="center"/>
                          </w:tcPr>
                          <w:p w:rsidR="00D21DBF" w:rsidRPr="000D7A50" w:rsidRDefault="00D21DBF" w:rsidP="00CB5FC3">
                            <w:pPr>
                              <w:pStyle w:val="HStandard"/>
                              <w:jc w:val="center"/>
                              <w:rPr>
                                <w:rFonts w:cs="Arial"/>
                                <w:b/>
                                <w:noProof/>
                                <w:sz w:val="18"/>
                                <w:szCs w:val="18"/>
                              </w:rPr>
                            </w:pPr>
                            <w:r w:rsidRPr="003E0769">
                              <w:rPr>
                                <w:rFonts w:cs="Arial"/>
                                <w:b/>
                                <w:noProof/>
                                <w:sz w:val="18"/>
                                <w:szCs w:val="18"/>
                                <w:lang w:val="en-GB" w:eastAsia="en-GB" w:bidi="ar-SA"/>
                              </w:rPr>
                              <w:drawing>
                                <wp:inline distT="0" distB="0" distL="0" distR="0" wp14:anchorId="704E0D3C" wp14:editId="7D5EA6E3">
                                  <wp:extent cx="3017520" cy="1371600"/>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017520" cy="1371600"/>
                                          </a:xfrm>
                                          <a:prstGeom prst="rect">
                                            <a:avLst/>
                                          </a:prstGeom>
                                          <a:noFill/>
                                          <a:ln>
                                            <a:noFill/>
                                          </a:ln>
                                        </pic:spPr>
                                      </pic:pic>
                                    </a:graphicData>
                                  </a:graphic>
                                </wp:inline>
                              </w:drawing>
                            </w:r>
                          </w:p>
                        </w:tc>
                        <w:tc>
                          <w:tcPr>
                            <w:tcW w:w="4114" w:type="dxa"/>
                          </w:tcPr>
                          <w:p w:rsidR="00D21DBF" w:rsidRDefault="00D21DBF" w:rsidP="00CB5FC3">
                            <w:pPr>
                              <w:pStyle w:val="HStandard"/>
                              <w:rPr>
                                <w:rFonts w:ascii="Arial" w:hAnsi="Arial" w:cs="Arial"/>
                                <w:sz w:val="18"/>
                                <w:szCs w:val="18"/>
                              </w:rPr>
                            </w:pPr>
                            <w:r>
                              <w:rPr>
                                <w:rFonts w:ascii="Arial" w:hAnsi="Arial"/>
                                <w:sz w:val="18"/>
                              </w:rPr>
                              <w:t>Съществуват начини за оценка на вида и посоката на поведенческите промени. Определено поведение може да бъде i) засилено, ii) отслабено, iii) подобрено, iv) усъвършенствано или дори v) запазено въпреки отрицателния натиск.</w:t>
                            </w:r>
                          </w:p>
                          <w:p w:rsidR="00D21DBF" w:rsidRDefault="00D21DBF" w:rsidP="00CB5FC3">
                            <w:pPr>
                              <w:pStyle w:val="HStandard"/>
                              <w:rPr>
                                <w:rFonts w:cs="Arial"/>
                                <w:b/>
                                <w:sz w:val="18"/>
                                <w:szCs w:val="18"/>
                              </w:rPr>
                            </w:pPr>
                          </w:p>
                        </w:tc>
                      </w:tr>
                      <w:tr w:rsidR="00D21DBF">
                        <w:tc>
                          <w:tcPr>
                            <w:tcW w:w="5082" w:type="dxa"/>
                            <w:gridSpan w:val="2"/>
                          </w:tcPr>
                          <w:p w:rsidR="00D21DBF" w:rsidRDefault="00D21DBF" w:rsidP="00CB5FC3">
                            <w:pPr>
                              <w:pStyle w:val="HStandard"/>
                              <w:rPr>
                                <w:rFonts w:ascii="Arial" w:hAnsi="Arial" w:cs="Arial"/>
                                <w:sz w:val="18"/>
                                <w:szCs w:val="18"/>
                              </w:rPr>
                            </w:pPr>
                            <w:r>
                              <w:rPr>
                                <w:rFonts w:ascii="Arial" w:hAnsi="Arial"/>
                                <w:b/>
                                <w:color w:val="F07E31" w:themeColor="background2"/>
                                <w:sz w:val="18"/>
                              </w:rPr>
                              <w:t>Подобряването на местното управление</w:t>
                            </w:r>
                            <w:r>
                              <w:rPr>
                                <w:rFonts w:ascii="Arial" w:hAnsi="Arial"/>
                                <w:color w:val="F07E31" w:themeColor="background2"/>
                                <w:sz w:val="18"/>
                              </w:rPr>
                              <w:t xml:space="preserve"> </w:t>
                            </w:r>
                            <w:r>
                              <w:rPr>
                                <w:rFonts w:ascii="Arial" w:hAnsi="Arial"/>
                                <w:sz w:val="18"/>
                              </w:rPr>
                              <w:t>може да се изразява в: i) готовността за разширяване на процесите на вземане на решения чрез включване на по-големи части от общностите и на повече заинтересовани страни при зачитане на социалното, географското, институционалното равенство и равновесието между половете; ii) способността и капацитета за споделено ръководство на района; iii) капацитета за управление на средства от различни публични и частни източници; iv) активна роля при формирането на многостепенно управление чрез укрепването на капацитета за изграждане на партньорства и за сътрудничество в управлението и т.н.</w:t>
                            </w:r>
                          </w:p>
                          <w:p w:rsidR="00D21DBF" w:rsidRPr="00B070B0" w:rsidRDefault="00D21DBF" w:rsidP="00CB5FC3">
                            <w:pPr>
                              <w:pStyle w:val="HStandard"/>
                              <w:rPr>
                                <w:rFonts w:ascii="Arial" w:hAnsi="Arial" w:cs="Arial"/>
                                <w:sz w:val="18"/>
                                <w:szCs w:val="18"/>
                              </w:rPr>
                            </w:pPr>
                            <w:r>
                              <w:rPr>
                                <w:rFonts w:ascii="Arial" w:hAnsi="Arial"/>
                                <w:sz w:val="18"/>
                              </w:rPr>
                              <w:t xml:space="preserve">Желаните промени в </w:t>
                            </w:r>
                            <w:r>
                              <w:rPr>
                                <w:rFonts w:ascii="Arial" w:hAnsi="Arial"/>
                                <w:b/>
                                <w:color w:val="F07E31" w:themeColor="background2"/>
                                <w:sz w:val="18"/>
                              </w:rPr>
                              <w:t>социалния капитал</w:t>
                            </w:r>
                            <w:r>
                              <w:rPr>
                                <w:rFonts w:ascii="Arial" w:hAnsi="Arial"/>
                                <w:color w:val="F07E31" w:themeColor="background2"/>
                                <w:sz w:val="18"/>
                              </w:rPr>
                              <w:t xml:space="preserve"> </w:t>
                            </w:r>
                            <w:r>
                              <w:rPr>
                                <w:rFonts w:ascii="Arial" w:hAnsi="Arial"/>
                                <w:sz w:val="18"/>
                              </w:rPr>
                              <w:t xml:space="preserve">и местното управление следва да бъдат формулирани още при подготовката на дейностите на МГД (напр. да бъдат описани в интервенционната логика на стратегията за ВОМР или в обосновката на проектите за сътрудничество и на различните дейности за популяризиране). </w:t>
                            </w:r>
                          </w:p>
                        </w:tc>
                        <w:tc>
                          <w:tcPr>
                            <w:tcW w:w="4114" w:type="dxa"/>
                            <w:vAlign w:val="center"/>
                          </w:tcPr>
                          <w:p w:rsidR="00D21DBF" w:rsidRPr="000D7A50" w:rsidRDefault="00D21DBF" w:rsidP="00CB5FC3">
                            <w:pPr>
                              <w:pStyle w:val="HStandard"/>
                              <w:jc w:val="center"/>
                              <w:rPr>
                                <w:rFonts w:cs="Arial"/>
                                <w:sz w:val="18"/>
                                <w:szCs w:val="18"/>
                              </w:rPr>
                            </w:pPr>
                            <w:r w:rsidRPr="003E0769">
                              <w:rPr>
                                <w:rFonts w:cs="Arial"/>
                                <w:b/>
                                <w:noProof/>
                                <w:color w:val="F07E31" w:themeColor="background2"/>
                                <w:sz w:val="18"/>
                                <w:szCs w:val="18"/>
                                <w:lang w:val="en-GB" w:eastAsia="en-GB" w:bidi="ar-SA"/>
                              </w:rPr>
                              <w:drawing>
                                <wp:inline distT="0" distB="0" distL="0" distR="0" wp14:anchorId="3335487A" wp14:editId="1E2A4D75">
                                  <wp:extent cx="2468880" cy="1371600"/>
                                  <wp:effectExtent l="0" t="0" r="7620"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68880" cy="1371600"/>
                                          </a:xfrm>
                                          <a:prstGeom prst="rect">
                                            <a:avLst/>
                                          </a:prstGeom>
                                          <a:noFill/>
                                          <a:ln>
                                            <a:noFill/>
                                          </a:ln>
                                        </pic:spPr>
                                      </pic:pic>
                                    </a:graphicData>
                                  </a:graphic>
                                </wp:inline>
                              </w:drawing>
                            </w:r>
                          </w:p>
                        </w:tc>
                      </w:tr>
                      <w:tr w:rsidR="00D21DBF">
                        <w:tc>
                          <w:tcPr>
                            <w:tcW w:w="9196" w:type="dxa"/>
                            <w:gridSpan w:val="3"/>
                          </w:tcPr>
                          <w:p w:rsidR="00D21DBF" w:rsidRPr="00B070B0" w:rsidRDefault="00D21DBF" w:rsidP="00CB5FC3">
                            <w:pPr>
                              <w:pStyle w:val="HStandard"/>
                              <w:rPr>
                                <w:rFonts w:ascii="Arial" w:hAnsi="Arial" w:cs="Arial"/>
                                <w:sz w:val="18"/>
                                <w:szCs w:val="18"/>
                              </w:rPr>
                            </w:pPr>
                            <w:r>
                              <w:rPr>
                                <w:rFonts w:ascii="Arial" w:hAnsi="Arial"/>
                                <w:sz w:val="18"/>
                              </w:rPr>
                              <w:t>В случаите когато очакваните промени в социалния капитал не са заложени в дейностите на МГД и в интервенционната логика, екипът за оценка или самооценка може: i) да се опита недвусмислено да ги изведе (т.е. като произтичащи от всичко, което е било приведено в действие от страна на МГД); или ii) да се опита да осъществи наблюденията, като използва различни методи за оценка.</w:t>
                            </w:r>
                          </w:p>
                        </w:tc>
                      </w:tr>
                      <w:tr w:rsidR="00D21DBF">
                        <w:tc>
                          <w:tcPr>
                            <w:tcW w:w="4598" w:type="dxa"/>
                            <w:vAlign w:val="center"/>
                          </w:tcPr>
                          <w:p w:rsidR="00D21DBF" w:rsidRPr="000D7A50" w:rsidRDefault="00D21DBF" w:rsidP="00CB5FC3">
                            <w:pPr>
                              <w:pStyle w:val="HStandard"/>
                              <w:jc w:val="center"/>
                              <w:rPr>
                                <w:rFonts w:cs="Arial"/>
                                <w:sz w:val="18"/>
                                <w:szCs w:val="18"/>
                              </w:rPr>
                            </w:pPr>
                            <w:r w:rsidRPr="003E0769">
                              <w:rPr>
                                <w:rFonts w:cs="Arial"/>
                                <w:noProof/>
                                <w:sz w:val="18"/>
                                <w:szCs w:val="18"/>
                                <w:lang w:val="en-GB" w:eastAsia="en-GB" w:bidi="ar-SA"/>
                              </w:rPr>
                              <w:drawing>
                                <wp:inline distT="0" distB="0" distL="0" distR="0" wp14:anchorId="57EA52E0" wp14:editId="537A3F41">
                                  <wp:extent cx="2743200" cy="1280160"/>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743200" cy="1280160"/>
                                          </a:xfrm>
                                          <a:prstGeom prst="rect">
                                            <a:avLst/>
                                          </a:prstGeom>
                                          <a:noFill/>
                                          <a:ln>
                                            <a:noFill/>
                                          </a:ln>
                                        </pic:spPr>
                                      </pic:pic>
                                    </a:graphicData>
                                  </a:graphic>
                                </wp:inline>
                              </w:drawing>
                            </w:r>
                          </w:p>
                        </w:tc>
                        <w:tc>
                          <w:tcPr>
                            <w:tcW w:w="4598" w:type="dxa"/>
                            <w:gridSpan w:val="2"/>
                          </w:tcPr>
                          <w:p w:rsidR="00D21DBF" w:rsidRPr="000D7A50" w:rsidRDefault="00D21DBF" w:rsidP="003B4466">
                            <w:pPr>
                              <w:pStyle w:val="HStandard"/>
                              <w:rPr>
                                <w:rFonts w:cs="Arial"/>
                                <w:sz w:val="18"/>
                                <w:szCs w:val="18"/>
                              </w:rPr>
                            </w:pPr>
                            <w:r>
                              <w:rPr>
                                <w:rFonts w:ascii="Arial" w:hAnsi="Arial"/>
                                <w:sz w:val="18"/>
                              </w:rPr>
                              <w:t xml:space="preserve">И накрая, добавената стойност на метода LEADER следва да се прояви и под формата на </w:t>
                            </w:r>
                            <w:r>
                              <w:rPr>
                                <w:rFonts w:ascii="Arial" w:hAnsi="Arial"/>
                                <w:b/>
                                <w:color w:val="F07E31" w:themeColor="background2"/>
                                <w:sz w:val="18"/>
                              </w:rPr>
                              <w:t>засилване на резултатите</w:t>
                            </w:r>
                            <w:r>
                              <w:rPr>
                                <w:rFonts w:ascii="Arial" w:hAnsi="Arial"/>
                                <w:sz w:val="18"/>
                              </w:rPr>
                              <w:t xml:space="preserve">, (т.е. видът и качеството на изпълняваните проекти следва да водят до различни резултати от онези, които се изпълняват или теоретично биха могли да бъдат изпълнени по различни програми/мерки). </w:t>
                            </w:r>
                          </w:p>
                        </w:tc>
                      </w:tr>
                      <w:tr w:rsidR="00D21DBF">
                        <w:tc>
                          <w:tcPr>
                            <w:tcW w:w="9196" w:type="dxa"/>
                            <w:gridSpan w:val="3"/>
                          </w:tcPr>
                          <w:p w:rsidR="00D21DBF" w:rsidRPr="00B070B0" w:rsidRDefault="00D21DBF" w:rsidP="00CB5FC3">
                            <w:pPr>
                              <w:pStyle w:val="HStandard"/>
                              <w:rPr>
                                <w:rFonts w:cs="Arial"/>
                                <w:sz w:val="18"/>
                                <w:szCs w:val="18"/>
                              </w:rPr>
                            </w:pPr>
                          </w:p>
                        </w:tc>
                      </w:tr>
                    </w:tbl>
                    <w:p w:rsidR="00D21DBF" w:rsidRPr="000D7A50" w:rsidRDefault="00D21DBF" w:rsidP="0012122D">
                      <w:pPr>
                        <w:pStyle w:val="HStandard"/>
                        <w:rPr>
                          <w:rFonts w:cs="Arial"/>
                          <w:b/>
                          <w:sz w:val="18"/>
                          <w:szCs w:val="18"/>
                        </w:rPr>
                      </w:pPr>
                    </w:p>
                  </w:txbxContent>
                </v:textbox>
                <w10:anchorlock/>
              </v:shape>
            </w:pict>
          </mc:Fallback>
        </mc:AlternateContent>
      </w:r>
      <w:bookmarkStart w:id="132" w:name="_Toc479677081"/>
    </w:p>
    <w:p w:rsidR="003876D5" w:rsidRDefault="003876D5" w:rsidP="001C214D">
      <w:pPr>
        <w:pStyle w:val="HHeading5"/>
        <w:spacing w:before="120"/>
        <w:rPr>
          <w:sz w:val="18"/>
        </w:rPr>
        <w:sectPr w:rsidR="003876D5" w:rsidSect="0012122D">
          <w:type w:val="continuous"/>
          <w:pgSz w:w="11906" w:h="16838"/>
          <w:pgMar w:top="1418" w:right="1418" w:bottom="1418" w:left="1418" w:header="709" w:footer="709" w:gutter="0"/>
          <w:cols w:num="2" w:space="397"/>
          <w:docGrid w:linePitch="360"/>
        </w:sectPr>
      </w:pPr>
    </w:p>
    <w:p w:rsidR="003876D5" w:rsidRPr="00B070B0" w:rsidRDefault="003876D5" w:rsidP="003876D5">
      <w:pPr>
        <w:pStyle w:val="HStandard"/>
        <w:jc w:val="left"/>
        <w:rPr>
          <w:rFonts w:cs="Arial"/>
          <w:sz w:val="18"/>
          <w:szCs w:val="18"/>
        </w:rPr>
      </w:pPr>
      <w:r w:rsidRPr="00E74BAD">
        <w:rPr>
          <w:noProof/>
          <w:lang w:val="en-GB" w:eastAsia="en-GB" w:bidi="ar-SA"/>
        </w:rPr>
        <w:lastRenderedPageBreak/>
        <mc:AlternateContent>
          <mc:Choice Requires="wps">
            <w:drawing>
              <wp:anchor distT="0" distB="0" distL="114300" distR="114300" simplePos="0" relativeHeight="251660288" behindDoc="0" locked="0" layoutInCell="1" allowOverlap="1" wp14:anchorId="50AC8CCD" wp14:editId="06A26553">
                <wp:simplePos x="0" y="0"/>
                <wp:positionH relativeFrom="column">
                  <wp:posOffset>-262255</wp:posOffset>
                </wp:positionH>
                <wp:positionV relativeFrom="paragraph">
                  <wp:posOffset>-100329</wp:posOffset>
                </wp:positionV>
                <wp:extent cx="6205220" cy="1866900"/>
                <wp:effectExtent l="0" t="0" r="24130" b="19050"/>
                <wp:wrapNone/>
                <wp:docPr id="245" name="Rectangle: Diagonal Corners Rounded 245"/>
                <wp:cNvGraphicFramePr/>
                <a:graphic xmlns:a="http://schemas.openxmlformats.org/drawingml/2006/main">
                  <a:graphicData uri="http://schemas.microsoft.com/office/word/2010/wordprocessingShape">
                    <wps:wsp>
                      <wps:cNvSpPr/>
                      <wps:spPr>
                        <a:xfrm>
                          <a:off x="0" y="0"/>
                          <a:ext cx="6205220" cy="1866900"/>
                        </a:xfrm>
                        <a:prstGeom prst="round2DiagRect">
                          <a:avLst>
                            <a:gd name="adj1" fmla="val 7165"/>
                            <a:gd name="adj2" fmla="val 0"/>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AF662" id="Rectangle: Diagonal Corners Rounded 245" o:spid="_x0000_s1026" style="position:absolute;margin-left:-20.65pt;margin-top:-7.9pt;width:488.6pt;height:14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05220,18669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" path="m133763,l6205220,r,l6205220,1733137v,73875,-59888,133763,-133763,133763l,1866900r,l,133763c,59888,59888,,133763,xe" filled="f" strokecolor="#f07e31 [3214]" strokeweight="2pt">
                <v:path arrowok="t" o:connecttype="custom" o:connectlocs="133763,0;6205220,0;6205220,0;6205220,1733137;6071457,1866900;0,1866900;0,1866900;0,133763;133763,0" o:connectangles="0,0,0,0,0,0,0,0,0"/>
              </v:shape>
            </w:pict>
          </mc:Fallback>
        </mc:AlternateContent>
      </w:r>
      <w:r>
        <w:rPr>
          <w:sz w:val="18"/>
        </w:rPr>
        <w:t>Тези различия могат да се изразяват в нови организатори на проекти, в различни видове проекти, които възникват благодарение на по-ниския праг за получаване на достъп до финансиране, в проекти, които предоставят по-голяма и по-трайна подкрепа за местното население, тъй като отговарят по-добре на техните потребности и са вградени в местните структури, което придава по-голяма устойчивост на тях и на допълнителните ефекти, които могат да предизвикат. Осъществяването на подобен вид сравнителен анализ не е лесно в контекст, в който всеки проект е уникален; ако обаче въпросът се постави в дискурсивна среда (напр. фокус група), оценителят ще получи надеждни отговори, защото местните участници обикновено познават предимствата на метода LEADER в сравнение с други (или по-ранни) интервенции за подкрепа.</w:t>
      </w:r>
    </w:p>
    <w:p w:rsidR="003876D5" w:rsidRDefault="003876D5" w:rsidP="001C214D">
      <w:pPr>
        <w:pStyle w:val="HHeading5"/>
        <w:spacing w:before="120"/>
        <w:rPr>
          <w:sz w:val="18"/>
        </w:rPr>
      </w:pPr>
      <w:r>
        <w:rPr>
          <w:sz w:val="18"/>
        </w:rPr>
        <w:br w:type="page"/>
      </w:r>
    </w:p>
    <w:p w:rsidR="003876D5" w:rsidRDefault="003876D5" w:rsidP="001C214D">
      <w:pPr>
        <w:pStyle w:val="HHeading5"/>
        <w:spacing w:before="120"/>
        <w:rPr>
          <w:sz w:val="18"/>
        </w:rPr>
        <w:sectPr w:rsidR="003876D5" w:rsidSect="003876D5">
          <w:type w:val="continuous"/>
          <w:pgSz w:w="11906" w:h="16838"/>
          <w:pgMar w:top="1418" w:right="1418" w:bottom="1418" w:left="1418" w:header="709" w:footer="709" w:gutter="0"/>
          <w:cols w:space="397"/>
          <w:docGrid w:linePitch="360"/>
        </w:sectPr>
      </w:pPr>
    </w:p>
    <w:p w:rsidR="00C82478" w:rsidRPr="00FB01AA" w:rsidRDefault="00C82478" w:rsidP="001C214D">
      <w:pPr>
        <w:pStyle w:val="HHeading5"/>
        <w:spacing w:before="120"/>
        <w:rPr>
          <w:sz w:val="18"/>
        </w:rPr>
      </w:pPr>
      <w:r w:rsidRPr="00FB01AA">
        <w:rPr>
          <w:sz w:val="18"/>
        </w:rPr>
        <w:lastRenderedPageBreak/>
        <w:t>Как да се извърши оценка на местно равнище?</w:t>
      </w:r>
      <w:bookmarkEnd w:id="132"/>
      <w:r w:rsidRPr="00FB01AA">
        <w:rPr>
          <w:sz w:val="18"/>
        </w:rPr>
        <w:t xml:space="preserve"> </w:t>
      </w:r>
    </w:p>
    <w:p w:rsidR="0012122D" w:rsidRPr="00FB01AA" w:rsidRDefault="00C82478" w:rsidP="00C82478">
      <w:pPr>
        <w:jc w:val="both"/>
        <w:rPr>
          <w:rFonts w:ascii="Arial" w:hAnsi="Arial"/>
          <w:color w:val="373737" w:themeColor="background1" w:themeShade="40"/>
          <w:sz w:val="18"/>
          <w:szCs w:val="20"/>
        </w:rPr>
      </w:pPr>
      <w:r w:rsidRPr="00FB01AA">
        <w:rPr>
          <w:rFonts w:ascii="Arial" w:hAnsi="Arial"/>
          <w:b/>
          <w:color w:val="373737" w:themeColor="background1" w:themeShade="40"/>
          <w:sz w:val="18"/>
        </w:rPr>
        <w:t>Процесът на оценка на равнището на МГД</w:t>
      </w:r>
      <w:r w:rsidRPr="00FB01AA">
        <w:rPr>
          <w:rFonts w:ascii="Arial" w:hAnsi="Arial"/>
          <w:color w:val="373737" w:themeColor="background1" w:themeShade="40"/>
          <w:sz w:val="18"/>
        </w:rPr>
        <w:t xml:space="preserve"> </w:t>
      </w:r>
      <w:r w:rsidRPr="00FB01AA">
        <w:rPr>
          <w:rFonts w:ascii="Arial" w:hAnsi="Arial"/>
          <w:b/>
          <w:color w:val="373737" w:themeColor="background1" w:themeShade="40"/>
          <w:sz w:val="18"/>
        </w:rPr>
        <w:t xml:space="preserve">по принцип е аналогичен на този на равнището на ПРСР </w:t>
      </w:r>
      <w:r w:rsidRPr="00FB01AA">
        <w:rPr>
          <w:rFonts w:ascii="Arial" w:hAnsi="Arial"/>
          <w:color w:val="373737" w:themeColor="background1" w:themeShade="40"/>
          <w:sz w:val="18"/>
        </w:rPr>
        <w:t>(вж. глава 2.1)</w:t>
      </w:r>
      <w:r w:rsidRPr="00FB01AA">
        <w:rPr>
          <w:rFonts w:ascii="Arial" w:hAnsi="Arial"/>
          <w:b/>
          <w:color w:val="373737" w:themeColor="background1" w:themeShade="40"/>
          <w:sz w:val="18"/>
        </w:rPr>
        <w:t>.</w:t>
      </w:r>
      <w:r w:rsidRPr="00FB01AA">
        <w:rPr>
          <w:rFonts w:ascii="Arial" w:hAnsi="Arial"/>
          <w:color w:val="373737" w:themeColor="background1" w:themeShade="40"/>
          <w:sz w:val="18"/>
        </w:rPr>
        <w:t xml:space="preserve"> Когато извършват съответните дейности за оценка, както е описано в следващите глави, МГД трябва да проучат някои избрани ключови въпроси. </w:t>
      </w:r>
    </w:p>
    <w:p w:rsidR="00187AFC" w:rsidRPr="00FB01AA" w:rsidRDefault="009E3A56" w:rsidP="00187AFC">
      <w:pPr>
        <w:pStyle w:val="H-Standard"/>
        <w:rPr>
          <w:sz w:val="18"/>
        </w:rPr>
      </w:pPr>
      <w:r w:rsidRPr="00FB01AA">
        <w:rPr>
          <w:sz w:val="18"/>
        </w:rPr>
        <w:t xml:space="preserve">За периода 2014—2020 г. са въведени нови правни изисквания във връзка с дейностите за мониторинг и оценка на равнището на МГД. </w:t>
      </w:r>
      <w:r w:rsidRPr="00FB01AA">
        <w:rPr>
          <w:sz w:val="18"/>
        </w:rPr>
        <w:t>Следователно местните заинтересовани страни може да се нуждаят от специфична подкрепа за изпълнението на тези задачи. Основният участник, отгов</w:t>
      </w:r>
      <w:r w:rsidR="00AD5B4A">
        <w:rPr>
          <w:sz w:val="18"/>
        </w:rPr>
        <w:t xml:space="preserve">арящ за </w:t>
      </w:r>
      <w:r w:rsidR="004B731E">
        <w:rPr>
          <w:sz w:val="18"/>
        </w:rPr>
        <w:t xml:space="preserve">оказването на </w:t>
      </w:r>
      <w:r w:rsidR="00AD5B4A">
        <w:rPr>
          <w:sz w:val="18"/>
        </w:rPr>
        <w:t>подкрепа на</w:t>
      </w:r>
      <w:r w:rsidRPr="00FB01AA">
        <w:rPr>
          <w:sz w:val="18"/>
        </w:rPr>
        <w:t xml:space="preserve"> МГД в дейностите за мониторинг и оценка, е УО, който може да делегира части от тази задача на други заинтересовани страни, като НМСР, разплащателната агенция или други публични органи. Примери за възможните дейности за подкрепа на МГ</w:t>
      </w:r>
      <w:r w:rsidR="00AD5B4A">
        <w:rPr>
          <w:sz w:val="18"/>
        </w:rPr>
        <w:t>Д</w:t>
      </w:r>
      <w:r w:rsidRPr="00FB01AA">
        <w:rPr>
          <w:sz w:val="18"/>
        </w:rPr>
        <w:t xml:space="preserve"> са представени в обобщен вид в каретата в края на глави 3.2—3.5 по-долу. </w:t>
      </w:r>
    </w:p>
    <w:p w:rsidR="0012122D" w:rsidRPr="00FB01AA" w:rsidRDefault="0012122D" w:rsidP="000A6D53">
      <w:pPr>
        <w:jc w:val="center"/>
        <w:rPr>
          <w:i/>
          <w:color w:val="6E6E6E" w:themeColor="background1" w:themeShade="80"/>
          <w:sz w:val="14"/>
          <w:szCs w:val="24"/>
        </w:rPr>
        <w:sectPr w:rsidR="0012122D" w:rsidRPr="00FB01AA" w:rsidSect="003876D5">
          <w:type w:val="continuous"/>
          <w:pgSz w:w="11906" w:h="16838"/>
          <w:pgMar w:top="1418" w:right="1418" w:bottom="1418" w:left="1418" w:header="709" w:footer="709" w:gutter="0"/>
          <w:cols w:num="2" w:space="397"/>
          <w:docGrid w:linePitch="360"/>
        </w:sectPr>
      </w:pPr>
    </w:p>
    <w:p w:rsidR="00187AFC" w:rsidRPr="00FB01AA" w:rsidRDefault="00187AFC" w:rsidP="000A6D53">
      <w:pPr>
        <w:jc w:val="center"/>
        <w:rPr>
          <w:i/>
          <w:color w:val="6E6E6E" w:themeColor="background1" w:themeShade="80"/>
          <w:sz w:val="14"/>
          <w:szCs w:val="24"/>
        </w:rPr>
      </w:pPr>
    </w:p>
    <w:p w:rsidR="00056A0D" w:rsidRPr="00FB01AA" w:rsidRDefault="00056A0D" w:rsidP="000A6D53">
      <w:pPr>
        <w:jc w:val="center"/>
        <w:rPr>
          <w:i/>
          <w:color w:val="6E6E6E" w:themeColor="background1" w:themeShade="80"/>
          <w:sz w:val="14"/>
          <w:szCs w:val="24"/>
        </w:rPr>
      </w:pPr>
    </w:p>
    <w:p w:rsidR="00056A0D" w:rsidRPr="00FB01AA" w:rsidRDefault="00056A0D" w:rsidP="000A6D53">
      <w:pPr>
        <w:jc w:val="center"/>
        <w:rPr>
          <w:i/>
          <w:color w:val="6E6E6E" w:themeColor="background1" w:themeShade="80"/>
          <w:sz w:val="14"/>
          <w:szCs w:val="24"/>
        </w:rPr>
      </w:pPr>
    </w:p>
    <w:p w:rsidR="003B5168" w:rsidRPr="00FB01AA" w:rsidRDefault="003B5168" w:rsidP="003B5168">
      <w:pPr>
        <w:pStyle w:val="HHeadingFigure"/>
        <w:rPr>
          <w:sz w:val="14"/>
        </w:rPr>
      </w:pPr>
      <w:bookmarkStart w:id="133" w:name="_Toc493497739"/>
      <w:bookmarkStart w:id="134" w:name="_Toc498507099"/>
      <w:r w:rsidRPr="00FB01AA">
        <w:rPr>
          <w:sz w:val="14"/>
        </w:rPr>
        <w:t>Ключови въпроси, които трябва да получат отговори на етапите на извършване на оценката</w:t>
      </w:r>
      <w:bookmarkEnd w:id="133"/>
      <w:bookmarkEnd w:id="134"/>
    </w:p>
    <w:p w:rsidR="003E0769" w:rsidRPr="00FB01AA" w:rsidRDefault="003E0769" w:rsidP="003B5168">
      <w:pPr>
        <w:jc w:val="center"/>
        <w:rPr>
          <w:rFonts w:ascii="Arial" w:hAnsi="Arial"/>
          <w:noProof/>
          <w:color w:val="373737" w:themeColor="background1" w:themeShade="40"/>
          <w:sz w:val="18"/>
          <w:szCs w:val="20"/>
        </w:rPr>
      </w:pPr>
      <w:r>
        <w:rPr>
          <w:rFonts w:ascii="Arial" w:hAnsi="Arial"/>
          <w:noProof/>
          <w:color w:val="373737" w:themeColor="background1" w:themeShade="40"/>
          <w:sz w:val="18"/>
          <w:szCs w:val="20"/>
          <w:lang w:val="en-GB" w:eastAsia="en-GB" w:bidi="ar-SA"/>
        </w:rPr>
        <w:drawing>
          <wp:inline distT="0" distB="0" distL="0" distR="0" wp14:anchorId="3DB5F4F3" wp14:editId="0882DD8E">
            <wp:extent cx="5005070" cy="3590925"/>
            <wp:effectExtent l="0" t="0" r="5080"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005070" cy="3590925"/>
                    </a:xfrm>
                    <a:prstGeom prst="rect">
                      <a:avLst/>
                    </a:prstGeom>
                    <a:noFill/>
                  </pic:spPr>
                </pic:pic>
              </a:graphicData>
            </a:graphic>
          </wp:inline>
        </w:drawing>
      </w:r>
    </w:p>
    <w:p w:rsidR="00112124" w:rsidRPr="00FB01AA" w:rsidRDefault="003B5168" w:rsidP="003B5168">
      <w:pPr>
        <w:jc w:val="center"/>
        <w:rPr>
          <w:i/>
          <w:color w:val="6E6E6E" w:themeColor="background1" w:themeShade="80"/>
          <w:sz w:val="14"/>
          <w:szCs w:val="24"/>
        </w:rPr>
      </w:pPr>
      <w:r w:rsidRPr="00FB01AA">
        <w:rPr>
          <w:i/>
          <w:color w:val="6E6E6E" w:themeColor="background1" w:themeShade="80"/>
          <w:sz w:val="14"/>
        </w:rPr>
        <w:t>Източник: Европейско бюро за оценка в областта на развитието на селските райони, 2017 г.</w:t>
      </w:r>
      <w:bookmarkStart w:id="135" w:name="_Toc463520458"/>
      <w:bookmarkStart w:id="136" w:name="_Toc474333777"/>
      <w:bookmarkStart w:id="137" w:name="_Toc475030397"/>
      <w:bookmarkStart w:id="138" w:name="_Toc479677082"/>
      <w:r w:rsidRPr="00FB01AA">
        <w:rPr>
          <w:sz w:val="28"/>
        </w:rPr>
        <w:br w:type="page"/>
      </w:r>
    </w:p>
    <w:p w:rsidR="0012122D" w:rsidRPr="00FB01AA" w:rsidRDefault="0012122D" w:rsidP="003B5168">
      <w:pPr>
        <w:jc w:val="center"/>
        <w:rPr>
          <w:sz w:val="28"/>
        </w:rPr>
        <w:sectPr w:rsidR="0012122D" w:rsidRPr="00FB01AA" w:rsidSect="009F15D6">
          <w:type w:val="continuous"/>
          <w:pgSz w:w="11906" w:h="16838"/>
          <w:pgMar w:top="1418" w:right="1418" w:bottom="1418" w:left="1418" w:header="709" w:footer="709" w:gutter="0"/>
          <w:cols w:space="708"/>
          <w:docGrid w:linePitch="360"/>
        </w:sectPr>
      </w:pPr>
    </w:p>
    <w:p w:rsidR="00C82478" w:rsidRPr="00FB01AA" w:rsidRDefault="00C82478" w:rsidP="0012122D">
      <w:pPr>
        <w:pStyle w:val="HHeading2"/>
        <w:tabs>
          <w:tab w:val="clear" w:pos="360"/>
          <w:tab w:val="clear" w:pos="510"/>
        </w:tabs>
        <w:ind w:left="567" w:hanging="567"/>
        <w:rPr>
          <w:sz w:val="18"/>
        </w:rPr>
      </w:pPr>
      <w:bookmarkStart w:id="139" w:name="_Toc493497720"/>
      <w:bookmarkStart w:id="140" w:name="_Toc498506723"/>
      <w:r w:rsidRPr="00FB01AA">
        <w:rPr>
          <w:sz w:val="18"/>
        </w:rPr>
        <w:lastRenderedPageBreak/>
        <w:t>СТЪПКА 1: Планиране на дейностите за оценка на равнището на МГД</w:t>
      </w:r>
      <w:bookmarkEnd w:id="135"/>
      <w:bookmarkEnd w:id="136"/>
      <w:bookmarkEnd w:id="137"/>
      <w:bookmarkEnd w:id="138"/>
      <w:bookmarkEnd w:id="139"/>
      <w:bookmarkEnd w:id="140"/>
    </w:p>
    <w:p w:rsidR="0012122D" w:rsidRPr="00FB01AA" w:rsidRDefault="0012122D" w:rsidP="00AD412D">
      <w:pPr>
        <w:pStyle w:val="HStandard"/>
        <w:rPr>
          <w:sz w:val="18"/>
        </w:rPr>
        <w:sectPr w:rsidR="0012122D" w:rsidRPr="00FB01AA" w:rsidSect="00891ABF">
          <w:pgSz w:w="11906" w:h="16838"/>
          <w:pgMar w:top="1418" w:right="1418" w:bottom="1418" w:left="1418" w:header="709" w:footer="709" w:gutter="0"/>
          <w:cols w:space="397"/>
          <w:docGrid w:linePitch="360"/>
        </w:sectPr>
      </w:pPr>
    </w:p>
    <w:p w:rsidR="00C57735" w:rsidRDefault="00B243BA" w:rsidP="00AD412D">
      <w:pPr>
        <w:pStyle w:val="HStandard"/>
        <w:rPr>
          <w:noProof/>
          <w:sz w:val="18"/>
          <w:lang w:val="el-GR" w:eastAsia="el-GR" w:bidi="ar-SA"/>
        </w:rPr>
      </w:pPr>
      <w:r>
        <w:rPr>
          <w:noProof/>
          <w:sz w:val="18"/>
          <w:lang w:val="en-GB" w:eastAsia="en-GB" w:bidi="ar-SA"/>
        </w:rPr>
        <w:drawing>
          <wp:inline distT="0" distB="0" distL="0" distR="0" wp14:anchorId="1F7A4ACF" wp14:editId="31949FD9">
            <wp:extent cx="5739617" cy="253804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5835" cy="2545220"/>
                    </a:xfrm>
                    <a:prstGeom prst="rect">
                      <a:avLst/>
                    </a:prstGeom>
                    <a:noFill/>
                  </pic:spPr>
                </pic:pic>
              </a:graphicData>
            </a:graphic>
          </wp:inline>
        </w:drawing>
      </w:r>
    </w:p>
    <w:p w:rsidR="00C57735" w:rsidRPr="00FB01AA" w:rsidRDefault="00C57735" w:rsidP="00AD412D">
      <w:pPr>
        <w:pStyle w:val="HStandard"/>
        <w:rPr>
          <w:sz w:val="18"/>
        </w:rPr>
      </w:pPr>
    </w:p>
    <w:p w:rsidR="00F55E3B" w:rsidRPr="00FB01AA" w:rsidRDefault="00F55E3B" w:rsidP="00B52AA7">
      <w:pPr>
        <w:pStyle w:val="HHeading5"/>
        <w:rPr>
          <w:sz w:val="18"/>
        </w:rPr>
        <w:sectPr w:rsidR="00F55E3B" w:rsidRPr="00FB01AA" w:rsidSect="009F15D6">
          <w:type w:val="continuous"/>
          <w:pgSz w:w="11906" w:h="16838"/>
          <w:pgMar w:top="1418" w:right="1418" w:bottom="1418" w:left="1418" w:header="709" w:footer="709" w:gutter="0"/>
          <w:cols w:space="708"/>
          <w:docGrid w:linePitch="360"/>
        </w:sectPr>
      </w:pPr>
    </w:p>
    <w:p w:rsidR="00B52AA7" w:rsidRPr="00FB01AA" w:rsidRDefault="003B5168" w:rsidP="00B52AA7">
      <w:pPr>
        <w:pStyle w:val="HHeading5"/>
        <w:rPr>
          <w:b w:val="0"/>
          <w:color w:val="BE4A35" w:themeColor="accent2"/>
          <w:sz w:val="18"/>
        </w:rPr>
      </w:pPr>
      <w:r w:rsidRPr="00FB01AA">
        <w:rPr>
          <w:color w:val="BE4A35" w:themeColor="accent2"/>
          <w:sz w:val="18"/>
        </w:rPr>
        <w:t xml:space="preserve">a) Представяне на описание на </w:t>
      </w:r>
      <w:r w:rsidR="000E6AD0" w:rsidRPr="00251DF4">
        <w:rPr>
          <w:color w:val="BE4A35" w:themeColor="accent2"/>
          <w:sz w:val="18"/>
        </w:rPr>
        <w:t>механизма</w:t>
      </w:r>
      <w:r w:rsidRPr="00FB01AA">
        <w:rPr>
          <w:color w:val="BE4A35" w:themeColor="accent2"/>
          <w:sz w:val="18"/>
        </w:rPr>
        <w:t xml:space="preserve"> за мониторинг и оценка </w:t>
      </w:r>
      <w:r w:rsidRPr="00FB01AA">
        <w:rPr>
          <w:b w:val="0"/>
          <w:color w:val="BE4A35" w:themeColor="accent2"/>
          <w:sz w:val="18"/>
        </w:rPr>
        <w:t>(задължително)</w:t>
      </w:r>
    </w:p>
    <w:p w:rsidR="00C82478" w:rsidRPr="00FB01AA" w:rsidRDefault="00AD5B4A" w:rsidP="00C82478">
      <w:pPr>
        <w:jc w:val="both"/>
        <w:rPr>
          <w:rFonts w:ascii="Arial" w:hAnsi="Arial" w:cs="Arial"/>
          <w:color w:val="373737"/>
          <w:sz w:val="18"/>
          <w:szCs w:val="20"/>
        </w:rPr>
      </w:pPr>
      <w:r>
        <w:rPr>
          <w:rFonts w:ascii="Arial" w:hAnsi="Arial"/>
          <w:color w:val="373737"/>
          <w:sz w:val="18"/>
        </w:rPr>
        <w:t>Съгласно</w:t>
      </w:r>
      <w:r w:rsidR="00C82478" w:rsidRPr="00FB01AA">
        <w:rPr>
          <w:rFonts w:ascii="Arial" w:hAnsi="Arial"/>
          <w:color w:val="373737"/>
          <w:sz w:val="18"/>
        </w:rPr>
        <w:t xml:space="preserve"> правната рамка </w:t>
      </w:r>
      <w:r w:rsidR="00C82478" w:rsidRPr="00FB01AA">
        <w:rPr>
          <w:rFonts w:ascii="Arial" w:hAnsi="Arial"/>
          <w:b/>
          <w:color w:val="373737"/>
          <w:sz w:val="18"/>
        </w:rPr>
        <w:t>опи</w:t>
      </w:r>
      <w:r>
        <w:rPr>
          <w:rFonts w:ascii="Arial" w:hAnsi="Arial"/>
          <w:b/>
          <w:color w:val="373737"/>
          <w:sz w:val="18"/>
        </w:rPr>
        <w:t>санието</w:t>
      </w:r>
      <w:r w:rsidR="00C82478" w:rsidRPr="00FB01AA">
        <w:rPr>
          <w:rFonts w:ascii="Arial" w:hAnsi="Arial"/>
          <w:b/>
          <w:color w:val="373737"/>
          <w:sz w:val="18"/>
        </w:rPr>
        <w:t xml:space="preserve"> </w:t>
      </w:r>
      <w:r>
        <w:rPr>
          <w:rFonts w:ascii="Arial" w:hAnsi="Arial"/>
          <w:b/>
          <w:color w:val="373737"/>
          <w:sz w:val="18"/>
        </w:rPr>
        <w:t xml:space="preserve">на </w:t>
      </w:r>
      <w:r w:rsidR="000E6AD0" w:rsidRPr="00251DF4">
        <w:rPr>
          <w:rFonts w:ascii="Arial" w:hAnsi="Arial"/>
          <w:b/>
          <w:color w:val="373737"/>
          <w:sz w:val="18"/>
        </w:rPr>
        <w:t>механизма</w:t>
      </w:r>
      <w:r w:rsidR="00C82478" w:rsidRPr="00FB01AA">
        <w:rPr>
          <w:rFonts w:ascii="Arial" w:hAnsi="Arial"/>
          <w:b/>
          <w:color w:val="373737"/>
          <w:sz w:val="18"/>
        </w:rPr>
        <w:t xml:space="preserve"> за мониторинг и оценка</w:t>
      </w:r>
      <w:r w:rsidR="00C82478" w:rsidRPr="00FB01AA">
        <w:rPr>
          <w:rFonts w:ascii="Arial" w:hAnsi="Arial"/>
          <w:color w:val="373737"/>
          <w:sz w:val="18"/>
        </w:rPr>
        <w:t xml:space="preserve"> на стратегията за ВОМР</w:t>
      </w:r>
      <w:r>
        <w:rPr>
          <w:rFonts w:ascii="Arial" w:hAnsi="Arial"/>
          <w:color w:val="373737"/>
          <w:sz w:val="18"/>
        </w:rPr>
        <w:t xml:space="preserve"> е задължителна задача на всички МГД</w:t>
      </w:r>
      <w:r w:rsidR="00C82478" w:rsidRPr="00FB01AA">
        <w:rPr>
          <w:rFonts w:ascii="Arial" w:hAnsi="Arial"/>
          <w:color w:val="373737"/>
          <w:sz w:val="18"/>
        </w:rPr>
        <w:t xml:space="preserve">. За предпочитане е в описанието да се уточнява какъв вид дейности за оценка ще избере МГД, за да оцени стратегията за ВОМР. Освен това в него следва да са предоставени подробности относно целта на дейностите за оценка, специфичните механизми за координация и отговорностите на участниците. Може да бъдат описани конкретни теми и дейности за оценка. Следва да се включат разпоредби, които да гарантират наличието на необходимите данни в подходящия момент. Времевата рамка за процеса на оценка/самооценка може да подпомогне координацията на всички дейности. Механизмите за изграждане на капацитет, както и последващите действия и </w:t>
      </w:r>
      <w:r w:rsidR="00C72B5A">
        <w:rPr>
          <w:rFonts w:ascii="Arial" w:hAnsi="Arial"/>
          <w:color w:val="373737"/>
          <w:sz w:val="18"/>
        </w:rPr>
        <w:t>съобщав</w:t>
      </w:r>
      <w:r w:rsidR="00C82478" w:rsidRPr="00FB01AA">
        <w:rPr>
          <w:rFonts w:ascii="Arial" w:hAnsi="Arial"/>
          <w:color w:val="373737"/>
          <w:sz w:val="18"/>
        </w:rPr>
        <w:t>ането на резултатите от оценката също може да бъдат полезни.</w:t>
      </w:r>
    </w:p>
    <w:p w:rsidR="00813863" w:rsidRPr="00FB01AA" w:rsidRDefault="00C82478" w:rsidP="00813863">
      <w:pPr>
        <w:jc w:val="both"/>
        <w:rPr>
          <w:rFonts w:ascii="Arial" w:hAnsi="Arial" w:cs="Arial"/>
          <w:color w:val="373737"/>
          <w:sz w:val="18"/>
          <w:szCs w:val="20"/>
        </w:rPr>
      </w:pPr>
      <w:r w:rsidRPr="00FB01AA">
        <w:rPr>
          <w:rFonts w:ascii="Arial" w:hAnsi="Arial"/>
          <w:color w:val="373737"/>
          <w:sz w:val="18"/>
        </w:rPr>
        <w:t xml:space="preserve">Препоръчва се </w:t>
      </w:r>
      <w:r w:rsidR="000E6AD0" w:rsidRPr="00251DF4">
        <w:rPr>
          <w:rFonts w:ascii="Arial" w:hAnsi="Arial"/>
          <w:color w:val="373737"/>
          <w:sz w:val="18"/>
        </w:rPr>
        <w:t>механизмът</w:t>
      </w:r>
      <w:r w:rsidRPr="00FB01AA">
        <w:rPr>
          <w:rFonts w:ascii="Arial" w:hAnsi="Arial"/>
          <w:color w:val="373737"/>
          <w:sz w:val="18"/>
        </w:rPr>
        <w:t xml:space="preserve"> за мониторинг и оценка да бъде описан под формата</w:t>
      </w:r>
      <w:r w:rsidRPr="00FB01AA">
        <w:rPr>
          <w:rFonts w:ascii="Arial" w:hAnsi="Arial"/>
          <w:b/>
          <w:color w:val="373737"/>
          <w:sz w:val="18"/>
        </w:rPr>
        <w:t xml:space="preserve"> </w:t>
      </w:r>
      <w:r w:rsidRPr="00FB01AA">
        <w:rPr>
          <w:rFonts w:ascii="Arial" w:hAnsi="Arial"/>
          <w:color w:val="373737"/>
          <w:sz w:val="18"/>
        </w:rPr>
        <w:t>на</w:t>
      </w:r>
      <w:r w:rsidRPr="00FB01AA">
        <w:rPr>
          <w:rFonts w:ascii="Arial" w:hAnsi="Arial"/>
          <w:b/>
          <w:color w:val="373737"/>
          <w:sz w:val="18"/>
        </w:rPr>
        <w:t xml:space="preserve"> план за оценка</w:t>
      </w:r>
      <w:r w:rsidRPr="00FB01AA">
        <w:rPr>
          <w:rFonts w:ascii="Arial" w:hAnsi="Arial"/>
          <w:color w:val="373737"/>
          <w:sz w:val="18"/>
        </w:rPr>
        <w:t xml:space="preserve"> като част от стратегията за ВОМР. Управляващите органи биха могли да установят минимални изисквания относно съдържанието на </w:t>
      </w:r>
      <w:r w:rsidR="00A74802">
        <w:rPr>
          <w:rFonts w:ascii="Arial" w:hAnsi="Arial"/>
          <w:color w:val="373737"/>
          <w:sz w:val="18"/>
        </w:rPr>
        <w:t xml:space="preserve">такъв </w:t>
      </w:r>
      <w:r w:rsidRPr="00FB01AA">
        <w:rPr>
          <w:rFonts w:ascii="Arial" w:hAnsi="Arial"/>
          <w:color w:val="373737"/>
          <w:sz w:val="18"/>
        </w:rPr>
        <w:t xml:space="preserve">план за оценка на </w:t>
      </w:r>
      <w:r w:rsidR="00A74802">
        <w:rPr>
          <w:rFonts w:ascii="Arial" w:hAnsi="Arial"/>
          <w:color w:val="373737"/>
          <w:sz w:val="18"/>
        </w:rPr>
        <w:t xml:space="preserve">равнището на </w:t>
      </w:r>
      <w:r w:rsidRPr="00FB01AA">
        <w:rPr>
          <w:rFonts w:ascii="Arial" w:hAnsi="Arial"/>
          <w:color w:val="373737"/>
          <w:sz w:val="18"/>
        </w:rPr>
        <w:t xml:space="preserve">МГД. Възможното съдържание на подобен план за оценка е описано в следващите рубрики. </w:t>
      </w:r>
    </w:p>
    <w:p w:rsidR="00C82478" w:rsidRPr="00FB01AA" w:rsidRDefault="00AD412D" w:rsidP="00813863">
      <w:pPr>
        <w:pStyle w:val="HHeading5"/>
        <w:rPr>
          <w:sz w:val="18"/>
        </w:rPr>
      </w:pPr>
      <w:r w:rsidRPr="00FB01AA">
        <w:rPr>
          <w:sz w:val="18"/>
        </w:rPr>
        <w:t>б) Вземане на решение относно конкретн</w:t>
      </w:r>
      <w:r w:rsidR="000E6AD0" w:rsidRPr="00251DF4">
        <w:rPr>
          <w:sz w:val="18"/>
        </w:rPr>
        <w:t>ия</w:t>
      </w:r>
      <w:r w:rsidRPr="00FB01AA">
        <w:rPr>
          <w:sz w:val="18"/>
        </w:rPr>
        <w:t xml:space="preserve"> </w:t>
      </w:r>
      <w:r w:rsidR="000E6AD0" w:rsidRPr="00251DF4">
        <w:rPr>
          <w:sz w:val="18"/>
        </w:rPr>
        <w:t>механизъм</w:t>
      </w:r>
      <w:r w:rsidRPr="00FB01AA">
        <w:rPr>
          <w:sz w:val="18"/>
        </w:rPr>
        <w:t>, засягащ дейностите за оценка на местно равнище (препоръчително)</w:t>
      </w:r>
    </w:p>
    <w:p w:rsidR="00C82478" w:rsidRPr="00FB01AA" w:rsidRDefault="00C82478" w:rsidP="00F01AC7">
      <w:pPr>
        <w:pStyle w:val="H-Standard"/>
        <w:rPr>
          <w:sz w:val="18"/>
        </w:rPr>
      </w:pPr>
      <w:r w:rsidRPr="00FB01AA">
        <w:rPr>
          <w:b/>
          <w:sz w:val="18"/>
        </w:rPr>
        <w:t>Дейностите за оценка</w:t>
      </w:r>
      <w:r w:rsidRPr="00FB01AA">
        <w:rPr>
          <w:sz w:val="18"/>
        </w:rPr>
        <w:t xml:space="preserve"> </w:t>
      </w:r>
      <w:r w:rsidRPr="00FB01AA">
        <w:rPr>
          <w:b/>
          <w:sz w:val="18"/>
        </w:rPr>
        <w:t xml:space="preserve">на местно равнище могат да се осъществят под формата на оценка или на самооценка </w:t>
      </w:r>
      <w:r w:rsidRPr="00FB01AA">
        <w:rPr>
          <w:sz w:val="18"/>
        </w:rPr>
        <w:t xml:space="preserve">(вж. също глава 1.2.2). Изборът на дейностите за оценка и тяхното описание обаче трябва да бъдат съгласувани със съответните изисквания на УО. </w:t>
      </w:r>
    </w:p>
    <w:p w:rsidR="00C82478" w:rsidRPr="00FB01AA" w:rsidRDefault="00AD412D" w:rsidP="00C82478">
      <w:pPr>
        <w:pStyle w:val="HHeading5"/>
        <w:rPr>
          <w:b w:val="0"/>
          <w:sz w:val="18"/>
        </w:rPr>
      </w:pPr>
      <w:r w:rsidRPr="00FB01AA">
        <w:rPr>
          <w:sz w:val="18"/>
        </w:rPr>
        <w:t xml:space="preserve">в) Описание на целта и задачата на оценката/самооценката </w:t>
      </w:r>
      <w:r w:rsidRPr="00FB01AA">
        <w:rPr>
          <w:b w:val="0"/>
          <w:sz w:val="18"/>
        </w:rPr>
        <w:t>(препоръчително)  </w:t>
      </w:r>
    </w:p>
    <w:p w:rsidR="00C82478" w:rsidRPr="00FB01AA" w:rsidRDefault="00C82478" w:rsidP="00F01AC7">
      <w:pPr>
        <w:pStyle w:val="H-Standard"/>
        <w:rPr>
          <w:sz w:val="18"/>
        </w:rPr>
      </w:pPr>
      <w:r w:rsidRPr="00FB01AA">
        <w:rPr>
          <w:sz w:val="18"/>
        </w:rPr>
        <w:t xml:space="preserve">Важно е МГД да си изяснят за себе си </w:t>
      </w:r>
      <w:r w:rsidRPr="00FB01AA">
        <w:rPr>
          <w:b/>
          <w:sz w:val="18"/>
        </w:rPr>
        <w:t xml:space="preserve">защо </w:t>
      </w:r>
      <w:r w:rsidRPr="00FB01AA">
        <w:rPr>
          <w:sz w:val="18"/>
        </w:rPr>
        <w:t xml:space="preserve"> извършват дейностите за оценка (цел). Целта на МГД може да е повишаване на прозрачността и отчетността на техните дейности, демонстриране на </w:t>
      </w:r>
      <w:r w:rsidR="000B7009">
        <w:rPr>
          <w:sz w:val="18"/>
        </w:rPr>
        <w:t xml:space="preserve">крайните </w:t>
      </w:r>
      <w:r w:rsidRPr="00FB01AA">
        <w:rPr>
          <w:sz w:val="18"/>
        </w:rPr>
        <w:t xml:space="preserve">резултати и постиженията или стимулиране на усвояването на начини за по-добро разработване и изпълнение на бъдещите дейности на МГД. </w:t>
      </w:r>
    </w:p>
    <w:p w:rsidR="00C82478" w:rsidRPr="00FB01AA" w:rsidRDefault="00AD412D" w:rsidP="00C82478">
      <w:pPr>
        <w:pStyle w:val="HHeading5"/>
        <w:rPr>
          <w:sz w:val="18"/>
        </w:rPr>
      </w:pPr>
      <w:r w:rsidRPr="00FB01AA">
        <w:rPr>
          <w:sz w:val="18"/>
        </w:rPr>
        <w:t xml:space="preserve">г) </w:t>
      </w:r>
      <w:r w:rsidR="004F20C4">
        <w:rPr>
          <w:sz w:val="18"/>
        </w:rPr>
        <w:t>Съгласуване на</w:t>
      </w:r>
      <w:r w:rsidRPr="00FB01AA">
        <w:rPr>
          <w:sz w:val="18"/>
        </w:rPr>
        <w:t xml:space="preserve"> организацията и координацията на дейностите за оценка/самооценка </w:t>
      </w:r>
      <w:r w:rsidRPr="00FB01AA">
        <w:rPr>
          <w:b w:val="0"/>
          <w:sz w:val="18"/>
        </w:rPr>
        <w:t>(препоръчително)  </w:t>
      </w:r>
    </w:p>
    <w:p w:rsidR="00C82478" w:rsidRPr="00FB01AA" w:rsidRDefault="00C82478" w:rsidP="00F01AC7">
      <w:pPr>
        <w:pStyle w:val="H-Standard"/>
        <w:rPr>
          <w:sz w:val="18"/>
        </w:rPr>
      </w:pPr>
      <w:r w:rsidRPr="00FB01AA">
        <w:rPr>
          <w:sz w:val="18"/>
        </w:rPr>
        <w:t xml:space="preserve">В </w:t>
      </w:r>
      <w:r w:rsidRPr="00FB01AA">
        <w:rPr>
          <w:b/>
          <w:sz w:val="18"/>
        </w:rPr>
        <w:t xml:space="preserve">описанието на </w:t>
      </w:r>
      <w:r w:rsidR="000E6AD0" w:rsidRPr="00251DF4">
        <w:rPr>
          <w:b/>
          <w:sz w:val="18"/>
        </w:rPr>
        <w:t>механизма</w:t>
      </w:r>
      <w:r w:rsidRPr="00FB01AA">
        <w:rPr>
          <w:b/>
          <w:sz w:val="18"/>
        </w:rPr>
        <w:t xml:space="preserve"> за мониторинг и оценка</w:t>
      </w:r>
      <w:r w:rsidRPr="00FB01AA">
        <w:rPr>
          <w:sz w:val="18"/>
        </w:rPr>
        <w:t xml:space="preserve"> МГД предоставят подробности относно организацията и координацията на дейностите за мониторинг и оценка. </w:t>
      </w:r>
      <w:r w:rsidR="00F30808">
        <w:rPr>
          <w:b/>
          <w:sz w:val="18"/>
        </w:rPr>
        <w:t>Структурата за управление</w:t>
      </w:r>
      <w:r w:rsidRPr="00FB01AA">
        <w:rPr>
          <w:sz w:val="18"/>
        </w:rPr>
        <w:t xml:space="preserve"> на МГД може </w:t>
      </w:r>
      <w:r w:rsidR="00E771A1">
        <w:rPr>
          <w:sz w:val="18"/>
        </w:rPr>
        <w:t xml:space="preserve">например </w:t>
      </w:r>
      <w:r w:rsidRPr="00FB01AA">
        <w:rPr>
          <w:sz w:val="18"/>
        </w:rPr>
        <w:t xml:space="preserve">да предвиди </w:t>
      </w:r>
      <w:r w:rsidR="00E771A1">
        <w:rPr>
          <w:sz w:val="18"/>
        </w:rPr>
        <w:t>определянето на</w:t>
      </w:r>
      <w:r w:rsidRPr="00FB01AA">
        <w:rPr>
          <w:sz w:val="18"/>
        </w:rPr>
        <w:t>лице, което да отговаря за мониторинга и оценката, създаване</w:t>
      </w:r>
      <w:r w:rsidR="00E771A1">
        <w:rPr>
          <w:sz w:val="18"/>
        </w:rPr>
        <w:t>то</w:t>
      </w:r>
      <w:r w:rsidRPr="00FB01AA">
        <w:rPr>
          <w:sz w:val="18"/>
        </w:rPr>
        <w:t xml:space="preserve"> на комитет за мониторинг на МГД или работна група за самооценка на МГД. </w:t>
      </w:r>
    </w:p>
    <w:p w:rsidR="00B657F9" w:rsidRPr="00FB01AA" w:rsidRDefault="00C82478" w:rsidP="00F01AC7">
      <w:pPr>
        <w:pStyle w:val="H-Standard"/>
        <w:rPr>
          <w:sz w:val="18"/>
        </w:rPr>
      </w:pPr>
      <w:r w:rsidRPr="00FB01AA">
        <w:rPr>
          <w:b/>
          <w:sz w:val="18"/>
        </w:rPr>
        <w:lastRenderedPageBreak/>
        <w:t>Координацията между УО и М</w:t>
      </w:r>
      <w:r w:rsidR="00E771A1">
        <w:rPr>
          <w:b/>
          <w:sz w:val="18"/>
        </w:rPr>
        <w:t>Г</w:t>
      </w:r>
      <w:r w:rsidRPr="00FB01AA">
        <w:rPr>
          <w:b/>
          <w:sz w:val="18"/>
        </w:rPr>
        <w:t xml:space="preserve">Д </w:t>
      </w:r>
      <w:r w:rsidRPr="00FB01AA">
        <w:rPr>
          <w:sz w:val="18"/>
        </w:rPr>
        <w:t xml:space="preserve">следва да гарантира установяването на връзки с мониторинга и оценката на ПРСР (например чрез използване на обща информационна система с ПРСР за събиране на данни и информация за дейностите за мониторинг и оценка на местно равнище). </w:t>
      </w:r>
    </w:p>
    <w:p w:rsidR="00C82478" w:rsidRPr="00FB01AA" w:rsidRDefault="00435EBC" w:rsidP="00F01AC7">
      <w:pPr>
        <w:pStyle w:val="H-Standard"/>
        <w:rPr>
          <w:b/>
          <w:sz w:val="18"/>
        </w:rPr>
      </w:pPr>
      <w:r w:rsidRPr="00FB01AA">
        <w:rPr>
          <w:sz w:val="18"/>
        </w:rPr>
        <w:t xml:space="preserve">Независимо от това МГД следва да гарантира на местно равнище добрата координация на дейностите за мониторинг и оценка. Освен това в случай че МГД извършва и оценка, и самооценка, двете дейности следва да бъдат координирани (например чрез използване на един и същи набор въпроси за оценка, показатели, мониторингови данни, както и чрез обмен на </w:t>
      </w:r>
      <w:r w:rsidR="008F674C" w:rsidRPr="00251DF4">
        <w:rPr>
          <w:sz w:val="18"/>
        </w:rPr>
        <w:t>констатаци</w:t>
      </w:r>
      <w:r w:rsidRPr="00FB01AA">
        <w:rPr>
          <w:sz w:val="18"/>
        </w:rPr>
        <w:t xml:space="preserve">и за докладване на местно равнище) (вж. глава 1.2.2). </w:t>
      </w:r>
    </w:p>
    <w:p w:rsidR="00C82478" w:rsidRPr="00FB01AA" w:rsidRDefault="00AD412D" w:rsidP="00C82478">
      <w:pPr>
        <w:pStyle w:val="HHeading5"/>
        <w:rPr>
          <w:sz w:val="18"/>
        </w:rPr>
      </w:pPr>
      <w:r w:rsidRPr="00FB01AA">
        <w:rPr>
          <w:sz w:val="18"/>
        </w:rPr>
        <w:t xml:space="preserve">д) Планиране на темите и дейностите за оценка/самооценка </w:t>
      </w:r>
      <w:r w:rsidRPr="00FB01AA">
        <w:rPr>
          <w:b w:val="0"/>
          <w:sz w:val="18"/>
        </w:rPr>
        <w:t>(препоръчително)</w:t>
      </w:r>
    </w:p>
    <w:p w:rsidR="00E06E9C" w:rsidRPr="00FB01AA" w:rsidRDefault="00E06E9C" w:rsidP="00484A36">
      <w:pPr>
        <w:pStyle w:val="H-Standard"/>
        <w:rPr>
          <w:sz w:val="18"/>
        </w:rPr>
      </w:pPr>
      <w:r w:rsidRPr="00FB01AA">
        <w:rPr>
          <w:sz w:val="18"/>
        </w:rPr>
        <w:t xml:space="preserve">Темите за оценка са основата за </w:t>
      </w:r>
      <w:r w:rsidR="00BE14DA">
        <w:rPr>
          <w:sz w:val="18"/>
        </w:rPr>
        <w:t>формулир</w:t>
      </w:r>
      <w:r w:rsidRPr="00FB01AA">
        <w:rPr>
          <w:sz w:val="18"/>
        </w:rPr>
        <w:t xml:space="preserve">ането на специфичните въпроси за оценка на МГД. </w:t>
      </w:r>
    </w:p>
    <w:p w:rsidR="00C82478" w:rsidRPr="00BD17B1" w:rsidRDefault="00F242B5" w:rsidP="00C82478">
      <w:pPr>
        <w:jc w:val="both"/>
        <w:rPr>
          <w:rFonts w:ascii="Arial" w:eastAsia="Arial Unicode MS" w:hAnsi="Arial" w:cs="Arial"/>
          <w:color w:val="373737"/>
          <w:sz w:val="18"/>
          <w:szCs w:val="18"/>
        </w:rPr>
      </w:pPr>
      <w:r>
        <w:rPr>
          <w:rFonts w:ascii="Arial" w:eastAsia="Arial Unicode MS" w:hAnsi="Arial" w:cs="Arial"/>
          <w:sz w:val="18"/>
          <w:szCs w:val="18"/>
        </w:rPr>
        <w:t>Конкрет</w:t>
      </w:r>
      <w:r w:rsidR="00C82478" w:rsidRPr="00BD17B1">
        <w:rPr>
          <w:rFonts w:ascii="Arial" w:eastAsia="Arial Unicode MS" w:hAnsi="Arial" w:cs="Arial"/>
          <w:b/>
          <w:color w:val="373737"/>
          <w:sz w:val="18"/>
          <w:szCs w:val="18"/>
        </w:rPr>
        <w:t>ните теми за дейностите за оценка</w:t>
      </w:r>
      <w:r w:rsidR="00C82478" w:rsidRPr="00BD17B1">
        <w:rPr>
          <w:rFonts w:ascii="Arial" w:eastAsia="Arial Unicode MS" w:hAnsi="Arial" w:cs="Arial"/>
          <w:color w:val="373737"/>
          <w:sz w:val="18"/>
          <w:szCs w:val="18"/>
        </w:rPr>
        <w:t xml:space="preserve"> </w:t>
      </w:r>
      <w:r>
        <w:rPr>
          <w:rFonts w:ascii="Arial" w:eastAsia="Arial Unicode MS" w:hAnsi="Arial" w:cs="Arial"/>
          <w:color w:val="373737"/>
          <w:sz w:val="18"/>
          <w:szCs w:val="18"/>
        </w:rPr>
        <w:t>могат да бъдат определени от МГД</w:t>
      </w:r>
      <w:r w:rsidR="00C82478" w:rsidRPr="00BD17B1">
        <w:rPr>
          <w:rFonts w:ascii="Arial" w:eastAsia="Arial Unicode MS" w:hAnsi="Arial" w:cs="Arial"/>
          <w:color w:val="373737"/>
          <w:sz w:val="18"/>
          <w:szCs w:val="18"/>
        </w:rPr>
        <w:t xml:space="preserve">: </w:t>
      </w:r>
    </w:p>
    <w:p w:rsidR="00C82478" w:rsidRPr="00FB01AA" w:rsidRDefault="00C82478" w:rsidP="00370643">
      <w:pPr>
        <w:pStyle w:val="Hlistbullet"/>
        <w:ind w:left="426" w:hanging="426"/>
        <w:rPr>
          <w:sz w:val="18"/>
        </w:rPr>
      </w:pPr>
      <w:r w:rsidRPr="00FB01AA">
        <w:rPr>
          <w:sz w:val="18"/>
        </w:rPr>
        <w:t>оценка на постиженията на стратегията за ВОМР (резултати и въздействия на стратегията и тяхната ефективност и ефикасност за постигането на целите на стратегията) (Оценката на въздействията на равнището на МГД представлява по-скоро прогноза, отколкото измерване на въздействията!);</w:t>
      </w:r>
    </w:p>
    <w:p w:rsidR="00A57998" w:rsidRPr="00FB01AA" w:rsidRDefault="00A57998" w:rsidP="00A57998">
      <w:pPr>
        <w:pStyle w:val="Hlistbullet"/>
        <w:ind w:left="426" w:hanging="426"/>
        <w:rPr>
          <w:sz w:val="18"/>
        </w:rPr>
      </w:pPr>
      <w:r w:rsidRPr="00FB01AA">
        <w:rPr>
          <w:sz w:val="18"/>
        </w:rPr>
        <w:t xml:space="preserve">оценка на добавената стойност, създадена посредством механизма за изпълнение и дейностите за популяризиране;  </w:t>
      </w:r>
    </w:p>
    <w:p w:rsidR="00C82478" w:rsidRPr="00FB01AA" w:rsidRDefault="00C82478" w:rsidP="00C82478">
      <w:pPr>
        <w:pStyle w:val="Hlistbullet"/>
        <w:ind w:left="426" w:hanging="426"/>
        <w:rPr>
          <w:sz w:val="18"/>
        </w:rPr>
      </w:pPr>
      <w:r w:rsidRPr="00FB01AA">
        <w:rPr>
          <w:sz w:val="18"/>
        </w:rPr>
        <w:t xml:space="preserve">оценка на други избрани от МГД теми (напр. качество на местните партньорства, ефикасност на управлението, конкретни ключови проекти/инициативи, местна идентичност).  </w:t>
      </w:r>
    </w:p>
    <w:p w:rsidR="00C82478" w:rsidRPr="00FB01AA" w:rsidRDefault="00C82478" w:rsidP="00F01AC7">
      <w:pPr>
        <w:pStyle w:val="H-Standard"/>
        <w:rPr>
          <w:sz w:val="18"/>
        </w:rPr>
      </w:pPr>
      <w:r w:rsidRPr="00FB01AA">
        <w:rPr>
          <w:b/>
          <w:sz w:val="18"/>
        </w:rPr>
        <w:t>Общи</w:t>
      </w:r>
      <w:r w:rsidR="00F242B5">
        <w:rPr>
          <w:b/>
          <w:sz w:val="18"/>
        </w:rPr>
        <w:t>те</w:t>
      </w:r>
      <w:r w:rsidRPr="00FB01AA">
        <w:rPr>
          <w:b/>
          <w:sz w:val="18"/>
        </w:rPr>
        <w:t xml:space="preserve"> теми за оценка/самооценка </w:t>
      </w:r>
      <w:r w:rsidRPr="00FB01AA">
        <w:rPr>
          <w:sz w:val="18"/>
        </w:rPr>
        <w:t>биха могли да бъдат разработ</w:t>
      </w:r>
      <w:r w:rsidR="00EA64A5">
        <w:rPr>
          <w:sz w:val="18"/>
        </w:rPr>
        <w:t>е</w:t>
      </w:r>
      <w:r w:rsidRPr="00FB01AA">
        <w:rPr>
          <w:sz w:val="18"/>
        </w:rPr>
        <w:t xml:space="preserve">ни и от група МГД. Това е особено полезно, ако няколко МГД </w:t>
      </w:r>
      <w:r w:rsidR="0015027F">
        <w:rPr>
          <w:sz w:val="18"/>
        </w:rPr>
        <w:t>изпълняват съвместно</w:t>
      </w:r>
      <w:r w:rsidRPr="00FB01AA">
        <w:rPr>
          <w:sz w:val="18"/>
        </w:rPr>
        <w:t xml:space="preserve"> проекти за сътрудничество или работят в мрежа по конкретни теми. </w:t>
      </w:r>
    </w:p>
    <w:p w:rsidR="00F862B0" w:rsidRPr="00FB01AA" w:rsidRDefault="00C82478" w:rsidP="00F862B0">
      <w:pPr>
        <w:pStyle w:val="H-Standard"/>
        <w:rPr>
          <w:sz w:val="18"/>
        </w:rPr>
      </w:pPr>
      <w:r w:rsidRPr="00FB01AA">
        <w:rPr>
          <w:b/>
          <w:sz w:val="18"/>
        </w:rPr>
        <w:t xml:space="preserve">Дейностите за мониторинг и оценка </w:t>
      </w:r>
      <w:r w:rsidRPr="00FB01AA">
        <w:rPr>
          <w:sz w:val="18"/>
        </w:rPr>
        <w:t xml:space="preserve">могат да бъдат описани </w:t>
      </w:r>
      <w:r w:rsidR="0015027F">
        <w:rPr>
          <w:sz w:val="18"/>
        </w:rPr>
        <w:t>като</w:t>
      </w:r>
      <w:r w:rsidRPr="00FB01AA">
        <w:rPr>
          <w:sz w:val="18"/>
        </w:rPr>
        <w:t xml:space="preserve"> последователн</w:t>
      </w:r>
      <w:r w:rsidR="0015027F">
        <w:rPr>
          <w:sz w:val="18"/>
        </w:rPr>
        <w:t>и</w:t>
      </w:r>
      <w:r w:rsidRPr="00FB01AA">
        <w:rPr>
          <w:sz w:val="18"/>
        </w:rPr>
        <w:t xml:space="preserve"> стъпки — подготовка, структуриране и извършване на </w:t>
      </w:r>
      <w:r w:rsidRPr="00FB01AA">
        <w:rPr>
          <w:sz w:val="18"/>
        </w:rPr>
        <w:t xml:space="preserve">дейностите за оценка, докладване, разпространение и последващи действия във връзка с </w:t>
      </w:r>
      <w:r w:rsidR="008F674C" w:rsidRPr="00251DF4">
        <w:rPr>
          <w:sz w:val="18"/>
        </w:rPr>
        <w:t>констатаци</w:t>
      </w:r>
      <w:r w:rsidRPr="00FB01AA">
        <w:rPr>
          <w:sz w:val="18"/>
        </w:rPr>
        <w:t xml:space="preserve">ите от оценката. МГД следва да </w:t>
      </w:r>
      <w:r w:rsidR="00853F28">
        <w:rPr>
          <w:sz w:val="18"/>
        </w:rPr>
        <w:t>опишат как ще бъдат организирани, изпълнени и подкрепени</w:t>
      </w:r>
      <w:r w:rsidRPr="00FB01AA">
        <w:rPr>
          <w:sz w:val="18"/>
        </w:rPr>
        <w:t xml:space="preserve"> тези дейности. </w:t>
      </w:r>
    </w:p>
    <w:p w:rsidR="00C82478" w:rsidRPr="00FB01AA" w:rsidRDefault="00AD412D" w:rsidP="00F862B0">
      <w:pPr>
        <w:pStyle w:val="HHeading5"/>
        <w:rPr>
          <w:sz w:val="18"/>
        </w:rPr>
      </w:pPr>
      <w:r w:rsidRPr="00FB01AA">
        <w:rPr>
          <w:sz w:val="18"/>
        </w:rPr>
        <w:t xml:space="preserve">е) Осигуряване на данни и информация за оценката/самооценката </w:t>
      </w:r>
      <w:r w:rsidRPr="00FB01AA">
        <w:rPr>
          <w:b w:val="0"/>
          <w:sz w:val="18"/>
        </w:rPr>
        <w:t>(препоръчително)</w:t>
      </w:r>
      <w:r w:rsidRPr="00FB01AA">
        <w:rPr>
          <w:sz w:val="18"/>
        </w:rPr>
        <w:t xml:space="preserve">  </w:t>
      </w:r>
    </w:p>
    <w:p w:rsidR="00C82478" w:rsidRPr="00FB01AA" w:rsidRDefault="000E6AD0" w:rsidP="00F01AC7">
      <w:pPr>
        <w:pStyle w:val="H-Standard"/>
        <w:rPr>
          <w:sz w:val="18"/>
          <w:shd w:val="clear" w:color="auto" w:fill="FFFFFF"/>
        </w:rPr>
      </w:pPr>
      <w:r w:rsidRPr="00251DF4">
        <w:rPr>
          <w:b/>
          <w:sz w:val="18"/>
          <w:shd w:val="clear" w:color="auto" w:fill="FFFFFF"/>
        </w:rPr>
        <w:t>Механизмът</w:t>
      </w:r>
      <w:r w:rsidR="00C82478" w:rsidRPr="00FB01AA">
        <w:rPr>
          <w:b/>
          <w:sz w:val="18"/>
          <w:shd w:val="clear" w:color="auto" w:fill="FFFFFF"/>
        </w:rPr>
        <w:t xml:space="preserve"> за мониторинг на МГД</w:t>
      </w:r>
      <w:r w:rsidR="00C82478" w:rsidRPr="00FB01AA">
        <w:rPr>
          <w:sz w:val="18"/>
        </w:rPr>
        <w:t xml:space="preserve"> трябва да гарантира, че са налице всички данни и цялата информация, необходими за извършването на определените дейности за оценка. Това включва предоставянето на достъп до базата данни за операциите по ПРСР, събирането на допълнителна количествена и качествена информация за специфичните </w:t>
      </w:r>
      <w:r w:rsidRPr="00251DF4">
        <w:rPr>
          <w:sz w:val="18"/>
        </w:rPr>
        <w:t xml:space="preserve">за МГД </w:t>
      </w:r>
      <w:r w:rsidR="00C82478" w:rsidRPr="00FB01AA">
        <w:rPr>
          <w:sz w:val="18"/>
        </w:rPr>
        <w:t xml:space="preserve">показатели. </w:t>
      </w:r>
    </w:p>
    <w:p w:rsidR="008C76DD" w:rsidRPr="00FB01AA" w:rsidRDefault="00F55E3B" w:rsidP="008C76DD">
      <w:pPr>
        <w:pStyle w:val="H-Standard"/>
        <w:rPr>
          <w:sz w:val="18"/>
          <w:shd w:val="clear" w:color="auto" w:fill="FFFFFF"/>
        </w:rPr>
      </w:pPr>
      <w:r w:rsidRPr="00FB01AA">
        <w:rPr>
          <w:noProof/>
          <w:sz w:val="18"/>
          <w:lang w:val="en-GB" w:eastAsia="en-GB" w:bidi="ar-SA"/>
        </w:rPr>
        <mc:AlternateContent>
          <mc:Choice Requires="wps">
            <w:drawing>
              <wp:inline distT="0" distB="0" distL="0" distR="0" wp14:anchorId="6AA040DB" wp14:editId="20E51489">
                <wp:extent cx="2735580" cy="3565502"/>
                <wp:effectExtent l="0" t="0" r="26670" b="16510"/>
                <wp:docPr id="150" name="Rectangle: Diagonal Corners Rounded 150"/>
                <wp:cNvGraphicFramePr/>
                <a:graphic xmlns:a="http://schemas.openxmlformats.org/drawingml/2006/main">
                  <a:graphicData uri="http://schemas.microsoft.com/office/word/2010/wordprocessingShape">
                    <wps:wsp>
                      <wps:cNvSpPr/>
                      <wps:spPr>
                        <a:xfrm>
                          <a:off x="0" y="0"/>
                          <a:ext cx="2735580" cy="3565502"/>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DBF" w:rsidRPr="00C55C45" w:rsidRDefault="00D21DBF" w:rsidP="00813863">
                            <w:pPr>
                              <w:pStyle w:val="HStandard"/>
                            </w:pPr>
                            <w:r>
                              <w:t>Въвеждането на</w:t>
                            </w:r>
                            <w:r>
                              <w:rPr>
                                <w:rFonts w:cs="Arial"/>
                                <w:noProof/>
                                <w:sz w:val="18"/>
                                <w:szCs w:val="18"/>
                                <w:lang w:val="en-GB" w:eastAsia="en-GB" w:bidi="ar-SA"/>
                              </w:rPr>
                              <w:drawing>
                                <wp:inline distT="0" distB="0" distL="0" distR="0" wp14:anchorId="3670BAB8" wp14:editId="1DB7FB9D">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интегрирана </w:t>
                            </w:r>
                            <w:r>
                              <w:rPr>
                                <w:b/>
                                <w:sz w:val="18"/>
                              </w:rPr>
                              <w:t>/обща база данни</w:t>
                            </w:r>
                            <w:r>
                              <w:rPr>
                                <w:sz w:val="18"/>
                              </w:rPr>
                              <w:t xml:space="preserve"> между УО и МГД се счита за добра практика, която може да улесни оценката на стратегията за ВОМР. Тя свързва мониторинга на стратегията за ВОМР с мониторинга и оценката на равнището на ПРСР. Използването на единна информационна система позволява по-добро и рационално използване на информацията за оценката на равнището на ПРСР. Освен това е възможно да се използва една и съща база данни за оценката/самооценката на равнището на МГД, като едновременно с това в системата се включат и данните, събрани за специфичните показатели на МГД. Препоръчва се МГД да имат пълен достъп до интегрирана/обща база данни и да използват информацията в нея.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6AA040DB" id="Rectangle: Diagonal Corners Rounded 150" o:spid="_x0000_s1047" style="width:215.4pt;height:280.75pt;visibility:visible;mso-wrap-style:square;mso-left-percent:-10001;mso-top-percent:-10001;mso-position-horizontal:absolute;mso-position-horizontal-relative:char;mso-position-vertical:absolute;mso-position-vertical-relative:line;mso-left-percent:-10001;mso-top-percent:-10001;v-text-anchor:middle" coordsize="2735580,356550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" adj="-11796480,,5400" path="m455939,l2735580,r,l2735580,3109563v,251808,-204131,455939,-455939,455939l,3565502r,l,455939c,204131,204131,,455939,xe" fillcolor="white [3204]" strokecolor="#be4a35 [3205]" strokeweight="2pt">
                <v:stroke joinstyle="miter"/>
                <v:formulas/>
                <v:path arrowok="t" o:connecttype="custom" o:connectlocs="455939,0;2735580,0;2735580,0;2735580,3109563;2279641,3565502;0,3565502;0,3565502;0,455939;455939,0" o:connectangles="0,0,0,0,0,0,0,0,0" textboxrect="0,0,2735580,3565502"/>
                <v:textbox>
                  <w:txbxContent>
                    <w:p w:rsidR="00D21DBF" w:rsidRPr="00C55C45" w:rsidRDefault="00D21DBF" w:rsidP="00813863">
                      <w:pPr>
                        <w:pStyle w:val="HStandard"/>
                      </w:pPr>
                      <w:r>
                        <w:t>Въвеждането на</w:t>
                      </w:r>
                      <w:r>
                        <w:rPr>
                          <w:rFonts w:cs="Arial"/>
                          <w:noProof/>
                          <w:sz w:val="18"/>
                          <w:szCs w:val="18"/>
                          <w:lang w:val="en-GB" w:eastAsia="en-GB" w:bidi="ar-SA"/>
                        </w:rPr>
                        <w:drawing>
                          <wp:inline distT="0" distB="0" distL="0" distR="0" wp14:anchorId="3670BAB8" wp14:editId="1DB7FB9D">
                            <wp:extent cx="666000" cy="488275"/>
                            <wp:effectExtent l="0" t="0" r="0" b="762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1">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sz w:val="18"/>
                        </w:rPr>
                        <w:t xml:space="preserve">интегрирана </w:t>
                      </w:r>
                      <w:r>
                        <w:rPr>
                          <w:b/>
                          <w:sz w:val="18"/>
                        </w:rPr>
                        <w:t>/обща база данни</w:t>
                      </w:r>
                      <w:r>
                        <w:rPr>
                          <w:sz w:val="18"/>
                        </w:rPr>
                        <w:t xml:space="preserve"> между УО и МГД се счита за добра практика, която може да улесни оценката на стратегията за ВОМР. Тя свързва мониторинга на стратегията за ВОМР с мониторинга и оценката на равнището на ПРСР. Използването на единна информационна система позволява по-добро и рационално използване на информацията за оценката на равнището на ПРСР. Освен това е възможно да се използва една и съща база данни за оценката/самооценката на равнището на МГД, като едновременно с това в системата се включат и данните, събрани за специфичните показатели на МГД. Препоръчва се МГД да имат пълен достъп до интегрирана/обща база данни и да използват информацията в нея.</w:t>
                      </w:r>
                    </w:p>
                  </w:txbxContent>
                </v:textbox>
                <w10:anchorlock/>
              </v:shape>
            </w:pict>
          </mc:Fallback>
        </mc:AlternateContent>
      </w:r>
    </w:p>
    <w:p w:rsidR="00C82478" w:rsidRPr="00FB01AA" w:rsidRDefault="00AD412D" w:rsidP="00C82478">
      <w:pPr>
        <w:pStyle w:val="HHeading5"/>
        <w:rPr>
          <w:sz w:val="18"/>
        </w:rPr>
      </w:pPr>
      <w:r w:rsidRPr="00FB01AA">
        <w:rPr>
          <w:sz w:val="18"/>
        </w:rPr>
        <w:t xml:space="preserve">ж) Осигуряване на необходимия капацитет за дейностите за оценка на местно равнище </w:t>
      </w:r>
      <w:r w:rsidRPr="00FB01AA">
        <w:rPr>
          <w:b w:val="0"/>
          <w:sz w:val="18"/>
        </w:rPr>
        <w:t>(препоръчително)  </w:t>
      </w:r>
    </w:p>
    <w:p w:rsidR="00C82478" w:rsidRPr="00FB01AA" w:rsidRDefault="00C82478" w:rsidP="00F01AC7">
      <w:pPr>
        <w:pStyle w:val="H-Standard"/>
        <w:rPr>
          <w:rFonts w:eastAsia="Calibri"/>
          <w:sz w:val="18"/>
        </w:rPr>
      </w:pPr>
      <w:r w:rsidRPr="00FB01AA">
        <w:rPr>
          <w:sz w:val="18"/>
        </w:rPr>
        <w:t xml:space="preserve">Следва да се организира и осъществи </w:t>
      </w:r>
      <w:r w:rsidRPr="00FB01AA">
        <w:rPr>
          <w:b/>
          <w:sz w:val="18"/>
        </w:rPr>
        <w:t>обучение за различните заинтересовани страни, участващи в дейностите за оценка на</w:t>
      </w:r>
      <w:r w:rsidRPr="00FB01AA">
        <w:rPr>
          <w:sz w:val="18"/>
        </w:rPr>
        <w:t xml:space="preserve"> </w:t>
      </w:r>
      <w:r w:rsidRPr="00FB01AA">
        <w:rPr>
          <w:b/>
          <w:sz w:val="18"/>
        </w:rPr>
        <w:t xml:space="preserve">LEADER/ВОМР </w:t>
      </w:r>
      <w:r w:rsidRPr="00FB01AA">
        <w:rPr>
          <w:sz w:val="18"/>
        </w:rPr>
        <w:t xml:space="preserve">на местно равнище (например комитет за мониторинг на МГД, ръководна група на МГД, ръководен персонал на МГД, членове на управителния съвет). </w:t>
      </w:r>
    </w:p>
    <w:p w:rsidR="00C82478" w:rsidRPr="00FB01AA" w:rsidRDefault="00AD412D" w:rsidP="00C82478">
      <w:pPr>
        <w:pStyle w:val="HHeading5"/>
        <w:rPr>
          <w:sz w:val="18"/>
        </w:rPr>
      </w:pPr>
      <w:r w:rsidRPr="00FB01AA">
        <w:rPr>
          <w:sz w:val="18"/>
        </w:rPr>
        <w:lastRenderedPageBreak/>
        <w:t xml:space="preserve">з) Вземане на решение относно срока на оценката/самооценката </w:t>
      </w:r>
      <w:r w:rsidRPr="00FB01AA">
        <w:rPr>
          <w:b w:val="0"/>
          <w:sz w:val="18"/>
        </w:rPr>
        <w:t>(препоръчително)  </w:t>
      </w:r>
    </w:p>
    <w:p w:rsidR="00C82478" w:rsidRPr="00FB01AA" w:rsidRDefault="00C82478" w:rsidP="009F6794">
      <w:pPr>
        <w:pStyle w:val="H-Standard"/>
        <w:rPr>
          <w:sz w:val="18"/>
          <w:szCs w:val="20"/>
        </w:rPr>
      </w:pPr>
      <w:r w:rsidRPr="00FB01AA">
        <w:rPr>
          <w:b/>
          <w:sz w:val="18"/>
        </w:rPr>
        <w:t xml:space="preserve">Важно е МГД да планират графика на всички стъпки на дейностите за мониторинг и оценка, </w:t>
      </w:r>
      <w:r w:rsidRPr="00FB01AA">
        <w:rPr>
          <w:sz w:val="18"/>
        </w:rPr>
        <w:t xml:space="preserve">в идеалния случай едновременно с основните етапи на мониторинга и оценката на ПРСР. Освен това УО може да предложи МГД да съобразят своите дейности за оценка на стратегията за ВОМР с графика за оценка на резултатите от ПРСР през 2017 г., оценката на резултатите и въздействията на ПРСР през 2019 г. и последващата оценка. УО може да предложи и възможност за промяна на стратегията за ВОМР въз основа на </w:t>
      </w:r>
      <w:r w:rsidR="008F674C" w:rsidRPr="00251DF4">
        <w:rPr>
          <w:sz w:val="18"/>
        </w:rPr>
        <w:t>констатаци</w:t>
      </w:r>
      <w:r w:rsidRPr="00FB01AA">
        <w:rPr>
          <w:sz w:val="18"/>
        </w:rPr>
        <w:t xml:space="preserve">ите и препоръките от дейностите за оценка. </w:t>
      </w:r>
    </w:p>
    <w:p w:rsidR="00C82478" w:rsidRPr="00FB01AA" w:rsidRDefault="00AD412D" w:rsidP="00C82478">
      <w:pPr>
        <w:pStyle w:val="HHeading5"/>
        <w:rPr>
          <w:sz w:val="18"/>
        </w:rPr>
      </w:pPr>
      <w:r w:rsidRPr="00FB01AA">
        <w:rPr>
          <w:sz w:val="18"/>
        </w:rPr>
        <w:t xml:space="preserve">и) Планиране на комуникацията </w:t>
      </w:r>
      <w:r w:rsidR="00E7007B" w:rsidRPr="00FB01AA">
        <w:rPr>
          <w:sz w:val="18"/>
        </w:rPr>
        <w:t xml:space="preserve">и последващите действия </w:t>
      </w:r>
      <w:r w:rsidR="00E7007B">
        <w:rPr>
          <w:sz w:val="18"/>
        </w:rPr>
        <w:t>във връзка с</w:t>
      </w:r>
      <w:r w:rsidRPr="00FB01AA">
        <w:rPr>
          <w:sz w:val="18"/>
        </w:rPr>
        <w:t xml:space="preserve"> дейностите за оценка </w:t>
      </w:r>
      <w:r w:rsidRPr="00FB01AA">
        <w:rPr>
          <w:b w:val="0"/>
          <w:sz w:val="18"/>
        </w:rPr>
        <w:t>(препоръчително)  </w:t>
      </w:r>
    </w:p>
    <w:p w:rsidR="00C82478" w:rsidRPr="00FB01AA" w:rsidRDefault="008F674C" w:rsidP="00F01AC7">
      <w:pPr>
        <w:pStyle w:val="H-Standard"/>
        <w:rPr>
          <w:sz w:val="18"/>
        </w:rPr>
      </w:pPr>
      <w:r w:rsidRPr="00251DF4">
        <w:rPr>
          <w:b/>
          <w:sz w:val="18"/>
        </w:rPr>
        <w:t>Констатаци</w:t>
      </w:r>
      <w:r w:rsidR="00C82478" w:rsidRPr="00FB01AA">
        <w:rPr>
          <w:b/>
          <w:sz w:val="18"/>
        </w:rPr>
        <w:t>ите от дейностите за оценка следва да бъдат споделени</w:t>
      </w:r>
      <w:r w:rsidR="00C82478" w:rsidRPr="00FB01AA">
        <w:rPr>
          <w:sz w:val="18"/>
        </w:rPr>
        <w:t xml:space="preserve"> с целевата аудитория в рамките на територията на МГД (членовете на МГД и населението) и извън нея (УО, НМСР, други МГД). Това може да бъде направено под формата на отчет в различни формати за различни целеви аудитории: Докладът за УО може да бъде по-изчерпателен документ, но </w:t>
      </w:r>
      <w:r w:rsidR="00D13D9E" w:rsidRPr="00251DF4">
        <w:rPr>
          <w:sz w:val="18"/>
        </w:rPr>
        <w:t>съобщав</w:t>
      </w:r>
      <w:r w:rsidR="00C82478" w:rsidRPr="00FB01AA">
        <w:rPr>
          <w:sz w:val="18"/>
        </w:rPr>
        <w:t xml:space="preserve">ането на </w:t>
      </w:r>
      <w:r w:rsidRPr="00251DF4">
        <w:rPr>
          <w:sz w:val="18"/>
        </w:rPr>
        <w:t>констатаци</w:t>
      </w:r>
      <w:r w:rsidR="00C82478" w:rsidRPr="00FB01AA">
        <w:rPr>
          <w:sz w:val="18"/>
        </w:rPr>
        <w:t xml:space="preserve">ите на членовете на МГД и на по-широката аудитория може да се извърши с по-лесен за ползване формат (например презентация, брошура, уебстраници или видео клипове). </w:t>
      </w:r>
    </w:p>
    <w:p w:rsidR="00C82478" w:rsidRPr="00FB01AA" w:rsidRDefault="00D62322" w:rsidP="00F01AC7">
      <w:pPr>
        <w:pStyle w:val="H-Standard"/>
        <w:rPr>
          <w:sz w:val="18"/>
        </w:rPr>
      </w:pPr>
      <w:r w:rsidRPr="00FB01AA">
        <w:rPr>
          <w:sz w:val="18"/>
        </w:rPr>
        <w:br w:type="column"/>
      </w:r>
      <w:r w:rsidRPr="00FB01AA">
        <w:rPr>
          <w:b/>
          <w:sz w:val="18"/>
        </w:rPr>
        <w:t xml:space="preserve">Подкрепата за планирането и </w:t>
      </w:r>
      <w:r w:rsidR="00E7007B">
        <w:rPr>
          <w:b/>
          <w:sz w:val="18"/>
        </w:rPr>
        <w:t>съобщав</w:t>
      </w:r>
      <w:r w:rsidRPr="00FB01AA">
        <w:rPr>
          <w:b/>
          <w:sz w:val="18"/>
        </w:rPr>
        <w:t>ането на резултатите от оценката е от съществено значение</w:t>
      </w:r>
      <w:r w:rsidRPr="00FB01AA">
        <w:rPr>
          <w:sz w:val="18"/>
        </w:rPr>
        <w:t>. Обикновено в комуникационния план за оценките се посочва целевата аудитория на комуникационните дейности и се определя какво, на кого и на какъв етап да бъде съобщавано (вж. фигура 17).</w:t>
      </w:r>
    </w:p>
    <w:p w:rsidR="00C82478" w:rsidRPr="00FB01AA" w:rsidRDefault="00AD412D" w:rsidP="00C82478">
      <w:pPr>
        <w:pStyle w:val="HHeading5"/>
        <w:rPr>
          <w:sz w:val="18"/>
        </w:rPr>
      </w:pPr>
      <w:r w:rsidRPr="00FB01AA">
        <w:rPr>
          <w:sz w:val="18"/>
        </w:rPr>
        <w:t xml:space="preserve">й) Описание на ресурсите, планирани за дейностите за оценка </w:t>
      </w:r>
      <w:r w:rsidRPr="00FB01AA">
        <w:rPr>
          <w:b w:val="0"/>
          <w:sz w:val="18"/>
        </w:rPr>
        <w:t xml:space="preserve">(препоръчително) </w:t>
      </w:r>
    </w:p>
    <w:p w:rsidR="00D62322" w:rsidRPr="00FB01AA" w:rsidRDefault="00C82478" w:rsidP="00571796">
      <w:pPr>
        <w:pStyle w:val="H-Standard"/>
        <w:rPr>
          <w:sz w:val="18"/>
        </w:rPr>
        <w:sectPr w:rsidR="00D62322" w:rsidRPr="00FB01AA" w:rsidSect="00F55E3B">
          <w:type w:val="continuous"/>
          <w:pgSz w:w="11906" w:h="16838"/>
          <w:pgMar w:top="1418" w:right="1418" w:bottom="1418" w:left="1418" w:header="709" w:footer="709" w:gutter="0"/>
          <w:cols w:num="2" w:space="397"/>
          <w:docGrid w:linePitch="360"/>
        </w:sectPr>
      </w:pPr>
      <w:r w:rsidRPr="00FB01AA">
        <w:rPr>
          <w:sz w:val="18"/>
        </w:rPr>
        <w:t>МГД следва да финансират дейностите за мониторинг и оценка от бюджета си за текущи разходи</w:t>
      </w:r>
      <w:r w:rsidRPr="00FB01AA">
        <w:rPr>
          <w:sz w:val="18"/>
          <w:vertAlign w:val="superscript"/>
        </w:rPr>
        <w:footnoteReference w:id="53"/>
      </w:r>
      <w:r w:rsidRPr="00FB01AA">
        <w:rPr>
          <w:sz w:val="18"/>
        </w:rPr>
        <w:t xml:space="preserve">. Предвид ограничеността на ресурсите те трябва да бъдат внимателно планирани. </w:t>
      </w:r>
    </w:p>
    <w:p w:rsidR="00D62322" w:rsidRPr="00FB01AA" w:rsidRDefault="00D62322" w:rsidP="00D62322">
      <w:pPr>
        <w:pStyle w:val="HHeadingFigure"/>
        <w:rPr>
          <w:sz w:val="14"/>
        </w:rPr>
      </w:pPr>
      <w:bookmarkStart w:id="141" w:name="_Toc466620207"/>
      <w:bookmarkStart w:id="142" w:name="_Toc475030421"/>
      <w:bookmarkStart w:id="143" w:name="_Toc479677107"/>
      <w:bookmarkStart w:id="144" w:name="_Toc493497740"/>
      <w:bookmarkStart w:id="145" w:name="_Toc498507100"/>
      <w:r w:rsidRPr="00FB01AA">
        <w:rPr>
          <w:sz w:val="14"/>
        </w:rPr>
        <w:lastRenderedPageBreak/>
        <w:t>Планиране на комуникационните дейности във връзка с оценката</w:t>
      </w:r>
      <w:bookmarkEnd w:id="141"/>
      <w:bookmarkEnd w:id="142"/>
      <w:bookmarkEnd w:id="143"/>
      <w:bookmarkEnd w:id="144"/>
      <w:bookmarkEnd w:id="145"/>
    </w:p>
    <w:p w:rsidR="0086377D" w:rsidRPr="00FB01AA" w:rsidRDefault="0086377D" w:rsidP="00D62322">
      <w:pPr>
        <w:jc w:val="center"/>
        <w:rPr>
          <w:rFonts w:ascii="Arial" w:hAnsi="Arial"/>
          <w:color w:val="373737"/>
          <w:sz w:val="18"/>
          <w:szCs w:val="20"/>
        </w:rPr>
      </w:pPr>
      <w:r>
        <w:rPr>
          <w:rFonts w:ascii="Arial" w:hAnsi="Arial"/>
          <w:noProof/>
          <w:color w:val="373737"/>
          <w:sz w:val="18"/>
          <w:szCs w:val="20"/>
          <w:lang w:val="en-GB" w:eastAsia="en-GB" w:bidi="ar-SA"/>
        </w:rPr>
        <w:drawing>
          <wp:inline distT="0" distB="0" distL="0" distR="0" wp14:anchorId="0B7FFB85" wp14:editId="47E0D237">
            <wp:extent cx="3596604" cy="1994400"/>
            <wp:effectExtent l="0" t="0" r="4445" b="63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18351" t="-596"/>
                    <a:stretch/>
                  </pic:blipFill>
                  <pic:spPr bwMode="auto">
                    <a:xfrm>
                      <a:off x="0" y="0"/>
                      <a:ext cx="3596604" cy="1994400"/>
                    </a:xfrm>
                    <a:prstGeom prst="rect">
                      <a:avLst/>
                    </a:prstGeom>
                    <a:noFill/>
                    <a:ln>
                      <a:noFill/>
                    </a:ln>
                    <a:extLst>
                      <a:ext uri="{53640926-AAD7-44D8-BBD7-CCE9431645EC}">
                        <a14:shadowObscured xmlns:a14="http://schemas.microsoft.com/office/drawing/2010/main"/>
                      </a:ext>
                    </a:extLst>
                  </pic:spPr>
                </pic:pic>
              </a:graphicData>
            </a:graphic>
          </wp:inline>
        </w:drawing>
      </w:r>
    </w:p>
    <w:p w:rsidR="00D62322" w:rsidRPr="00FB01AA" w:rsidRDefault="00D62322" w:rsidP="00D62322">
      <w:pPr>
        <w:suppressAutoHyphens/>
        <w:spacing w:before="60" w:after="140" w:line="240" w:lineRule="auto"/>
        <w:jc w:val="center"/>
        <w:rPr>
          <w:rFonts w:ascii="Arial" w:hAnsi="Arial"/>
          <w:i/>
          <w:color w:val="6E6E6E" w:themeColor="background1" w:themeShade="80"/>
          <w:sz w:val="14"/>
          <w:szCs w:val="24"/>
        </w:rPr>
      </w:pPr>
      <w:r w:rsidRPr="00FB01AA">
        <w:rPr>
          <w:rFonts w:ascii="Arial" w:hAnsi="Arial"/>
          <w:i/>
          <w:color w:val="6E6E6E" w:themeColor="background1" w:themeShade="80"/>
          <w:sz w:val="14"/>
        </w:rPr>
        <w:t>Източник: Европейско бюро за оценка в областта на развитието на селските райони, 2016 г.</w:t>
      </w:r>
    </w:p>
    <w:p w:rsidR="00D62322" w:rsidRPr="00FB01AA" w:rsidRDefault="00D62322" w:rsidP="00571796">
      <w:pPr>
        <w:pStyle w:val="H-Standard"/>
        <w:rPr>
          <w:sz w:val="18"/>
        </w:rPr>
      </w:pPr>
    </w:p>
    <w:p w:rsidR="00AE07AC" w:rsidRPr="00FB01AA" w:rsidRDefault="00AE07AC" w:rsidP="00571796">
      <w:pPr>
        <w:pStyle w:val="H-Standard"/>
        <w:rPr>
          <w:sz w:val="18"/>
        </w:rPr>
        <w:sectPr w:rsidR="00AE07AC" w:rsidRPr="00FB01AA" w:rsidSect="00D62322">
          <w:type w:val="continuous"/>
          <w:pgSz w:w="11906" w:h="16838"/>
          <w:pgMar w:top="1418" w:right="1418" w:bottom="1418" w:left="1418" w:header="709" w:footer="709" w:gutter="0"/>
          <w:cols w:space="397"/>
          <w:docGrid w:linePitch="360"/>
        </w:sectPr>
      </w:pPr>
    </w:p>
    <w:p w:rsidR="0086377D" w:rsidRDefault="00B243BA" w:rsidP="00D62322">
      <w:pPr>
        <w:pStyle w:val="H-Standard"/>
        <w:jc w:val="center"/>
        <w:rPr>
          <w:sz w:val="18"/>
        </w:rPr>
      </w:pPr>
      <w:r>
        <w:rPr>
          <w:noProof/>
          <w:sz w:val="18"/>
          <w:lang w:val="en-GB" w:eastAsia="en-GB" w:bidi="ar-SA"/>
        </w:rPr>
        <w:drawing>
          <wp:inline distT="0" distB="0" distL="0" distR="0" wp14:anchorId="16ED6AF7" wp14:editId="2D2D372F">
            <wp:extent cx="4894645" cy="238320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894645" cy="2383200"/>
                    </a:xfrm>
                    <a:prstGeom prst="rect">
                      <a:avLst/>
                    </a:prstGeom>
                    <a:noFill/>
                  </pic:spPr>
                </pic:pic>
              </a:graphicData>
            </a:graphic>
          </wp:inline>
        </w:drawing>
      </w:r>
    </w:p>
    <w:p w:rsidR="00B243BA" w:rsidRPr="00FB01AA" w:rsidRDefault="00B243BA" w:rsidP="00D62322">
      <w:pPr>
        <w:pStyle w:val="H-Standard"/>
        <w:jc w:val="center"/>
        <w:rPr>
          <w:sz w:val="18"/>
        </w:rPr>
      </w:pPr>
    </w:p>
    <w:p w:rsidR="00112124" w:rsidRPr="00FB01AA" w:rsidRDefault="00112124">
      <w:pPr>
        <w:spacing w:after="0" w:line="240" w:lineRule="auto"/>
        <w:rPr>
          <w:rFonts w:ascii="Arial" w:hAnsi="Arial" w:cs="Arial"/>
          <w:b/>
          <w:color w:val="6F6F6F"/>
          <w:sz w:val="18"/>
          <w:szCs w:val="24"/>
        </w:rPr>
      </w:pPr>
      <w:bookmarkStart w:id="146" w:name="_Toc479677085"/>
      <w:r w:rsidRPr="00FB01AA">
        <w:rPr>
          <w:sz w:val="28"/>
        </w:rPr>
        <w:br w:type="page"/>
      </w:r>
    </w:p>
    <w:p w:rsidR="00F55E3B" w:rsidRPr="00FB01AA" w:rsidRDefault="00F55E3B" w:rsidP="00BB2B11">
      <w:pPr>
        <w:pStyle w:val="HHeading2"/>
        <w:rPr>
          <w:sz w:val="18"/>
        </w:rPr>
        <w:sectPr w:rsidR="00F55E3B" w:rsidRPr="00FB01AA" w:rsidSect="009F15D6">
          <w:type w:val="continuous"/>
          <w:pgSz w:w="11906" w:h="16838"/>
          <w:pgMar w:top="1418" w:right="1418" w:bottom="1418" w:left="1418" w:header="709" w:footer="709" w:gutter="0"/>
          <w:cols w:space="708"/>
          <w:docGrid w:linePitch="360"/>
        </w:sectPr>
      </w:pPr>
    </w:p>
    <w:p w:rsidR="00F55E3B" w:rsidRPr="00FB01AA" w:rsidRDefault="00BB2B11" w:rsidP="00BB2B11">
      <w:pPr>
        <w:pStyle w:val="HHeading2"/>
        <w:rPr>
          <w:sz w:val="18"/>
        </w:rPr>
        <w:sectPr w:rsidR="00F55E3B" w:rsidRPr="00FB01AA" w:rsidSect="00F862B0">
          <w:type w:val="continuous"/>
          <w:pgSz w:w="11906" w:h="16838"/>
          <w:pgMar w:top="1418" w:right="1418" w:bottom="1418" w:left="1418" w:header="709" w:footer="709" w:gutter="0"/>
          <w:cols w:space="397"/>
          <w:docGrid w:linePitch="360"/>
        </w:sectPr>
      </w:pPr>
      <w:bookmarkStart w:id="147" w:name="_Toc493497721"/>
      <w:bookmarkStart w:id="148" w:name="_Toc498506724"/>
      <w:r w:rsidRPr="00FB01AA">
        <w:rPr>
          <w:sz w:val="18"/>
        </w:rPr>
        <w:lastRenderedPageBreak/>
        <w:t>СТЪПКА 2: Планиране на дейностите за оценка на равнището на МГД</w:t>
      </w:r>
      <w:bookmarkEnd w:id="146"/>
      <w:bookmarkEnd w:id="147"/>
      <w:bookmarkEnd w:id="148"/>
    </w:p>
    <w:p w:rsidR="00F55E3B" w:rsidRDefault="00FB28B9" w:rsidP="00BB2B11">
      <w:pPr>
        <w:pStyle w:val="HHeading5"/>
        <w:rPr>
          <w:sz w:val="18"/>
        </w:rPr>
      </w:pPr>
      <w:r>
        <w:rPr>
          <w:noProof/>
          <w:sz w:val="18"/>
          <w:lang w:val="en-GB" w:eastAsia="en-GB" w:bidi="ar-SA"/>
        </w:rPr>
        <w:drawing>
          <wp:inline distT="0" distB="0" distL="0" distR="0" wp14:anchorId="3AAADB6B" wp14:editId="47B06D70">
            <wp:extent cx="5809671" cy="1903228"/>
            <wp:effectExtent l="0" t="0" r="635" b="1905"/>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29694" cy="1909787"/>
                    </a:xfrm>
                    <a:prstGeom prst="rect">
                      <a:avLst/>
                    </a:prstGeom>
                    <a:noFill/>
                  </pic:spPr>
                </pic:pic>
              </a:graphicData>
            </a:graphic>
          </wp:inline>
        </w:drawing>
      </w:r>
    </w:p>
    <w:p w:rsidR="00FB28B9" w:rsidRDefault="00FB28B9" w:rsidP="00FB28B9">
      <w:pPr>
        <w:pStyle w:val="HStandard"/>
      </w:pPr>
    </w:p>
    <w:p w:rsidR="00FB28B9" w:rsidRPr="00FB28B9" w:rsidRDefault="00FB28B9" w:rsidP="00FB28B9">
      <w:pPr>
        <w:pStyle w:val="HStandard"/>
        <w:sectPr w:rsidR="00FB28B9" w:rsidRPr="00FB28B9" w:rsidSect="009F15D6">
          <w:type w:val="continuous"/>
          <w:pgSz w:w="11906" w:h="16838"/>
          <w:pgMar w:top="1418" w:right="1418" w:bottom="1418" w:left="1418" w:header="709" w:footer="709" w:gutter="0"/>
          <w:cols w:space="708"/>
          <w:docGrid w:linePitch="360"/>
        </w:sectPr>
      </w:pPr>
    </w:p>
    <w:p w:rsidR="00BB2B11" w:rsidRPr="00FB01AA" w:rsidRDefault="00AD412D" w:rsidP="00BB2B11">
      <w:pPr>
        <w:pStyle w:val="HHeading5"/>
        <w:rPr>
          <w:sz w:val="18"/>
        </w:rPr>
      </w:pPr>
      <w:r w:rsidRPr="00FB01AA">
        <w:rPr>
          <w:sz w:val="18"/>
        </w:rPr>
        <w:t xml:space="preserve">а) Подготовка за оценката на дейностите на МГД </w:t>
      </w:r>
      <w:r w:rsidRPr="00FB01AA">
        <w:rPr>
          <w:b w:val="0"/>
          <w:sz w:val="18"/>
        </w:rPr>
        <w:t>(препоръчително)  </w:t>
      </w:r>
    </w:p>
    <w:p w:rsidR="00BB2B11" w:rsidRPr="00FB01AA" w:rsidRDefault="00BB2B11" w:rsidP="002E02E3">
      <w:pPr>
        <w:pStyle w:val="HHeading5"/>
        <w:numPr>
          <w:ilvl w:val="0"/>
          <w:numId w:val="30"/>
        </w:numPr>
        <w:rPr>
          <w:color w:val="auto"/>
          <w:sz w:val="18"/>
        </w:rPr>
      </w:pPr>
      <w:r w:rsidRPr="00FB01AA">
        <w:rPr>
          <w:color w:val="373737" w:themeColor="background1" w:themeShade="40"/>
          <w:sz w:val="18"/>
        </w:rPr>
        <w:t>Проверка на съгласуваността на интервенционната логика на стратегията за ВОМР</w:t>
      </w:r>
      <w:r w:rsidRPr="00FB01AA">
        <w:rPr>
          <w:b w:val="0"/>
          <w:color w:val="373737" w:themeColor="background1" w:themeShade="40"/>
          <w:sz w:val="18"/>
        </w:rPr>
        <w:t xml:space="preserve">(препоръчително) </w:t>
      </w:r>
      <w:r w:rsidRPr="00FB01AA">
        <w:rPr>
          <w:b w:val="0"/>
          <w:color w:val="auto"/>
          <w:sz w:val="18"/>
        </w:rPr>
        <w:t> </w:t>
      </w:r>
    </w:p>
    <w:p w:rsidR="00BB2B11" w:rsidRPr="00FB01AA" w:rsidRDefault="00BB2B11" w:rsidP="00BB2B11">
      <w:pPr>
        <w:pStyle w:val="HStandard"/>
        <w:rPr>
          <w:sz w:val="18"/>
        </w:rPr>
      </w:pPr>
      <w:r w:rsidRPr="00FB01AA">
        <w:rPr>
          <w:sz w:val="18"/>
        </w:rPr>
        <w:t xml:space="preserve">Изпълнението на стратегията за ВОМР е най-важната дейност на МГД. Посредством тази стратегия МГД цели да постигне промяна в територията на МГД и за населението на МГД. Интервенциите са пригодени да отговорят на най-важните потребности. Те работят за постигането на местните цели и произвеждат очакваните резултати и въздействия, които допринасят за добавената стойност на LEADER/ВОМР на местно равнище. Затова при оценката на стратегията е важно да се проучи в каква степен са били постигнати целите на местната стратегия (ефективност) и какви са били разходите за постигането на резултатите/въздействията (ефикасност). </w:t>
      </w:r>
    </w:p>
    <w:p w:rsidR="00BB2B11" w:rsidRPr="00FB01AA" w:rsidRDefault="00BB2B11" w:rsidP="00BB2B11">
      <w:pPr>
        <w:pStyle w:val="HStandard"/>
        <w:rPr>
          <w:sz w:val="18"/>
        </w:rPr>
      </w:pPr>
      <w:r w:rsidRPr="00FB01AA">
        <w:rPr>
          <w:sz w:val="18"/>
        </w:rPr>
        <w:t>Отправната точка е</w:t>
      </w:r>
      <w:r w:rsidRPr="00FB01AA">
        <w:rPr>
          <w:b/>
          <w:sz w:val="18"/>
        </w:rPr>
        <w:t xml:space="preserve"> проверката на вътрешната и външната съгласуваност на интервенционната логика на стратегията за ВОМР</w:t>
      </w:r>
      <w:r w:rsidRPr="00FB01AA">
        <w:rPr>
          <w:sz w:val="18"/>
        </w:rPr>
        <w:t xml:space="preserve">. Интервенционната логика обикновено </w:t>
      </w:r>
      <w:r w:rsidR="00E7007B">
        <w:rPr>
          <w:sz w:val="18"/>
        </w:rPr>
        <w:t>вече е изградена</w:t>
      </w:r>
      <w:r w:rsidRPr="00FB01AA">
        <w:rPr>
          <w:sz w:val="18"/>
        </w:rPr>
        <w:t xml:space="preserve"> в хода на разработването на стратегията за ВОМР. Нейната последователност и </w:t>
      </w:r>
      <w:r w:rsidR="00794736">
        <w:rPr>
          <w:sz w:val="18"/>
        </w:rPr>
        <w:t>умес</w:t>
      </w:r>
      <w:r w:rsidRPr="00FB01AA">
        <w:rPr>
          <w:sz w:val="18"/>
        </w:rPr>
        <w:t>тност следва да са били разгледани по време на подбора на МГД под ръководството на УО на ПРСР. Тъй като е възможно да са настъпили промени в района на МГД или в дизайна на политиката обаче, е полезно да се преразглежда интервенционната логика. Проверката на съгласуваността обхваща следните аспекти:</w:t>
      </w:r>
    </w:p>
    <w:p w:rsidR="00BB2B11" w:rsidRPr="00FB01AA" w:rsidRDefault="00BB2B11" w:rsidP="00BB2B11">
      <w:pPr>
        <w:pStyle w:val="Hlistbullet"/>
        <w:ind w:left="426" w:hanging="426"/>
        <w:rPr>
          <w:sz w:val="18"/>
        </w:rPr>
      </w:pPr>
      <w:r w:rsidRPr="00FB01AA">
        <w:rPr>
          <w:sz w:val="18"/>
        </w:rPr>
        <w:t>проверка на съгласуваността на стратегията за ВОМР с актуализирания SWOT анализ на територията на МГД (към момента на оценката/самооценката) и с оценката на нейните потребности (</w:t>
      </w:r>
      <w:r w:rsidR="00794736">
        <w:rPr>
          <w:sz w:val="18"/>
        </w:rPr>
        <w:t>умес</w:t>
      </w:r>
      <w:r w:rsidRPr="00FB01AA">
        <w:rPr>
          <w:b/>
          <w:sz w:val="18"/>
        </w:rPr>
        <w:t xml:space="preserve">тност). </w:t>
      </w:r>
      <w:r w:rsidRPr="00FB01AA">
        <w:rPr>
          <w:sz w:val="18"/>
        </w:rPr>
        <w:t>Стратегическите цели и очакваните резултати и въздействия</w:t>
      </w:r>
      <w:r w:rsidRPr="00FB01AA">
        <w:rPr>
          <w:sz w:val="18"/>
          <w:vertAlign w:val="superscript"/>
        </w:rPr>
        <w:footnoteReference w:id="54"/>
      </w:r>
      <w:r w:rsidRPr="00FB01AA">
        <w:rPr>
          <w:sz w:val="18"/>
        </w:rPr>
        <w:t xml:space="preserve"> трябва да отразяват потребностите на </w:t>
      </w:r>
      <w:r w:rsidR="00A769B7">
        <w:rPr>
          <w:sz w:val="18"/>
        </w:rPr>
        <w:t xml:space="preserve">района на </w:t>
      </w:r>
      <w:r w:rsidRPr="00FB01AA">
        <w:rPr>
          <w:sz w:val="18"/>
        </w:rPr>
        <w:t xml:space="preserve">МГД; </w:t>
      </w:r>
    </w:p>
    <w:p w:rsidR="00BB2B11" w:rsidRPr="00FB01AA" w:rsidRDefault="00BB2B11" w:rsidP="00BB2B11">
      <w:pPr>
        <w:pStyle w:val="Hlistbullet"/>
        <w:ind w:left="426" w:hanging="426"/>
        <w:rPr>
          <w:sz w:val="18"/>
        </w:rPr>
      </w:pPr>
      <w:r w:rsidRPr="00FB01AA">
        <w:rPr>
          <w:sz w:val="18"/>
        </w:rPr>
        <w:t xml:space="preserve">проверка на </w:t>
      </w:r>
      <w:r w:rsidRPr="00FB01AA">
        <w:rPr>
          <w:b/>
          <w:sz w:val="18"/>
        </w:rPr>
        <w:t>последователността</w:t>
      </w:r>
      <w:r w:rsidRPr="00FB01AA">
        <w:rPr>
          <w:sz w:val="18"/>
        </w:rPr>
        <w:t xml:space="preserve"> на стратегията за ВОМР чрез проучване дали планираните дейности и бюджети са достатъчни да произведат очакваните крайни продукти, резултати и въздействия. Могат ли дейностите да допринесат за постигането на йерархията на целите на стратегията (проверка на вътрешната съгласуваност)? В хармония ли са с целите за териториално развитие, установени на национално/регионално равнище (проверка на външната съгласуваност)? Могат ли очакваните крайни продукти да генерират очакваните резултати и въздействия (вертикална последователност)? До каква степен възникващите ефекти съответстват на стратегическите цели (хоризонтална последователност)?</w:t>
      </w:r>
    </w:p>
    <w:p w:rsidR="00BB2B11" w:rsidRPr="00FB01AA" w:rsidRDefault="00BB2B11" w:rsidP="00BB2B11">
      <w:pPr>
        <w:pStyle w:val="HStandard"/>
        <w:rPr>
          <w:sz w:val="18"/>
        </w:rPr>
      </w:pPr>
      <w:r w:rsidRPr="00FB01AA">
        <w:rPr>
          <w:sz w:val="18"/>
        </w:rPr>
        <w:t xml:space="preserve">Ако се установят несъответствия, интервенционната логика следва да бъде преразгледана, като за целта се мине по следните стъпки: </w:t>
      </w:r>
    </w:p>
    <w:p w:rsidR="00BB2B11" w:rsidRPr="00FB01AA" w:rsidRDefault="00BB2B11" w:rsidP="00BB2B11">
      <w:pPr>
        <w:pStyle w:val="Hlistbullet"/>
        <w:ind w:left="426" w:hanging="426"/>
        <w:rPr>
          <w:sz w:val="18"/>
        </w:rPr>
      </w:pPr>
      <w:r w:rsidRPr="00FB01AA">
        <w:rPr>
          <w:sz w:val="18"/>
        </w:rPr>
        <w:lastRenderedPageBreak/>
        <w:t xml:space="preserve">преглед на йерархията на целите, очакваните крайни продукти и резултати (т.е. обмисляне на възможни промени) от гледна точка на тяхната </w:t>
      </w:r>
      <w:r w:rsidR="00794736">
        <w:rPr>
          <w:sz w:val="18"/>
        </w:rPr>
        <w:t>умес</w:t>
      </w:r>
      <w:r w:rsidRPr="00FB01AA">
        <w:rPr>
          <w:sz w:val="18"/>
        </w:rPr>
        <w:t>тност за задоволяването на установените потребности и потенциал;</w:t>
      </w:r>
    </w:p>
    <w:p w:rsidR="00BB2B11" w:rsidRPr="00FB01AA" w:rsidRDefault="00BB2B11" w:rsidP="00BB2B11">
      <w:pPr>
        <w:pStyle w:val="Hlistbullet"/>
        <w:ind w:left="426" w:hanging="426"/>
        <w:rPr>
          <w:sz w:val="18"/>
        </w:rPr>
      </w:pPr>
      <w:r w:rsidRPr="00FB01AA">
        <w:rPr>
          <w:sz w:val="18"/>
        </w:rPr>
        <w:t>коригиране, допълване или предефиниране на целите, очакваните крайни продукти и резултати, ако бъдат установени структурни пропуски или неясноти;</w:t>
      </w:r>
    </w:p>
    <w:p w:rsidR="00236137" w:rsidRPr="00FB01AA" w:rsidRDefault="00BB2B11" w:rsidP="00236137">
      <w:pPr>
        <w:pStyle w:val="Hlistbullet"/>
        <w:ind w:left="426" w:hanging="426"/>
        <w:rPr>
          <w:sz w:val="18"/>
        </w:rPr>
      </w:pPr>
      <w:r w:rsidRPr="00FB01AA">
        <w:rPr>
          <w:sz w:val="18"/>
        </w:rPr>
        <w:t>проверка на вертикалната и хоризонталната последователност на адаптираната интервенционна логика на стратегията за ВОМР</w:t>
      </w:r>
      <w:r w:rsidRPr="00FB01AA">
        <w:rPr>
          <w:color w:val="6F6F6F" w:themeColor="text1"/>
          <w:sz w:val="18"/>
          <w:vertAlign w:val="superscript"/>
        </w:rPr>
        <w:footnoteReference w:id="55"/>
      </w:r>
      <w:r w:rsidRPr="00FB01AA">
        <w:rPr>
          <w:sz w:val="18"/>
        </w:rPr>
        <w:t xml:space="preserve"> спрямо потребностите на района на МГД и спрямо по-широките регионални/национални/европейски цели.</w:t>
      </w:r>
    </w:p>
    <w:p w:rsidR="00BB2B11" w:rsidRPr="00FB01AA" w:rsidRDefault="00BB2B11" w:rsidP="002E02E3">
      <w:pPr>
        <w:pStyle w:val="HHeading5"/>
        <w:numPr>
          <w:ilvl w:val="0"/>
          <w:numId w:val="30"/>
        </w:numPr>
        <w:rPr>
          <w:color w:val="auto"/>
          <w:sz w:val="18"/>
        </w:rPr>
      </w:pPr>
      <w:r w:rsidRPr="00FB01AA">
        <w:rPr>
          <w:color w:val="373737" w:themeColor="background1" w:themeShade="40"/>
          <w:sz w:val="18"/>
        </w:rPr>
        <w:t>Свързване на интервенционната логика с оценъчните елементи на стратегията за ВОМР</w:t>
      </w:r>
      <w:r w:rsidRPr="00FB01AA">
        <w:rPr>
          <w:b w:val="0"/>
          <w:color w:val="373737" w:themeColor="background1" w:themeShade="40"/>
          <w:sz w:val="18"/>
        </w:rPr>
        <w:t>(препоръчително)</w:t>
      </w:r>
      <w:r w:rsidRPr="00FB01AA">
        <w:rPr>
          <w:b w:val="0"/>
          <w:color w:val="auto"/>
          <w:sz w:val="18"/>
        </w:rPr>
        <w:t xml:space="preserve">  </w:t>
      </w:r>
    </w:p>
    <w:p w:rsidR="00BB2B11" w:rsidRPr="00FB01AA" w:rsidRDefault="00BB2B11" w:rsidP="00BB2B11">
      <w:pPr>
        <w:pStyle w:val="HStandard"/>
        <w:rPr>
          <w:rFonts w:cs="Arial"/>
          <w:color w:val="161616" w:themeColor="background1" w:themeShade="1A"/>
          <w:sz w:val="18"/>
        </w:rPr>
      </w:pPr>
      <w:r w:rsidRPr="00FB01AA">
        <w:rPr>
          <w:sz w:val="18"/>
        </w:rPr>
        <w:t>Оценката/самооценката на стратегията за ВОМР се извършва с помощта на въпросите за оценка, критериите за преценка и показателите.</w:t>
      </w:r>
      <w:r w:rsidRPr="00FB01AA">
        <w:rPr>
          <w:b/>
          <w:sz w:val="18"/>
        </w:rPr>
        <w:t xml:space="preserve"> </w:t>
      </w:r>
      <w:r w:rsidRPr="00FB01AA">
        <w:rPr>
          <w:sz w:val="18"/>
        </w:rPr>
        <w:t>Обикновено тези оценъчни елементи се разработват от МГД</w:t>
      </w:r>
      <w:r w:rsidRPr="00FB01AA">
        <w:rPr>
          <w:rStyle w:val="FootnoteReference"/>
          <w:sz w:val="18"/>
        </w:rPr>
        <w:footnoteReference w:id="56"/>
      </w:r>
      <w:r w:rsidRPr="00FB01AA">
        <w:rPr>
          <w:color w:val="161616" w:themeColor="background1" w:themeShade="1A"/>
          <w:sz w:val="18"/>
        </w:rPr>
        <w:t xml:space="preserve">. </w:t>
      </w:r>
    </w:p>
    <w:p w:rsidR="00BB2B11" w:rsidRPr="00FB28B9" w:rsidRDefault="00BB2B11" w:rsidP="00BB2B11">
      <w:pPr>
        <w:pStyle w:val="H-Standard"/>
        <w:rPr>
          <w:spacing w:val="-4"/>
          <w:sz w:val="18"/>
        </w:rPr>
      </w:pPr>
      <w:r w:rsidRPr="00FB28B9">
        <w:rPr>
          <w:b/>
          <w:spacing w:val="-4"/>
          <w:sz w:val="18"/>
        </w:rPr>
        <w:t>Въпросите за оценка</w:t>
      </w:r>
      <w:r w:rsidRPr="00FB28B9">
        <w:rPr>
          <w:spacing w:val="-4"/>
          <w:sz w:val="18"/>
        </w:rPr>
        <w:t xml:space="preserve"> се отнасят до степента, в която са постигнати целите на стратегията. С </w:t>
      </w:r>
      <w:r w:rsidRPr="00FB28B9">
        <w:rPr>
          <w:b/>
          <w:spacing w:val="-4"/>
          <w:sz w:val="18"/>
        </w:rPr>
        <w:t>критериите за преценка</w:t>
      </w:r>
      <w:r w:rsidRPr="00FB28B9">
        <w:rPr>
          <w:spacing w:val="-4"/>
          <w:sz w:val="18"/>
        </w:rPr>
        <w:t xml:space="preserve"> се уточнява доколко успешно са постигнати тези цели. </w:t>
      </w:r>
      <w:r w:rsidRPr="00FB28B9">
        <w:rPr>
          <w:b/>
          <w:spacing w:val="-4"/>
          <w:sz w:val="18"/>
        </w:rPr>
        <w:t>Показателите</w:t>
      </w:r>
      <w:r w:rsidRPr="00FB28B9">
        <w:rPr>
          <w:spacing w:val="-4"/>
          <w:sz w:val="18"/>
        </w:rPr>
        <w:t xml:space="preserve"> се използват за събиране на доказателства, които позволяват да се отговори на въпросите за оценка. </w:t>
      </w:r>
    </w:p>
    <w:p w:rsidR="00FC215A" w:rsidRPr="00FB01AA" w:rsidRDefault="00BB2B11" w:rsidP="00FC215A">
      <w:pPr>
        <w:pStyle w:val="H-Standard"/>
        <w:rPr>
          <w:sz w:val="18"/>
        </w:rPr>
      </w:pPr>
      <w:r w:rsidRPr="00FB01AA">
        <w:rPr>
          <w:sz w:val="18"/>
        </w:rPr>
        <w:t xml:space="preserve">Оценъчните елементи следва да бъдат съгласувани с целите и очакваните ефекти, определени в интервенционната логика на стратегията. Например, ако целта е „Стимулиране на възникването на нови микропредприятия и подобряване на конкурентоспособността на съществуващите такива в хранително-вкусовия сектор чрез подкрепа за диверсификацията и </w:t>
      </w:r>
      <w:r w:rsidRPr="00FB01AA">
        <w:rPr>
          <w:sz w:val="18"/>
        </w:rPr>
        <w:t>създаването на добавена стойност“, би могло да се използват оценъчните елементи, показани в инструмента по-долу.</w:t>
      </w:r>
    </w:p>
    <w:p w:rsidR="00F55E3B" w:rsidRPr="00FB01AA" w:rsidRDefault="00F55E3B" w:rsidP="00FC215A">
      <w:pPr>
        <w:pStyle w:val="H-Standard"/>
        <w:rPr>
          <w:sz w:val="18"/>
        </w:rPr>
      </w:pPr>
    </w:p>
    <w:p w:rsidR="00F55E3B" w:rsidRPr="00FB01AA" w:rsidRDefault="00F55E3B" w:rsidP="00FC215A">
      <w:pPr>
        <w:pStyle w:val="H-Standard"/>
        <w:rPr>
          <w:sz w:val="18"/>
        </w:rPr>
        <w:sectPr w:rsidR="00F55E3B" w:rsidRPr="00FB01AA" w:rsidSect="00F55E3B">
          <w:type w:val="continuous"/>
          <w:pgSz w:w="11906" w:h="16838"/>
          <w:pgMar w:top="1418" w:right="1418" w:bottom="1418" w:left="1418" w:header="709" w:footer="709" w:gutter="0"/>
          <w:cols w:num="2" w:space="397"/>
          <w:docGrid w:linePitch="360"/>
        </w:sectPr>
      </w:pPr>
    </w:p>
    <w:p w:rsidR="00D62322" w:rsidRPr="00FB01AA" w:rsidRDefault="00D62322" w:rsidP="00D62322">
      <w:pPr>
        <w:pStyle w:val="HHeadingFigure"/>
        <w:rPr>
          <w:sz w:val="14"/>
        </w:rPr>
      </w:pPr>
      <w:bookmarkStart w:id="149" w:name="_Toc493497741"/>
      <w:bookmarkStart w:id="150" w:name="_Toc498507101"/>
      <w:r w:rsidRPr="00FB01AA">
        <w:rPr>
          <w:sz w:val="14"/>
        </w:rPr>
        <w:lastRenderedPageBreak/>
        <w:t>Проверка на съгласуваността между интервенционната логика на ВОМР и оценъчните елементи</w:t>
      </w:r>
      <w:bookmarkEnd w:id="149"/>
      <w:bookmarkEnd w:id="150"/>
      <w:r w:rsidRPr="00FB01AA">
        <w:rPr>
          <w:sz w:val="14"/>
        </w:rPr>
        <w:t xml:space="preserve"> </w:t>
      </w:r>
    </w:p>
    <w:p w:rsidR="00FB28B9" w:rsidRPr="00FB01AA" w:rsidRDefault="00FB28B9" w:rsidP="00D62322">
      <w:pPr>
        <w:pStyle w:val="HStandard"/>
        <w:jc w:val="center"/>
        <w:rPr>
          <w:sz w:val="18"/>
        </w:rPr>
      </w:pPr>
      <w:r>
        <w:rPr>
          <w:noProof/>
          <w:sz w:val="18"/>
          <w:lang w:val="en-GB" w:eastAsia="en-GB" w:bidi="ar-SA"/>
        </w:rPr>
        <w:drawing>
          <wp:inline distT="0" distB="0" distL="0" distR="0" wp14:anchorId="734408D8" wp14:editId="14144E52">
            <wp:extent cx="5746067" cy="2860158"/>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59721" cy="2866955"/>
                    </a:xfrm>
                    <a:prstGeom prst="rect">
                      <a:avLst/>
                    </a:prstGeom>
                    <a:noFill/>
                  </pic:spPr>
                </pic:pic>
              </a:graphicData>
            </a:graphic>
          </wp:inline>
        </w:drawing>
      </w:r>
    </w:p>
    <w:p w:rsidR="00D62322" w:rsidRPr="00FB01AA" w:rsidRDefault="00D62322" w:rsidP="00D62322">
      <w:pPr>
        <w:suppressAutoHyphens/>
        <w:spacing w:before="60" w:after="140" w:line="240" w:lineRule="auto"/>
        <w:jc w:val="center"/>
        <w:rPr>
          <w:rFonts w:ascii="Arial" w:hAnsi="Arial"/>
          <w:i/>
          <w:color w:val="6E6E6E" w:themeColor="background1" w:themeShade="80"/>
          <w:sz w:val="14"/>
          <w:szCs w:val="24"/>
        </w:rPr>
      </w:pPr>
      <w:r w:rsidRPr="00FB01AA">
        <w:rPr>
          <w:rFonts w:ascii="Arial" w:hAnsi="Arial"/>
          <w:i/>
          <w:color w:val="6E6E6E" w:themeColor="background1" w:themeShade="80"/>
          <w:sz w:val="14"/>
        </w:rPr>
        <w:t>Източник: Европейско бюро за оценка в областта на развитието на селските райони, 2017 г.</w:t>
      </w:r>
    </w:p>
    <w:p w:rsidR="002F71EB" w:rsidRPr="00FB01AA" w:rsidRDefault="002F71EB" w:rsidP="002F71EB">
      <w:pPr>
        <w:pStyle w:val="HHeadingmaps"/>
        <w:numPr>
          <w:ilvl w:val="0"/>
          <w:numId w:val="0"/>
        </w:numPr>
        <w:ind w:left="360"/>
        <w:rPr>
          <w:sz w:val="14"/>
        </w:rPr>
      </w:pPr>
      <w:r w:rsidRPr="00FB01AA">
        <w:rPr>
          <w:sz w:val="14"/>
        </w:rPr>
        <w:br w:type="page"/>
      </w:r>
    </w:p>
    <w:p w:rsidR="00335BB3" w:rsidRPr="00FB01AA" w:rsidRDefault="00F862B0" w:rsidP="00BB2B11">
      <w:pPr>
        <w:pStyle w:val="H-Standard"/>
        <w:rPr>
          <w:sz w:val="18"/>
        </w:rPr>
        <w:sectPr w:rsidR="00335BB3" w:rsidRPr="00FB01AA" w:rsidSect="009F15D6">
          <w:type w:val="continuous"/>
          <w:pgSz w:w="11906" w:h="16838"/>
          <w:pgMar w:top="1418" w:right="1418" w:bottom="1418" w:left="1418" w:header="709" w:footer="709" w:gutter="0"/>
          <w:cols w:space="708"/>
          <w:docGrid w:linePitch="360"/>
        </w:sectPr>
      </w:pPr>
      <w:r w:rsidRPr="00FB01AA">
        <w:rPr>
          <w:noProof/>
          <w:sz w:val="18"/>
          <w:lang w:val="en-GB" w:eastAsia="en-GB" w:bidi="ar-SA"/>
        </w:rPr>
        <w:lastRenderedPageBreak/>
        <mc:AlternateContent>
          <mc:Choice Requires="wps">
            <w:drawing>
              <wp:anchor distT="0" distB="0" distL="114300" distR="114300" simplePos="0" relativeHeight="251654144" behindDoc="0" locked="0" layoutInCell="1" allowOverlap="1" wp14:anchorId="6A0D4FF7" wp14:editId="1BC1AF11">
                <wp:simplePos x="0" y="0"/>
                <wp:positionH relativeFrom="column">
                  <wp:posOffset>813</wp:posOffset>
                </wp:positionH>
                <wp:positionV relativeFrom="paragraph">
                  <wp:posOffset>813</wp:posOffset>
                </wp:positionV>
                <wp:extent cx="6126480" cy="4229100"/>
                <wp:effectExtent l="0" t="0" r="26670" b="19050"/>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4229100"/>
                        </a:xfrm>
                        <a:prstGeom prst="round2DiagRect">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DBF" w:rsidRPr="00B30A98" w:rsidRDefault="00D21DBF"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67722492" wp14:editId="20F1D58D">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Примерни оценъчни елементи за оценката на стратегията за ВОМР  </w:t>
                            </w:r>
                            <w:r>
                              <w:rPr>
                                <w:rFonts w:ascii="Arial" w:hAnsi="Arial" w:cs="Arial"/>
                                <w:b/>
                                <w:color w:val="F07E31" w:themeColor="background2"/>
                                <w:sz w:val="20"/>
                                <w:szCs w:val="20"/>
                              </w:rPr>
                              <w:br/>
                            </w:r>
                            <w:r>
                              <w:rPr>
                                <w:rFonts w:ascii="Arial" w:hAnsi="Arial"/>
                                <w:b/>
                                <w:color w:val="F07E31" w:themeColor="background2"/>
                                <w:sz w:val="20"/>
                              </w:rPr>
                              <w:t>(задължителен компонент)</w:t>
                            </w:r>
                          </w:p>
                          <w:tbl>
                            <w:tblPr>
                              <w:tblW w:w="0" w:type="auto"/>
                              <w:tblCellMar>
                                <w:top w:w="15" w:type="dxa"/>
                                <w:left w:w="15" w:type="dxa"/>
                                <w:bottom w:w="15" w:type="dxa"/>
                                <w:right w:w="15" w:type="dxa"/>
                              </w:tblCellMar>
                              <w:tblLook w:val="04A0" w:firstRow="1" w:lastRow="0" w:firstColumn="1" w:lastColumn="0" w:noHBand="0" w:noVBand="1"/>
                            </w:tblPr>
                            <w:tblGrid>
                              <w:gridCol w:w="2483"/>
                              <w:gridCol w:w="2588"/>
                              <w:gridCol w:w="2277"/>
                              <w:gridCol w:w="1521"/>
                            </w:tblGrid>
                            <w:tr w:rsidR="00D21DBF">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D21DBF" w:rsidRPr="000458AF" w:rsidRDefault="00D21DBF"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Въпроси за оценка</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D21DBF" w:rsidRPr="000458AF" w:rsidRDefault="00D21DBF"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Критерии за преценка</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D21DBF" w:rsidRPr="000458AF" w:rsidRDefault="00D21DBF"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Показатели</w:t>
                                  </w:r>
                                </w:p>
                              </w:tc>
                            </w:tr>
                            <w:tr w:rsidR="00D21DBF">
                              <w:trPr>
                                <w:trHeight w:val="102"/>
                              </w:trPr>
                              <w:tc>
                                <w:tcPr>
                                  <w:tcW w:w="0" w:type="auto"/>
                                  <w:vMerge/>
                                  <w:tcBorders>
                                    <w:right w:val="single" w:sz="4" w:space="0" w:color="FFFFFF" w:themeColor="accent1"/>
                                  </w:tcBorders>
                                  <w:shd w:val="clear" w:color="auto" w:fill="F07E31" w:themeFill="background2"/>
                                  <w:vAlign w:val="center"/>
                                  <w:hideMark/>
                                </w:tcPr>
                                <w:p w:rsidR="00D21DBF" w:rsidRPr="000458AF" w:rsidRDefault="00D21DBF"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D21DBF" w:rsidRPr="000458AF" w:rsidRDefault="00D21DBF"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D21DBF" w:rsidRPr="000458AF" w:rsidRDefault="00D21DBF"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Показатели за крайни продукти</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D21DBF" w:rsidRPr="000458AF" w:rsidRDefault="00D21DBF"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Показатели за резултати</w:t>
                                  </w:r>
                                </w:p>
                              </w:tc>
                            </w:tr>
                            <w:tr w:rsidR="00D21DBF" w:rsidTr="003112E6">
                              <w:trPr>
                                <w:trHeight w:val="366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B30A98" w:rsidRDefault="00D21DBF" w:rsidP="00632933">
                                  <w:pPr>
                                    <w:pStyle w:val="Htableleft"/>
                                    <w:rPr>
                                      <w:rFonts w:cs="Arial"/>
                                      <w:color w:val="373737"/>
                                    </w:rPr>
                                  </w:pPr>
                                  <w:r>
                                    <w:rPr>
                                      <w:color w:val="373737"/>
                                    </w:rPr>
                                    <w:t>„До каква степен стратегията за ВОМР е успяла да стимулира възникването на нови микропредприятия и да подобри конкурентоспособността на съществуващите такива?“</w:t>
                                  </w:r>
                                </w:p>
                                <w:p w:rsidR="00D21DBF" w:rsidRPr="00B30A98" w:rsidRDefault="00D21DBF"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B30A98" w:rsidRDefault="00D21DBF" w:rsidP="00632933">
                                  <w:pPr>
                                    <w:pStyle w:val="Htablebullet"/>
                                    <w:rPr>
                                      <w:rFonts w:ascii="Arial" w:hAnsi="Arial"/>
                                      <w:color w:val="373737"/>
                                    </w:rPr>
                                  </w:pPr>
                                  <w:r>
                                    <w:rPr>
                                      <w:rFonts w:ascii="Arial" w:hAnsi="Arial"/>
                                      <w:color w:val="373737"/>
                                    </w:rPr>
                                    <w:t>Създадени са малки предприятия.</w:t>
                                  </w:r>
                                </w:p>
                                <w:p w:rsidR="00D21DBF" w:rsidRPr="00B30A98" w:rsidRDefault="00D21DBF" w:rsidP="00632933">
                                  <w:pPr>
                                    <w:pStyle w:val="Htablebullet"/>
                                    <w:rPr>
                                      <w:rFonts w:ascii="Arial" w:hAnsi="Arial"/>
                                      <w:color w:val="373737"/>
                                    </w:rPr>
                                  </w:pPr>
                                  <w:r>
                                    <w:rPr>
                                      <w:rFonts w:ascii="Arial" w:hAnsi="Arial"/>
                                      <w:color w:val="373737"/>
                                    </w:rPr>
                                    <w:t>Стопанската дейност на малките предприятия се е диверсифицирала.</w:t>
                                  </w:r>
                                </w:p>
                                <w:p w:rsidR="00D21DBF" w:rsidRPr="00B30A98" w:rsidRDefault="00D21DBF" w:rsidP="00632933">
                                  <w:pPr>
                                    <w:pStyle w:val="Htablebullet"/>
                                    <w:rPr>
                                      <w:rFonts w:ascii="Arial" w:hAnsi="Arial"/>
                                      <w:color w:val="373737"/>
                                    </w:rPr>
                                  </w:pPr>
                                  <w:r>
                                    <w:rPr>
                                      <w:rFonts w:ascii="Arial" w:hAnsi="Arial"/>
                                      <w:color w:val="373737"/>
                                    </w:rPr>
                                    <w:t>Разнообразието на продуктите/предложенията на малките предприятия се е увеличило.</w:t>
                                  </w:r>
                                </w:p>
                                <w:p w:rsidR="00D21DBF" w:rsidRPr="00B30A98" w:rsidRDefault="00D21DBF" w:rsidP="00632933">
                                  <w:pPr>
                                    <w:pStyle w:val="Htablebullet"/>
                                    <w:rPr>
                                      <w:rFonts w:ascii="Arial" w:hAnsi="Arial"/>
                                      <w:color w:val="373737"/>
                                    </w:rPr>
                                  </w:pPr>
                                  <w:r>
                                    <w:rPr>
                                      <w:rFonts w:ascii="Arial" w:hAnsi="Arial"/>
                                      <w:color w:val="373737"/>
                                    </w:rPr>
                                    <w:t>Развили са се малки предприятия.</w:t>
                                  </w:r>
                                </w:p>
                                <w:p w:rsidR="00D21DBF" w:rsidRPr="00B30A98" w:rsidRDefault="00D21DBF" w:rsidP="00632933">
                                  <w:pPr>
                                    <w:pStyle w:val="Htablebullet"/>
                                    <w:rPr>
                                      <w:rFonts w:ascii="Arial" w:hAnsi="Arial"/>
                                      <w:color w:val="373737"/>
                                    </w:rPr>
                                  </w:pPr>
                                  <w:r>
                                    <w:rPr>
                                      <w:rFonts w:ascii="Arial" w:hAnsi="Arial"/>
                                      <w:color w:val="373737"/>
                                    </w:rPr>
                                    <w:t>Разнообразието сред клиентите се е увеличило.</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B30A98" w:rsidRDefault="00D21DBF" w:rsidP="00632933">
                                  <w:pPr>
                                    <w:pStyle w:val="Htablebullet"/>
                                    <w:ind w:left="174" w:hanging="174"/>
                                    <w:rPr>
                                      <w:rFonts w:ascii="Arial" w:hAnsi="Arial"/>
                                      <w:color w:val="373737"/>
                                    </w:rPr>
                                  </w:pPr>
                                  <w:r>
                                    <w:rPr>
                                      <w:rFonts w:ascii="Arial" w:hAnsi="Arial"/>
                                      <w:color w:val="373737"/>
                                    </w:rPr>
                                    <w:t>Брой на подкрепените малки предприятия</w:t>
                                  </w:r>
                                </w:p>
                                <w:p w:rsidR="00D21DBF" w:rsidRPr="00B30A98" w:rsidRDefault="00D21DBF" w:rsidP="00632933">
                                  <w:pPr>
                                    <w:pStyle w:val="Htablebullet"/>
                                    <w:ind w:left="174" w:hanging="174"/>
                                    <w:rPr>
                                      <w:rFonts w:ascii="Arial" w:hAnsi="Arial"/>
                                      <w:color w:val="373737"/>
                                    </w:rPr>
                                  </w:pPr>
                                  <w:r>
                                    <w:rPr>
                                      <w:rFonts w:ascii="Arial" w:hAnsi="Arial"/>
                                      <w:color w:val="373737"/>
                                    </w:rPr>
                                    <w:t>Брой на новите продукти/предложения, разработени от подкрепени малки предприятия</w:t>
                                  </w:r>
                                </w:p>
                                <w:p w:rsidR="00D21DBF" w:rsidRPr="00B30A98" w:rsidRDefault="00D21DBF" w:rsidP="00632933">
                                  <w:pPr>
                                    <w:pStyle w:val="Htablebullet"/>
                                    <w:ind w:left="174" w:hanging="174"/>
                                    <w:rPr>
                                      <w:rFonts w:ascii="Arial" w:hAnsi="Arial"/>
                                      <w:color w:val="373737"/>
                                    </w:rPr>
                                  </w:pPr>
                                  <w:r>
                                    <w:rPr>
                                      <w:rFonts w:ascii="Arial" w:hAnsi="Arial"/>
                                      <w:color w:val="373737"/>
                                    </w:rPr>
                                    <w:t>Общ обем на инвестициите по подкрепените проекти</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B30A98" w:rsidRDefault="00D21DBF" w:rsidP="00632933">
                                  <w:pPr>
                                    <w:pStyle w:val="Htablebullet"/>
                                    <w:ind w:left="185" w:hanging="185"/>
                                    <w:rPr>
                                      <w:rFonts w:ascii="Arial" w:hAnsi="Arial"/>
                                      <w:color w:val="373737"/>
                                    </w:rPr>
                                  </w:pPr>
                                  <w:r>
                                    <w:rPr>
                                      <w:rFonts w:ascii="Arial" w:hAnsi="Arial"/>
                                      <w:color w:val="373737"/>
                                    </w:rPr>
                                    <w:t>Работни места, разкрити по подкрепените проекти</w:t>
                                  </w:r>
                                </w:p>
                                <w:p w:rsidR="00D21DBF" w:rsidRPr="00B30A98" w:rsidRDefault="00D21DBF" w:rsidP="00632933">
                                  <w:pPr>
                                    <w:pStyle w:val="Htablebullet"/>
                                    <w:ind w:left="185" w:hanging="185"/>
                                    <w:rPr>
                                      <w:rFonts w:ascii="Arial" w:hAnsi="Arial"/>
                                      <w:color w:val="373737"/>
                                    </w:rPr>
                                  </w:pPr>
                                  <w:r>
                                    <w:rPr>
                                      <w:rFonts w:ascii="Arial" w:hAnsi="Arial"/>
                                      <w:color w:val="373737"/>
                                    </w:rPr>
                                    <w:t>Брутна добавена стойност на подкрепените малки предприятия</w:t>
                                  </w:r>
                                </w:p>
                                <w:p w:rsidR="00D21DBF" w:rsidRPr="00B30A98" w:rsidRDefault="00D21DBF" w:rsidP="00632933">
                                  <w:pPr>
                                    <w:pStyle w:val="Htablebullet"/>
                                    <w:ind w:left="185" w:hanging="185"/>
                                    <w:rPr>
                                      <w:rFonts w:ascii="Arial" w:hAnsi="Arial"/>
                                      <w:color w:val="373737"/>
                                    </w:rPr>
                                  </w:pPr>
                                  <w:r>
                                    <w:rPr>
                                      <w:rFonts w:ascii="Arial" w:hAnsi="Arial"/>
                                      <w:color w:val="373737"/>
                                    </w:rPr>
                                    <w:t>Увеличаване на броя и различни видове клиенти</w:t>
                                  </w:r>
                                </w:p>
                              </w:tc>
                            </w:tr>
                          </w:tbl>
                          <w:p w:rsidR="00D21DBF" w:rsidRPr="00B30A98" w:rsidRDefault="00D21DBF"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D4FF7" id="Rectangle: Diagonal Corners Rounded 129" o:spid="_x0000_s1048" style="position:absolute;left:0;text-align:left;margin-left:.05pt;margin-top:.05pt;width:482.4pt;height:333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42291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" adj="-11796480,,5400" path="m704864,l6126480,r,l6126480,3524236v,389286,-315578,704864,-704864,704864l,4229100r,l,704864c,315578,315578,,704864,xe" fillcolor="white [3204]" strokecolor="#f07e31 [3214]" strokeweight="2pt">
                <v:stroke joinstyle="miter"/>
                <v:formulas/>
                <v:path arrowok="t" o:connecttype="custom" o:connectlocs="704864,0;6126480,0;6126480,0;6126480,3524236;5421616,4229100;0,4229100;0,4229100;0,704864;704864,0" o:connectangles="0,0,0,0,0,0,0,0,0" textboxrect="0,0,6126480,4229100"/>
                <v:textbox>
                  <w:txbxContent>
                    <w:p w:rsidR="00D21DBF" w:rsidRPr="00B30A98" w:rsidRDefault="00D21DBF"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67722492" wp14:editId="20F1D58D">
                            <wp:extent cx="353202" cy="360000"/>
                            <wp:effectExtent l="0" t="0" r="889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Примерни оценъчни елементи за оценката на стратегията за ВОМР  </w:t>
                      </w:r>
                      <w:r>
                        <w:rPr>
                          <w:rFonts w:ascii="Arial" w:hAnsi="Arial" w:cs="Arial"/>
                          <w:b/>
                          <w:color w:val="F07E31" w:themeColor="background2"/>
                          <w:sz w:val="20"/>
                          <w:szCs w:val="20"/>
                        </w:rPr>
                        <w:br/>
                      </w:r>
                      <w:r>
                        <w:rPr>
                          <w:rFonts w:ascii="Arial" w:hAnsi="Arial"/>
                          <w:b/>
                          <w:color w:val="F07E31" w:themeColor="background2"/>
                          <w:sz w:val="20"/>
                        </w:rPr>
                        <w:t>(задължителен компонент)</w:t>
                      </w:r>
                    </w:p>
                    <w:tbl>
                      <w:tblPr>
                        <w:tblW w:w="0" w:type="auto"/>
                        <w:tblCellMar>
                          <w:top w:w="15" w:type="dxa"/>
                          <w:left w:w="15" w:type="dxa"/>
                          <w:bottom w:w="15" w:type="dxa"/>
                          <w:right w:w="15" w:type="dxa"/>
                        </w:tblCellMar>
                        <w:tblLook w:val="04A0" w:firstRow="1" w:lastRow="0" w:firstColumn="1" w:lastColumn="0" w:noHBand="0" w:noVBand="1"/>
                      </w:tblPr>
                      <w:tblGrid>
                        <w:gridCol w:w="2483"/>
                        <w:gridCol w:w="2588"/>
                        <w:gridCol w:w="2277"/>
                        <w:gridCol w:w="1521"/>
                      </w:tblGrid>
                      <w:tr w:rsidR="00D21DBF">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D21DBF" w:rsidRPr="000458AF" w:rsidRDefault="00D21DBF"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Въпроси за оценка</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D21DBF" w:rsidRPr="000458AF" w:rsidRDefault="00D21DBF"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Критерии за преценка</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D21DBF" w:rsidRPr="000458AF" w:rsidRDefault="00D21DBF"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Показатели</w:t>
                            </w:r>
                          </w:p>
                        </w:tc>
                      </w:tr>
                      <w:tr w:rsidR="00D21DBF">
                        <w:trPr>
                          <w:trHeight w:val="102"/>
                        </w:trPr>
                        <w:tc>
                          <w:tcPr>
                            <w:tcW w:w="0" w:type="auto"/>
                            <w:vMerge/>
                            <w:tcBorders>
                              <w:right w:val="single" w:sz="4" w:space="0" w:color="FFFFFF" w:themeColor="accent1"/>
                            </w:tcBorders>
                            <w:shd w:val="clear" w:color="auto" w:fill="F07E31" w:themeFill="background2"/>
                            <w:vAlign w:val="center"/>
                            <w:hideMark/>
                          </w:tcPr>
                          <w:p w:rsidR="00D21DBF" w:rsidRPr="000458AF" w:rsidRDefault="00D21DBF"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D21DBF" w:rsidRPr="000458AF" w:rsidRDefault="00D21DBF"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D21DBF" w:rsidRPr="000458AF" w:rsidRDefault="00D21DBF"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Показатели за крайни продукти</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D21DBF" w:rsidRPr="000458AF" w:rsidRDefault="00D21DBF"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Показатели за резултати</w:t>
                            </w:r>
                          </w:p>
                        </w:tc>
                      </w:tr>
                      <w:tr w:rsidR="00D21DBF" w:rsidTr="003112E6">
                        <w:trPr>
                          <w:trHeight w:val="366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B30A98" w:rsidRDefault="00D21DBF" w:rsidP="00632933">
                            <w:pPr>
                              <w:pStyle w:val="Htableleft"/>
                              <w:rPr>
                                <w:rFonts w:cs="Arial"/>
                                <w:color w:val="373737"/>
                              </w:rPr>
                            </w:pPr>
                            <w:r>
                              <w:rPr>
                                <w:color w:val="373737"/>
                              </w:rPr>
                              <w:t>„До каква степен стратегията за ВОМР е успяла да стимулира възникването на нови микропредприятия и да подобри конкурентоспособността на съществуващите такива?“</w:t>
                            </w:r>
                          </w:p>
                          <w:p w:rsidR="00D21DBF" w:rsidRPr="00B30A98" w:rsidRDefault="00D21DBF"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B30A98" w:rsidRDefault="00D21DBF" w:rsidP="00632933">
                            <w:pPr>
                              <w:pStyle w:val="Htablebullet"/>
                              <w:rPr>
                                <w:rFonts w:ascii="Arial" w:hAnsi="Arial"/>
                                <w:color w:val="373737"/>
                              </w:rPr>
                            </w:pPr>
                            <w:r>
                              <w:rPr>
                                <w:rFonts w:ascii="Arial" w:hAnsi="Arial"/>
                                <w:color w:val="373737"/>
                              </w:rPr>
                              <w:t>Създадени са малки предприятия.</w:t>
                            </w:r>
                          </w:p>
                          <w:p w:rsidR="00D21DBF" w:rsidRPr="00B30A98" w:rsidRDefault="00D21DBF" w:rsidP="00632933">
                            <w:pPr>
                              <w:pStyle w:val="Htablebullet"/>
                              <w:rPr>
                                <w:rFonts w:ascii="Arial" w:hAnsi="Arial"/>
                                <w:color w:val="373737"/>
                              </w:rPr>
                            </w:pPr>
                            <w:r>
                              <w:rPr>
                                <w:rFonts w:ascii="Arial" w:hAnsi="Arial"/>
                                <w:color w:val="373737"/>
                              </w:rPr>
                              <w:t>Стопанската дейност на малките предприятия се е диверсифицирала.</w:t>
                            </w:r>
                          </w:p>
                          <w:p w:rsidR="00D21DBF" w:rsidRPr="00B30A98" w:rsidRDefault="00D21DBF" w:rsidP="00632933">
                            <w:pPr>
                              <w:pStyle w:val="Htablebullet"/>
                              <w:rPr>
                                <w:rFonts w:ascii="Arial" w:hAnsi="Arial"/>
                                <w:color w:val="373737"/>
                              </w:rPr>
                            </w:pPr>
                            <w:r>
                              <w:rPr>
                                <w:rFonts w:ascii="Arial" w:hAnsi="Arial"/>
                                <w:color w:val="373737"/>
                              </w:rPr>
                              <w:t>Разнообразието на продуктите/предложенията на малките предприятия се е увеличило.</w:t>
                            </w:r>
                          </w:p>
                          <w:p w:rsidR="00D21DBF" w:rsidRPr="00B30A98" w:rsidRDefault="00D21DBF" w:rsidP="00632933">
                            <w:pPr>
                              <w:pStyle w:val="Htablebullet"/>
                              <w:rPr>
                                <w:rFonts w:ascii="Arial" w:hAnsi="Arial"/>
                                <w:color w:val="373737"/>
                              </w:rPr>
                            </w:pPr>
                            <w:r>
                              <w:rPr>
                                <w:rFonts w:ascii="Arial" w:hAnsi="Arial"/>
                                <w:color w:val="373737"/>
                              </w:rPr>
                              <w:t>Развили са се малки предприятия.</w:t>
                            </w:r>
                          </w:p>
                          <w:p w:rsidR="00D21DBF" w:rsidRPr="00B30A98" w:rsidRDefault="00D21DBF" w:rsidP="00632933">
                            <w:pPr>
                              <w:pStyle w:val="Htablebullet"/>
                              <w:rPr>
                                <w:rFonts w:ascii="Arial" w:hAnsi="Arial"/>
                                <w:color w:val="373737"/>
                              </w:rPr>
                            </w:pPr>
                            <w:r>
                              <w:rPr>
                                <w:rFonts w:ascii="Arial" w:hAnsi="Arial"/>
                                <w:color w:val="373737"/>
                              </w:rPr>
                              <w:t>Разнообразието сред клиентите се е увеличило.</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B30A98" w:rsidRDefault="00D21DBF" w:rsidP="00632933">
                            <w:pPr>
                              <w:pStyle w:val="Htablebullet"/>
                              <w:ind w:left="174" w:hanging="174"/>
                              <w:rPr>
                                <w:rFonts w:ascii="Arial" w:hAnsi="Arial"/>
                                <w:color w:val="373737"/>
                              </w:rPr>
                            </w:pPr>
                            <w:r>
                              <w:rPr>
                                <w:rFonts w:ascii="Arial" w:hAnsi="Arial"/>
                                <w:color w:val="373737"/>
                              </w:rPr>
                              <w:t>Брой на подкрепените малки предприятия</w:t>
                            </w:r>
                          </w:p>
                          <w:p w:rsidR="00D21DBF" w:rsidRPr="00B30A98" w:rsidRDefault="00D21DBF" w:rsidP="00632933">
                            <w:pPr>
                              <w:pStyle w:val="Htablebullet"/>
                              <w:ind w:left="174" w:hanging="174"/>
                              <w:rPr>
                                <w:rFonts w:ascii="Arial" w:hAnsi="Arial"/>
                                <w:color w:val="373737"/>
                              </w:rPr>
                            </w:pPr>
                            <w:r>
                              <w:rPr>
                                <w:rFonts w:ascii="Arial" w:hAnsi="Arial"/>
                                <w:color w:val="373737"/>
                              </w:rPr>
                              <w:t>Брой на новите продукти/предложения, разработени от подкрепени малки предприятия</w:t>
                            </w:r>
                          </w:p>
                          <w:p w:rsidR="00D21DBF" w:rsidRPr="00B30A98" w:rsidRDefault="00D21DBF" w:rsidP="00632933">
                            <w:pPr>
                              <w:pStyle w:val="Htablebullet"/>
                              <w:ind w:left="174" w:hanging="174"/>
                              <w:rPr>
                                <w:rFonts w:ascii="Arial" w:hAnsi="Arial"/>
                                <w:color w:val="373737"/>
                              </w:rPr>
                            </w:pPr>
                            <w:r>
                              <w:rPr>
                                <w:rFonts w:ascii="Arial" w:hAnsi="Arial"/>
                                <w:color w:val="373737"/>
                              </w:rPr>
                              <w:t>Общ обем на инвестициите по подкрепените проекти</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B30A98" w:rsidRDefault="00D21DBF" w:rsidP="00632933">
                            <w:pPr>
                              <w:pStyle w:val="Htablebullet"/>
                              <w:ind w:left="185" w:hanging="185"/>
                              <w:rPr>
                                <w:rFonts w:ascii="Arial" w:hAnsi="Arial"/>
                                <w:color w:val="373737"/>
                              </w:rPr>
                            </w:pPr>
                            <w:r>
                              <w:rPr>
                                <w:rFonts w:ascii="Arial" w:hAnsi="Arial"/>
                                <w:color w:val="373737"/>
                              </w:rPr>
                              <w:t>Работни места, разкрити по подкрепените проекти</w:t>
                            </w:r>
                          </w:p>
                          <w:p w:rsidR="00D21DBF" w:rsidRPr="00B30A98" w:rsidRDefault="00D21DBF" w:rsidP="00632933">
                            <w:pPr>
                              <w:pStyle w:val="Htablebullet"/>
                              <w:ind w:left="185" w:hanging="185"/>
                              <w:rPr>
                                <w:rFonts w:ascii="Arial" w:hAnsi="Arial"/>
                                <w:color w:val="373737"/>
                              </w:rPr>
                            </w:pPr>
                            <w:r>
                              <w:rPr>
                                <w:rFonts w:ascii="Arial" w:hAnsi="Arial"/>
                                <w:color w:val="373737"/>
                              </w:rPr>
                              <w:t>Брутна добавена стойност на подкрепените малки предприятия</w:t>
                            </w:r>
                          </w:p>
                          <w:p w:rsidR="00D21DBF" w:rsidRPr="00B30A98" w:rsidRDefault="00D21DBF" w:rsidP="00632933">
                            <w:pPr>
                              <w:pStyle w:val="Htablebullet"/>
                              <w:ind w:left="185" w:hanging="185"/>
                              <w:rPr>
                                <w:rFonts w:ascii="Arial" w:hAnsi="Arial"/>
                                <w:color w:val="373737"/>
                              </w:rPr>
                            </w:pPr>
                            <w:r>
                              <w:rPr>
                                <w:rFonts w:ascii="Arial" w:hAnsi="Arial"/>
                                <w:color w:val="373737"/>
                              </w:rPr>
                              <w:t>Увеличаване на броя и различни видове клиенти</w:t>
                            </w:r>
                          </w:p>
                        </w:tc>
                      </w:tr>
                    </w:tbl>
                    <w:p w:rsidR="00D21DBF" w:rsidRPr="00B30A98" w:rsidRDefault="00D21DBF" w:rsidP="00F862B0">
                      <w:pPr>
                        <w:rPr>
                          <w:rFonts w:ascii="Arial" w:hAnsi="Arial" w:cs="Arial"/>
                          <w:color w:val="57825E" w:themeColor="accent4"/>
                          <w:sz w:val="20"/>
                          <w:szCs w:val="20"/>
                        </w:rPr>
                      </w:pPr>
                    </w:p>
                  </w:txbxContent>
                </v:textbox>
                <w10:wrap type="square"/>
              </v:shape>
            </w:pict>
          </mc:Fallback>
        </mc:AlternateContent>
      </w:r>
    </w:p>
    <w:p w:rsidR="00BB2B11" w:rsidRPr="00FB01AA" w:rsidRDefault="00154F5F" w:rsidP="00BB2B11">
      <w:pPr>
        <w:pStyle w:val="H-Standard"/>
        <w:rPr>
          <w:sz w:val="18"/>
        </w:rPr>
      </w:pPr>
      <w:r w:rsidRPr="00FB01AA">
        <w:rPr>
          <w:sz w:val="18"/>
        </w:rPr>
        <w:t>Ако целта е „</w:t>
      </w:r>
      <w:r w:rsidRPr="00FB01AA">
        <w:rPr>
          <w:color w:val="DDDDDD" w:themeColor="background1"/>
          <w:sz w:val="18"/>
          <w14:textFill>
            <w14:solidFill>
              <w14:schemeClr w14:val="bg1">
                <w14:lumMod w14:val="25000"/>
                <w14:lumMod w14:val="75000"/>
                <w14:lumMod w14:val="75000"/>
              </w14:schemeClr>
            </w14:solidFill>
          </w14:textFill>
        </w:rPr>
        <w:t xml:space="preserve">Засилване на предприемачеството и създаване на нови предприятия чрез </w:t>
      </w:r>
      <w:r w:rsidR="00F92654">
        <w:rPr>
          <w:color w:val="DDDDDD" w:themeColor="background1"/>
          <w:sz w:val="18"/>
          <w14:textFill>
            <w14:solidFill>
              <w14:schemeClr w14:val="bg1">
                <w14:lumMod w14:val="25000"/>
                <w14:lumMod w14:val="75000"/>
                <w14:lumMod w14:val="75000"/>
              </w14:schemeClr>
            </w14:solidFill>
          </w14:textFill>
        </w:rPr>
        <w:t>оползотворяване</w:t>
      </w:r>
      <w:r w:rsidRPr="00FB01AA">
        <w:rPr>
          <w:color w:val="DDDDDD" w:themeColor="background1"/>
          <w:sz w:val="18"/>
          <w14:textFill>
            <w14:solidFill>
              <w14:schemeClr w14:val="bg1">
                <w14:lumMod w14:val="25000"/>
                <w14:lumMod w14:val="75000"/>
                <w14:lumMod w14:val="75000"/>
              </w14:schemeClr>
            </w14:solidFill>
          </w14:textFill>
        </w:rPr>
        <w:t xml:space="preserve"> на местните ресурси и дейности за маркетинг</w:t>
      </w:r>
      <w:r w:rsidRPr="00FB01AA">
        <w:rPr>
          <w:sz w:val="18"/>
        </w:rPr>
        <w:t xml:space="preserve">“, нейното успешно изпълнение, изразено </w:t>
      </w:r>
      <w:r w:rsidR="003F350D">
        <w:rPr>
          <w:sz w:val="18"/>
        </w:rPr>
        <w:t>с</w:t>
      </w:r>
      <w:r w:rsidRPr="00FB01AA">
        <w:rPr>
          <w:sz w:val="18"/>
        </w:rPr>
        <w:t xml:space="preserve"> критерии за преценка, би изглеждало по следния начин:</w:t>
      </w:r>
      <w:r w:rsidRPr="00FB01AA">
        <w:rPr>
          <w:b/>
          <w:sz w:val="18"/>
        </w:rPr>
        <w:t xml:space="preserve"> „</w:t>
      </w:r>
      <w:r w:rsidRPr="00FB01AA">
        <w:rPr>
          <w:color w:val="DDDDDD" w:themeColor="background1"/>
          <w:sz w:val="18"/>
          <w14:textFill>
            <w14:solidFill>
              <w14:schemeClr w14:val="bg1">
                <w14:lumMod w14:val="25000"/>
                <w14:lumMod w14:val="75000"/>
                <w14:lumMod w14:val="75000"/>
              </w14:schemeClr>
            </w14:solidFill>
          </w14:textFill>
        </w:rPr>
        <w:t>повече нови предприятия</w:t>
      </w:r>
      <w:r w:rsidRPr="00FB01AA">
        <w:rPr>
          <w:b/>
          <w:sz w:val="18"/>
        </w:rPr>
        <w:t xml:space="preserve"> </w:t>
      </w:r>
      <w:r w:rsidRPr="00FB01AA">
        <w:rPr>
          <w:sz w:val="18"/>
        </w:rPr>
        <w:t xml:space="preserve">за производство на крайни местни продукти и разширяване на дела на местните продукти на пазара“. Показателите за събиране на </w:t>
      </w:r>
      <w:r w:rsidR="003F350D">
        <w:rPr>
          <w:sz w:val="18"/>
        </w:rPr>
        <w:t>тези данни</w:t>
      </w:r>
      <w:r w:rsidRPr="00FB01AA">
        <w:rPr>
          <w:sz w:val="18"/>
        </w:rPr>
        <w:t xml:space="preserve"> са броят на предприятията, броят на новите крайни местни продукти, пазарният дял на местните продукти.</w:t>
      </w:r>
    </w:p>
    <w:p w:rsidR="00BB2B11" w:rsidRPr="00FB28B9" w:rsidRDefault="00BB2B11" w:rsidP="00BB2B11">
      <w:pPr>
        <w:pStyle w:val="H-Standard"/>
        <w:rPr>
          <w:color w:val="DDDDDD" w:themeColor="background1"/>
          <w:spacing w:val="-4"/>
          <w:sz w:val="18"/>
          <w14:textFill>
            <w14:solidFill>
              <w14:schemeClr w14:val="bg1">
                <w14:lumMod w14:val="25000"/>
                <w14:lumMod w14:val="75000"/>
                <w14:lumMod w14:val="75000"/>
              </w14:schemeClr>
            </w14:solidFill>
          </w14:textFill>
        </w:rPr>
      </w:pPr>
      <w:r w:rsidRPr="00FB28B9">
        <w:rPr>
          <w:spacing w:val="-4"/>
          <w:sz w:val="18"/>
        </w:rPr>
        <w:t xml:space="preserve">Преди началото на оценката </w:t>
      </w:r>
      <w:r w:rsidRPr="00FB28B9">
        <w:rPr>
          <w:b/>
          <w:spacing w:val="-4"/>
          <w:sz w:val="18"/>
        </w:rPr>
        <w:t>МГД следва да провери съгласуваността</w:t>
      </w:r>
      <w:r w:rsidRPr="00FB28B9">
        <w:rPr>
          <w:spacing w:val="-4"/>
          <w:sz w:val="18"/>
        </w:rPr>
        <w:t xml:space="preserve"> между интервенционната логика на стратегията за ВОМР и въпросите за оценка и показателите. Съгласуваност е налице, когато целите на стратегията за ВОМР са обхванати в хоризонтални и специфични въпроси за оценка. В идеалния случай въпросите за оценка са пояснени с</w:t>
      </w:r>
      <w:r w:rsidRPr="00FB28B9">
        <w:rPr>
          <w:color w:val="DDDDDD" w:themeColor="background1"/>
          <w:spacing w:val="-4"/>
          <w:sz w:val="18"/>
          <w14:textFill>
            <w14:solidFill>
              <w14:schemeClr w14:val="bg1">
                <w14:lumMod w14:val="25000"/>
                <w14:lumMod w14:val="75000"/>
                <w14:lumMod w14:val="75000"/>
              </w14:schemeClr>
            </w14:solidFill>
          </w14:textFill>
        </w:rPr>
        <w:t xml:space="preserve"> критерии за преценка и са свързани с показатели за въздействие/</w:t>
      </w:r>
      <w:r w:rsidR="00CB22C2">
        <w:rPr>
          <w:color w:val="DDDDDD" w:themeColor="background1"/>
          <w:spacing w:val="-4"/>
          <w:sz w:val="18"/>
          <w14:textFill>
            <w14:solidFill>
              <w14:schemeClr w14:val="bg1">
                <w14:lumMod w14:val="25000"/>
                <w14:lumMod w14:val="75000"/>
                <w14:lumMod w14:val="75000"/>
              </w14:schemeClr>
            </w14:solidFill>
          </w14:textFill>
        </w:rPr>
        <w:t xml:space="preserve">за </w:t>
      </w:r>
      <w:r w:rsidRPr="00FB28B9">
        <w:rPr>
          <w:color w:val="DDDDDD" w:themeColor="background1"/>
          <w:spacing w:val="-4"/>
          <w:sz w:val="18"/>
          <w14:textFill>
            <w14:solidFill>
              <w14:schemeClr w14:val="bg1">
                <w14:lumMod w14:val="25000"/>
                <w14:lumMod w14:val="75000"/>
                <w14:lumMod w14:val="75000"/>
              </w14:schemeClr>
            </w14:solidFill>
          </w14:textFill>
        </w:rPr>
        <w:t>резултат, които се използват за измерване на въздействията и резултатите от стратегията</w:t>
      </w:r>
      <w:r w:rsidRPr="00FB28B9">
        <w:rPr>
          <w:color w:val="DDDDDD" w:themeColor="background1"/>
          <w:spacing w:val="-4"/>
          <w:sz w:val="18"/>
          <w:vertAlign w:val="superscript"/>
          <w14:textFill>
            <w14:solidFill>
              <w14:schemeClr w14:val="bg1">
                <w14:lumMod w14:val="25000"/>
                <w14:lumMod w14:val="75000"/>
                <w14:lumMod w14:val="75000"/>
              </w14:schemeClr>
            </w14:solidFill>
          </w14:textFill>
        </w:rPr>
        <w:t xml:space="preserve"> </w:t>
      </w:r>
      <w:r w:rsidRPr="00FB28B9">
        <w:rPr>
          <w:color w:val="DDDDDD" w:themeColor="background1"/>
          <w:spacing w:val="-4"/>
          <w:sz w:val="18"/>
          <w:vertAlign w:val="superscript"/>
          <w14:textFill>
            <w14:solidFill>
              <w14:schemeClr w14:val="bg1">
                <w14:lumMod w14:val="25000"/>
                <w14:lumMod w14:val="75000"/>
                <w14:lumMod w14:val="75000"/>
              </w14:schemeClr>
            </w14:solidFill>
          </w14:textFill>
        </w:rPr>
        <w:footnoteReference w:id="57"/>
      </w:r>
      <w:r w:rsidRPr="00FB28B9">
        <w:rPr>
          <w:color w:val="DDDDDD" w:themeColor="background1"/>
          <w:spacing w:val="-4"/>
          <w:sz w:val="18"/>
          <w14:textFill>
            <w14:solidFill>
              <w14:schemeClr w14:val="bg1">
                <w14:lumMod w14:val="25000"/>
                <w14:lumMod w14:val="75000"/>
                <w14:lumMod w14:val="75000"/>
              </w14:schemeClr>
            </w14:solidFill>
          </w14:textFill>
        </w:rPr>
        <w:t xml:space="preserve">. </w:t>
      </w:r>
    </w:p>
    <w:p w:rsidR="00BB2B11" w:rsidRPr="00FB01AA" w:rsidRDefault="00BB2B11" w:rsidP="00BB2B11">
      <w:pPr>
        <w:pStyle w:val="H-Standard"/>
        <w:rPr>
          <w:color w:val="DDDDDD" w:themeColor="background1"/>
          <w:sz w:val="18"/>
          <w14:textFill>
            <w14:solidFill>
              <w14:schemeClr w14:val="bg1">
                <w14:lumMod w14:val="25000"/>
                <w14:lumMod w14:val="75000"/>
                <w14:lumMod w14:val="75000"/>
              </w14:schemeClr>
            </w14:solidFill>
          </w14:textFill>
        </w:rPr>
      </w:pPr>
      <w:r w:rsidRPr="00FB01AA">
        <w:rPr>
          <w:color w:val="DDDDDD" w:themeColor="background1"/>
          <w:sz w:val="18"/>
          <w14:textFill>
            <w14:solidFill>
              <w14:schemeClr w14:val="bg1">
                <w14:lumMod w14:val="25000"/>
                <w14:lumMod w14:val="75000"/>
                <w14:lumMod w14:val="75000"/>
              </w14:schemeClr>
            </w14:solidFill>
          </w14:textFill>
        </w:rPr>
        <w:t xml:space="preserve">Тази проверка ще помогне на МГД да установят дали съществуват пропуски в съгласуваността между интервенционната логика на стратегията за ВОМР и оценъчните елементи (въпроси за оценка, критерии за преценка и показатели). Ако открият пропуски, МГД следва да преразгледат/допълнят оценъчните елементи. </w:t>
      </w:r>
    </w:p>
    <w:p w:rsidR="00BB2B11" w:rsidRPr="00FB01AA" w:rsidRDefault="00AD412D" w:rsidP="00BB2B11">
      <w:pPr>
        <w:pStyle w:val="HHeading5"/>
        <w:rPr>
          <w:color w:val="6E8967"/>
          <w:sz w:val="18"/>
        </w:rPr>
      </w:pPr>
      <w:r w:rsidRPr="00FB01AA">
        <w:rPr>
          <w:color w:val="6E8967"/>
          <w:sz w:val="18"/>
        </w:rPr>
        <w:t xml:space="preserve">б) Разработване на въпросите за оценка и на показателите, които са необходими за оценката на механизма за изпълнение на LEADER/ВОМР и на дейностите за популяризиране </w:t>
      </w:r>
      <w:r w:rsidRPr="00FB01AA">
        <w:rPr>
          <w:b w:val="0"/>
          <w:color w:val="6E8967"/>
          <w:sz w:val="18"/>
        </w:rPr>
        <w:t xml:space="preserve">(препоръчително) </w:t>
      </w:r>
    </w:p>
    <w:p w:rsidR="006C5F71" w:rsidRPr="00FB01AA" w:rsidRDefault="006C5F71" w:rsidP="00370643">
      <w:pPr>
        <w:pStyle w:val="HStandard"/>
        <w:rPr>
          <w:sz w:val="18"/>
        </w:rPr>
      </w:pPr>
      <w:r w:rsidRPr="00FB01AA">
        <w:rPr>
          <w:sz w:val="18"/>
        </w:rPr>
        <w:t xml:space="preserve">По време на етапа на изпълнение прилагането на метода LEADER следва да се гарантира чрез взаимодействието между подходящ механизъм за </w:t>
      </w:r>
      <w:r w:rsidRPr="00FB01AA">
        <w:rPr>
          <w:sz w:val="18"/>
        </w:rPr>
        <w:lastRenderedPageBreak/>
        <w:t>изпълнение и интензивни дейности за популяризиране и изграждане на капацитет:</w:t>
      </w:r>
    </w:p>
    <w:p w:rsidR="006C5F71" w:rsidRPr="00FB28B9" w:rsidRDefault="006C5F71" w:rsidP="00370643">
      <w:pPr>
        <w:pStyle w:val="HStandard"/>
        <w:rPr>
          <w:spacing w:val="-4"/>
          <w:sz w:val="18"/>
        </w:rPr>
      </w:pPr>
      <w:r w:rsidRPr="00FB28B9">
        <w:rPr>
          <w:spacing w:val="-4"/>
          <w:sz w:val="18"/>
        </w:rPr>
        <w:t xml:space="preserve">Механизмът за изпълнение на LEADER/ВОМР </w:t>
      </w:r>
      <w:r w:rsidR="003F06A1">
        <w:rPr>
          <w:spacing w:val="-4"/>
          <w:sz w:val="18"/>
        </w:rPr>
        <w:t>е важен входящ ресурс</w:t>
      </w:r>
      <w:r w:rsidRPr="00FB28B9">
        <w:rPr>
          <w:spacing w:val="-4"/>
          <w:sz w:val="18"/>
        </w:rPr>
        <w:t xml:space="preserve"> за изпълнението на LEADER/ВОМР на местно равнище. Рамката му е определена до голяма степен от УО, но повечето МГД също имат известна възможност за оформяне или адаптиране на механизма за изпълнение. Ето защо оценителят следва да се опита, доколкото е възможно, да направи разграничение между двете сфери. Механизмът за изпълнение на ПРСР/М19 следва да бъде оценяван като относим контекст (който включва подпомагащи и/или възпрепятстващи фактори).</w:t>
      </w:r>
    </w:p>
    <w:p w:rsidR="006C5F71" w:rsidRPr="00FB28B9" w:rsidRDefault="006C5F71" w:rsidP="00370643">
      <w:pPr>
        <w:pStyle w:val="HStandard"/>
        <w:rPr>
          <w:sz w:val="18"/>
        </w:rPr>
      </w:pPr>
      <w:r w:rsidRPr="00FB28B9">
        <w:rPr>
          <w:sz w:val="18"/>
        </w:rPr>
        <w:t>В правната рамка на ЕС се уточнява, че през програмния период 2014—2020 г. следва да се обърне по-голямо внимание на популяризирането и изграждането на капацитет (например чрез изричното предоставяне на подготвително подпомагане и на стартов пакет за работа с LEADER; изричното разпределяне на средства за популяризиране; и увеличаването на бюджета за текущи разходи и популяризиране до 25 % от общите публични разходи, направени във връзка със стратегията за ВОМР). Дейностите за популяризиране и изграждане на капацитет поставят акцент върху улесняването на обмена между заинтересованите страни, предоставянето на информация, популяризирането на стратегията, подпомагането на потенциалните бенефициери при разработването на операциите и при подготовката на кандидатурите.</w:t>
      </w:r>
    </w:p>
    <w:p w:rsidR="006C5F71" w:rsidRPr="00FB01AA" w:rsidRDefault="00364BD3" w:rsidP="00370643">
      <w:pPr>
        <w:pStyle w:val="HStandard"/>
        <w:rPr>
          <w:rFonts w:ascii="Times New Roman" w:hAnsi="Times New Roman"/>
          <w:sz w:val="22"/>
          <w:szCs w:val="24"/>
        </w:rPr>
      </w:pPr>
      <w:r w:rsidRPr="00FB01AA">
        <w:rPr>
          <w:sz w:val="18"/>
        </w:rPr>
        <w:br w:type="column"/>
      </w:r>
      <w:r w:rsidRPr="00FB01AA">
        <w:rPr>
          <w:sz w:val="18"/>
        </w:rPr>
        <w:t>Непосредственият ефект от прилагането на метода LEADER е доброто изпълнение на стратегията за местно развитие. Неговите дългосрочни ефекти се състоят предимно в придобиване на знания на индивидуално и организационно равнище (изграждане на капацитет, повишаване на уменията, изграждане на доверие, еволюционни промени в действията на местните мрежи и общности, подобряване на регулаторните рамки и практики и т.н.) и в ползите, свързани с подобряването на социалния капитал и местното управление (и други възможни видове положителни външни фактори).</w:t>
      </w:r>
    </w:p>
    <w:p w:rsidR="006C5F71" w:rsidRPr="00FB01AA" w:rsidRDefault="008434CB" w:rsidP="00370643">
      <w:pPr>
        <w:pStyle w:val="HStandard"/>
        <w:rPr>
          <w:rFonts w:ascii="Times New Roman" w:hAnsi="Times New Roman"/>
          <w:sz w:val="22"/>
          <w:szCs w:val="24"/>
        </w:rPr>
      </w:pPr>
      <w:r w:rsidRPr="00FB01AA">
        <w:rPr>
          <w:sz w:val="18"/>
        </w:rPr>
        <w:t>Традиционният оценъчен анализ, основан на количествено измерване на причинно-следствените връзки, може да бъде трудно приложим и недостатъчно подходящ поради няколко причини:</w:t>
      </w:r>
    </w:p>
    <w:p w:rsidR="00364BD3" w:rsidRDefault="006C5F71" w:rsidP="00370643">
      <w:pPr>
        <w:pStyle w:val="Hlistbullet"/>
        <w:ind w:left="426" w:hanging="426"/>
        <w:rPr>
          <w:sz w:val="18"/>
        </w:rPr>
      </w:pPr>
      <w:r w:rsidRPr="00FB01AA">
        <w:rPr>
          <w:sz w:val="18"/>
        </w:rPr>
        <w:t xml:space="preserve">първо, в проектите за местно развитие често не са изрично посочени очакваните ефекти от гледна точка на управление или придобиване на знания в рамките на организацията. Те съществуват, но са имплицитни </w:t>
      </w:r>
    </w:p>
    <w:p w:rsidR="00FB28B9" w:rsidRPr="00FB01AA" w:rsidRDefault="00FB28B9" w:rsidP="00370643">
      <w:pPr>
        <w:pStyle w:val="Hlistbullet"/>
        <w:ind w:left="426" w:hanging="426"/>
        <w:rPr>
          <w:sz w:val="18"/>
        </w:rPr>
        <w:sectPr w:rsidR="00FB28B9" w:rsidRPr="00FB01AA" w:rsidSect="00335BB3">
          <w:type w:val="continuous"/>
          <w:pgSz w:w="11906" w:h="16838"/>
          <w:pgMar w:top="1418" w:right="1418" w:bottom="1418" w:left="1418" w:header="709" w:footer="709" w:gutter="0"/>
          <w:cols w:num="2" w:space="397"/>
          <w:docGrid w:linePitch="360"/>
        </w:sectPr>
      </w:pPr>
    </w:p>
    <w:p w:rsidR="00364BD3" w:rsidRPr="00FB01AA" w:rsidRDefault="00364BD3" w:rsidP="00364BD3">
      <w:pPr>
        <w:pStyle w:val="HHeadingFigure"/>
        <w:rPr>
          <w:sz w:val="14"/>
        </w:rPr>
      </w:pPr>
      <w:bookmarkStart w:id="151" w:name="_Toc493497742"/>
      <w:bookmarkStart w:id="152" w:name="_Toc498507102"/>
      <w:r w:rsidRPr="00FB01AA">
        <w:rPr>
          <w:sz w:val="14"/>
        </w:rPr>
        <w:lastRenderedPageBreak/>
        <w:t>Свързване на метода LEADER с механизма за изпълнение на LEADER/ВОМР на местно равнище (пример)</w:t>
      </w:r>
      <w:bookmarkEnd w:id="151"/>
      <w:bookmarkEnd w:id="152"/>
    </w:p>
    <w:p w:rsidR="00364BD3" w:rsidRDefault="00B243BA" w:rsidP="00364BD3">
      <w:pPr>
        <w:pStyle w:val="HStandard"/>
        <w:rPr>
          <w:noProof/>
          <w:sz w:val="18"/>
          <w:lang w:val="el-GR" w:eastAsia="el-GR" w:bidi="ar-SA"/>
        </w:rPr>
      </w:pPr>
      <w:r>
        <w:rPr>
          <w:noProof/>
          <w:sz w:val="18"/>
          <w:lang w:val="en-GB" w:eastAsia="en-GB" w:bidi="ar-SA"/>
        </w:rPr>
        <w:drawing>
          <wp:inline distT="0" distB="0" distL="0" distR="0" wp14:anchorId="519A4163" wp14:editId="25CB4A55">
            <wp:extent cx="5780372" cy="3273817"/>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93021" cy="3280981"/>
                    </a:xfrm>
                    <a:prstGeom prst="rect">
                      <a:avLst/>
                    </a:prstGeom>
                    <a:noFill/>
                  </pic:spPr>
                </pic:pic>
              </a:graphicData>
            </a:graphic>
          </wp:inline>
        </w:drawing>
      </w:r>
    </w:p>
    <w:p w:rsidR="00364BD3" w:rsidRPr="00FB01AA" w:rsidRDefault="00364BD3" w:rsidP="00364BD3">
      <w:pPr>
        <w:pStyle w:val="HSource"/>
        <w:rPr>
          <w:sz w:val="14"/>
        </w:rPr>
        <w:sectPr w:rsidR="00364BD3" w:rsidRPr="00FB01AA" w:rsidSect="00364BD3">
          <w:type w:val="continuous"/>
          <w:pgSz w:w="11906" w:h="16838"/>
          <w:pgMar w:top="1418" w:right="1418" w:bottom="1418" w:left="1418" w:header="709" w:footer="709" w:gutter="0"/>
          <w:cols w:space="397"/>
          <w:docGrid w:linePitch="360"/>
        </w:sectPr>
      </w:pPr>
      <w:r w:rsidRPr="00FB01AA">
        <w:rPr>
          <w:sz w:val="14"/>
        </w:rPr>
        <w:t>Източник: Европейско бюро за оценка в областта на развитието на селските райони, 2017 г.</w:t>
      </w:r>
    </w:p>
    <w:p w:rsidR="006C5F71" w:rsidRPr="00251DF4" w:rsidRDefault="006C5F71" w:rsidP="00370643">
      <w:pPr>
        <w:pStyle w:val="Hlistbullet"/>
        <w:ind w:left="426" w:hanging="426"/>
        <w:rPr>
          <w:color w:val="373737"/>
          <w:sz w:val="18"/>
        </w:rPr>
      </w:pPr>
      <w:r w:rsidRPr="00251DF4">
        <w:rPr>
          <w:color w:val="373737"/>
          <w:sz w:val="18"/>
        </w:rPr>
        <w:t>(необявени) и неопределени (нелокализирани, в смисъл че конкретните общности, които ще бъдат включени, се установяват на етапа на изпълнение, а не на етапа на разработване).</w:t>
      </w:r>
    </w:p>
    <w:p w:rsidR="006C5F71" w:rsidRPr="00251DF4" w:rsidRDefault="006C5F71" w:rsidP="00370643">
      <w:pPr>
        <w:pStyle w:val="Hlistbullet"/>
        <w:ind w:left="426" w:hanging="426"/>
        <w:rPr>
          <w:color w:val="373737"/>
          <w:sz w:val="18"/>
        </w:rPr>
      </w:pPr>
      <w:r w:rsidRPr="00251DF4">
        <w:rPr>
          <w:color w:val="373737"/>
          <w:sz w:val="18"/>
        </w:rPr>
        <w:t>трудно се измерват основните относими фактори, като промяната на убежденията и степента на взаимно доверие, политическата, организационната и институционалната култура.</w:t>
      </w:r>
    </w:p>
    <w:p w:rsidR="006C5F71" w:rsidRPr="00251DF4" w:rsidRDefault="006C5F71" w:rsidP="00370643">
      <w:pPr>
        <w:pStyle w:val="Hlistbullet"/>
        <w:ind w:left="426" w:hanging="426"/>
        <w:rPr>
          <w:color w:val="373737"/>
          <w:sz w:val="18"/>
        </w:rPr>
      </w:pPr>
      <w:r w:rsidRPr="00251DF4">
        <w:rPr>
          <w:color w:val="373737"/>
          <w:sz w:val="18"/>
        </w:rPr>
        <w:t>много е трудно да се идентифицира видът на средносрочните и дългосрочните ефекти и изрично да се припише на</w:t>
      </w:r>
      <w:r w:rsidRPr="0068419D">
        <w:rPr>
          <w:spacing w:val="-4"/>
          <w:w w:val="95"/>
          <w:sz w:val="18"/>
        </w:rPr>
        <w:t xml:space="preserve"> </w:t>
      </w:r>
      <w:r w:rsidRPr="00251DF4">
        <w:rPr>
          <w:color w:val="373737"/>
          <w:sz w:val="18"/>
        </w:rPr>
        <w:t>конкретен проект (нетни ефекти), тъй като:</w:t>
      </w:r>
    </w:p>
    <w:p w:rsidR="00364BD3" w:rsidRPr="00251DF4" w:rsidRDefault="006C5F71" w:rsidP="002E02E3">
      <w:pPr>
        <w:pStyle w:val="Hlistbullet2"/>
        <w:numPr>
          <w:ilvl w:val="0"/>
          <w:numId w:val="41"/>
        </w:numPr>
        <w:ind w:left="709"/>
        <w:rPr>
          <w:color w:val="373737"/>
          <w:sz w:val="18"/>
        </w:rPr>
      </w:pPr>
      <w:r w:rsidRPr="00251DF4">
        <w:rPr>
          <w:color w:val="373737"/>
          <w:sz w:val="18"/>
        </w:rPr>
        <w:t>взаимодействията между различните участници, чрез които тези ефекти възникват, следват кръгови пътища, продиктувани от въздействия между взаимозависими характеристики на сложни системи, и трудно могат да бъдат извлечени от динамиката на линеен причинно-следствен модел;</w:t>
      </w:r>
    </w:p>
    <w:p w:rsidR="00364BD3" w:rsidRPr="00251DF4" w:rsidRDefault="006C5F71" w:rsidP="002E02E3">
      <w:pPr>
        <w:pStyle w:val="Hlistbullet2"/>
        <w:numPr>
          <w:ilvl w:val="0"/>
          <w:numId w:val="41"/>
        </w:numPr>
        <w:ind w:left="709"/>
        <w:rPr>
          <w:color w:val="373737"/>
          <w:sz w:val="18"/>
        </w:rPr>
      </w:pPr>
      <w:r w:rsidRPr="00251DF4">
        <w:rPr>
          <w:color w:val="373737"/>
          <w:sz w:val="18"/>
        </w:rPr>
        <w:t xml:space="preserve">освен това предвид факта, че участниците от един и същи район и в един и същи момент получават множество стимули от гледна точка на сътрудничество и работа </w:t>
      </w:r>
      <w:r w:rsidRPr="00251DF4">
        <w:rPr>
          <w:color w:val="373737"/>
          <w:sz w:val="18"/>
        </w:rPr>
        <w:t>в мрежа (засилена начална динамика, повече учебни и културни дейности, участие в нови партньорства и т.н.), има ли смисъл да се опитваме да разберем в каква степен всеки от тях е оказал влияние върху бъдещите поведения?</w:t>
      </w:r>
    </w:p>
    <w:p w:rsidR="006C5F71" w:rsidRPr="00251DF4" w:rsidRDefault="006C5F71" w:rsidP="00370643">
      <w:pPr>
        <w:pStyle w:val="HStandard"/>
        <w:rPr>
          <w:sz w:val="18"/>
        </w:rPr>
      </w:pPr>
      <w:r w:rsidRPr="00251DF4">
        <w:rPr>
          <w:sz w:val="18"/>
        </w:rPr>
        <w:t xml:space="preserve">Ясно е, че колкото повече анализът се отдалечава от процесите, толкова по-несигурна става картината. Поради това е необходимо да се предостави солидна основа за анализ на процеса на популяризиране и на </w:t>
      </w:r>
      <w:r w:rsidRPr="00251DF4">
        <w:rPr>
          <w:b/>
          <w:sz w:val="18"/>
        </w:rPr>
        <w:t>механизма за изпълнение на равнището на резултатите</w:t>
      </w:r>
      <w:r w:rsidRPr="00251DF4">
        <w:rPr>
          <w:sz w:val="18"/>
        </w:rPr>
        <w:t>, като това се прави с двойна цел. От една страна, да се предостави картина, която да може да се тълкува от гледна точка на измеримите „целеви резултати“, с цел да се проследи напредъкът и да се уловят непосредствените ефекти, а от друга страна, да се събере допълнителен набор от информация (участници, мрежи, еволюционни процеси и т.н. .) с цел по-целенасочено търсене и анализ на средносрочните до дългосрочни ефекти от гледна точка на добавената стойност.</w:t>
      </w:r>
    </w:p>
    <w:p w:rsidR="006C5F71" w:rsidRPr="00251DF4" w:rsidRDefault="00941BF9" w:rsidP="00370643">
      <w:pPr>
        <w:pStyle w:val="HStandard"/>
        <w:rPr>
          <w:sz w:val="18"/>
        </w:rPr>
      </w:pPr>
      <w:r w:rsidRPr="00251DF4">
        <w:rPr>
          <w:sz w:val="18"/>
        </w:rPr>
        <w:t xml:space="preserve">В основата си това включва оценка на ефективността на взаимодействията на МГД с нейната териториална система, за да се постигнат целите за развитие в съответствие със стратегията за LEADER/ВОМР. Този тип </w:t>
      </w:r>
      <w:r w:rsidRPr="00251DF4">
        <w:rPr>
          <w:sz w:val="18"/>
        </w:rPr>
        <w:lastRenderedPageBreak/>
        <w:t>взаимодействие предполага различни категории специфични умения:</w:t>
      </w:r>
    </w:p>
    <w:p w:rsidR="006C5F71" w:rsidRPr="00251DF4" w:rsidRDefault="006C5F71" w:rsidP="00370643">
      <w:pPr>
        <w:pStyle w:val="Hlistbullet"/>
        <w:ind w:left="426" w:hanging="426"/>
        <w:rPr>
          <w:color w:val="373737"/>
          <w:sz w:val="18"/>
        </w:rPr>
      </w:pPr>
      <w:r w:rsidRPr="00251DF4">
        <w:rPr>
          <w:color w:val="373737"/>
          <w:sz w:val="18"/>
        </w:rPr>
        <w:t xml:space="preserve">кохезия на местното партньорство е способността за насърчаване на подходящ състав на местното партньорство чрез гарантиране на представителство и проактивно участие в него на институционалната, социалната и икономическата референтна система в нейните различни компоненти. Това предполага процес на улесняване на взаимоотношенията между партньорите </w:t>
      </w:r>
      <w:r w:rsidRPr="004C166D">
        <w:rPr>
          <w:spacing w:val="-4"/>
          <w:w w:val="95"/>
          <w:sz w:val="18"/>
        </w:rPr>
        <w:t>в</w:t>
      </w:r>
      <w:r w:rsidRPr="00251DF4">
        <w:rPr>
          <w:color w:val="373737"/>
          <w:sz w:val="18"/>
        </w:rPr>
        <w:t xml:space="preserve"> изграждането на атмосфера на доверие и постигането на подходящо качество на участието</w:t>
      </w:r>
      <w:r w:rsidR="007830C7">
        <w:rPr>
          <w:color w:val="373737"/>
          <w:sz w:val="18"/>
        </w:rPr>
        <w:t>, за да се постигне</w:t>
      </w:r>
      <w:r w:rsidRPr="00251DF4">
        <w:rPr>
          <w:color w:val="373737"/>
          <w:sz w:val="18"/>
        </w:rPr>
        <w:t xml:space="preserve"> ефективен процес на усвояване на знания в рамките на организацията, при който партньорството се превръща в коалиция, способна да насърчава иновациите за укрепване и добавяне на стойност към общите стратегии;</w:t>
      </w:r>
    </w:p>
    <w:p w:rsidR="006C5F71" w:rsidRPr="00251DF4" w:rsidRDefault="006C5F71" w:rsidP="00370643">
      <w:pPr>
        <w:pStyle w:val="Hlistbullet"/>
        <w:ind w:left="426" w:hanging="426"/>
        <w:rPr>
          <w:color w:val="373737"/>
          <w:sz w:val="18"/>
        </w:rPr>
      </w:pPr>
      <w:r w:rsidRPr="00251DF4">
        <w:rPr>
          <w:color w:val="373737"/>
          <w:sz w:val="18"/>
        </w:rPr>
        <w:t xml:space="preserve">дейност, ориентирана „от долу нагоре“, е капиталът на „местната </w:t>
      </w:r>
      <w:r w:rsidR="00203EC5">
        <w:rPr>
          <w:color w:val="373737"/>
          <w:sz w:val="18"/>
        </w:rPr>
        <w:t xml:space="preserve">работа в </w:t>
      </w:r>
      <w:r w:rsidRPr="00251DF4">
        <w:rPr>
          <w:color w:val="373737"/>
          <w:sz w:val="18"/>
        </w:rPr>
        <w:t xml:space="preserve">мрежа“, включващ опит, надеждност, репутация, прозрачност, общуване и взаимоотношения. </w:t>
      </w:r>
      <w:r w:rsidRPr="004C166D">
        <w:rPr>
          <w:spacing w:val="-4"/>
          <w:w w:val="95"/>
          <w:sz w:val="18"/>
        </w:rPr>
        <w:t xml:space="preserve">Става дума за </w:t>
      </w:r>
      <w:r w:rsidRPr="00251DF4">
        <w:rPr>
          <w:color w:val="373737"/>
          <w:sz w:val="18"/>
        </w:rPr>
        <w:t>мрежа от комуникационни канали, ко</w:t>
      </w:r>
      <w:r w:rsidR="00203EC5">
        <w:rPr>
          <w:color w:val="373737"/>
          <w:sz w:val="18"/>
        </w:rPr>
        <w:t>и</w:t>
      </w:r>
      <w:r w:rsidRPr="00251DF4">
        <w:rPr>
          <w:color w:val="373737"/>
          <w:sz w:val="18"/>
        </w:rPr>
        <w:t xml:space="preserve">то </w:t>
      </w:r>
      <w:r w:rsidR="00203EC5">
        <w:rPr>
          <w:color w:val="373737"/>
          <w:sz w:val="18"/>
        </w:rPr>
        <w:t>дават възможност за</w:t>
      </w:r>
      <w:r w:rsidRPr="00251DF4">
        <w:rPr>
          <w:color w:val="373737"/>
          <w:sz w:val="18"/>
        </w:rPr>
        <w:t xml:space="preserve"> идентифициране и споделяне на знания </w:t>
      </w:r>
      <w:r w:rsidRPr="00251DF4">
        <w:rPr>
          <w:color w:val="373737"/>
          <w:sz w:val="18"/>
        </w:rPr>
        <w:t>(обединяване на знания) и по този начин улеснява</w:t>
      </w:r>
      <w:r w:rsidR="009D6138">
        <w:rPr>
          <w:color w:val="373737"/>
          <w:sz w:val="18"/>
        </w:rPr>
        <w:t>т</w:t>
      </w:r>
      <w:r w:rsidRPr="00251DF4">
        <w:rPr>
          <w:color w:val="373737"/>
          <w:sz w:val="18"/>
        </w:rPr>
        <w:t xml:space="preserve"> изслушването и тълкуването, откриването на местен потенциал, изграждането на общи визии и мобилизирането на социални енергии за постигане на целите за развитие;</w:t>
      </w:r>
    </w:p>
    <w:p w:rsidR="006C5F71" w:rsidRPr="00251DF4" w:rsidRDefault="005A1C90" w:rsidP="00370643">
      <w:pPr>
        <w:pStyle w:val="Hlistbullet"/>
        <w:ind w:left="426" w:hanging="426"/>
        <w:rPr>
          <w:color w:val="373737"/>
          <w:sz w:val="18"/>
        </w:rPr>
      </w:pPr>
      <w:r w:rsidRPr="00251DF4">
        <w:rPr>
          <w:color w:val="373737"/>
          <w:sz w:val="18"/>
        </w:rPr>
        <w:t xml:space="preserve">способност за улесняване на иновациите е средата, която позволява на механизма за изпълнение да стимулира и да създава условия за възникване на иновативни </w:t>
      </w:r>
      <w:r w:rsidR="000D200A">
        <w:rPr>
          <w:color w:val="373737"/>
          <w:sz w:val="18"/>
        </w:rPr>
        <w:t xml:space="preserve">и </w:t>
      </w:r>
      <w:r w:rsidRPr="00251DF4">
        <w:rPr>
          <w:color w:val="373737"/>
          <w:sz w:val="18"/>
        </w:rPr>
        <w:t>пилотни проекти и/или за увеличаване на дела на иновациите в рамките на подкрепените проекти (например чрез многосекторен подход или сътрудничество);</w:t>
      </w:r>
    </w:p>
    <w:p w:rsidR="006D1199" w:rsidRPr="00251DF4" w:rsidRDefault="006C5F71" w:rsidP="00370643">
      <w:pPr>
        <w:pStyle w:val="Hlistbullet"/>
        <w:ind w:left="426" w:hanging="426"/>
        <w:rPr>
          <w:color w:val="373737"/>
          <w:sz w:val="18"/>
        </w:rPr>
      </w:pPr>
      <w:r w:rsidRPr="00251DF4">
        <w:rPr>
          <w:color w:val="373737"/>
          <w:sz w:val="18"/>
        </w:rPr>
        <w:t>сътрудничество и работа в мрежа е способността за ефективно взаимодействие с външни</w:t>
      </w:r>
      <w:r w:rsidR="00460E18">
        <w:rPr>
          <w:color w:val="373737"/>
          <w:sz w:val="18"/>
        </w:rPr>
        <w:t>те</w:t>
      </w:r>
      <w:r w:rsidRPr="00251DF4">
        <w:rPr>
          <w:color w:val="373737"/>
          <w:sz w:val="18"/>
        </w:rPr>
        <w:t xml:space="preserve"> участници или способността за превръщане в надежден партньор, умението за насърчаване на инициативи за сътрудничество с други територии с цел укрепване на местните действия и свързване с „надтериториални мрежи“, работещи в сектори, които имат връзка с ключовите елементи на стратегията за местно развитие.</w:t>
      </w:r>
    </w:p>
    <w:p w:rsidR="006C5F71" w:rsidRPr="00251DF4" w:rsidRDefault="006D1199" w:rsidP="00663530">
      <w:pPr>
        <w:pStyle w:val="Hlistbullet"/>
        <w:numPr>
          <w:ilvl w:val="0"/>
          <w:numId w:val="0"/>
        </w:numPr>
        <w:rPr>
          <w:color w:val="373737"/>
          <w:sz w:val="18"/>
        </w:rPr>
      </w:pPr>
      <w:r w:rsidRPr="00251DF4">
        <w:rPr>
          <w:color w:val="373737"/>
          <w:sz w:val="18"/>
        </w:rPr>
        <w:t xml:space="preserve">Следната таблица показва кои оценъчни елементи могат да се използват за оценката на този вид процеси. </w:t>
      </w:r>
    </w:p>
    <w:p w:rsidR="00335BB3" w:rsidRPr="00FB01AA" w:rsidRDefault="00335BB3" w:rsidP="00364BD3">
      <w:pPr>
        <w:pStyle w:val="HHeadingmaps"/>
        <w:numPr>
          <w:ilvl w:val="0"/>
          <w:numId w:val="0"/>
        </w:numPr>
        <w:ind w:left="360"/>
        <w:rPr>
          <w:sz w:val="14"/>
        </w:rPr>
        <w:sectPr w:rsidR="00335BB3" w:rsidRPr="00FB01AA" w:rsidSect="00335BB3">
          <w:type w:val="continuous"/>
          <w:pgSz w:w="11906" w:h="16838"/>
          <w:pgMar w:top="1418" w:right="1418" w:bottom="1418" w:left="1418" w:header="709" w:footer="709" w:gutter="0"/>
          <w:cols w:num="2" w:space="397"/>
          <w:docGrid w:linePitch="360"/>
        </w:sectPr>
      </w:pPr>
    </w:p>
    <w:p w:rsidR="006C5F71" w:rsidRPr="00FB01AA" w:rsidRDefault="00364BD3" w:rsidP="006C5F71">
      <w:pPr>
        <w:spacing w:after="0" w:line="240" w:lineRule="auto"/>
        <w:rPr>
          <w:rFonts w:ascii="Times New Roman" w:hAnsi="Times New Roman"/>
          <w:sz w:val="22"/>
          <w:szCs w:val="24"/>
        </w:rPr>
      </w:pPr>
      <w:r w:rsidRPr="00FB01AA">
        <w:rPr>
          <w:noProof/>
          <w:sz w:val="28"/>
          <w:lang w:val="en-GB" w:eastAsia="en-GB" w:bidi="ar-SA"/>
        </w:rPr>
        <w:lastRenderedPageBreak/>
        <mc:AlternateContent>
          <mc:Choice Requires="wps">
            <w:drawing>
              <wp:anchor distT="0" distB="0" distL="114300" distR="114300" simplePos="0" relativeHeight="251657216" behindDoc="0" locked="0" layoutInCell="1" allowOverlap="1" wp14:anchorId="4D8C5A96" wp14:editId="1C7C0356">
                <wp:simplePos x="0" y="0"/>
                <wp:positionH relativeFrom="column">
                  <wp:posOffset>-100330</wp:posOffset>
                </wp:positionH>
                <wp:positionV relativeFrom="paragraph">
                  <wp:posOffset>6350</wp:posOffset>
                </wp:positionV>
                <wp:extent cx="6125210" cy="8366760"/>
                <wp:effectExtent l="0" t="0" r="27940" b="15240"/>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5210" cy="8366760"/>
                        </a:xfrm>
                        <a:prstGeom prst="round2DiagRect">
                          <a:avLst>
                            <a:gd name="adj1" fmla="val 10074"/>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DBF" w:rsidRPr="00B30A98" w:rsidRDefault="00D21DBF"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218AC443" wp14:editId="639805E5">
                                  <wp:extent cx="353202" cy="360000"/>
                                  <wp:effectExtent l="0" t="0" r="8890" b="25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Примерни въпроси за оценка, критерии за преценка, показатели за оценка  </w:t>
                            </w:r>
                            <w:r>
                              <w:rPr>
                                <w:rFonts w:ascii="Arial" w:hAnsi="Arial" w:cs="Arial"/>
                                <w:b/>
                                <w:color w:val="F07E31" w:themeColor="background2"/>
                                <w:sz w:val="20"/>
                                <w:szCs w:val="20"/>
                              </w:rPr>
                              <w:br/>
                            </w:r>
                            <w:r>
                              <w:rPr>
                                <w:rFonts w:ascii="Arial" w:hAnsi="Arial"/>
                                <w:b/>
                                <w:color w:val="F07E31" w:themeColor="background2"/>
                                <w:sz w:val="20"/>
                              </w:rPr>
                              <w:t>на комбинираните резултати от изпълнението и популяризирането</w:t>
                            </w:r>
                          </w:p>
                          <w:tbl>
                            <w:tblPr>
                              <w:tblW w:w="0" w:type="auto"/>
                              <w:tblCellMar>
                                <w:top w:w="15" w:type="dxa"/>
                                <w:left w:w="15" w:type="dxa"/>
                                <w:bottom w:w="15" w:type="dxa"/>
                                <w:right w:w="15" w:type="dxa"/>
                              </w:tblCellMar>
                              <w:tblLook w:val="04A0" w:firstRow="1" w:lastRow="0" w:firstColumn="1" w:lastColumn="0" w:noHBand="0" w:noVBand="1"/>
                            </w:tblPr>
                            <w:tblGrid>
                              <w:gridCol w:w="1898"/>
                              <w:gridCol w:w="2291"/>
                              <w:gridCol w:w="2193"/>
                              <w:gridCol w:w="2565"/>
                            </w:tblGrid>
                            <w:tr w:rsidR="00D21DBF" w:rsidRPr="00FB28B9" w:rsidTr="00FB28B9">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D21DBF" w:rsidRPr="00FB28B9" w:rsidRDefault="00D21DBF" w:rsidP="00632933">
                                  <w:pPr>
                                    <w:pStyle w:val="HHeadingTables0"/>
                                    <w:spacing w:before="0" w:after="0" w:line="240" w:lineRule="auto"/>
                                    <w:jc w:val="center"/>
                                    <w:rPr>
                                      <w:color w:val="FFFFFF" w:themeColor="accent1"/>
                                      <w:spacing w:val="-4"/>
                                      <w:sz w:val="18"/>
                                      <w:szCs w:val="18"/>
                                    </w:rPr>
                                  </w:pPr>
                                  <w:r w:rsidRPr="00FB28B9">
                                    <w:rPr>
                                      <w:color w:val="FFFFFF" w:themeColor="accent1"/>
                                      <w:spacing w:val="-4"/>
                                      <w:sz w:val="18"/>
                                    </w:rPr>
                                    <w:t>Въпроси за оценка</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D21DBF" w:rsidRPr="00FB28B9" w:rsidRDefault="00D21DBF" w:rsidP="00632933">
                                  <w:pPr>
                                    <w:pStyle w:val="HHeadingTables0"/>
                                    <w:spacing w:before="0" w:after="0" w:line="240" w:lineRule="auto"/>
                                    <w:jc w:val="center"/>
                                    <w:rPr>
                                      <w:color w:val="FFFFFF" w:themeColor="accent1"/>
                                      <w:spacing w:val="-4"/>
                                      <w:sz w:val="18"/>
                                      <w:szCs w:val="18"/>
                                    </w:rPr>
                                  </w:pPr>
                                  <w:r w:rsidRPr="00FB28B9">
                                    <w:rPr>
                                      <w:color w:val="FFFFFF" w:themeColor="accent1"/>
                                      <w:spacing w:val="-4"/>
                                      <w:sz w:val="18"/>
                                    </w:rPr>
                                    <w:t>Критерии за преценка</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D21DBF" w:rsidRPr="00FB28B9" w:rsidRDefault="00D21DBF" w:rsidP="00632933">
                                  <w:pPr>
                                    <w:pStyle w:val="HHeadingTables0"/>
                                    <w:spacing w:before="0" w:after="0" w:line="240" w:lineRule="auto"/>
                                    <w:jc w:val="center"/>
                                    <w:rPr>
                                      <w:color w:val="FFFFFF" w:themeColor="accent1"/>
                                      <w:spacing w:val="-4"/>
                                      <w:sz w:val="18"/>
                                      <w:szCs w:val="18"/>
                                    </w:rPr>
                                  </w:pPr>
                                  <w:r w:rsidRPr="00FB28B9">
                                    <w:rPr>
                                      <w:color w:val="FFFFFF" w:themeColor="accent1"/>
                                      <w:spacing w:val="-4"/>
                                      <w:sz w:val="18"/>
                                    </w:rPr>
                                    <w:t>Показатели</w:t>
                                  </w:r>
                                </w:p>
                              </w:tc>
                            </w:tr>
                            <w:tr w:rsidR="00D21DBF" w:rsidRPr="00FB28B9" w:rsidTr="00FB28B9">
                              <w:tc>
                                <w:tcPr>
                                  <w:tcW w:w="0" w:type="auto"/>
                                  <w:vMerge/>
                                  <w:tcBorders>
                                    <w:right w:val="single" w:sz="4" w:space="0" w:color="FFFFFF" w:themeColor="accent1"/>
                                  </w:tcBorders>
                                  <w:vAlign w:val="center"/>
                                  <w:hideMark/>
                                </w:tcPr>
                                <w:p w:rsidR="00D21DBF" w:rsidRPr="00FB28B9" w:rsidRDefault="00D21DBF" w:rsidP="00632933">
                                  <w:pPr>
                                    <w:pStyle w:val="Htableleft"/>
                                    <w:spacing w:before="0" w:after="0"/>
                                    <w:rPr>
                                      <w:rFonts w:cs="Arial"/>
                                      <w:color w:val="FFFFFF" w:themeColor="accent1"/>
                                      <w:spacing w:val="-4"/>
                                      <w:szCs w:val="18"/>
                                    </w:rPr>
                                  </w:pPr>
                                </w:p>
                              </w:tc>
                              <w:tc>
                                <w:tcPr>
                                  <w:tcW w:w="0" w:type="auto"/>
                                  <w:vMerge/>
                                  <w:tcBorders>
                                    <w:left w:val="single" w:sz="4" w:space="0" w:color="FFFFFF" w:themeColor="accent1"/>
                                    <w:right w:val="single" w:sz="4" w:space="0" w:color="FFFFFF" w:themeColor="accent1"/>
                                  </w:tcBorders>
                                  <w:vAlign w:val="center"/>
                                  <w:hideMark/>
                                </w:tcPr>
                                <w:p w:rsidR="00D21DBF" w:rsidRPr="00FB28B9" w:rsidRDefault="00D21DBF" w:rsidP="00632933">
                                  <w:pPr>
                                    <w:pStyle w:val="Htableleft"/>
                                    <w:spacing w:before="0" w:after="0"/>
                                    <w:rPr>
                                      <w:rFonts w:cs="Arial"/>
                                      <w:color w:val="FFFFFF" w:themeColor="accent1"/>
                                      <w:spacing w:val="-4"/>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D21DBF" w:rsidRPr="00FB28B9" w:rsidRDefault="00D21DBF" w:rsidP="00632933">
                                  <w:pPr>
                                    <w:pStyle w:val="HHeadingTables0"/>
                                    <w:spacing w:before="0" w:after="0" w:line="240" w:lineRule="auto"/>
                                    <w:jc w:val="center"/>
                                    <w:rPr>
                                      <w:color w:val="FFFFFF" w:themeColor="accent1"/>
                                      <w:spacing w:val="-4"/>
                                      <w:sz w:val="18"/>
                                      <w:szCs w:val="18"/>
                                    </w:rPr>
                                  </w:pPr>
                                  <w:r w:rsidRPr="00FB28B9">
                                    <w:rPr>
                                      <w:color w:val="FFFFFF" w:themeColor="accent1"/>
                                      <w:spacing w:val="-4"/>
                                      <w:sz w:val="18"/>
                                    </w:rPr>
                                    <w:t>Показатели за крайни продукти</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D21DBF" w:rsidRPr="00FB28B9" w:rsidRDefault="00D21DBF" w:rsidP="00632933">
                                  <w:pPr>
                                    <w:pStyle w:val="HHeadingTables0"/>
                                    <w:spacing w:before="0" w:after="0" w:line="240" w:lineRule="auto"/>
                                    <w:jc w:val="center"/>
                                    <w:rPr>
                                      <w:color w:val="FFFFFF" w:themeColor="accent1"/>
                                      <w:spacing w:val="-4"/>
                                      <w:sz w:val="18"/>
                                      <w:szCs w:val="18"/>
                                    </w:rPr>
                                  </w:pPr>
                                  <w:r w:rsidRPr="00FB28B9">
                                    <w:rPr>
                                      <w:color w:val="FFFFFF" w:themeColor="accent1"/>
                                      <w:spacing w:val="-4"/>
                                      <w:sz w:val="18"/>
                                    </w:rPr>
                                    <w:t>Показатели за резултати</w:t>
                                  </w:r>
                                </w:p>
                              </w:tc>
                            </w:tr>
                            <w:tr w:rsidR="00D21DBF" w:rsidRPr="00FB28B9" w:rsidTr="00FB28B9">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FB28B9" w:rsidRDefault="00D21DBF" w:rsidP="00632933">
                                  <w:pPr>
                                    <w:pStyle w:val="Htableleft"/>
                                    <w:spacing w:before="0" w:after="0"/>
                                    <w:rPr>
                                      <w:rFonts w:cs="Arial"/>
                                      <w:color w:val="373737"/>
                                      <w:spacing w:val="-4"/>
                                      <w:szCs w:val="18"/>
                                    </w:rPr>
                                  </w:pPr>
                                  <w:r w:rsidRPr="00FB28B9">
                                    <w:rPr>
                                      <w:i/>
                                      <w:color w:val="373737"/>
                                      <w:spacing w:val="-4"/>
                                    </w:rPr>
                                    <w:t>До каква степен механизмът за изпълнение и дейностите за популяризиране са довели до създаване на добавена стойност?</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FB28B9" w:rsidRDefault="00D21DBF" w:rsidP="00632933">
                                  <w:pPr>
                                    <w:pStyle w:val="Htableleft"/>
                                    <w:spacing w:before="0" w:after="0"/>
                                    <w:rPr>
                                      <w:rFonts w:cs="Arial"/>
                                      <w:color w:val="373737"/>
                                      <w:spacing w:val="-4"/>
                                      <w:szCs w:val="18"/>
                                    </w:rPr>
                                  </w:pPr>
                                  <w:r w:rsidRPr="00FB28B9">
                                    <w:rPr>
                                      <w:color w:val="373737"/>
                                      <w:spacing w:val="-4"/>
                                    </w:rPr>
                                    <w:t>Участието в партньорството на съответните свързани с развитието на селските райони лица е било осигурено.</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Брой и многообразие на членовете на МГД</w:t>
                                  </w:r>
                                </w:p>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Дял на участието на съответните заинтересовани страни в партньорските дейности</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Оценяване на видимите промени в свързаното със сътрудничеството поведение и в начините за вземане на решения сред партньорите.</w:t>
                                  </w:r>
                                </w:p>
                                <w:p w:rsidR="00D21DBF" w:rsidRPr="00FB28B9" w:rsidRDefault="00D21DBF" w:rsidP="00632933">
                                  <w:pPr>
                                    <w:pStyle w:val="Htablebullet"/>
                                    <w:numPr>
                                      <w:ilvl w:val="0"/>
                                      <w:numId w:val="0"/>
                                    </w:numPr>
                                    <w:rPr>
                                      <w:color w:val="373737"/>
                                      <w:spacing w:val="-4"/>
                                      <w:szCs w:val="18"/>
                                    </w:rPr>
                                  </w:pPr>
                                </w:p>
                              </w:tc>
                            </w:tr>
                            <w:tr w:rsidR="00D21DBF" w:rsidRPr="00FB28B9" w:rsidTr="00FB28B9">
                              <w:tc>
                                <w:tcPr>
                                  <w:tcW w:w="0" w:type="auto"/>
                                  <w:tcBorders>
                                    <w:right w:val="single" w:sz="4" w:space="0" w:color="FFFFFF" w:themeColor="accent1"/>
                                  </w:tcBorders>
                                  <w:shd w:val="clear" w:color="auto" w:fill="F9CBAC" w:themeFill="background2" w:themeFillTint="66"/>
                                  <w:vAlign w:val="center"/>
                                  <w:hideMark/>
                                </w:tcPr>
                                <w:p w:rsidR="00D21DBF" w:rsidRPr="00FB28B9" w:rsidRDefault="00D21DBF" w:rsidP="00632933">
                                  <w:pPr>
                                    <w:pStyle w:val="Htableleft"/>
                                    <w:spacing w:before="0" w:after="0"/>
                                    <w:rPr>
                                      <w:rFonts w:cs="Arial"/>
                                      <w:color w:val="373737"/>
                                      <w:spacing w:val="-4"/>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D21DBF" w:rsidRPr="00FB28B9" w:rsidRDefault="00D21DBF" w:rsidP="00632933">
                                  <w:pPr>
                                    <w:pStyle w:val="Htableleft"/>
                                    <w:spacing w:before="0" w:after="0"/>
                                    <w:rPr>
                                      <w:rFonts w:cs="Arial"/>
                                      <w:color w:val="373737"/>
                                      <w:spacing w:val="-4"/>
                                      <w:szCs w:val="18"/>
                                    </w:rPr>
                                  </w:pPr>
                                  <w:r w:rsidRPr="00FB28B9">
                                    <w:rPr>
                                      <w:color w:val="373737"/>
                                      <w:spacing w:val="-4"/>
                                    </w:rPr>
                                    <w:t>Сътрудничеството с местната общност (икономически и социални заинтересовани групи и представители на публични и частни институции) в подкрепа на процеса на развитие е било засилено.</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Брой и вид на дейностите за подкрепа на местни проекти</w:t>
                                  </w:r>
                                </w:p>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Брой и вид на възникналите структури за сътрудничество</w:t>
                                  </w:r>
                                </w:p>
                                <w:p w:rsidR="00D21DBF" w:rsidRPr="00FB28B9" w:rsidRDefault="00D21DBF" w:rsidP="00632933">
                                  <w:pPr>
                                    <w:pStyle w:val="Htablebullet"/>
                                    <w:numPr>
                                      <w:ilvl w:val="0"/>
                                      <w:numId w:val="0"/>
                                    </w:numPr>
                                    <w:spacing w:before="0" w:after="0"/>
                                    <w:ind w:left="360"/>
                                    <w:rPr>
                                      <w:rFonts w:ascii="Arial" w:hAnsi="Arial"/>
                                      <w:color w:val="373737"/>
                                      <w:spacing w:val="-4"/>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Оценяване на видимите промени в равнището на взаимно доверие между участващите заинтересовани страни</w:t>
                                  </w:r>
                                </w:p>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 xml:space="preserve">Размер на мултиплициращия ефект в подкрепа на структурите за местно развитие (мобилизиране на публични и частни средства от различни източници и/или доброволна работа) </w:t>
                                  </w:r>
                                </w:p>
                              </w:tc>
                            </w:tr>
                            <w:tr w:rsidR="00D21DBF" w:rsidRPr="00FB28B9" w:rsidTr="00FB28B9">
                              <w:tc>
                                <w:tcPr>
                                  <w:tcW w:w="0" w:type="auto"/>
                                  <w:tcBorders>
                                    <w:right w:val="single" w:sz="4" w:space="0" w:color="FFFFFF" w:themeColor="accent1"/>
                                  </w:tcBorders>
                                  <w:shd w:val="clear" w:color="auto" w:fill="FCE5D5" w:themeFill="background2" w:themeFillTint="33"/>
                                  <w:vAlign w:val="center"/>
                                  <w:hideMark/>
                                </w:tcPr>
                                <w:p w:rsidR="00D21DBF" w:rsidRPr="00FB28B9" w:rsidRDefault="00D21DBF" w:rsidP="00632933">
                                  <w:pPr>
                                    <w:pStyle w:val="Htableleft"/>
                                    <w:spacing w:before="0" w:after="0"/>
                                    <w:rPr>
                                      <w:rFonts w:cs="Arial"/>
                                      <w:color w:val="373737"/>
                                      <w:spacing w:val="-4"/>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FB28B9" w:rsidRDefault="00D21DBF" w:rsidP="00632933">
                                  <w:pPr>
                                    <w:pStyle w:val="Htableleft"/>
                                    <w:spacing w:before="0" w:after="0"/>
                                    <w:rPr>
                                      <w:rFonts w:cs="Arial"/>
                                      <w:color w:val="373737"/>
                                      <w:spacing w:val="-4"/>
                                      <w:szCs w:val="18"/>
                                    </w:rPr>
                                  </w:pPr>
                                  <w:r w:rsidRPr="00FB28B9">
                                    <w:rPr>
                                      <w:color w:val="373737"/>
                                      <w:spacing w:val="-4"/>
                                    </w:rPr>
                                    <w:t>МГД е успяла да мобилизира и да осъществи развитие на местния селски район чрез новаторски решения на стари и нови проблеми на района.</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Брой на подкрепените проекти с новаторски или пилотен характер</w:t>
                                  </w:r>
                                </w:p>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Брой и вид на възникналите структури за сътрудничество</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Тежест на „новаторските“ проекти в общите разходи (%)</w:t>
                                  </w:r>
                                </w:p>
                              </w:tc>
                            </w:tr>
                            <w:tr w:rsidR="00D21DBF" w:rsidRPr="00FB28B9" w:rsidTr="003112E6">
                              <w:trPr>
                                <w:trHeight w:val="3171"/>
                              </w:trPr>
                              <w:tc>
                                <w:tcPr>
                                  <w:tcW w:w="0" w:type="auto"/>
                                  <w:tcBorders>
                                    <w:right w:val="single" w:sz="4" w:space="0" w:color="FFFFFF" w:themeColor="accent1"/>
                                  </w:tcBorders>
                                  <w:shd w:val="clear" w:color="auto" w:fill="F9CBAC" w:themeFill="background2" w:themeFillTint="66"/>
                                  <w:vAlign w:val="center"/>
                                  <w:hideMark/>
                                </w:tcPr>
                                <w:p w:rsidR="00D21DBF" w:rsidRPr="00FB28B9" w:rsidRDefault="00D21DBF" w:rsidP="00632933">
                                  <w:pPr>
                                    <w:pStyle w:val="Htableleft"/>
                                    <w:spacing w:before="0" w:after="0"/>
                                    <w:rPr>
                                      <w:rFonts w:cs="Arial"/>
                                      <w:color w:val="373737"/>
                                      <w:spacing w:val="-4"/>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D21DBF" w:rsidRPr="00FB28B9" w:rsidRDefault="00D21DBF" w:rsidP="00632933">
                                  <w:pPr>
                                    <w:pStyle w:val="Htableleft"/>
                                    <w:spacing w:before="0" w:after="0"/>
                                    <w:rPr>
                                      <w:rFonts w:cs="Arial"/>
                                      <w:color w:val="373737"/>
                                      <w:spacing w:val="-4"/>
                                      <w:szCs w:val="18"/>
                                    </w:rPr>
                                  </w:pPr>
                                  <w:r w:rsidRPr="00FB28B9">
                                    <w:rPr>
                                      <w:color w:val="373737"/>
                                      <w:spacing w:val="-4"/>
                                    </w:rPr>
                                    <w:t>Насърчаване на отношенията и проекти за връзки и изграждане на капацитет с външни институции с цел укрепване и подобряване на (иновативни) местни действия.</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Брой и вид на мрежите, в които участва МГД</w:t>
                                  </w:r>
                                </w:p>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Брой и вид на подкрепените проекти за сътрудничество</w:t>
                                  </w:r>
                                </w:p>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Брой и вид на членовете/местните участници, включени в проекти за сътрудничество и в дейности за изграждане на мрежи</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 на местните стратегии/инициативи, които получават конкретни ползи от дейностите за изграждане на мрежи и сътрудничество</w:t>
                                  </w:r>
                                </w:p>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i/>
                                      <w:color w:val="373737"/>
                                      <w:spacing w:val="-4"/>
                                    </w:rPr>
                                    <w:t>Специфични показатели за резултати, свързани с целите на проектите за сътрудничество и с дейностите за изграждане на мрежи</w:t>
                                  </w:r>
                                  <w:r w:rsidRPr="00FB28B9">
                                    <w:rPr>
                                      <w:rFonts w:ascii="Arial" w:hAnsi="Arial"/>
                                      <w:color w:val="373737"/>
                                      <w:spacing w:val="-4"/>
                                    </w:rPr>
                                    <w:t xml:space="preserve"> </w:t>
                                  </w:r>
                                </w:p>
                              </w:tc>
                            </w:tr>
                          </w:tbl>
                          <w:p w:rsidR="00D21DBF" w:rsidRPr="00B30A98" w:rsidRDefault="00D21DBF" w:rsidP="00FB28B9">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8C5A96" id="Rectangle: Diagonal Corners Rounded 135" o:spid="_x0000_s1049" style="position:absolute;margin-left:-7.9pt;margin-top:.5pt;width:482.3pt;height:658.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5210,83667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" adj="-11796480,,5400" path="m617054,l6125210,r,l6125210,7749706v,340790,-276264,617054,-617054,617054l,8366760r,l,617054c,276264,276264,,617054,xe" fillcolor="white [3204]" strokecolor="#f07e31 [3214]" strokeweight="2pt">
                <v:stroke joinstyle="miter"/>
                <v:formulas/>
                <v:path arrowok="t" o:connecttype="custom" o:connectlocs="617054,0;6125210,0;6125210,0;6125210,7749706;5508156,8366760;0,8366760;0,8366760;0,617054;617054,0" o:connectangles="0,0,0,0,0,0,0,0,0" textboxrect="0,0,6125210,8366760"/>
                <v:textbox>
                  <w:txbxContent>
                    <w:p w:rsidR="00D21DBF" w:rsidRPr="00B30A98" w:rsidRDefault="00D21DBF" w:rsidP="009C5675">
                      <w:pPr>
                        <w:ind w:left="567" w:hanging="567"/>
                        <w:rPr>
                          <w:rFonts w:ascii="Arial" w:hAnsi="Arial" w:cs="Arial"/>
                          <w:b/>
                          <w:color w:val="F07E31" w:themeColor="background2"/>
                          <w:sz w:val="20"/>
                          <w:szCs w:val="20"/>
                        </w:rPr>
                      </w:pPr>
                      <w:r>
                        <w:rPr>
                          <w:rFonts w:ascii="Arial" w:hAnsi="Arial" w:cs="Arial"/>
                          <w:b/>
                          <w:bCs/>
                          <w:iCs/>
                          <w:noProof/>
                          <w:color w:val="F07E31" w:themeColor="background2"/>
                          <w:sz w:val="18"/>
                          <w:szCs w:val="18"/>
                          <w:lang w:val="en-GB" w:eastAsia="en-GB" w:bidi="ar-SA"/>
                        </w:rPr>
                        <w:drawing>
                          <wp:inline distT="0" distB="0" distL="0" distR="0" wp14:anchorId="218AC443" wp14:editId="639805E5">
                            <wp:extent cx="353202" cy="360000"/>
                            <wp:effectExtent l="0" t="0" r="8890" b="254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37">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Примерни въпроси за оценка, критерии за преценка, показатели за оценка  </w:t>
                      </w:r>
                      <w:r>
                        <w:rPr>
                          <w:rFonts w:ascii="Arial" w:hAnsi="Arial" w:cs="Arial"/>
                          <w:b/>
                          <w:color w:val="F07E31" w:themeColor="background2"/>
                          <w:sz w:val="20"/>
                          <w:szCs w:val="20"/>
                        </w:rPr>
                        <w:br/>
                      </w:r>
                      <w:r>
                        <w:rPr>
                          <w:rFonts w:ascii="Arial" w:hAnsi="Arial"/>
                          <w:b/>
                          <w:color w:val="F07E31" w:themeColor="background2"/>
                          <w:sz w:val="20"/>
                        </w:rPr>
                        <w:t>на комбинираните резултати от изпълнението и популяризирането</w:t>
                      </w:r>
                    </w:p>
                    <w:tbl>
                      <w:tblPr>
                        <w:tblW w:w="0" w:type="auto"/>
                        <w:tblCellMar>
                          <w:top w:w="15" w:type="dxa"/>
                          <w:left w:w="15" w:type="dxa"/>
                          <w:bottom w:w="15" w:type="dxa"/>
                          <w:right w:w="15" w:type="dxa"/>
                        </w:tblCellMar>
                        <w:tblLook w:val="04A0" w:firstRow="1" w:lastRow="0" w:firstColumn="1" w:lastColumn="0" w:noHBand="0" w:noVBand="1"/>
                      </w:tblPr>
                      <w:tblGrid>
                        <w:gridCol w:w="1898"/>
                        <w:gridCol w:w="2291"/>
                        <w:gridCol w:w="2193"/>
                        <w:gridCol w:w="2565"/>
                      </w:tblGrid>
                      <w:tr w:rsidR="00D21DBF" w:rsidRPr="00FB28B9" w:rsidTr="00FB28B9">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D21DBF" w:rsidRPr="00FB28B9" w:rsidRDefault="00D21DBF" w:rsidP="00632933">
                            <w:pPr>
                              <w:pStyle w:val="HHeadingTables0"/>
                              <w:spacing w:before="0" w:after="0" w:line="240" w:lineRule="auto"/>
                              <w:jc w:val="center"/>
                              <w:rPr>
                                <w:color w:val="FFFFFF" w:themeColor="accent1"/>
                                <w:spacing w:val="-4"/>
                                <w:sz w:val="18"/>
                                <w:szCs w:val="18"/>
                              </w:rPr>
                            </w:pPr>
                            <w:r w:rsidRPr="00FB28B9">
                              <w:rPr>
                                <w:color w:val="FFFFFF" w:themeColor="accent1"/>
                                <w:spacing w:val="-4"/>
                                <w:sz w:val="18"/>
                              </w:rPr>
                              <w:t>Въпроси за оценка</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D21DBF" w:rsidRPr="00FB28B9" w:rsidRDefault="00D21DBF" w:rsidP="00632933">
                            <w:pPr>
                              <w:pStyle w:val="HHeadingTables0"/>
                              <w:spacing w:before="0" w:after="0" w:line="240" w:lineRule="auto"/>
                              <w:jc w:val="center"/>
                              <w:rPr>
                                <w:color w:val="FFFFFF" w:themeColor="accent1"/>
                                <w:spacing w:val="-4"/>
                                <w:sz w:val="18"/>
                                <w:szCs w:val="18"/>
                              </w:rPr>
                            </w:pPr>
                            <w:r w:rsidRPr="00FB28B9">
                              <w:rPr>
                                <w:color w:val="FFFFFF" w:themeColor="accent1"/>
                                <w:spacing w:val="-4"/>
                                <w:sz w:val="18"/>
                              </w:rPr>
                              <w:t>Критерии за преценка</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D21DBF" w:rsidRPr="00FB28B9" w:rsidRDefault="00D21DBF" w:rsidP="00632933">
                            <w:pPr>
                              <w:pStyle w:val="HHeadingTables0"/>
                              <w:spacing w:before="0" w:after="0" w:line="240" w:lineRule="auto"/>
                              <w:jc w:val="center"/>
                              <w:rPr>
                                <w:color w:val="FFFFFF" w:themeColor="accent1"/>
                                <w:spacing w:val="-4"/>
                                <w:sz w:val="18"/>
                                <w:szCs w:val="18"/>
                              </w:rPr>
                            </w:pPr>
                            <w:r w:rsidRPr="00FB28B9">
                              <w:rPr>
                                <w:color w:val="FFFFFF" w:themeColor="accent1"/>
                                <w:spacing w:val="-4"/>
                                <w:sz w:val="18"/>
                              </w:rPr>
                              <w:t>Показатели</w:t>
                            </w:r>
                          </w:p>
                        </w:tc>
                      </w:tr>
                      <w:tr w:rsidR="00D21DBF" w:rsidRPr="00FB28B9" w:rsidTr="00FB28B9">
                        <w:tc>
                          <w:tcPr>
                            <w:tcW w:w="0" w:type="auto"/>
                            <w:vMerge/>
                            <w:tcBorders>
                              <w:right w:val="single" w:sz="4" w:space="0" w:color="FFFFFF" w:themeColor="accent1"/>
                            </w:tcBorders>
                            <w:vAlign w:val="center"/>
                            <w:hideMark/>
                          </w:tcPr>
                          <w:p w:rsidR="00D21DBF" w:rsidRPr="00FB28B9" w:rsidRDefault="00D21DBF" w:rsidP="00632933">
                            <w:pPr>
                              <w:pStyle w:val="Htableleft"/>
                              <w:spacing w:before="0" w:after="0"/>
                              <w:rPr>
                                <w:rFonts w:cs="Arial"/>
                                <w:color w:val="FFFFFF" w:themeColor="accent1"/>
                                <w:spacing w:val="-4"/>
                                <w:szCs w:val="18"/>
                              </w:rPr>
                            </w:pPr>
                          </w:p>
                        </w:tc>
                        <w:tc>
                          <w:tcPr>
                            <w:tcW w:w="0" w:type="auto"/>
                            <w:vMerge/>
                            <w:tcBorders>
                              <w:left w:val="single" w:sz="4" w:space="0" w:color="FFFFFF" w:themeColor="accent1"/>
                              <w:right w:val="single" w:sz="4" w:space="0" w:color="FFFFFF" w:themeColor="accent1"/>
                            </w:tcBorders>
                            <w:vAlign w:val="center"/>
                            <w:hideMark/>
                          </w:tcPr>
                          <w:p w:rsidR="00D21DBF" w:rsidRPr="00FB28B9" w:rsidRDefault="00D21DBF" w:rsidP="00632933">
                            <w:pPr>
                              <w:pStyle w:val="Htableleft"/>
                              <w:spacing w:before="0" w:after="0"/>
                              <w:rPr>
                                <w:rFonts w:cs="Arial"/>
                                <w:color w:val="FFFFFF" w:themeColor="accent1"/>
                                <w:spacing w:val="-4"/>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D21DBF" w:rsidRPr="00FB28B9" w:rsidRDefault="00D21DBF" w:rsidP="00632933">
                            <w:pPr>
                              <w:pStyle w:val="HHeadingTables0"/>
                              <w:spacing w:before="0" w:after="0" w:line="240" w:lineRule="auto"/>
                              <w:jc w:val="center"/>
                              <w:rPr>
                                <w:color w:val="FFFFFF" w:themeColor="accent1"/>
                                <w:spacing w:val="-4"/>
                                <w:sz w:val="18"/>
                                <w:szCs w:val="18"/>
                              </w:rPr>
                            </w:pPr>
                            <w:r w:rsidRPr="00FB28B9">
                              <w:rPr>
                                <w:color w:val="FFFFFF" w:themeColor="accent1"/>
                                <w:spacing w:val="-4"/>
                                <w:sz w:val="18"/>
                              </w:rPr>
                              <w:t>Показатели за крайни продукти</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D21DBF" w:rsidRPr="00FB28B9" w:rsidRDefault="00D21DBF" w:rsidP="00632933">
                            <w:pPr>
                              <w:pStyle w:val="HHeadingTables0"/>
                              <w:spacing w:before="0" w:after="0" w:line="240" w:lineRule="auto"/>
                              <w:jc w:val="center"/>
                              <w:rPr>
                                <w:color w:val="FFFFFF" w:themeColor="accent1"/>
                                <w:spacing w:val="-4"/>
                                <w:sz w:val="18"/>
                                <w:szCs w:val="18"/>
                              </w:rPr>
                            </w:pPr>
                            <w:r w:rsidRPr="00FB28B9">
                              <w:rPr>
                                <w:color w:val="FFFFFF" w:themeColor="accent1"/>
                                <w:spacing w:val="-4"/>
                                <w:sz w:val="18"/>
                              </w:rPr>
                              <w:t>Показатели за резултати</w:t>
                            </w:r>
                          </w:p>
                        </w:tc>
                      </w:tr>
                      <w:tr w:rsidR="00D21DBF" w:rsidRPr="00FB28B9" w:rsidTr="00FB28B9">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FB28B9" w:rsidRDefault="00D21DBF" w:rsidP="00632933">
                            <w:pPr>
                              <w:pStyle w:val="Htableleft"/>
                              <w:spacing w:before="0" w:after="0"/>
                              <w:rPr>
                                <w:rFonts w:cs="Arial"/>
                                <w:color w:val="373737"/>
                                <w:spacing w:val="-4"/>
                                <w:szCs w:val="18"/>
                              </w:rPr>
                            </w:pPr>
                            <w:r w:rsidRPr="00FB28B9">
                              <w:rPr>
                                <w:i/>
                                <w:color w:val="373737"/>
                                <w:spacing w:val="-4"/>
                              </w:rPr>
                              <w:t>До каква степен механизмът за изпълнение и дейностите за популяризиране са довели до създаване на добавена стойност?</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FB28B9" w:rsidRDefault="00D21DBF" w:rsidP="00632933">
                            <w:pPr>
                              <w:pStyle w:val="Htableleft"/>
                              <w:spacing w:before="0" w:after="0"/>
                              <w:rPr>
                                <w:rFonts w:cs="Arial"/>
                                <w:color w:val="373737"/>
                                <w:spacing w:val="-4"/>
                                <w:szCs w:val="18"/>
                              </w:rPr>
                            </w:pPr>
                            <w:r w:rsidRPr="00FB28B9">
                              <w:rPr>
                                <w:color w:val="373737"/>
                                <w:spacing w:val="-4"/>
                              </w:rPr>
                              <w:t>Участието в партньорството на съответните свързани с развитието на селските райони лица е било осигурено.</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Брой и многообразие на членовете на МГД</w:t>
                            </w:r>
                          </w:p>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Дял на участието на съответните заинтересовани страни в партньорските дейности</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Оценяване на видимите промени в свързаното със сътрудничеството поведение и в начините за вземане на решения сред партньорите.</w:t>
                            </w:r>
                          </w:p>
                          <w:p w:rsidR="00D21DBF" w:rsidRPr="00FB28B9" w:rsidRDefault="00D21DBF" w:rsidP="00632933">
                            <w:pPr>
                              <w:pStyle w:val="Htablebullet"/>
                              <w:numPr>
                                <w:ilvl w:val="0"/>
                                <w:numId w:val="0"/>
                              </w:numPr>
                              <w:rPr>
                                <w:color w:val="373737"/>
                                <w:spacing w:val="-4"/>
                                <w:szCs w:val="18"/>
                              </w:rPr>
                            </w:pPr>
                          </w:p>
                        </w:tc>
                      </w:tr>
                      <w:tr w:rsidR="00D21DBF" w:rsidRPr="00FB28B9" w:rsidTr="00FB28B9">
                        <w:tc>
                          <w:tcPr>
                            <w:tcW w:w="0" w:type="auto"/>
                            <w:tcBorders>
                              <w:right w:val="single" w:sz="4" w:space="0" w:color="FFFFFF" w:themeColor="accent1"/>
                            </w:tcBorders>
                            <w:shd w:val="clear" w:color="auto" w:fill="F9CBAC" w:themeFill="background2" w:themeFillTint="66"/>
                            <w:vAlign w:val="center"/>
                            <w:hideMark/>
                          </w:tcPr>
                          <w:p w:rsidR="00D21DBF" w:rsidRPr="00FB28B9" w:rsidRDefault="00D21DBF" w:rsidP="00632933">
                            <w:pPr>
                              <w:pStyle w:val="Htableleft"/>
                              <w:spacing w:before="0" w:after="0"/>
                              <w:rPr>
                                <w:rFonts w:cs="Arial"/>
                                <w:color w:val="373737"/>
                                <w:spacing w:val="-4"/>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D21DBF" w:rsidRPr="00FB28B9" w:rsidRDefault="00D21DBF" w:rsidP="00632933">
                            <w:pPr>
                              <w:pStyle w:val="Htableleft"/>
                              <w:spacing w:before="0" w:after="0"/>
                              <w:rPr>
                                <w:rFonts w:cs="Arial"/>
                                <w:color w:val="373737"/>
                                <w:spacing w:val="-4"/>
                                <w:szCs w:val="18"/>
                              </w:rPr>
                            </w:pPr>
                            <w:r w:rsidRPr="00FB28B9">
                              <w:rPr>
                                <w:color w:val="373737"/>
                                <w:spacing w:val="-4"/>
                              </w:rPr>
                              <w:t>Сътрудничеството с местната общност (икономически и социални заинтересовани групи и представители на публични и частни институции) в подкрепа на процеса на развитие е било засилено.</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Брой и вид на дейностите за подкрепа на местни проекти</w:t>
                            </w:r>
                          </w:p>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Брой и вид на възникналите структури за сътрудничество</w:t>
                            </w:r>
                          </w:p>
                          <w:p w:rsidR="00D21DBF" w:rsidRPr="00FB28B9" w:rsidRDefault="00D21DBF" w:rsidP="00632933">
                            <w:pPr>
                              <w:pStyle w:val="Htablebullet"/>
                              <w:numPr>
                                <w:ilvl w:val="0"/>
                                <w:numId w:val="0"/>
                              </w:numPr>
                              <w:spacing w:before="0" w:after="0"/>
                              <w:ind w:left="360"/>
                              <w:rPr>
                                <w:rFonts w:ascii="Arial" w:hAnsi="Arial"/>
                                <w:color w:val="373737"/>
                                <w:spacing w:val="-4"/>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Оценяване на видимите промени в равнището на взаимно доверие между участващите заинтересовани страни</w:t>
                            </w:r>
                          </w:p>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 xml:space="preserve">Размер на мултиплициращия ефект в подкрепа на структурите за местно развитие (мобилизиране на публични и частни средства от различни източници и/или доброволна работа) </w:t>
                            </w:r>
                          </w:p>
                        </w:tc>
                      </w:tr>
                      <w:tr w:rsidR="00D21DBF" w:rsidRPr="00FB28B9" w:rsidTr="00FB28B9">
                        <w:tc>
                          <w:tcPr>
                            <w:tcW w:w="0" w:type="auto"/>
                            <w:tcBorders>
                              <w:right w:val="single" w:sz="4" w:space="0" w:color="FFFFFF" w:themeColor="accent1"/>
                            </w:tcBorders>
                            <w:shd w:val="clear" w:color="auto" w:fill="FCE5D5" w:themeFill="background2" w:themeFillTint="33"/>
                            <w:vAlign w:val="center"/>
                            <w:hideMark/>
                          </w:tcPr>
                          <w:p w:rsidR="00D21DBF" w:rsidRPr="00FB28B9" w:rsidRDefault="00D21DBF" w:rsidP="00632933">
                            <w:pPr>
                              <w:pStyle w:val="Htableleft"/>
                              <w:spacing w:before="0" w:after="0"/>
                              <w:rPr>
                                <w:rFonts w:cs="Arial"/>
                                <w:color w:val="373737"/>
                                <w:spacing w:val="-4"/>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FB28B9" w:rsidRDefault="00D21DBF" w:rsidP="00632933">
                            <w:pPr>
                              <w:pStyle w:val="Htableleft"/>
                              <w:spacing w:before="0" w:after="0"/>
                              <w:rPr>
                                <w:rFonts w:cs="Arial"/>
                                <w:color w:val="373737"/>
                                <w:spacing w:val="-4"/>
                                <w:szCs w:val="18"/>
                              </w:rPr>
                            </w:pPr>
                            <w:r w:rsidRPr="00FB28B9">
                              <w:rPr>
                                <w:color w:val="373737"/>
                                <w:spacing w:val="-4"/>
                              </w:rPr>
                              <w:t>МГД е успяла да мобилизира и да осъществи развитие на местния селски район чрез новаторски решения на стари и нови проблеми на района.</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Брой на подкрепените проекти с новаторски или пилотен характер</w:t>
                            </w:r>
                          </w:p>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Брой и вид на възникналите структури за сътрудничество</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Тежест на „новаторските“ проекти в общите разходи (%)</w:t>
                            </w:r>
                          </w:p>
                        </w:tc>
                      </w:tr>
                      <w:tr w:rsidR="00D21DBF" w:rsidRPr="00FB28B9" w:rsidTr="003112E6">
                        <w:trPr>
                          <w:trHeight w:val="3171"/>
                        </w:trPr>
                        <w:tc>
                          <w:tcPr>
                            <w:tcW w:w="0" w:type="auto"/>
                            <w:tcBorders>
                              <w:right w:val="single" w:sz="4" w:space="0" w:color="FFFFFF" w:themeColor="accent1"/>
                            </w:tcBorders>
                            <w:shd w:val="clear" w:color="auto" w:fill="F9CBAC" w:themeFill="background2" w:themeFillTint="66"/>
                            <w:vAlign w:val="center"/>
                            <w:hideMark/>
                          </w:tcPr>
                          <w:p w:rsidR="00D21DBF" w:rsidRPr="00FB28B9" w:rsidRDefault="00D21DBF" w:rsidP="00632933">
                            <w:pPr>
                              <w:pStyle w:val="Htableleft"/>
                              <w:spacing w:before="0" w:after="0"/>
                              <w:rPr>
                                <w:rFonts w:cs="Arial"/>
                                <w:color w:val="373737"/>
                                <w:spacing w:val="-4"/>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D21DBF" w:rsidRPr="00FB28B9" w:rsidRDefault="00D21DBF" w:rsidP="00632933">
                            <w:pPr>
                              <w:pStyle w:val="Htableleft"/>
                              <w:spacing w:before="0" w:after="0"/>
                              <w:rPr>
                                <w:rFonts w:cs="Arial"/>
                                <w:color w:val="373737"/>
                                <w:spacing w:val="-4"/>
                                <w:szCs w:val="18"/>
                              </w:rPr>
                            </w:pPr>
                            <w:r w:rsidRPr="00FB28B9">
                              <w:rPr>
                                <w:color w:val="373737"/>
                                <w:spacing w:val="-4"/>
                              </w:rPr>
                              <w:t>Насърчаване на отношенията и проекти за връзки и изграждане на капацитет с външни институции с цел укрепване и подобряване на (иновативни) местни действия.</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Брой и вид на мрежите, в които участва МГД</w:t>
                            </w:r>
                          </w:p>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Брой и вид на подкрепените проекти за сътрудничество</w:t>
                            </w:r>
                          </w:p>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Брой и вид на членовете/местните участници, включени в проекти за сътрудничество и в дейности за изграждане на мрежи</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color w:val="373737"/>
                                <w:spacing w:val="-4"/>
                              </w:rPr>
                              <w:t>% на местните стратегии/инициативи, които получават конкретни ползи от дейностите за изграждане на мрежи и сътрудничество</w:t>
                            </w:r>
                          </w:p>
                          <w:p w:rsidR="00D21DBF" w:rsidRPr="00FB28B9" w:rsidRDefault="00D21DBF" w:rsidP="00632933">
                            <w:pPr>
                              <w:pStyle w:val="Htablebullet"/>
                              <w:tabs>
                                <w:tab w:val="clear" w:pos="142"/>
                                <w:tab w:val="left" w:pos="262"/>
                              </w:tabs>
                              <w:spacing w:before="0" w:after="0"/>
                              <w:ind w:left="262" w:hanging="262"/>
                              <w:rPr>
                                <w:rFonts w:ascii="Arial" w:hAnsi="Arial"/>
                                <w:color w:val="373737"/>
                                <w:spacing w:val="-4"/>
                                <w:szCs w:val="18"/>
                              </w:rPr>
                            </w:pPr>
                            <w:r w:rsidRPr="00FB28B9">
                              <w:rPr>
                                <w:rFonts w:ascii="Arial" w:hAnsi="Arial"/>
                                <w:i/>
                                <w:color w:val="373737"/>
                                <w:spacing w:val="-4"/>
                              </w:rPr>
                              <w:t>Специфични показатели за резултати, свързани с целите на проектите за сътрудничество и с дейностите за изграждане на мрежи</w:t>
                            </w:r>
                            <w:r w:rsidRPr="00FB28B9">
                              <w:rPr>
                                <w:rFonts w:ascii="Arial" w:hAnsi="Arial"/>
                                <w:color w:val="373737"/>
                                <w:spacing w:val="-4"/>
                              </w:rPr>
                              <w:t xml:space="preserve"> </w:t>
                            </w:r>
                          </w:p>
                        </w:tc>
                      </w:tr>
                    </w:tbl>
                    <w:p w:rsidR="00D21DBF" w:rsidRPr="00B30A98" w:rsidRDefault="00D21DBF" w:rsidP="00FB28B9">
                      <w:pPr>
                        <w:rPr>
                          <w:rFonts w:ascii="Arial" w:hAnsi="Arial" w:cs="Arial"/>
                          <w:color w:val="57825E" w:themeColor="accent4"/>
                          <w:sz w:val="20"/>
                          <w:szCs w:val="20"/>
                        </w:rPr>
                      </w:pPr>
                    </w:p>
                  </w:txbxContent>
                </v:textbox>
                <w10:wrap type="square"/>
              </v:shape>
            </w:pict>
          </mc:Fallback>
        </mc:AlternateContent>
      </w:r>
      <w:r w:rsidRPr="00FB01AA">
        <w:rPr>
          <w:rFonts w:ascii="Times New Roman" w:hAnsi="Times New Roman"/>
          <w:sz w:val="22"/>
        </w:rPr>
        <w:t> </w:t>
      </w:r>
    </w:p>
    <w:p w:rsidR="00335BB3" w:rsidRPr="00FB01AA" w:rsidRDefault="00335BB3" w:rsidP="00370643">
      <w:pPr>
        <w:pStyle w:val="HStandard"/>
        <w:rPr>
          <w:sz w:val="18"/>
        </w:rPr>
        <w:sectPr w:rsidR="00335BB3" w:rsidRPr="00FB01AA" w:rsidSect="009F15D6">
          <w:type w:val="continuous"/>
          <w:pgSz w:w="11906" w:h="16838"/>
          <w:pgMar w:top="1418" w:right="1418" w:bottom="1418" w:left="1418" w:header="709" w:footer="709" w:gutter="0"/>
          <w:cols w:space="708"/>
          <w:docGrid w:linePitch="360"/>
        </w:sectPr>
      </w:pPr>
    </w:p>
    <w:p w:rsidR="006C5F71" w:rsidRPr="00FB01AA" w:rsidRDefault="00C6113D" w:rsidP="00370643">
      <w:pPr>
        <w:pStyle w:val="HStandard"/>
        <w:rPr>
          <w:rFonts w:ascii="Times New Roman" w:hAnsi="Times New Roman"/>
          <w:sz w:val="22"/>
          <w:szCs w:val="24"/>
        </w:rPr>
      </w:pPr>
      <w:r w:rsidRPr="00FB01AA">
        <w:rPr>
          <w:sz w:val="18"/>
        </w:rPr>
        <w:lastRenderedPageBreak/>
        <w:t xml:space="preserve">Добавената стойност на LEADER/ВОМР би следвало да произтече от прилагането на стратегията за ВОМР чрез използването на механизма за изпълнение на ВОМР и с подкрепата на дейностите на МГД за популяризиране. Добавената стойност на LEADER/ВОМР се създава чрез дейностите на МГД и приема формата на промени в поведението на ангажираните в тези дейности местни участници. Това води до подобряване на социалния капитал и местното управление и до дългосрочни структурни промени в територията на МГД (вж. глава 3.1). </w:t>
      </w:r>
    </w:p>
    <w:p w:rsidR="006C5F71" w:rsidRPr="00FB01AA" w:rsidRDefault="006C5F71" w:rsidP="00370643">
      <w:pPr>
        <w:pStyle w:val="HStandard"/>
        <w:rPr>
          <w:rFonts w:ascii="Times New Roman" w:hAnsi="Times New Roman"/>
          <w:sz w:val="22"/>
          <w:szCs w:val="24"/>
        </w:rPr>
      </w:pPr>
      <w:r w:rsidRPr="00FB01AA">
        <w:rPr>
          <w:sz w:val="18"/>
        </w:rPr>
        <w:t xml:space="preserve">Измеренията, в които се очаква появата на измерими ефекти, са: </w:t>
      </w:r>
    </w:p>
    <w:p w:rsidR="006C5F71" w:rsidRPr="00FB01AA" w:rsidRDefault="006C5F71" w:rsidP="00370643">
      <w:pPr>
        <w:pStyle w:val="Hlistbullet"/>
        <w:ind w:left="426" w:hanging="426"/>
        <w:rPr>
          <w:sz w:val="18"/>
        </w:rPr>
      </w:pPr>
      <w:r w:rsidRPr="00FB01AA">
        <w:rPr>
          <w:sz w:val="18"/>
        </w:rPr>
        <w:t>подобряването на местния социален капитал;</w:t>
      </w:r>
    </w:p>
    <w:p w:rsidR="006C5F71" w:rsidRPr="00FB01AA" w:rsidRDefault="006C5F71" w:rsidP="00370643">
      <w:pPr>
        <w:pStyle w:val="Hlistbullet"/>
        <w:ind w:left="426" w:hanging="426"/>
        <w:rPr>
          <w:sz w:val="18"/>
        </w:rPr>
      </w:pPr>
      <w:r w:rsidRPr="00FB01AA">
        <w:rPr>
          <w:sz w:val="18"/>
        </w:rPr>
        <w:t>подобряването на местното управление;</w:t>
      </w:r>
    </w:p>
    <w:p w:rsidR="006C5F71" w:rsidRPr="00FB01AA" w:rsidRDefault="006C5F71" w:rsidP="00370643">
      <w:pPr>
        <w:pStyle w:val="Hlistbullet"/>
        <w:ind w:left="426" w:hanging="426"/>
        <w:rPr>
          <w:sz w:val="18"/>
        </w:rPr>
      </w:pPr>
      <w:r w:rsidRPr="00FB01AA">
        <w:rPr>
          <w:sz w:val="18"/>
        </w:rPr>
        <w:t>засилването на резултатите от изпълнението на стратегията.</w:t>
      </w:r>
    </w:p>
    <w:p w:rsidR="006C5F71" w:rsidRPr="00FB01AA" w:rsidRDefault="00AD412D" w:rsidP="000A6D53">
      <w:pPr>
        <w:pStyle w:val="HHeading5"/>
        <w:rPr>
          <w:rFonts w:ascii="Times New Roman" w:hAnsi="Times New Roman"/>
          <w:sz w:val="22"/>
          <w:szCs w:val="24"/>
        </w:rPr>
      </w:pPr>
      <w:r w:rsidRPr="00FB01AA">
        <w:rPr>
          <w:sz w:val="18"/>
        </w:rPr>
        <w:t>в) Разработване на въпроси за оценка за целите на анализа на очакваните въздействия от гледна точка на добавената стойност на ВОМР на местно равнище</w:t>
      </w:r>
    </w:p>
    <w:p w:rsidR="006C5F71" w:rsidRPr="00FB01AA" w:rsidRDefault="006C5F71" w:rsidP="00370643">
      <w:pPr>
        <w:pStyle w:val="HStandard"/>
        <w:rPr>
          <w:sz w:val="18"/>
        </w:rPr>
      </w:pPr>
      <w:r w:rsidRPr="00FB01AA">
        <w:rPr>
          <w:sz w:val="18"/>
        </w:rPr>
        <w:t xml:space="preserve">Тези промени могат да бъдат установени най-напред на равнището на резултатите, както беше показано в предишния раздел относно създаването на добавена стойност от механизма за изпълнение и дейностите за популяризиране. В дългосрочен план тези промени би трябвало да допринесат за осъществяването на структурни промени на равнището на въздействията. Тъй като оценката на равнището на МГД се извършва в края на мандата, е малко вероятно въздействията върху тези измерения да бъдат потвърдени </w:t>
      </w:r>
      <w:r w:rsidR="00D408DF">
        <w:rPr>
          <w:sz w:val="18"/>
        </w:rPr>
        <w:t>от неоспорими</w:t>
      </w:r>
      <w:r w:rsidRPr="00FB01AA">
        <w:rPr>
          <w:sz w:val="18"/>
        </w:rPr>
        <w:t xml:space="preserve"> </w:t>
      </w:r>
      <w:r w:rsidR="008F674C" w:rsidRPr="00251DF4">
        <w:rPr>
          <w:sz w:val="18"/>
        </w:rPr>
        <w:t>констатаци</w:t>
      </w:r>
      <w:r w:rsidRPr="00FB01AA">
        <w:rPr>
          <w:sz w:val="18"/>
        </w:rPr>
        <w:t>и. Въпреки това от гледна точка на придобиването на знания е не само полезно, но и необходимо да се създаде пространство за общ размисъл относно въздействията, които биха могли да възникнат, като се обърне специално внимание на траектори</w:t>
      </w:r>
      <w:r w:rsidR="00D97D17">
        <w:rPr>
          <w:sz w:val="18"/>
        </w:rPr>
        <w:t>и</w:t>
      </w:r>
      <w:r w:rsidRPr="00FB01AA">
        <w:rPr>
          <w:sz w:val="18"/>
        </w:rPr>
        <w:t>т</w:t>
      </w:r>
      <w:r w:rsidR="00D97D17">
        <w:rPr>
          <w:sz w:val="18"/>
        </w:rPr>
        <w:t>е</w:t>
      </w:r>
      <w:r w:rsidRPr="00FB01AA">
        <w:rPr>
          <w:sz w:val="18"/>
        </w:rPr>
        <w:t xml:space="preserve"> на промяната, представен</w:t>
      </w:r>
      <w:r w:rsidR="00D97D17">
        <w:rPr>
          <w:sz w:val="18"/>
        </w:rPr>
        <w:t>и</w:t>
      </w:r>
      <w:r w:rsidRPr="00FB01AA">
        <w:rPr>
          <w:sz w:val="18"/>
        </w:rPr>
        <w:t xml:space="preserve"> чрез интервенционната логика, както и на степента, в която тя е била осъществена. Това проучване следва да включва съвместен анализ на признаците на промяна, които не са били предвидени в интервенционната логика, но изглежда са знак за възникването на неочаквани въздействия.</w:t>
      </w:r>
    </w:p>
    <w:p w:rsidR="006C5F71" w:rsidRPr="00FB01AA" w:rsidRDefault="006C5F71" w:rsidP="00370643">
      <w:pPr>
        <w:pStyle w:val="HStandard"/>
        <w:rPr>
          <w:sz w:val="18"/>
        </w:rPr>
      </w:pPr>
      <w:r w:rsidRPr="00FB01AA">
        <w:rPr>
          <w:sz w:val="18"/>
        </w:rPr>
        <w:t xml:space="preserve">За оценка на добавената стойност е необходимо да се </w:t>
      </w:r>
      <w:r w:rsidR="00BE14DA">
        <w:rPr>
          <w:sz w:val="18"/>
        </w:rPr>
        <w:t>формулира</w:t>
      </w:r>
      <w:r w:rsidRPr="00FB01AA">
        <w:rPr>
          <w:sz w:val="18"/>
        </w:rPr>
        <w:t xml:space="preserve"> очакваната добавена стойност (подобряване на социалния капитал или подобряване на местното управление) и да се определят съответни въпроси за оценка, критерии за преценка и показатели.</w:t>
      </w:r>
    </w:p>
    <w:p w:rsidR="006C5F71" w:rsidRPr="00FB01AA" w:rsidRDefault="006C5F71" w:rsidP="00370643">
      <w:pPr>
        <w:pStyle w:val="HStandard"/>
        <w:rPr>
          <w:rFonts w:ascii="Times New Roman" w:hAnsi="Times New Roman"/>
          <w:sz w:val="22"/>
          <w:szCs w:val="24"/>
        </w:rPr>
      </w:pPr>
      <w:r w:rsidRPr="00FB01AA">
        <w:rPr>
          <w:sz w:val="18"/>
        </w:rPr>
        <w:t xml:space="preserve">Относимите въпроси за оценка на промяната в </w:t>
      </w:r>
      <w:r w:rsidRPr="00FB01AA">
        <w:rPr>
          <w:b/>
          <w:sz w:val="18"/>
        </w:rPr>
        <w:t>местния социален капитал</w:t>
      </w:r>
      <w:r w:rsidRPr="00FB01AA">
        <w:rPr>
          <w:sz w:val="18"/>
        </w:rPr>
        <w:t xml:space="preserve"> биха могли да проучват:</w:t>
      </w:r>
    </w:p>
    <w:p w:rsidR="006C5F71" w:rsidRPr="00FB01AA" w:rsidRDefault="006C5F71" w:rsidP="00370643">
      <w:pPr>
        <w:pStyle w:val="Hlistbullet"/>
        <w:ind w:left="426" w:hanging="426"/>
        <w:rPr>
          <w:sz w:val="18"/>
        </w:rPr>
      </w:pPr>
      <w:r w:rsidRPr="00FB01AA">
        <w:rPr>
          <w:sz w:val="18"/>
        </w:rPr>
        <w:t>интензивността и качеството на взаимодействията между местните участници и на тези с външни доставчици на ресурси или институционални партньори на различни</w:t>
      </w:r>
      <w:r w:rsidR="00CF7C6E">
        <w:rPr>
          <w:sz w:val="18"/>
        </w:rPr>
        <w:t>те</w:t>
      </w:r>
      <w:r w:rsidRPr="00FB01AA">
        <w:rPr>
          <w:sz w:val="18"/>
        </w:rPr>
        <w:t xml:space="preserve"> равнища на вземане на решения;</w:t>
      </w:r>
    </w:p>
    <w:p w:rsidR="006C5F71" w:rsidRPr="00FB01AA" w:rsidRDefault="006C5F71" w:rsidP="00370643">
      <w:pPr>
        <w:pStyle w:val="Hlistbullet"/>
        <w:ind w:left="426" w:hanging="426"/>
        <w:rPr>
          <w:sz w:val="18"/>
        </w:rPr>
      </w:pPr>
      <w:r w:rsidRPr="00FB01AA">
        <w:rPr>
          <w:sz w:val="18"/>
        </w:rPr>
        <w:t>капацитета на местните участници да се организират в различни форми на партньорства, мрежи, лобита, групи по интереси и групи за солидарност; капацитета за преодоляване на изолацията и изграждане на връзки;</w:t>
      </w:r>
    </w:p>
    <w:p w:rsidR="006C5F71" w:rsidRPr="00FB01AA" w:rsidRDefault="006C5F71" w:rsidP="00370643">
      <w:pPr>
        <w:pStyle w:val="Hlistbullet"/>
        <w:ind w:left="426" w:hanging="426"/>
        <w:rPr>
          <w:sz w:val="18"/>
        </w:rPr>
      </w:pPr>
      <w:r w:rsidRPr="00FB01AA">
        <w:rPr>
          <w:sz w:val="18"/>
        </w:rPr>
        <w:t>засилването на доверието и увереността сред участниците в територията на МГД;</w:t>
      </w:r>
    </w:p>
    <w:p w:rsidR="006C5F71" w:rsidRPr="00FB01AA" w:rsidRDefault="006C5F71" w:rsidP="00370643">
      <w:pPr>
        <w:pStyle w:val="Hlistbullet"/>
        <w:ind w:left="426" w:hanging="426"/>
        <w:rPr>
          <w:sz w:val="18"/>
        </w:rPr>
      </w:pPr>
      <w:r w:rsidRPr="00FB01AA">
        <w:rPr>
          <w:sz w:val="18"/>
        </w:rPr>
        <w:t>осъзнаването на местната идентичност и на имиджа или репутацията на района, на неговите хора, ресурси и продукти;</w:t>
      </w:r>
    </w:p>
    <w:p w:rsidR="006C5F71" w:rsidRPr="00FB01AA" w:rsidRDefault="006C5F71" w:rsidP="00370643">
      <w:pPr>
        <w:pStyle w:val="Hlistbullet"/>
        <w:ind w:left="426" w:hanging="426"/>
        <w:rPr>
          <w:sz w:val="18"/>
        </w:rPr>
      </w:pPr>
      <w:r w:rsidRPr="00FB01AA">
        <w:rPr>
          <w:sz w:val="18"/>
        </w:rPr>
        <w:t>създаването на възможности и насърчаването на по-младото поколение да обвърже бъдещите си перспективи с визия за района, в който живее;</w:t>
      </w:r>
    </w:p>
    <w:p w:rsidR="006C5F71" w:rsidRPr="00FB01AA" w:rsidRDefault="006C5F71" w:rsidP="00370643">
      <w:pPr>
        <w:pStyle w:val="Hlistbullet"/>
        <w:ind w:left="426" w:hanging="426"/>
        <w:rPr>
          <w:sz w:val="18"/>
        </w:rPr>
      </w:pPr>
      <w:r w:rsidRPr="00FB01AA">
        <w:rPr>
          <w:sz w:val="18"/>
        </w:rPr>
        <w:t>убежденията, нагласите и поведенията на местните участници и отношенията между тях;</w:t>
      </w:r>
    </w:p>
    <w:p w:rsidR="006C5F71" w:rsidRPr="00FB01AA" w:rsidRDefault="006C5F71" w:rsidP="00370643">
      <w:pPr>
        <w:pStyle w:val="Hlistbullet"/>
        <w:ind w:left="426" w:hanging="426"/>
        <w:rPr>
          <w:sz w:val="18"/>
        </w:rPr>
      </w:pPr>
      <w:r w:rsidRPr="00FB01AA">
        <w:rPr>
          <w:sz w:val="18"/>
        </w:rPr>
        <w:t>обичайните процедури на равнище организации, системи за сътрудничество и мрежи;</w:t>
      </w:r>
    </w:p>
    <w:p w:rsidR="006C5F71" w:rsidRPr="00FB01AA" w:rsidRDefault="006C5F71" w:rsidP="00370643">
      <w:pPr>
        <w:pStyle w:val="Hlistbullet"/>
        <w:ind w:left="426" w:hanging="426"/>
        <w:rPr>
          <w:sz w:val="18"/>
        </w:rPr>
      </w:pPr>
      <w:r w:rsidRPr="00FB01AA">
        <w:rPr>
          <w:sz w:val="18"/>
        </w:rPr>
        <w:t>новите или променените правила, уреждащи социалните взаимодействия и социалното възпроизводство.</w:t>
      </w:r>
    </w:p>
    <w:p w:rsidR="006C5F71" w:rsidRPr="00FB01AA" w:rsidRDefault="006C5F71" w:rsidP="00370643">
      <w:pPr>
        <w:pStyle w:val="HStandard"/>
        <w:rPr>
          <w:rFonts w:ascii="Times New Roman" w:hAnsi="Times New Roman"/>
          <w:sz w:val="22"/>
          <w:szCs w:val="24"/>
        </w:rPr>
      </w:pPr>
      <w:r w:rsidRPr="00FB01AA">
        <w:rPr>
          <w:sz w:val="18"/>
        </w:rPr>
        <w:t xml:space="preserve">Относимите въпроси за оценка на промяната в </w:t>
      </w:r>
      <w:r w:rsidRPr="00FB01AA">
        <w:rPr>
          <w:b/>
          <w:sz w:val="18"/>
        </w:rPr>
        <w:t>местното управление</w:t>
      </w:r>
      <w:r w:rsidRPr="00FB01AA">
        <w:rPr>
          <w:sz w:val="18"/>
        </w:rPr>
        <w:t xml:space="preserve"> биха могли да проучват:</w:t>
      </w:r>
    </w:p>
    <w:p w:rsidR="00827682" w:rsidRDefault="00827682">
      <w:pPr>
        <w:spacing w:after="0" w:line="240" w:lineRule="auto"/>
        <w:rPr>
          <w:rFonts w:ascii="Arial" w:hAnsi="Arial"/>
          <w:color w:val="373737" w:themeColor="background1" w:themeShade="40"/>
          <w:sz w:val="18"/>
          <w:szCs w:val="20"/>
        </w:rPr>
      </w:pPr>
      <w:r>
        <w:rPr>
          <w:sz w:val="18"/>
        </w:rPr>
        <w:br w:type="page"/>
      </w:r>
    </w:p>
    <w:p w:rsidR="006C5F71" w:rsidRPr="00FB01AA" w:rsidRDefault="006C5F71" w:rsidP="00370643">
      <w:pPr>
        <w:pStyle w:val="Hlistbullet"/>
        <w:ind w:left="426" w:hanging="426"/>
        <w:rPr>
          <w:sz w:val="18"/>
        </w:rPr>
      </w:pPr>
      <w:r w:rsidRPr="00FB01AA">
        <w:rPr>
          <w:sz w:val="18"/>
        </w:rPr>
        <w:lastRenderedPageBreak/>
        <w:t xml:space="preserve">включването на различни участници (напр. на публични и непублични участници) в динамичен и интерактивен процес на </w:t>
      </w:r>
      <w:r w:rsidR="003216DB">
        <w:rPr>
          <w:sz w:val="18"/>
        </w:rPr>
        <w:t>социално учене</w:t>
      </w:r>
      <w:r w:rsidRPr="00FB01AA">
        <w:rPr>
          <w:sz w:val="18"/>
        </w:rPr>
        <w:t xml:space="preserve">, тяхното многообразие и представителност (напр. в орган за вземане на решения); </w:t>
      </w:r>
    </w:p>
    <w:p w:rsidR="006C5F71" w:rsidRPr="00FB01AA" w:rsidRDefault="006C5F71" w:rsidP="00370643">
      <w:pPr>
        <w:pStyle w:val="Hlistbullet"/>
        <w:ind w:left="426" w:hanging="426"/>
        <w:rPr>
          <w:sz w:val="18"/>
        </w:rPr>
      </w:pPr>
      <w:r w:rsidRPr="00FB01AA">
        <w:rPr>
          <w:sz w:val="18"/>
        </w:rPr>
        <w:t xml:space="preserve">управленските и ръководните механизми (йерархия, партньорства, взаимодействие, солидарност); </w:t>
      </w:r>
    </w:p>
    <w:p w:rsidR="006C5F71" w:rsidRPr="00FB01AA" w:rsidRDefault="006C5F71" w:rsidP="00370643">
      <w:pPr>
        <w:pStyle w:val="Hlistbullet"/>
        <w:ind w:left="426" w:hanging="426"/>
        <w:rPr>
          <w:sz w:val="18"/>
        </w:rPr>
      </w:pPr>
      <w:r w:rsidRPr="00FB01AA">
        <w:rPr>
          <w:sz w:val="18"/>
        </w:rPr>
        <w:t>усвояването на умения за сложни взаимодействия и преговори в многостепенната система за регионално управление;</w:t>
      </w:r>
    </w:p>
    <w:p w:rsidR="006C5F71" w:rsidRPr="00FB01AA" w:rsidRDefault="006C5F71" w:rsidP="00370643">
      <w:pPr>
        <w:pStyle w:val="Hlistbullet"/>
        <w:ind w:left="426" w:hanging="426"/>
        <w:rPr>
          <w:sz w:val="18"/>
        </w:rPr>
      </w:pPr>
      <w:r w:rsidRPr="00FB01AA">
        <w:rPr>
          <w:sz w:val="18"/>
        </w:rPr>
        <w:t xml:space="preserve">укрепването на взаимната зависимост между местните участници, основана на местна идентичност </w:t>
      </w:r>
      <w:r w:rsidR="00A43E72">
        <w:rPr>
          <w:sz w:val="18"/>
        </w:rPr>
        <w:t>и/</w:t>
      </w:r>
      <w:r w:rsidRPr="00FB01AA">
        <w:rPr>
          <w:sz w:val="18"/>
        </w:rPr>
        <w:t>или колективен интерес;</w:t>
      </w:r>
    </w:p>
    <w:p w:rsidR="006C5F71" w:rsidRPr="00FB01AA" w:rsidRDefault="006C5F71" w:rsidP="00370643">
      <w:pPr>
        <w:pStyle w:val="Hlistbullet"/>
        <w:ind w:left="426" w:hanging="426"/>
        <w:rPr>
          <w:sz w:val="18"/>
        </w:rPr>
      </w:pPr>
      <w:r w:rsidRPr="00FB01AA">
        <w:rPr>
          <w:sz w:val="18"/>
        </w:rPr>
        <w:t xml:space="preserve">създаването на стимули за поддържане на ангажираността и съпричастността на участниците за постигането на общи цели; </w:t>
      </w:r>
    </w:p>
    <w:p w:rsidR="006C5F71" w:rsidRPr="00FB01AA" w:rsidRDefault="006C5F71" w:rsidP="00370643">
      <w:pPr>
        <w:pStyle w:val="Hlistbullet"/>
        <w:ind w:left="426" w:hanging="426"/>
        <w:rPr>
          <w:sz w:val="18"/>
        </w:rPr>
      </w:pPr>
      <w:r w:rsidRPr="00FB01AA">
        <w:rPr>
          <w:sz w:val="18"/>
        </w:rPr>
        <w:t xml:space="preserve">сътрудничеството и изграждането на мрежи (например да се проучи доколко МГД са получили централна роля </w:t>
      </w:r>
      <w:r w:rsidR="000A7B25">
        <w:rPr>
          <w:sz w:val="18"/>
        </w:rPr>
        <w:t>като</w:t>
      </w:r>
      <w:r w:rsidRPr="00FB01AA">
        <w:rPr>
          <w:sz w:val="18"/>
        </w:rPr>
        <w:t xml:space="preserve"> двигател за развитие в </w:t>
      </w:r>
      <w:r w:rsidR="000A7B25">
        <w:rPr>
          <w:sz w:val="18"/>
        </w:rPr>
        <w:t>района</w:t>
      </w:r>
      <w:r w:rsidRPr="00FB01AA">
        <w:rPr>
          <w:sz w:val="18"/>
        </w:rPr>
        <w:t xml:space="preserve">); </w:t>
      </w:r>
    </w:p>
    <w:p w:rsidR="006C5F71" w:rsidRPr="00FB01AA" w:rsidRDefault="006C5F71" w:rsidP="00370643">
      <w:pPr>
        <w:pStyle w:val="Hlistbullet"/>
        <w:ind w:left="426" w:hanging="426"/>
        <w:rPr>
          <w:sz w:val="18"/>
        </w:rPr>
      </w:pPr>
      <w:r w:rsidRPr="00FB01AA">
        <w:rPr>
          <w:sz w:val="18"/>
        </w:rPr>
        <w:t>ролята на участниците във властовите структури (разбирана като позицията на даден участник в социалната мрежа, а не само неговата формална власт);</w:t>
      </w:r>
    </w:p>
    <w:p w:rsidR="006C5F71" w:rsidRPr="00FB01AA" w:rsidRDefault="006C5F71" w:rsidP="00370643">
      <w:pPr>
        <w:pStyle w:val="HStandard"/>
        <w:rPr>
          <w:rFonts w:ascii="Times New Roman" w:hAnsi="Times New Roman"/>
          <w:sz w:val="22"/>
          <w:szCs w:val="24"/>
        </w:rPr>
      </w:pPr>
      <w:r w:rsidRPr="00FB01AA">
        <w:rPr>
          <w:sz w:val="18"/>
        </w:rPr>
        <w:t>Относимите въпроси за оценка на добавената стойност</w:t>
      </w:r>
      <w:r w:rsidR="001C15BE">
        <w:rPr>
          <w:sz w:val="18"/>
        </w:rPr>
        <w:t xml:space="preserve">, </w:t>
      </w:r>
      <w:r w:rsidR="002D2197">
        <w:rPr>
          <w:sz w:val="18"/>
        </w:rPr>
        <w:t>отразена</w:t>
      </w:r>
      <w:r w:rsidRPr="00FB01AA">
        <w:rPr>
          <w:sz w:val="18"/>
        </w:rPr>
        <w:t xml:space="preserve"> </w:t>
      </w:r>
      <w:r w:rsidR="001C15BE">
        <w:rPr>
          <w:sz w:val="18"/>
        </w:rPr>
        <w:t>в</w:t>
      </w:r>
      <w:r w:rsidRPr="00FB01AA">
        <w:rPr>
          <w:sz w:val="18"/>
        </w:rPr>
        <w:t xml:space="preserve"> </w:t>
      </w:r>
      <w:r w:rsidRPr="00FB01AA">
        <w:rPr>
          <w:b/>
          <w:sz w:val="18"/>
        </w:rPr>
        <w:t>засилването на резултатите от изпълнението на стратегията</w:t>
      </w:r>
      <w:r w:rsidR="001C15BE">
        <w:rPr>
          <w:b/>
          <w:sz w:val="18"/>
        </w:rPr>
        <w:t>,</w:t>
      </w:r>
      <w:r w:rsidRPr="00FB01AA">
        <w:rPr>
          <w:sz w:val="18"/>
        </w:rPr>
        <w:t xml:space="preserve"> биха могли да проучват:</w:t>
      </w:r>
    </w:p>
    <w:p w:rsidR="006C5F71" w:rsidRPr="00FB01AA" w:rsidRDefault="006C5F71" w:rsidP="00370643">
      <w:pPr>
        <w:pStyle w:val="Hlistbullet"/>
        <w:ind w:left="426" w:hanging="426"/>
        <w:rPr>
          <w:sz w:val="18"/>
        </w:rPr>
      </w:pPr>
      <w:r w:rsidRPr="00FB01AA">
        <w:rPr>
          <w:sz w:val="18"/>
        </w:rPr>
        <w:t xml:space="preserve">вида и качеството на проектите, които са били подкрепени благодарение на метода LEADER, </w:t>
      </w:r>
      <w:r w:rsidR="000A5853">
        <w:rPr>
          <w:sz w:val="18"/>
        </w:rPr>
        <w:t>в сравнение</w:t>
      </w:r>
      <w:r w:rsidRPr="00FB01AA">
        <w:rPr>
          <w:sz w:val="18"/>
        </w:rPr>
        <w:t xml:space="preserve"> с други схеми за подкрепа;</w:t>
      </w:r>
    </w:p>
    <w:p w:rsidR="006C5F71" w:rsidRPr="00FB01AA" w:rsidRDefault="000A5853" w:rsidP="00370643">
      <w:pPr>
        <w:pStyle w:val="Hlistbullet"/>
        <w:ind w:left="426" w:hanging="426"/>
        <w:rPr>
          <w:sz w:val="18"/>
        </w:rPr>
      </w:pPr>
      <w:r>
        <w:rPr>
          <w:sz w:val="18"/>
        </w:rPr>
        <w:t>дали</w:t>
      </w:r>
      <w:r w:rsidR="006C5F71" w:rsidRPr="00FB01AA">
        <w:rPr>
          <w:sz w:val="18"/>
        </w:rPr>
        <w:t xml:space="preserve"> нови или различни организатори на проекти </w:t>
      </w:r>
      <w:r>
        <w:rPr>
          <w:sz w:val="18"/>
        </w:rPr>
        <w:t xml:space="preserve">са </w:t>
      </w:r>
      <w:r w:rsidR="00A46C84">
        <w:rPr>
          <w:sz w:val="18"/>
        </w:rPr>
        <w:t>успели</w:t>
      </w:r>
      <w:r>
        <w:rPr>
          <w:sz w:val="18"/>
        </w:rPr>
        <w:t xml:space="preserve"> </w:t>
      </w:r>
      <w:r w:rsidR="006C5F71" w:rsidRPr="00FB01AA">
        <w:rPr>
          <w:sz w:val="18"/>
        </w:rPr>
        <w:t xml:space="preserve">да получат подкрепа за своите дейности, </w:t>
      </w:r>
      <w:r>
        <w:rPr>
          <w:sz w:val="18"/>
        </w:rPr>
        <w:t>в сравнение</w:t>
      </w:r>
      <w:r w:rsidR="006C5F71" w:rsidRPr="00FB01AA">
        <w:rPr>
          <w:sz w:val="18"/>
        </w:rPr>
        <w:t xml:space="preserve"> с други схеми за подкрепа;</w:t>
      </w:r>
    </w:p>
    <w:p w:rsidR="006C5F71" w:rsidRPr="00FB01AA" w:rsidRDefault="006C5F71" w:rsidP="00370643">
      <w:pPr>
        <w:pStyle w:val="Hlistbullet"/>
        <w:ind w:left="426" w:hanging="426"/>
        <w:rPr>
          <w:sz w:val="18"/>
        </w:rPr>
      </w:pPr>
      <w:r w:rsidRPr="00FB01AA">
        <w:rPr>
          <w:sz w:val="18"/>
        </w:rPr>
        <w:t xml:space="preserve">до каква степен дейностите на МГД са подкрепили и пробудили нов потенциал в </w:t>
      </w:r>
      <w:r w:rsidR="000A5853">
        <w:rPr>
          <w:sz w:val="18"/>
        </w:rPr>
        <w:t>района</w:t>
      </w:r>
      <w:r w:rsidRPr="00FB01AA">
        <w:rPr>
          <w:sz w:val="18"/>
        </w:rPr>
        <w:t>;</w:t>
      </w:r>
    </w:p>
    <w:p w:rsidR="006C5F71" w:rsidRPr="00FB01AA" w:rsidRDefault="006C5F71" w:rsidP="00370643">
      <w:pPr>
        <w:pStyle w:val="Hlistbullet"/>
        <w:ind w:left="426" w:hanging="426"/>
        <w:rPr>
          <w:sz w:val="18"/>
        </w:rPr>
      </w:pPr>
      <w:r w:rsidRPr="00FB01AA">
        <w:rPr>
          <w:sz w:val="18"/>
        </w:rPr>
        <w:t>до каква степен дейностите на МГД са засилили иновациите;</w:t>
      </w:r>
    </w:p>
    <w:p w:rsidR="006C5F71" w:rsidRPr="00FB01AA" w:rsidRDefault="006C5F71" w:rsidP="00370643">
      <w:pPr>
        <w:pStyle w:val="Hlistbullet"/>
        <w:ind w:left="426" w:hanging="426"/>
        <w:rPr>
          <w:sz w:val="18"/>
        </w:rPr>
      </w:pPr>
      <w:r w:rsidRPr="00FB01AA">
        <w:rPr>
          <w:sz w:val="18"/>
        </w:rPr>
        <w:t xml:space="preserve">до каква степен генерирането, идентифицирането, финансирането и съпътстващата подкрепа за проектите са засилили тяхната способност да реагират на местните потребности и тяхната устойчивост; </w:t>
      </w:r>
    </w:p>
    <w:p w:rsidR="006C5F71" w:rsidRPr="00FB01AA" w:rsidRDefault="006C5F71" w:rsidP="00370643">
      <w:pPr>
        <w:pStyle w:val="Hlistbullet"/>
        <w:ind w:left="426" w:hanging="426"/>
        <w:rPr>
          <w:sz w:val="18"/>
        </w:rPr>
      </w:pPr>
      <w:r w:rsidRPr="00FB01AA">
        <w:rPr>
          <w:sz w:val="18"/>
        </w:rPr>
        <w:t xml:space="preserve">разширяването на групата на потенциалните бенефициери, повишаването на местната </w:t>
      </w:r>
      <w:r w:rsidR="00730B94">
        <w:rPr>
          <w:sz w:val="18"/>
        </w:rPr>
        <w:t>мобилизира</w:t>
      </w:r>
      <w:r w:rsidRPr="00FB01AA">
        <w:rPr>
          <w:sz w:val="18"/>
        </w:rPr>
        <w:t>ност и непрякото насърчаване на лица</w:t>
      </w:r>
      <w:r w:rsidR="000A5853">
        <w:rPr>
          <w:sz w:val="18"/>
        </w:rPr>
        <w:t>та</w:t>
      </w:r>
      <w:r w:rsidRPr="00FB01AA">
        <w:rPr>
          <w:sz w:val="18"/>
        </w:rPr>
        <w:t xml:space="preserve">, </w:t>
      </w:r>
      <w:r w:rsidR="00730B94">
        <w:rPr>
          <w:sz w:val="18"/>
        </w:rPr>
        <w:t>които не са</w:t>
      </w:r>
      <w:r w:rsidRPr="00FB01AA">
        <w:rPr>
          <w:sz w:val="18"/>
        </w:rPr>
        <w:t xml:space="preserve"> бенефициери, да участват в процеса на развитие.</w:t>
      </w:r>
    </w:p>
    <w:p w:rsidR="00335BB3" w:rsidRPr="00FB01AA" w:rsidRDefault="00335BB3" w:rsidP="0015777B">
      <w:pPr>
        <w:pStyle w:val="Hlistbullet"/>
        <w:numPr>
          <w:ilvl w:val="0"/>
          <w:numId w:val="0"/>
        </w:numPr>
        <w:ind w:left="720" w:hanging="360"/>
        <w:rPr>
          <w:sz w:val="18"/>
        </w:rPr>
        <w:sectPr w:rsidR="00335BB3" w:rsidRPr="00FB01AA" w:rsidSect="00335BB3">
          <w:type w:val="continuous"/>
          <w:pgSz w:w="11906" w:h="16838"/>
          <w:pgMar w:top="1418" w:right="1418" w:bottom="1418" w:left="1418" w:header="709" w:footer="709" w:gutter="0"/>
          <w:cols w:num="2" w:space="397"/>
          <w:docGrid w:linePitch="360"/>
        </w:sectPr>
      </w:pPr>
    </w:p>
    <w:p w:rsidR="0015777B" w:rsidRPr="00FB01AA" w:rsidRDefault="00827682" w:rsidP="008662AF">
      <w:pPr>
        <w:pStyle w:val="Hlistbullet"/>
        <w:numPr>
          <w:ilvl w:val="0"/>
          <w:numId w:val="0"/>
        </w:numPr>
        <w:ind w:left="360" w:hanging="360"/>
        <w:jc w:val="center"/>
        <w:rPr>
          <w:sz w:val="18"/>
        </w:rPr>
      </w:pPr>
      <w:r>
        <w:rPr>
          <w:noProof/>
          <w:sz w:val="18"/>
          <w:lang w:val="en-GB" w:eastAsia="en-GB" w:bidi="ar-SA"/>
        </w:rPr>
        <w:drawing>
          <wp:inline distT="0" distB="0" distL="0" distR="0" wp14:anchorId="7E617A4E" wp14:editId="7C9E09BA">
            <wp:extent cx="5884688" cy="2383200"/>
            <wp:effectExtent l="0" t="0" r="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884688" cy="2383200"/>
                    </a:xfrm>
                    <a:prstGeom prst="rect">
                      <a:avLst/>
                    </a:prstGeom>
                    <a:noFill/>
                  </pic:spPr>
                </pic:pic>
              </a:graphicData>
            </a:graphic>
          </wp:inline>
        </w:drawing>
      </w:r>
    </w:p>
    <w:p w:rsidR="00D62322" w:rsidRPr="00FB01AA" w:rsidRDefault="00D62322" w:rsidP="00BB2B11">
      <w:pPr>
        <w:pStyle w:val="HHeading2"/>
        <w:rPr>
          <w:sz w:val="18"/>
        </w:rPr>
      </w:pPr>
      <w:bookmarkStart w:id="153" w:name="_Toc485297548"/>
      <w:bookmarkStart w:id="154" w:name="_Toc485297549"/>
      <w:bookmarkStart w:id="155" w:name="_Toc485297551"/>
      <w:bookmarkStart w:id="156" w:name="_Toc485297572"/>
      <w:bookmarkStart w:id="157" w:name="_Toc485297584"/>
      <w:bookmarkStart w:id="158" w:name="_Toc485297586"/>
      <w:bookmarkStart w:id="159" w:name="_Toc485297587"/>
      <w:bookmarkStart w:id="160" w:name="_Toc485297588"/>
      <w:bookmarkStart w:id="161" w:name="_Toc485297589"/>
      <w:bookmarkStart w:id="162" w:name="_Toc485297590"/>
      <w:bookmarkStart w:id="163" w:name="_Toc485297591"/>
      <w:bookmarkStart w:id="164" w:name="_Toc485297592"/>
      <w:bookmarkStart w:id="165" w:name="_Toc485297594"/>
      <w:bookmarkStart w:id="166" w:name="_Toc485297601"/>
      <w:bookmarkStart w:id="167" w:name="_Toc485297602"/>
      <w:bookmarkStart w:id="168" w:name="_Toc458179309"/>
      <w:bookmarkStart w:id="169" w:name="_Toc463520460"/>
      <w:bookmarkStart w:id="170" w:name="_Toc474333783"/>
      <w:bookmarkStart w:id="171" w:name="_Toc475030403"/>
      <w:bookmarkStart w:id="172" w:name="_Toc479677088"/>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r w:rsidRPr="00FB01AA">
        <w:rPr>
          <w:sz w:val="18"/>
        </w:rPr>
        <w:br w:type="page"/>
      </w:r>
    </w:p>
    <w:p w:rsidR="00335BB3" w:rsidRPr="00FB01AA" w:rsidRDefault="00335BB3" w:rsidP="00BB2B11">
      <w:pPr>
        <w:pStyle w:val="HHeading2"/>
        <w:rPr>
          <w:sz w:val="18"/>
        </w:rPr>
        <w:sectPr w:rsidR="00335BB3" w:rsidRPr="00FB01AA" w:rsidSect="009F15D6">
          <w:type w:val="continuous"/>
          <w:pgSz w:w="11906" w:h="16838"/>
          <w:pgMar w:top="1418" w:right="1418" w:bottom="1418" w:left="1418" w:header="709" w:footer="709" w:gutter="0"/>
          <w:cols w:space="708"/>
          <w:docGrid w:linePitch="360"/>
        </w:sectPr>
      </w:pPr>
    </w:p>
    <w:p w:rsidR="00BB2B11" w:rsidRPr="00FB01AA" w:rsidRDefault="00BB2B11" w:rsidP="002E02E3">
      <w:pPr>
        <w:pStyle w:val="HHeading2"/>
        <w:numPr>
          <w:ilvl w:val="1"/>
          <w:numId w:val="42"/>
        </w:numPr>
        <w:rPr>
          <w:sz w:val="18"/>
        </w:rPr>
      </w:pPr>
      <w:bookmarkStart w:id="173" w:name="_Toc493497722"/>
      <w:bookmarkStart w:id="174" w:name="_Toc498506725"/>
      <w:r w:rsidRPr="00FB01AA">
        <w:rPr>
          <w:sz w:val="18"/>
        </w:rPr>
        <w:lastRenderedPageBreak/>
        <w:t>СТЪПКИ 3 и 4: Структуриране и извършване на оценката</w:t>
      </w:r>
      <w:bookmarkEnd w:id="168"/>
      <w:bookmarkEnd w:id="169"/>
      <w:r w:rsidRPr="00FB01AA">
        <w:rPr>
          <w:sz w:val="18"/>
        </w:rPr>
        <w:t xml:space="preserve"> на равнището на МГД</w:t>
      </w:r>
      <w:bookmarkEnd w:id="170"/>
      <w:bookmarkEnd w:id="171"/>
      <w:bookmarkEnd w:id="172"/>
      <w:bookmarkEnd w:id="173"/>
      <w:bookmarkEnd w:id="174"/>
    </w:p>
    <w:p w:rsidR="00335BB3" w:rsidRPr="00FB01AA" w:rsidRDefault="00335BB3" w:rsidP="007201A4">
      <w:pPr>
        <w:pStyle w:val="HStandard"/>
        <w:rPr>
          <w:sz w:val="18"/>
        </w:rPr>
        <w:sectPr w:rsidR="00335BB3" w:rsidRPr="00FB01AA" w:rsidSect="00364BD3">
          <w:type w:val="continuous"/>
          <w:pgSz w:w="11906" w:h="16838"/>
          <w:pgMar w:top="1418" w:right="1418" w:bottom="1418" w:left="1418" w:header="709" w:footer="709" w:gutter="0"/>
          <w:cols w:space="397"/>
          <w:docGrid w:linePitch="360"/>
        </w:sectPr>
      </w:pPr>
    </w:p>
    <w:p w:rsidR="00827682" w:rsidRDefault="00827682" w:rsidP="007201A4">
      <w:pPr>
        <w:pStyle w:val="HStandard"/>
        <w:rPr>
          <w:sz w:val="18"/>
        </w:rPr>
      </w:pPr>
      <w:r>
        <w:rPr>
          <w:noProof/>
          <w:sz w:val="18"/>
          <w:lang w:val="en-GB" w:eastAsia="en-GB" w:bidi="ar-SA"/>
        </w:rPr>
        <w:drawing>
          <wp:inline distT="0" distB="0" distL="0" distR="0" wp14:anchorId="55E82D77" wp14:editId="472502AD">
            <wp:extent cx="5803826" cy="1877273"/>
            <wp:effectExtent l="0" t="0" r="6985" b="889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817087" cy="1881562"/>
                    </a:xfrm>
                    <a:prstGeom prst="rect">
                      <a:avLst/>
                    </a:prstGeom>
                    <a:noFill/>
                  </pic:spPr>
                </pic:pic>
              </a:graphicData>
            </a:graphic>
          </wp:inline>
        </w:drawing>
      </w:r>
    </w:p>
    <w:p w:rsidR="00827682" w:rsidRPr="00FB01AA" w:rsidRDefault="00827682" w:rsidP="007201A4">
      <w:pPr>
        <w:pStyle w:val="HStandard"/>
        <w:rPr>
          <w:sz w:val="18"/>
        </w:rPr>
      </w:pPr>
    </w:p>
    <w:p w:rsidR="00335BB3" w:rsidRPr="00FB01AA" w:rsidRDefault="00335BB3" w:rsidP="00827682">
      <w:pPr>
        <w:pStyle w:val="HHeading5"/>
        <w:rPr>
          <w:sz w:val="18"/>
        </w:rPr>
        <w:sectPr w:rsidR="00335BB3" w:rsidRPr="00FB01AA" w:rsidSect="009F15D6">
          <w:type w:val="continuous"/>
          <w:pgSz w:w="11906" w:h="16838"/>
          <w:pgMar w:top="1418" w:right="1418" w:bottom="1418" w:left="1418" w:header="709" w:footer="709" w:gutter="0"/>
          <w:cols w:space="708"/>
          <w:docGrid w:linePitch="360"/>
        </w:sectPr>
      </w:pPr>
    </w:p>
    <w:p w:rsidR="00AD412D" w:rsidRPr="00FB01AA" w:rsidRDefault="007201A4" w:rsidP="002E02E3">
      <w:pPr>
        <w:pStyle w:val="HHeading5"/>
        <w:numPr>
          <w:ilvl w:val="0"/>
          <w:numId w:val="34"/>
        </w:numPr>
        <w:rPr>
          <w:color w:val="BE4A35" w:themeColor="accent2"/>
          <w:sz w:val="18"/>
        </w:rPr>
      </w:pPr>
      <w:r w:rsidRPr="00FB01AA">
        <w:rPr>
          <w:color w:val="BE4A35" w:themeColor="accent2"/>
          <w:sz w:val="18"/>
        </w:rPr>
        <w:t xml:space="preserve">Събиране на данни чрез базата данни за операциите за целите на оценката на ПРСР </w:t>
      </w:r>
      <w:r w:rsidRPr="00FB01AA">
        <w:rPr>
          <w:b w:val="0"/>
          <w:color w:val="BE4A35" w:themeColor="accent2"/>
          <w:sz w:val="18"/>
        </w:rPr>
        <w:t>(задължително)</w:t>
      </w:r>
      <w:r w:rsidRPr="00FB01AA">
        <w:rPr>
          <w:color w:val="BE4A35" w:themeColor="accent2"/>
          <w:sz w:val="18"/>
        </w:rPr>
        <w:t xml:space="preserve">  </w:t>
      </w:r>
    </w:p>
    <w:p w:rsidR="00187AFC" w:rsidRPr="00FB01AA" w:rsidRDefault="006A5A0C" w:rsidP="00020248">
      <w:pPr>
        <w:pStyle w:val="H-Standard"/>
        <w:rPr>
          <w:sz w:val="18"/>
        </w:rPr>
      </w:pPr>
      <w:r w:rsidRPr="00FB01AA">
        <w:rPr>
          <w:sz w:val="18"/>
        </w:rPr>
        <w:t>Отправната точка за извършването на дейностите за оценка, необходими за оценката на стратегията за ВОМР,</w:t>
      </w:r>
      <w:r w:rsidRPr="00FB01AA">
        <w:rPr>
          <w:b/>
          <w:sz w:val="18"/>
        </w:rPr>
        <w:t xml:space="preserve"> </w:t>
      </w:r>
      <w:r w:rsidR="007367DC">
        <w:rPr>
          <w:b/>
          <w:sz w:val="18"/>
        </w:rPr>
        <w:t>са</w:t>
      </w:r>
      <w:r w:rsidRPr="00FB01AA">
        <w:rPr>
          <w:sz w:val="18"/>
        </w:rPr>
        <w:t xml:space="preserve"> </w:t>
      </w:r>
      <w:r w:rsidRPr="00FB01AA">
        <w:rPr>
          <w:b/>
          <w:sz w:val="18"/>
        </w:rPr>
        <w:t>събраните от МГД данни</w:t>
      </w:r>
      <w:r w:rsidRPr="00FB01AA">
        <w:rPr>
          <w:sz w:val="18"/>
        </w:rPr>
        <w:t xml:space="preserve"> </w:t>
      </w:r>
      <w:r w:rsidR="007367DC">
        <w:rPr>
          <w:sz w:val="18"/>
        </w:rPr>
        <w:t xml:space="preserve">от мониторинга </w:t>
      </w:r>
      <w:r w:rsidRPr="00FB01AA">
        <w:rPr>
          <w:sz w:val="18"/>
        </w:rPr>
        <w:t xml:space="preserve">за непосредствените крайни продукти от операциите по стратегията за ВОМР. </w:t>
      </w:r>
    </w:p>
    <w:p w:rsidR="007201A4" w:rsidRPr="00FB01AA" w:rsidRDefault="007201A4" w:rsidP="00020248">
      <w:pPr>
        <w:pStyle w:val="H-Standard"/>
        <w:rPr>
          <w:sz w:val="18"/>
        </w:rPr>
      </w:pPr>
      <w:r w:rsidRPr="00FB01AA">
        <w:rPr>
          <w:sz w:val="18"/>
        </w:rPr>
        <w:t xml:space="preserve">За целите на насочено към бъдещите потребности събиране на данни МГД преценяват какви данни ще са необходими на по-късен етап на оценката и самооценката. </w:t>
      </w:r>
    </w:p>
    <w:p w:rsidR="007201A4" w:rsidRPr="00FB01AA" w:rsidRDefault="00056494" w:rsidP="00335BB3">
      <w:pPr>
        <w:pStyle w:val="Hlistbullet"/>
        <w:rPr>
          <w:sz w:val="18"/>
        </w:rPr>
      </w:pPr>
      <w:r w:rsidRPr="00FB01AA">
        <w:rPr>
          <w:sz w:val="18"/>
        </w:rPr>
        <w:t xml:space="preserve">Ако резултатите и въздействията на стратегията за ВОМР ще се подлагат на самооценка, МГД трябва да събере допълнителна качествена информация, за да допълни данните от мониторинга, като използва методи, основани на участието. </w:t>
      </w:r>
    </w:p>
    <w:p w:rsidR="00440AE1" w:rsidRPr="00FB01AA" w:rsidRDefault="00BB2B11" w:rsidP="00335BB3">
      <w:pPr>
        <w:pStyle w:val="Hlistbullet"/>
        <w:rPr>
          <w:sz w:val="18"/>
        </w:rPr>
      </w:pPr>
      <w:r w:rsidRPr="00FB01AA">
        <w:rPr>
          <w:sz w:val="18"/>
        </w:rPr>
        <w:t>Ако резултатите и въздействията на стратегията ще се подлагат на оценка, оценителите събират и анализират количествени и качествени доказателства посредством усъвършенствани методи за оценка.</w:t>
      </w:r>
    </w:p>
    <w:p w:rsidR="00BB2B11" w:rsidRPr="00FB01AA" w:rsidRDefault="00BB2B11" w:rsidP="00020248">
      <w:pPr>
        <w:pStyle w:val="H-Standard"/>
        <w:rPr>
          <w:sz w:val="18"/>
        </w:rPr>
      </w:pPr>
      <w:r w:rsidRPr="00FB01AA">
        <w:rPr>
          <w:sz w:val="18"/>
        </w:rPr>
        <w:t xml:space="preserve"> В идеалния случай за триангулация на </w:t>
      </w:r>
      <w:r w:rsidR="005A5C1D" w:rsidRPr="00251DF4">
        <w:rPr>
          <w:sz w:val="18"/>
        </w:rPr>
        <w:t>констатаци</w:t>
      </w:r>
      <w:r w:rsidRPr="00FB01AA">
        <w:rPr>
          <w:sz w:val="18"/>
        </w:rPr>
        <w:t xml:space="preserve">ите от оценката се използва комбинация от количествени и качествени методи. Качествените методи може да включват основани на участието компоненти, като фокус групи и интервюта, които са за предпочитане в случаите, когато е избрано да се прави самооценка. </w:t>
      </w:r>
      <w:r w:rsidRPr="00FB01AA">
        <w:rPr>
          <w:color w:val="6F6F6F" w:themeColor="text1"/>
          <w:sz w:val="18"/>
          <w14:textFill>
            <w14:solidFill>
              <w14:schemeClr w14:val="tx1">
                <w14:lumMod w14:val="75000"/>
                <w14:lumMod w14:val="75000"/>
                <w14:lumMod w14:val="75000"/>
              </w14:schemeClr>
            </w14:solidFill>
          </w14:textFill>
        </w:rPr>
        <w:t xml:space="preserve">Например за оценката на резултатите и въздействията от дейностите на МГД за популяризиране и изграждане на капацитет е </w:t>
      </w:r>
      <w:r w:rsidRPr="00FB01AA">
        <w:rPr>
          <w:color w:val="6F6F6F" w:themeColor="text1"/>
          <w:sz w:val="18"/>
          <w14:textFill>
            <w14:solidFill>
              <w14:schemeClr w14:val="tx1">
                <w14:lumMod w14:val="75000"/>
                <w14:lumMod w14:val="75000"/>
                <w14:lumMod w14:val="75000"/>
              </w14:schemeClr>
            </w14:solidFill>
          </w14:textFill>
        </w:rPr>
        <w:t xml:space="preserve">уместно да се използват предимно качествени методи и методи, основани на участието. </w:t>
      </w:r>
      <w:r w:rsidRPr="00FB01AA">
        <w:rPr>
          <w:sz w:val="18"/>
        </w:rPr>
        <w:t xml:space="preserve">За нуждите на оценката се използват качествени методи винаги когато количествените данни не са достъпни или са трудни за събиране. При избора на надежден метод за оценка следва да се взема предвид способността за свързване на крайните продукти, резултатите и въздействията на стратегията и за установяване на последователна причинно-следствена връзка. Когато това е възможно, може да се обмисли използването на съпоставителен анализ. </w:t>
      </w:r>
    </w:p>
    <w:p w:rsidR="00BB2B11" w:rsidRPr="00FB01AA" w:rsidRDefault="00BB2B11" w:rsidP="007201A4">
      <w:pPr>
        <w:pStyle w:val="HStandard"/>
        <w:rPr>
          <w:sz w:val="18"/>
        </w:rPr>
      </w:pPr>
      <w:r w:rsidRPr="00FB01AA">
        <w:rPr>
          <w:sz w:val="18"/>
        </w:rPr>
        <w:t xml:space="preserve">Методите, използвани за оценката на стратегията за ВОМР, следва да са в състояние да оценят </w:t>
      </w:r>
      <w:r w:rsidRPr="00FB01AA">
        <w:rPr>
          <w:b/>
          <w:sz w:val="18"/>
        </w:rPr>
        <w:t xml:space="preserve">факторите за успех и неуспех. </w:t>
      </w:r>
      <w:r w:rsidRPr="00FB01AA">
        <w:rPr>
          <w:sz w:val="18"/>
        </w:rPr>
        <w:t xml:space="preserve">Това включва анализ на </w:t>
      </w:r>
      <w:r w:rsidRPr="00FB01AA">
        <w:rPr>
          <w:b/>
          <w:sz w:val="18"/>
        </w:rPr>
        <w:t>вътрешните фактори</w:t>
      </w:r>
      <w:r w:rsidRPr="00FB01AA">
        <w:rPr>
          <w:sz w:val="18"/>
        </w:rPr>
        <w:t xml:space="preserve">, като разработването и насочването на стратегията, нейното изпълнение, партньорските структури и процесите на сътрудничество, както и управлението и администрирането на МГД. Освен това се оценяват и </w:t>
      </w:r>
      <w:r w:rsidRPr="00FB01AA">
        <w:rPr>
          <w:b/>
          <w:sz w:val="18"/>
        </w:rPr>
        <w:t>външни фактори</w:t>
      </w:r>
      <w:r w:rsidRPr="00FB01AA">
        <w:rPr>
          <w:sz w:val="18"/>
        </w:rPr>
        <w:t xml:space="preserve">, като промени в социално-икономическите и екологичните условия, политически въпроси и др. Аспектите, свързани с управлението, които засягат както вътрешните, така и външните фактори (например взаимодействието между МГД и други равнища на изпълнение на програмата), също биха могли да бъдат анализирани. </w:t>
      </w:r>
      <w:r w:rsidRPr="00FB01AA">
        <w:rPr>
          <w:b/>
          <w:sz w:val="18"/>
        </w:rPr>
        <w:t>Оценката на резултатите и въздействията на дейностите на МГД за популяризиране и изграждане на капацитет</w:t>
      </w:r>
      <w:r w:rsidRPr="00FB01AA">
        <w:rPr>
          <w:sz w:val="18"/>
        </w:rPr>
        <w:t xml:space="preserve"> разчита предимно на качествени методи и методи, основани на участието. </w:t>
      </w:r>
    </w:p>
    <w:p w:rsidR="007201A4" w:rsidRPr="00FB01AA" w:rsidRDefault="007201A4" w:rsidP="002E02E3">
      <w:pPr>
        <w:pStyle w:val="HHeading5"/>
        <w:numPr>
          <w:ilvl w:val="0"/>
          <w:numId w:val="34"/>
        </w:numPr>
        <w:rPr>
          <w:sz w:val="18"/>
        </w:rPr>
      </w:pPr>
      <w:r w:rsidRPr="00FB01AA">
        <w:rPr>
          <w:sz w:val="18"/>
        </w:rPr>
        <w:lastRenderedPageBreak/>
        <w:t xml:space="preserve">Вземане на решение относно подхода за оценка/самооценка </w:t>
      </w:r>
      <w:r w:rsidRPr="00FB01AA">
        <w:rPr>
          <w:b w:val="0"/>
          <w:sz w:val="18"/>
        </w:rPr>
        <w:t>(препоръчително)  </w:t>
      </w:r>
    </w:p>
    <w:p w:rsidR="007201A4" w:rsidRPr="00FB01AA" w:rsidRDefault="007201A4" w:rsidP="007201A4">
      <w:pPr>
        <w:pStyle w:val="H-Standard"/>
        <w:rPr>
          <w:sz w:val="18"/>
        </w:rPr>
      </w:pPr>
      <w:r w:rsidRPr="00FB01AA">
        <w:rPr>
          <w:sz w:val="18"/>
        </w:rPr>
        <w:t xml:space="preserve">Подходът и методите за дейностите за оценка се прецизират допълнително на етапа на структуриране. </w:t>
      </w:r>
    </w:p>
    <w:p w:rsidR="007201A4" w:rsidRPr="00FB01AA" w:rsidRDefault="007201A4" w:rsidP="002F71EB">
      <w:pPr>
        <w:pStyle w:val="Hlistbullet"/>
        <w:rPr>
          <w:sz w:val="18"/>
        </w:rPr>
      </w:pPr>
      <w:r w:rsidRPr="00FB01AA">
        <w:rPr>
          <w:sz w:val="18"/>
        </w:rPr>
        <w:t xml:space="preserve">Когато се извършва </w:t>
      </w:r>
      <w:r w:rsidRPr="00FB01AA">
        <w:rPr>
          <w:b/>
          <w:sz w:val="18"/>
        </w:rPr>
        <w:t>самооценка</w:t>
      </w:r>
      <w:r w:rsidRPr="00FB01AA">
        <w:rPr>
          <w:sz w:val="18"/>
        </w:rPr>
        <w:t xml:space="preserve">, МГД решава кой метод да приложи за оценката на стратегията за ВОМР, на механизма за изпълнение на LEADER/ВОМР и на добавената стойност. </w:t>
      </w:r>
    </w:p>
    <w:p w:rsidR="007201A4" w:rsidRPr="00FB01AA" w:rsidRDefault="007201A4" w:rsidP="002F71EB">
      <w:pPr>
        <w:pStyle w:val="Hlistbullet"/>
        <w:rPr>
          <w:sz w:val="18"/>
        </w:rPr>
      </w:pPr>
      <w:r w:rsidRPr="00FB01AA">
        <w:rPr>
          <w:sz w:val="18"/>
        </w:rPr>
        <w:t xml:space="preserve">Когато се извършва </w:t>
      </w:r>
      <w:r w:rsidRPr="00FB01AA">
        <w:rPr>
          <w:b/>
          <w:sz w:val="18"/>
        </w:rPr>
        <w:t>оценка</w:t>
      </w:r>
      <w:r w:rsidRPr="00FB01AA">
        <w:rPr>
          <w:sz w:val="18"/>
        </w:rPr>
        <w:t>, при окончателния избор на методите следва да се вземе предвид препоръката на оценителите (както е посочено в предложението за оценка). Когато оценката се възлага чрез тръжна процедура, в идеалния случай МГД следва да разполага с добър капацитет да извърши преценка на качеството на предлаганите методи. (вж. глава 1.2.2.).</w:t>
      </w:r>
    </w:p>
    <w:p w:rsidR="007201A4" w:rsidRPr="00FB01AA" w:rsidRDefault="007201A4" w:rsidP="00D62322">
      <w:pPr>
        <w:pStyle w:val="Hlistbullet"/>
        <w:rPr>
          <w:sz w:val="18"/>
        </w:rPr>
      </w:pPr>
      <w:r w:rsidRPr="00FB01AA">
        <w:rPr>
          <w:sz w:val="18"/>
        </w:rPr>
        <w:t>Препоръчително е участието на оценяващи експерти с богат опит.</w:t>
      </w:r>
    </w:p>
    <w:p w:rsidR="00BB2B11" w:rsidRPr="00FB01AA" w:rsidRDefault="00BB2B11" w:rsidP="002E02E3">
      <w:pPr>
        <w:pStyle w:val="HHeading5"/>
        <w:numPr>
          <w:ilvl w:val="0"/>
          <w:numId w:val="34"/>
        </w:numPr>
        <w:rPr>
          <w:sz w:val="18"/>
        </w:rPr>
      </w:pPr>
      <w:r w:rsidRPr="00FB01AA">
        <w:rPr>
          <w:sz w:val="18"/>
        </w:rPr>
        <w:t xml:space="preserve">Гарантиране, че данните и информацията са подходящи за нуждите на оценката/самооценката </w:t>
      </w:r>
      <w:r w:rsidRPr="00FB01AA">
        <w:rPr>
          <w:b w:val="0"/>
          <w:sz w:val="18"/>
        </w:rPr>
        <w:t>(препоръчително)  </w:t>
      </w:r>
    </w:p>
    <w:p w:rsidR="00BB2B11" w:rsidRPr="00FB01AA" w:rsidRDefault="00BB2B11" w:rsidP="00BB2B11">
      <w:pPr>
        <w:pStyle w:val="H-Standard"/>
        <w:rPr>
          <w:sz w:val="18"/>
        </w:rPr>
      </w:pPr>
      <w:r w:rsidRPr="00FB01AA">
        <w:rPr>
          <w:sz w:val="18"/>
        </w:rPr>
        <w:t>Въз основа на избора на методите за оценка и на предварителния набор от показатели се определя</w:t>
      </w:r>
      <w:r w:rsidR="00B11495">
        <w:rPr>
          <w:sz w:val="18"/>
        </w:rPr>
        <w:t>т</w:t>
      </w:r>
      <w:r w:rsidRPr="00FB01AA">
        <w:rPr>
          <w:sz w:val="18"/>
        </w:rPr>
        <w:t xml:space="preserve"> вид</w:t>
      </w:r>
      <w:r w:rsidR="00B11495">
        <w:rPr>
          <w:sz w:val="18"/>
        </w:rPr>
        <w:t>овете</w:t>
      </w:r>
      <w:r w:rsidRPr="00FB01AA">
        <w:rPr>
          <w:sz w:val="18"/>
        </w:rPr>
        <w:t xml:space="preserve"> данни и информация, които все още са необходими и следва да бъдат събрани по време на етапа на </w:t>
      </w:r>
      <w:r w:rsidRPr="00FB01AA">
        <w:rPr>
          <w:b/>
          <w:sz w:val="18"/>
        </w:rPr>
        <w:t>наблюдение</w:t>
      </w:r>
      <w:r w:rsidRPr="00FB01AA">
        <w:rPr>
          <w:sz w:val="18"/>
        </w:rPr>
        <w:t>. МГД (</w:t>
      </w:r>
      <w:r w:rsidR="00F15674">
        <w:rPr>
          <w:sz w:val="18"/>
        </w:rPr>
        <w:t xml:space="preserve">при </w:t>
      </w:r>
      <w:r w:rsidRPr="00FB01AA">
        <w:rPr>
          <w:sz w:val="18"/>
        </w:rPr>
        <w:t>самооценка) и оценителят(ите) (</w:t>
      </w:r>
      <w:r w:rsidR="00F15674">
        <w:rPr>
          <w:sz w:val="18"/>
        </w:rPr>
        <w:t xml:space="preserve">при </w:t>
      </w:r>
      <w:r w:rsidRPr="00FB01AA">
        <w:rPr>
          <w:sz w:val="18"/>
        </w:rPr>
        <w:t>оценка) правят преглед на наличните данни.</w:t>
      </w:r>
    </w:p>
    <w:p w:rsidR="00BB2B11" w:rsidRPr="00FB01AA" w:rsidRDefault="00BB2B11" w:rsidP="00BB2B11">
      <w:pPr>
        <w:pStyle w:val="H-Standard"/>
        <w:rPr>
          <w:sz w:val="18"/>
        </w:rPr>
      </w:pPr>
      <w:r w:rsidRPr="00FB01AA">
        <w:rPr>
          <w:sz w:val="18"/>
        </w:rPr>
        <w:t>МГД следва да са наясно:</w:t>
      </w:r>
    </w:p>
    <w:p w:rsidR="00BB2B11" w:rsidRPr="00FB01AA" w:rsidRDefault="00BB2B11" w:rsidP="002E02E3">
      <w:pPr>
        <w:numPr>
          <w:ilvl w:val="0"/>
          <w:numId w:val="17"/>
        </w:numPr>
        <w:spacing w:before="60"/>
        <w:ind w:left="426" w:hanging="426"/>
        <w:jc w:val="both"/>
        <w:rPr>
          <w:rFonts w:ascii="Arial" w:hAnsi="Arial"/>
          <w:color w:val="373737" w:themeColor="background1" w:themeShade="40"/>
          <w:sz w:val="18"/>
          <w:szCs w:val="20"/>
        </w:rPr>
      </w:pPr>
      <w:r w:rsidRPr="00FB01AA">
        <w:rPr>
          <w:rFonts w:ascii="Arial" w:hAnsi="Arial"/>
          <w:color w:val="373737" w:themeColor="background1" w:themeShade="40"/>
          <w:sz w:val="18"/>
        </w:rPr>
        <w:t>че е важно да разполагат с пълния набор от данни от мониторинга (общи и специфични показатели и друга относима информация);</w:t>
      </w:r>
    </w:p>
    <w:p w:rsidR="00BB2B11" w:rsidRPr="00FB01AA" w:rsidRDefault="00BB2B11" w:rsidP="002E02E3">
      <w:pPr>
        <w:numPr>
          <w:ilvl w:val="0"/>
          <w:numId w:val="17"/>
        </w:numPr>
        <w:spacing w:before="60"/>
        <w:ind w:left="426" w:hanging="426"/>
        <w:jc w:val="both"/>
        <w:rPr>
          <w:rFonts w:ascii="Arial" w:hAnsi="Arial"/>
          <w:color w:val="373737" w:themeColor="background1" w:themeShade="40"/>
          <w:sz w:val="18"/>
          <w:szCs w:val="20"/>
        </w:rPr>
      </w:pPr>
      <w:r w:rsidRPr="00FB01AA">
        <w:rPr>
          <w:rFonts w:ascii="Arial" w:hAnsi="Arial"/>
          <w:color w:val="373737" w:themeColor="background1" w:themeShade="40"/>
          <w:sz w:val="18"/>
        </w:rPr>
        <w:t>че е полезно да поддържат база данни за операциите, за да избегнат трудностите, свързани с проследяването на изпълнението на целите на стратегията за ВОМР;</w:t>
      </w:r>
    </w:p>
    <w:p w:rsidR="00705B72" w:rsidRPr="00FB01AA" w:rsidRDefault="00705B72" w:rsidP="002E02E3">
      <w:pPr>
        <w:numPr>
          <w:ilvl w:val="0"/>
          <w:numId w:val="17"/>
        </w:numPr>
        <w:spacing w:before="60"/>
        <w:ind w:left="426" w:hanging="426"/>
        <w:jc w:val="both"/>
        <w:rPr>
          <w:rFonts w:ascii="Arial" w:hAnsi="Arial"/>
          <w:color w:val="373737" w:themeColor="background1" w:themeShade="40"/>
          <w:sz w:val="18"/>
          <w:szCs w:val="20"/>
        </w:rPr>
      </w:pPr>
      <w:r w:rsidRPr="00FB01AA">
        <w:rPr>
          <w:rFonts w:ascii="Arial" w:hAnsi="Arial"/>
          <w:color w:val="373737" w:themeColor="background1" w:themeShade="40"/>
          <w:sz w:val="18"/>
        </w:rPr>
        <w:t>че е необходимо да разполагат с данни в подходящ формат за нуждите на оценителя (например информационната система следва да позволява лесно изтегляне на съответните количествени данни за одобрените/приключените операции във формат Excel или Access);</w:t>
      </w:r>
    </w:p>
    <w:p w:rsidR="00BB2B11" w:rsidRPr="00FB01AA" w:rsidRDefault="00BB2B11" w:rsidP="002E02E3">
      <w:pPr>
        <w:numPr>
          <w:ilvl w:val="0"/>
          <w:numId w:val="17"/>
        </w:numPr>
        <w:spacing w:before="60"/>
        <w:ind w:left="426" w:hanging="426"/>
        <w:jc w:val="both"/>
        <w:rPr>
          <w:rFonts w:ascii="Arial" w:hAnsi="Arial"/>
          <w:color w:val="373737" w:themeColor="background1" w:themeShade="40"/>
          <w:sz w:val="18"/>
          <w:szCs w:val="20"/>
        </w:rPr>
      </w:pPr>
      <w:r w:rsidRPr="00FB01AA">
        <w:rPr>
          <w:rFonts w:ascii="Arial" w:hAnsi="Arial"/>
          <w:color w:val="373737" w:themeColor="background1" w:themeShade="40"/>
          <w:sz w:val="18"/>
        </w:rPr>
        <w:t xml:space="preserve">с другите възможни източници на информация, които могат да бъдат използвани (например статистически данни, данни от проучвания, от основани на участието самооценки). </w:t>
      </w:r>
    </w:p>
    <w:p w:rsidR="00BB2B11" w:rsidRPr="00FB01AA" w:rsidRDefault="00BB2B11" w:rsidP="002E02E3">
      <w:pPr>
        <w:pStyle w:val="HHeading5"/>
        <w:numPr>
          <w:ilvl w:val="0"/>
          <w:numId w:val="34"/>
        </w:numPr>
        <w:rPr>
          <w:sz w:val="18"/>
        </w:rPr>
      </w:pPr>
      <w:r w:rsidRPr="00FB01AA">
        <w:rPr>
          <w:sz w:val="18"/>
        </w:rPr>
        <w:t xml:space="preserve">Гарантиране на събирането на данни и информация </w:t>
      </w:r>
      <w:r w:rsidRPr="00FB01AA">
        <w:rPr>
          <w:b w:val="0"/>
          <w:sz w:val="18"/>
        </w:rPr>
        <w:t>(препоръчително)  </w:t>
      </w:r>
    </w:p>
    <w:p w:rsidR="00BB2B11" w:rsidRPr="00FB01AA" w:rsidRDefault="00BB2B11" w:rsidP="00BB2B11">
      <w:pPr>
        <w:pStyle w:val="H-Standard"/>
        <w:rPr>
          <w:sz w:val="18"/>
        </w:rPr>
      </w:pPr>
      <w:r w:rsidRPr="00FB01AA">
        <w:rPr>
          <w:sz w:val="18"/>
        </w:rPr>
        <w:t xml:space="preserve">На етапа на </w:t>
      </w:r>
      <w:r w:rsidRPr="00FB01AA">
        <w:rPr>
          <w:b/>
          <w:sz w:val="18"/>
        </w:rPr>
        <w:t xml:space="preserve">наблюдение </w:t>
      </w:r>
      <w:r w:rsidRPr="00FB01AA">
        <w:rPr>
          <w:sz w:val="18"/>
        </w:rPr>
        <w:t>МГД (</w:t>
      </w:r>
      <w:r w:rsidR="00F15674">
        <w:rPr>
          <w:sz w:val="18"/>
        </w:rPr>
        <w:t xml:space="preserve">при </w:t>
      </w:r>
      <w:r w:rsidRPr="00FB01AA">
        <w:rPr>
          <w:sz w:val="18"/>
        </w:rPr>
        <w:t>самооценка) и оценителят(ите) (</w:t>
      </w:r>
      <w:r w:rsidR="00F15674">
        <w:rPr>
          <w:sz w:val="18"/>
        </w:rPr>
        <w:t xml:space="preserve">при </w:t>
      </w:r>
      <w:r w:rsidRPr="00FB01AA">
        <w:rPr>
          <w:sz w:val="18"/>
        </w:rPr>
        <w:t xml:space="preserve">оценка) разработват и прилагат инструментите за събиране на необходимата допълнителна информация. След това всички налични данни и цялата информация се събират, обобщават и обработват. </w:t>
      </w:r>
    </w:p>
    <w:p w:rsidR="00BB2B11" w:rsidRPr="00FB01AA" w:rsidRDefault="00FF5552" w:rsidP="00BB2B11">
      <w:pPr>
        <w:pStyle w:val="H-Standard"/>
        <w:rPr>
          <w:color w:val="DDDDDD" w:themeColor="background1"/>
          <w:sz w:val="18"/>
          <w14:textFill>
            <w14:solidFill>
              <w14:schemeClr w14:val="bg1">
                <w14:lumMod w14:val="10000"/>
                <w14:lumMod w14:val="75000"/>
                <w14:lumMod w14:val="75000"/>
              </w14:schemeClr>
            </w14:solidFill>
          </w14:textFill>
        </w:rPr>
      </w:pPr>
      <w:r w:rsidRPr="00FB01AA">
        <w:rPr>
          <w:sz w:val="18"/>
        </w:rPr>
        <w:t>Както при самооценката, така и при оценката е полезно данните, събрани чрез самооценка, да се свържат с данните, събрани от оценителите</w:t>
      </w:r>
      <w:r w:rsidRPr="00FB01AA">
        <w:rPr>
          <w:color w:val="DDDDDD" w:themeColor="background1"/>
          <w:sz w:val="18"/>
          <w14:textFill>
            <w14:solidFill>
              <w14:schemeClr w14:val="bg1">
                <w14:lumMod w14:val="10000"/>
                <w14:lumMod w14:val="75000"/>
                <w14:lumMod w14:val="75000"/>
              </w14:schemeClr>
            </w14:solidFill>
          </w14:textFill>
        </w:rPr>
        <w:t xml:space="preserve">. </w:t>
      </w:r>
      <w:r w:rsidRPr="00FB01AA">
        <w:rPr>
          <w:sz w:val="18"/>
        </w:rPr>
        <w:t>МГД, нейните членове и бенефициерите на стратегията за ВОМР следва да бъдат подготвени да си сътрудничат с оценителя и да участват в дейностите за оценка или да предоставят на оценителя резултатите от самооценката. МГД например разполагат с ценна информация за изпълнението на своите дейности (напр. доклади от самооценката, годишни доклади за изпълнение, вътрешни бази данни на МГД). Оценителят проучва тези източници заедно с друга относима налична информация (мониторинг на стратегията за ВОМР, годишни доклади за изпълнение, официални статистически данни). Ако съществуват пропуски в данните, те могат да бъдат запълнени с допълнителна информация, която се събира от оценителя (данни, събрани от статистически източници, проучвания, интервюта, фокус групи и т.н.).</w:t>
      </w:r>
    </w:p>
    <w:p w:rsidR="00BB2B11" w:rsidRPr="00FB01AA" w:rsidRDefault="00BB2B11" w:rsidP="00BB2B11">
      <w:pPr>
        <w:pStyle w:val="H-Standard"/>
        <w:rPr>
          <w:sz w:val="18"/>
        </w:rPr>
      </w:pPr>
      <w:r w:rsidRPr="00FB01AA">
        <w:rPr>
          <w:sz w:val="18"/>
        </w:rPr>
        <w:t>МГД (</w:t>
      </w:r>
      <w:r w:rsidR="00F15674">
        <w:rPr>
          <w:sz w:val="18"/>
        </w:rPr>
        <w:t xml:space="preserve">при </w:t>
      </w:r>
      <w:r w:rsidRPr="00FB01AA">
        <w:rPr>
          <w:sz w:val="18"/>
        </w:rPr>
        <w:t>самооценка) и оценителят(ите) (</w:t>
      </w:r>
      <w:r w:rsidR="00F15674">
        <w:rPr>
          <w:sz w:val="18"/>
        </w:rPr>
        <w:t xml:space="preserve">при </w:t>
      </w:r>
      <w:r w:rsidRPr="00FB01AA">
        <w:rPr>
          <w:sz w:val="18"/>
        </w:rPr>
        <w:t>оценка) следва да проверяват събраните данни и информация от гледна точка на тяхната i) достатъчност за отговорите на въпросите за оценка; ii) валидност и съгласуваност за целите на извършването на процеса на триангулация; iii) надеждност чрез потвърждаване на източниците на информацията.</w:t>
      </w:r>
    </w:p>
    <w:p w:rsidR="00335BB3" w:rsidRPr="00FB01AA" w:rsidRDefault="00335BB3" w:rsidP="00335BB3">
      <w:pPr>
        <w:pStyle w:val="H-Standard"/>
        <w:rPr>
          <w:sz w:val="18"/>
        </w:rPr>
      </w:pPr>
      <w:r w:rsidRPr="00FB01AA">
        <w:rPr>
          <w:noProof/>
          <w:sz w:val="18"/>
          <w:lang w:val="en-GB" w:eastAsia="en-GB" w:bidi="ar-SA"/>
        </w:rPr>
        <w:lastRenderedPageBreak/>
        <mc:AlternateContent>
          <mc:Choice Requires="wps">
            <w:drawing>
              <wp:inline distT="0" distB="0" distL="0" distR="0" wp14:anchorId="0783A51D" wp14:editId="60620627">
                <wp:extent cx="2735580" cy="2971800"/>
                <wp:effectExtent l="0" t="0" r="26670" b="19050"/>
                <wp:docPr id="151" name="Rectangle: Diagonal Corners Rounded 151"/>
                <wp:cNvGraphicFramePr/>
                <a:graphic xmlns:a="http://schemas.openxmlformats.org/drawingml/2006/main">
                  <a:graphicData uri="http://schemas.microsoft.com/office/word/2010/wordprocessingShape">
                    <wps:wsp>
                      <wps:cNvSpPr/>
                      <wps:spPr>
                        <a:xfrm>
                          <a:off x="0" y="0"/>
                          <a:ext cx="2735580" cy="2971800"/>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DBF" w:rsidRPr="000458AF" w:rsidRDefault="00D21DBF" w:rsidP="00FB34A7">
                            <w:pPr>
                              <w:pStyle w:val="HStandard"/>
                            </w:pPr>
                            <w:r>
                              <w:rPr>
                                <w:noProof/>
                                <w:lang w:val="en-GB" w:eastAsia="en-GB" w:bidi="ar-SA"/>
                              </w:rPr>
                              <w:drawing>
                                <wp:inline distT="0" distB="0" distL="0" distR="0" wp14:anchorId="3243A434" wp14:editId="67FF35BB">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Инструмент за подкрепа — База данни за операциите</w:t>
                            </w:r>
                          </w:p>
                          <w:p w:rsidR="00D21DBF" w:rsidRPr="00C55C45" w:rsidRDefault="00D21DBF" w:rsidP="00335BB3">
                            <w:pPr>
                              <w:jc w:val="both"/>
                            </w:pPr>
                            <w:r>
                              <w:rPr>
                                <w:rFonts w:ascii="Arial" w:hAnsi="Arial"/>
                                <w:color w:val="373737"/>
                                <w:sz w:val="20"/>
                              </w:rPr>
                              <w:t xml:space="preserve">Управляващият орган може да улесни оценката/самооценката на МГД, като ѝ предостави достъп до съществуващи данни и като разработи </w:t>
                            </w:r>
                            <w:r>
                              <w:rPr>
                                <w:rFonts w:ascii="Arial" w:hAnsi="Arial"/>
                                <w:b/>
                                <w:color w:val="8BAB80" w:themeColor="accent6"/>
                                <w:sz w:val="20"/>
                              </w:rPr>
                              <w:t>базата данни за операциите</w:t>
                            </w:r>
                            <w:r>
                              <w:rPr>
                                <w:rFonts w:ascii="Arial" w:hAnsi="Arial"/>
                                <w:b/>
                                <w:color w:val="373737"/>
                                <w:sz w:val="20"/>
                              </w:rPr>
                              <w:t>,</w:t>
                            </w:r>
                            <w:r>
                              <w:rPr>
                                <w:rFonts w:ascii="Arial" w:hAnsi="Arial"/>
                                <w:color w:val="373737"/>
                                <w:sz w:val="20"/>
                              </w:rPr>
                              <w:t xml:space="preserve"> която ще улесни МГД при събирането на данни относно специфичните за нея показатели. Пример за подобна интегрирана база данни за операциите може да бъде намерен на </w:t>
                            </w:r>
                            <w:hyperlink r:id="rId69">
                              <w:r>
                                <w:rPr>
                                  <w:rStyle w:val="Hyperlink"/>
                                  <w:rFonts w:ascii="Arial" w:hAnsi="Arial"/>
                                  <w:color w:val="8BAB80" w:themeColor="accent6"/>
                                  <w:sz w:val="20"/>
                                </w:rPr>
                                <w:t>уебсайта</w:t>
                              </w:r>
                            </w:hyperlink>
                            <w:r>
                              <w:rPr>
                                <w:rFonts w:ascii="Arial" w:hAnsi="Arial"/>
                                <w:color w:val="373737"/>
                                <w:sz w:val="20"/>
                              </w:rPr>
                              <w:t xml:space="preserve"> на Европейското бюро за оценка.</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w:pict>
              <v:shape w14:anchorId="0783A51D" id="Rectangle: Diagonal Corners Rounded 151" o:spid="_x0000_s1050" style="width:215.4pt;height:234pt;visibility:visible;mso-wrap-style:square;mso-left-percent:-10001;mso-top-percent:-10001;mso-position-horizontal:absolute;mso-position-horizontal-relative:char;mso-position-vertical:absolute;mso-position-vertical-relative:line;mso-left-percent:-10001;mso-top-percent:-10001;v-text-anchor:middle" coordsize="2735580,2971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" adj="-11796480,,5400" path="m455939,l2735580,r,l2735580,2515861v,251808,-204131,455939,-455939,455939l,2971800r,l,455939c,204131,204131,,455939,xe" fillcolor="white [3204]" strokecolor="#8bab80 [3209]" strokeweight="2pt">
                <v:stroke joinstyle="miter"/>
                <v:formulas/>
                <v:path arrowok="t" o:connecttype="custom" o:connectlocs="455939,0;2735580,0;2735580,0;2735580,2515861;2279641,2971800;0,2971800;0,2971800;0,455939;455939,0" o:connectangles="0,0,0,0,0,0,0,0,0" textboxrect="0,0,2735580,2971800"/>
                <v:textbox inset="1mm,0,1mm,0">
                  <w:txbxContent>
                    <w:p w:rsidR="00D21DBF" w:rsidRPr="000458AF" w:rsidRDefault="00D21DBF" w:rsidP="00FB34A7">
                      <w:pPr>
                        <w:pStyle w:val="HStandard"/>
                      </w:pPr>
                      <w:r>
                        <w:rPr>
                          <w:noProof/>
                          <w:lang w:val="en-GB" w:eastAsia="en-GB" w:bidi="ar-SA"/>
                        </w:rPr>
                        <w:drawing>
                          <wp:inline distT="0" distB="0" distL="0" distR="0" wp14:anchorId="3243A434" wp14:editId="67FF35BB">
                            <wp:extent cx="666000" cy="408104"/>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Инструмент за подкрепа — База данни за операциите</w:t>
                      </w:r>
                    </w:p>
                    <w:p w:rsidR="00D21DBF" w:rsidRPr="00C55C45" w:rsidRDefault="00D21DBF" w:rsidP="00335BB3">
                      <w:pPr>
                        <w:jc w:val="both"/>
                      </w:pPr>
                      <w:r>
                        <w:rPr>
                          <w:rFonts w:ascii="Arial" w:hAnsi="Arial"/>
                          <w:color w:val="373737"/>
                          <w:sz w:val="20"/>
                        </w:rPr>
                        <w:t xml:space="preserve">Управляващият орган може да улесни оценката/самооценката на МГД, като ѝ предостави достъп до съществуващи данни и като разработи </w:t>
                      </w:r>
                      <w:r>
                        <w:rPr>
                          <w:rFonts w:ascii="Arial" w:hAnsi="Arial"/>
                          <w:b/>
                          <w:color w:val="8BAB80" w:themeColor="accent6"/>
                          <w:sz w:val="20"/>
                        </w:rPr>
                        <w:t>базата данни за операциите</w:t>
                      </w:r>
                      <w:r>
                        <w:rPr>
                          <w:rFonts w:ascii="Arial" w:hAnsi="Arial"/>
                          <w:b/>
                          <w:color w:val="373737"/>
                          <w:sz w:val="20"/>
                        </w:rPr>
                        <w:t>,</w:t>
                      </w:r>
                      <w:r>
                        <w:rPr>
                          <w:rFonts w:ascii="Arial" w:hAnsi="Arial"/>
                          <w:color w:val="373737"/>
                          <w:sz w:val="20"/>
                        </w:rPr>
                        <w:t xml:space="preserve"> която ще улесни МГД при събирането на данни относно специфичните за нея показатели. Пример за подобна интегрирана база данни за операциите може да бъде намерен на </w:t>
                      </w:r>
                      <w:hyperlink r:id="rId70">
                        <w:r>
                          <w:rPr>
                            <w:rStyle w:val="Hyperlink"/>
                            <w:rFonts w:ascii="Arial" w:hAnsi="Arial"/>
                            <w:color w:val="8BAB80" w:themeColor="accent6"/>
                            <w:sz w:val="20"/>
                          </w:rPr>
                          <w:t>уебсайта</w:t>
                        </w:r>
                      </w:hyperlink>
                      <w:r>
                        <w:rPr>
                          <w:rFonts w:ascii="Arial" w:hAnsi="Arial"/>
                          <w:color w:val="373737"/>
                          <w:sz w:val="20"/>
                        </w:rPr>
                        <w:t xml:space="preserve"> на Европейското бюро за оценка.</w:t>
                      </w:r>
                    </w:p>
                  </w:txbxContent>
                </v:textbox>
                <w10:anchorlock/>
              </v:shape>
            </w:pict>
          </mc:Fallback>
        </mc:AlternateContent>
      </w:r>
    </w:p>
    <w:p w:rsidR="00BB2B11" w:rsidRPr="00FB01AA" w:rsidRDefault="00BB2B11" w:rsidP="002E02E3">
      <w:pPr>
        <w:pStyle w:val="HHeading5"/>
        <w:numPr>
          <w:ilvl w:val="0"/>
          <w:numId w:val="34"/>
        </w:numPr>
        <w:rPr>
          <w:sz w:val="18"/>
        </w:rPr>
      </w:pPr>
      <w:r w:rsidRPr="00FB01AA">
        <w:rPr>
          <w:sz w:val="18"/>
        </w:rPr>
        <w:t xml:space="preserve">Анализ на събраните данни и информация чрез използването на методи и инструменти за оценка </w:t>
      </w:r>
      <w:r w:rsidRPr="00FB01AA">
        <w:rPr>
          <w:b w:val="0"/>
          <w:sz w:val="18"/>
        </w:rPr>
        <w:t>(препоръчително)  </w:t>
      </w:r>
    </w:p>
    <w:p w:rsidR="00BB2B11" w:rsidRPr="00FB01AA" w:rsidRDefault="00BB2B11" w:rsidP="00BB2B11">
      <w:pPr>
        <w:pStyle w:val="H-Standard"/>
        <w:rPr>
          <w:sz w:val="18"/>
        </w:rPr>
      </w:pPr>
      <w:r w:rsidRPr="00FB01AA">
        <w:rPr>
          <w:sz w:val="18"/>
        </w:rPr>
        <w:t>МГД (</w:t>
      </w:r>
      <w:r w:rsidR="006C2F74">
        <w:rPr>
          <w:sz w:val="18"/>
        </w:rPr>
        <w:t xml:space="preserve">при </w:t>
      </w:r>
      <w:r w:rsidRPr="00FB01AA">
        <w:rPr>
          <w:sz w:val="18"/>
        </w:rPr>
        <w:t>самооценка) и оценителят(ите) (</w:t>
      </w:r>
      <w:r w:rsidR="006C2F74">
        <w:rPr>
          <w:sz w:val="18"/>
        </w:rPr>
        <w:t xml:space="preserve">при </w:t>
      </w:r>
      <w:r w:rsidRPr="00FB01AA">
        <w:rPr>
          <w:sz w:val="18"/>
        </w:rPr>
        <w:t xml:space="preserve">оценка) систематично обработват и синтезират всички налични данни и цялата информация по </w:t>
      </w:r>
      <w:r w:rsidRPr="00FB01AA">
        <w:rPr>
          <w:sz w:val="18"/>
        </w:rPr>
        <w:t xml:space="preserve">време на етапа на </w:t>
      </w:r>
      <w:r w:rsidRPr="00FB01AA">
        <w:rPr>
          <w:b/>
          <w:sz w:val="18"/>
        </w:rPr>
        <w:t>анализ</w:t>
      </w:r>
      <w:r w:rsidRPr="00FB01AA">
        <w:rPr>
          <w:sz w:val="18"/>
        </w:rPr>
        <w:t xml:space="preserve">, като използват различни инструменти и методи. Добра практика е методите да се прилагат от МГД, а след това и от оценителите. Това позволява </w:t>
      </w:r>
      <w:r w:rsidR="005A5C1D" w:rsidRPr="00251DF4">
        <w:rPr>
          <w:sz w:val="18"/>
        </w:rPr>
        <w:t>констатаци</w:t>
      </w:r>
      <w:r w:rsidRPr="00FB01AA">
        <w:rPr>
          <w:sz w:val="18"/>
        </w:rPr>
        <w:t xml:space="preserve">ите да бъдат сравнявани и валидирани по-добре. </w:t>
      </w:r>
    </w:p>
    <w:p w:rsidR="00BB2B11" w:rsidRPr="00FB01AA" w:rsidRDefault="00BB2B11" w:rsidP="002E02E3">
      <w:pPr>
        <w:pStyle w:val="HHeading5"/>
        <w:numPr>
          <w:ilvl w:val="0"/>
          <w:numId w:val="34"/>
        </w:numPr>
        <w:rPr>
          <w:sz w:val="18"/>
        </w:rPr>
      </w:pPr>
      <w:r w:rsidRPr="00FB01AA">
        <w:rPr>
          <w:sz w:val="18"/>
        </w:rPr>
        <w:t xml:space="preserve">Тълкуване на </w:t>
      </w:r>
      <w:r w:rsidR="005A5C1D" w:rsidRPr="00251DF4">
        <w:rPr>
          <w:sz w:val="18"/>
        </w:rPr>
        <w:t>констатаци</w:t>
      </w:r>
      <w:r w:rsidRPr="00FB01AA">
        <w:rPr>
          <w:sz w:val="18"/>
        </w:rPr>
        <w:t xml:space="preserve">ите от оценката, отговор на въпросите за оценка и представяне на заключения и препоръки  </w:t>
      </w:r>
      <w:r w:rsidRPr="00FB01AA">
        <w:rPr>
          <w:sz w:val="18"/>
        </w:rPr>
        <w:br/>
      </w:r>
      <w:r w:rsidRPr="00FB01AA">
        <w:rPr>
          <w:b w:val="0"/>
          <w:sz w:val="18"/>
        </w:rPr>
        <w:t xml:space="preserve">(препоръчително) </w:t>
      </w:r>
    </w:p>
    <w:p w:rsidR="00BB2B11" w:rsidRPr="00FB01AA" w:rsidRDefault="00BB2B11" w:rsidP="00BB2B11">
      <w:pPr>
        <w:pStyle w:val="H-Standard"/>
        <w:rPr>
          <w:sz w:val="18"/>
        </w:rPr>
      </w:pPr>
      <w:r w:rsidRPr="00FB01AA">
        <w:rPr>
          <w:sz w:val="18"/>
        </w:rPr>
        <w:t xml:space="preserve">На етапа на </w:t>
      </w:r>
      <w:r w:rsidRPr="00FB01AA">
        <w:rPr>
          <w:b/>
          <w:sz w:val="18"/>
        </w:rPr>
        <w:t>преценка</w:t>
      </w:r>
      <w:r w:rsidRPr="00FB01AA">
        <w:rPr>
          <w:sz w:val="18"/>
        </w:rPr>
        <w:t xml:space="preserve"> МГД (</w:t>
      </w:r>
      <w:r w:rsidR="006C2F74">
        <w:rPr>
          <w:sz w:val="18"/>
        </w:rPr>
        <w:t xml:space="preserve">при </w:t>
      </w:r>
      <w:r w:rsidRPr="00FB01AA">
        <w:rPr>
          <w:sz w:val="18"/>
        </w:rPr>
        <w:t>самооценка)/ оценителят(ите) (</w:t>
      </w:r>
      <w:r w:rsidR="006C2F74">
        <w:rPr>
          <w:sz w:val="18"/>
        </w:rPr>
        <w:t xml:space="preserve">при </w:t>
      </w:r>
      <w:r w:rsidRPr="00FB01AA">
        <w:rPr>
          <w:sz w:val="18"/>
        </w:rPr>
        <w:t xml:space="preserve">оценка) тълкуват </w:t>
      </w:r>
      <w:r w:rsidR="005A5C1D" w:rsidRPr="00251DF4">
        <w:rPr>
          <w:sz w:val="18"/>
        </w:rPr>
        <w:t>констатаци</w:t>
      </w:r>
      <w:r w:rsidRPr="00FB01AA">
        <w:rPr>
          <w:sz w:val="18"/>
        </w:rPr>
        <w:t xml:space="preserve">ите и ги използват, за да отговорят на въпросите за оценка. На базата на </w:t>
      </w:r>
      <w:r w:rsidR="005A5C1D" w:rsidRPr="00251DF4">
        <w:rPr>
          <w:sz w:val="18"/>
        </w:rPr>
        <w:t>констатаци</w:t>
      </w:r>
      <w:r w:rsidRPr="00FB01AA">
        <w:rPr>
          <w:sz w:val="18"/>
        </w:rPr>
        <w:t xml:space="preserve">ите МГД/оценителят прави заключения и препоръки относно </w:t>
      </w:r>
      <w:r w:rsidR="00794736">
        <w:rPr>
          <w:sz w:val="18"/>
        </w:rPr>
        <w:t>умес</w:t>
      </w:r>
      <w:r w:rsidRPr="00FB01AA">
        <w:rPr>
          <w:sz w:val="18"/>
        </w:rPr>
        <w:t>тността и последователността на стратегията за ВОМР</w:t>
      </w:r>
      <w:r w:rsidR="006C2F74">
        <w:rPr>
          <w:sz w:val="18"/>
        </w:rPr>
        <w:t>,</w:t>
      </w:r>
      <w:r w:rsidRPr="00FB01AA">
        <w:rPr>
          <w:sz w:val="18"/>
        </w:rPr>
        <w:t xml:space="preserve"> резултатите и въздействията на стратегията, нейната ефективност и ефикасност за постигането на целите и за правилното прилагане на метода LEADER и създадената добавена стойност. </w:t>
      </w:r>
    </w:p>
    <w:p w:rsidR="00335BB3" w:rsidRPr="00FB01AA" w:rsidRDefault="00335BB3" w:rsidP="00BB2B11">
      <w:pPr>
        <w:pStyle w:val="H-Standard"/>
        <w:rPr>
          <w:sz w:val="18"/>
        </w:rPr>
        <w:sectPr w:rsidR="00335BB3" w:rsidRPr="00FB01AA" w:rsidSect="00335BB3">
          <w:type w:val="continuous"/>
          <w:pgSz w:w="11906" w:h="16838"/>
          <w:pgMar w:top="1418" w:right="1418" w:bottom="1418" w:left="1418" w:header="709" w:footer="709" w:gutter="0"/>
          <w:cols w:num="2" w:space="397"/>
          <w:docGrid w:linePitch="360"/>
        </w:sectPr>
      </w:pPr>
    </w:p>
    <w:p w:rsidR="00AE07AC" w:rsidRPr="00FB01AA" w:rsidRDefault="00AE07AC" w:rsidP="00BB2B11">
      <w:pPr>
        <w:pStyle w:val="H-Standard"/>
        <w:rPr>
          <w:sz w:val="18"/>
        </w:rPr>
      </w:pPr>
    </w:p>
    <w:p w:rsidR="00AE07AC" w:rsidRPr="00FB01AA" w:rsidRDefault="00F31C46" w:rsidP="00BB2B11">
      <w:pPr>
        <w:pStyle w:val="H-Standard"/>
        <w:rPr>
          <w:sz w:val="18"/>
        </w:rPr>
      </w:pPr>
      <w:r>
        <w:rPr>
          <w:noProof/>
          <w:sz w:val="18"/>
          <w:lang w:val="en-GB" w:eastAsia="en-GB" w:bidi="ar-SA"/>
        </w:rPr>
        <w:drawing>
          <wp:inline distT="0" distB="0" distL="0" distR="0" wp14:anchorId="5EE73D30" wp14:editId="6823419D">
            <wp:extent cx="5630869" cy="2344456"/>
            <wp:effectExtent l="0" t="0" r="8255"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648663" cy="2351865"/>
                    </a:xfrm>
                    <a:prstGeom prst="rect">
                      <a:avLst/>
                    </a:prstGeom>
                    <a:noFill/>
                  </pic:spPr>
                </pic:pic>
              </a:graphicData>
            </a:graphic>
          </wp:inline>
        </w:drawing>
      </w:r>
    </w:p>
    <w:p w:rsidR="00590800" w:rsidRPr="00FB01AA" w:rsidRDefault="00590800" w:rsidP="008662AF">
      <w:pPr>
        <w:pStyle w:val="H-Standard"/>
        <w:jc w:val="center"/>
        <w:rPr>
          <w:sz w:val="18"/>
        </w:rPr>
      </w:pPr>
    </w:p>
    <w:p w:rsidR="00E638C5" w:rsidRPr="00FB01AA" w:rsidRDefault="00E638C5" w:rsidP="00370643">
      <w:pPr>
        <w:pStyle w:val="HStandard"/>
        <w:rPr>
          <w:sz w:val="18"/>
        </w:rPr>
      </w:pPr>
      <w:r w:rsidRPr="00FB01AA">
        <w:rPr>
          <w:sz w:val="18"/>
        </w:rPr>
        <w:br w:type="page"/>
      </w:r>
    </w:p>
    <w:p w:rsidR="00335BB3" w:rsidRPr="00FB01AA" w:rsidRDefault="00335BB3" w:rsidP="00BB2B11">
      <w:pPr>
        <w:pStyle w:val="HHeading2"/>
        <w:rPr>
          <w:sz w:val="18"/>
        </w:rPr>
        <w:sectPr w:rsidR="00335BB3" w:rsidRPr="00FB01AA" w:rsidSect="009F15D6">
          <w:type w:val="continuous"/>
          <w:pgSz w:w="11906" w:h="16838"/>
          <w:pgMar w:top="1418" w:right="1418" w:bottom="1418" w:left="1418" w:header="709" w:footer="709" w:gutter="0"/>
          <w:cols w:space="708"/>
          <w:docGrid w:linePitch="360"/>
        </w:sectPr>
      </w:pPr>
      <w:bookmarkStart w:id="175" w:name="_Toc474333786"/>
      <w:bookmarkStart w:id="176" w:name="_Toc458179323"/>
      <w:bookmarkStart w:id="177" w:name="_Toc463520462"/>
      <w:bookmarkStart w:id="178" w:name="_Toc475030406"/>
      <w:bookmarkStart w:id="179" w:name="_Toc479677091"/>
    </w:p>
    <w:p w:rsidR="00BB2B11" w:rsidRPr="00FB01AA" w:rsidRDefault="00BB2B11" w:rsidP="00335BB3">
      <w:pPr>
        <w:pStyle w:val="HHeading2"/>
        <w:tabs>
          <w:tab w:val="clear" w:pos="360"/>
          <w:tab w:val="clear" w:pos="510"/>
        </w:tabs>
        <w:ind w:left="567" w:hanging="567"/>
        <w:rPr>
          <w:sz w:val="18"/>
        </w:rPr>
      </w:pPr>
      <w:bookmarkStart w:id="180" w:name="_Toc493497723"/>
      <w:bookmarkStart w:id="181" w:name="_Toc498506726"/>
      <w:r w:rsidRPr="00FB01AA">
        <w:rPr>
          <w:sz w:val="18"/>
        </w:rPr>
        <w:lastRenderedPageBreak/>
        <w:t>СТЪПКА 5: Докладване, разпространение и последващи действия</w:t>
      </w:r>
      <w:bookmarkEnd w:id="175"/>
      <w:r w:rsidRPr="00FB01AA">
        <w:rPr>
          <w:sz w:val="18"/>
        </w:rPr>
        <w:t xml:space="preserve"> </w:t>
      </w:r>
      <w:bookmarkEnd w:id="176"/>
      <w:bookmarkEnd w:id="177"/>
      <w:r w:rsidR="00797FCB">
        <w:rPr>
          <w:sz w:val="18"/>
        </w:rPr>
        <w:t xml:space="preserve">във връзка с оценката </w:t>
      </w:r>
      <w:r w:rsidRPr="00FB01AA">
        <w:rPr>
          <w:sz w:val="18"/>
        </w:rPr>
        <w:t>на равнището на МГД</w:t>
      </w:r>
      <w:bookmarkEnd w:id="178"/>
      <w:bookmarkEnd w:id="179"/>
      <w:bookmarkEnd w:id="180"/>
      <w:bookmarkEnd w:id="181"/>
    </w:p>
    <w:p w:rsidR="00335BB3" w:rsidRPr="00FB01AA" w:rsidRDefault="00335BB3" w:rsidP="00D92814">
      <w:pPr>
        <w:pStyle w:val="HStandard"/>
        <w:rPr>
          <w:sz w:val="18"/>
        </w:rPr>
        <w:sectPr w:rsidR="00335BB3" w:rsidRPr="00FB01AA" w:rsidSect="008422E2">
          <w:type w:val="continuous"/>
          <w:pgSz w:w="11906" w:h="16838"/>
          <w:pgMar w:top="1418" w:right="1418" w:bottom="1418" w:left="1418" w:header="709" w:footer="709" w:gutter="0"/>
          <w:cols w:space="397"/>
          <w:docGrid w:linePitch="360"/>
        </w:sectPr>
      </w:pPr>
    </w:p>
    <w:p w:rsidR="00F31C46" w:rsidRDefault="00F31C46" w:rsidP="00D92814">
      <w:pPr>
        <w:pStyle w:val="HStandard"/>
        <w:rPr>
          <w:sz w:val="18"/>
        </w:rPr>
      </w:pPr>
      <w:r>
        <w:rPr>
          <w:noProof/>
          <w:sz w:val="18"/>
          <w:lang w:val="en-GB" w:eastAsia="en-GB" w:bidi="ar-SA"/>
        </w:rPr>
        <w:drawing>
          <wp:inline distT="0" distB="0" distL="0" distR="0" wp14:anchorId="56915517" wp14:editId="207A300B">
            <wp:extent cx="5793193" cy="1557359"/>
            <wp:effectExtent l="0" t="0" r="0" b="508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813921" cy="1562931"/>
                    </a:xfrm>
                    <a:prstGeom prst="rect">
                      <a:avLst/>
                    </a:prstGeom>
                    <a:noFill/>
                  </pic:spPr>
                </pic:pic>
              </a:graphicData>
            </a:graphic>
          </wp:inline>
        </w:drawing>
      </w:r>
    </w:p>
    <w:p w:rsidR="00F31C46" w:rsidRPr="00F31C46" w:rsidRDefault="00F31C46" w:rsidP="00F31C46">
      <w:pPr>
        <w:spacing w:after="0" w:line="240" w:lineRule="auto"/>
        <w:rPr>
          <w:sz w:val="10"/>
        </w:rPr>
      </w:pPr>
    </w:p>
    <w:p w:rsidR="00335BB3" w:rsidRPr="00F31C46" w:rsidRDefault="00335BB3" w:rsidP="00F31C46">
      <w:pPr>
        <w:spacing w:after="0" w:line="240" w:lineRule="auto"/>
        <w:rPr>
          <w:sz w:val="10"/>
        </w:rPr>
        <w:sectPr w:rsidR="00335BB3" w:rsidRPr="00F31C46" w:rsidSect="009F15D6">
          <w:type w:val="continuous"/>
          <w:pgSz w:w="11906" w:h="16838"/>
          <w:pgMar w:top="1418" w:right="1418" w:bottom="1418" w:left="1418" w:header="709" w:footer="709" w:gutter="0"/>
          <w:cols w:space="708"/>
          <w:docGrid w:linePitch="360"/>
        </w:sectPr>
      </w:pPr>
    </w:p>
    <w:p w:rsidR="00BB2B11" w:rsidRPr="00FB01AA" w:rsidRDefault="00BB2B11" w:rsidP="002E02E3">
      <w:pPr>
        <w:pStyle w:val="HHeading5"/>
        <w:numPr>
          <w:ilvl w:val="0"/>
          <w:numId w:val="35"/>
        </w:numPr>
        <w:rPr>
          <w:b w:val="0"/>
          <w:color w:val="BE4A35" w:themeColor="accent2"/>
          <w:sz w:val="18"/>
        </w:rPr>
      </w:pPr>
      <w:r w:rsidRPr="00FB01AA">
        <w:rPr>
          <w:color w:val="BE4A35" w:themeColor="accent2"/>
          <w:sz w:val="18"/>
        </w:rPr>
        <w:t xml:space="preserve">Докладване на данните от мониторинга на управляващия орган/разплащателната агенция </w:t>
      </w:r>
      <w:r w:rsidRPr="00FB01AA">
        <w:rPr>
          <w:b w:val="0"/>
          <w:color w:val="BE4A35" w:themeColor="accent2"/>
          <w:sz w:val="18"/>
        </w:rPr>
        <w:t>(задължително)</w:t>
      </w:r>
    </w:p>
    <w:p w:rsidR="00BB2B11" w:rsidRPr="00FB01AA" w:rsidRDefault="00BB2B11" w:rsidP="00BB2B11">
      <w:pPr>
        <w:pStyle w:val="H-Standard"/>
        <w:rPr>
          <w:sz w:val="18"/>
        </w:rPr>
      </w:pPr>
      <w:r w:rsidRPr="00FB01AA">
        <w:rPr>
          <w:sz w:val="18"/>
        </w:rPr>
        <w:t>Единственото изискване на Е</w:t>
      </w:r>
      <w:r w:rsidR="00797FCB">
        <w:rPr>
          <w:sz w:val="18"/>
        </w:rPr>
        <w:t>К</w:t>
      </w:r>
      <w:r w:rsidRPr="00FB01AA">
        <w:rPr>
          <w:sz w:val="18"/>
        </w:rPr>
        <w:t xml:space="preserve"> към МГД във връзка с докладването касае данните от мониторинга. МГД трябва редовно да подават данните за изпълняваните чрез стратегиите за ВОМР операции, които УО събира посредством ИТ система. За тази цел те използват таблиците за мониторинг, установени в работния документ за наблюдение на развитието на селските райони — таблици </w:t>
      </w:r>
      <w:r w:rsidR="00797FCB">
        <w:rPr>
          <w:sz w:val="18"/>
        </w:rPr>
        <w:t xml:space="preserve">във връзка </w:t>
      </w:r>
      <w:r w:rsidRPr="00FB01AA">
        <w:rPr>
          <w:sz w:val="18"/>
        </w:rPr>
        <w:t>с доклад</w:t>
      </w:r>
      <w:r w:rsidR="00797FCB">
        <w:rPr>
          <w:sz w:val="18"/>
        </w:rPr>
        <w:t>а</w:t>
      </w:r>
      <w:r w:rsidRPr="00FB01AA">
        <w:rPr>
          <w:sz w:val="18"/>
        </w:rPr>
        <w:t xml:space="preserve"> за изпълнението, и </w:t>
      </w:r>
      <w:r w:rsidRPr="00FB01AA">
        <w:rPr>
          <w:i/>
          <w:sz w:val="18"/>
        </w:rPr>
        <w:t>поместения в РД списък на данните, предназначени за базата данни за операциите по стълб II, относно крайните продукти и целите</w:t>
      </w:r>
      <w:r w:rsidRPr="00FB01AA">
        <w:rPr>
          <w:sz w:val="18"/>
        </w:rPr>
        <w:t xml:space="preserve">. </w:t>
      </w:r>
    </w:p>
    <w:p w:rsidR="00BB2B11" w:rsidRPr="00FB01AA" w:rsidRDefault="00BB2B11" w:rsidP="002E02E3">
      <w:pPr>
        <w:pStyle w:val="HHeading5"/>
        <w:numPr>
          <w:ilvl w:val="0"/>
          <w:numId w:val="35"/>
        </w:numPr>
        <w:rPr>
          <w:sz w:val="18"/>
        </w:rPr>
      </w:pPr>
      <w:r w:rsidRPr="00FB01AA">
        <w:rPr>
          <w:sz w:val="18"/>
        </w:rPr>
        <w:t xml:space="preserve">Докладване на </w:t>
      </w:r>
      <w:r w:rsidR="005A5C1D" w:rsidRPr="00251DF4">
        <w:rPr>
          <w:sz w:val="18"/>
        </w:rPr>
        <w:t>констатаци</w:t>
      </w:r>
      <w:r w:rsidRPr="00FB01AA">
        <w:rPr>
          <w:sz w:val="18"/>
        </w:rPr>
        <w:t xml:space="preserve">ите от оценката/самооценката </w:t>
      </w:r>
      <w:r w:rsidRPr="00FB01AA">
        <w:rPr>
          <w:b w:val="0"/>
          <w:sz w:val="18"/>
        </w:rPr>
        <w:t xml:space="preserve">(препоръчително) </w:t>
      </w:r>
    </w:p>
    <w:p w:rsidR="00BB2B11" w:rsidRPr="00F31C46" w:rsidRDefault="000F6E06" w:rsidP="00BB2B11">
      <w:pPr>
        <w:pStyle w:val="H-Standard"/>
        <w:rPr>
          <w:spacing w:val="-4"/>
          <w:sz w:val="18"/>
        </w:rPr>
      </w:pPr>
      <w:r w:rsidRPr="00F31C46">
        <w:rPr>
          <w:spacing w:val="-4"/>
          <w:sz w:val="18"/>
        </w:rPr>
        <w:t xml:space="preserve">МГД следва да отчита публично своите дейности и постижения в областта на местното развитие. Ето защо докладването на </w:t>
      </w:r>
      <w:r w:rsidR="005A5C1D" w:rsidRPr="00251DF4">
        <w:rPr>
          <w:spacing w:val="-4"/>
          <w:sz w:val="18"/>
        </w:rPr>
        <w:t>констатаци</w:t>
      </w:r>
      <w:r w:rsidRPr="00F31C46">
        <w:rPr>
          <w:spacing w:val="-4"/>
          <w:sz w:val="18"/>
        </w:rPr>
        <w:t xml:space="preserve">ите от оценката на местно равнище може да се счита за подходящ инструмент за засилване на отчетността и прозрачността на МГД. То насърчава колективното придобиване на знания и предоставя информация за резултатите и въздействията, както и за добавената стойност на LEADER/ВОМР на местно равнище. </w:t>
      </w:r>
    </w:p>
    <w:p w:rsidR="00BB2B11" w:rsidRPr="00FB01AA" w:rsidRDefault="00BB2B11" w:rsidP="00BB2B11">
      <w:pPr>
        <w:pStyle w:val="H-Standard"/>
        <w:rPr>
          <w:sz w:val="18"/>
        </w:rPr>
      </w:pPr>
      <w:r w:rsidRPr="00FB01AA">
        <w:rPr>
          <w:b/>
          <w:sz w:val="18"/>
        </w:rPr>
        <w:t>Когато се извършва самооценка,</w:t>
      </w:r>
      <w:r w:rsidRPr="00FB01AA">
        <w:rPr>
          <w:sz w:val="18"/>
        </w:rPr>
        <w:t xml:space="preserve"> МГД може да пожелае да сподели констатациите си с членовете на МГД и с населението. МГД могат да използват различни формати, за да информират различни целеви аудитории по удобен за тях начин (информация </w:t>
      </w:r>
      <w:r w:rsidR="0020087E">
        <w:rPr>
          <w:sz w:val="18"/>
        </w:rPr>
        <w:t>чрез</w:t>
      </w:r>
      <w:r w:rsidRPr="00FB01AA">
        <w:rPr>
          <w:sz w:val="18"/>
        </w:rPr>
        <w:t xml:space="preserve"> уебстраница, брошура, листовка, местни медии и др.). Може да се организират прояви за разпространение на </w:t>
      </w:r>
      <w:r w:rsidR="005A5C1D" w:rsidRPr="00251DF4">
        <w:rPr>
          <w:sz w:val="18"/>
        </w:rPr>
        <w:t>констатаци</w:t>
      </w:r>
      <w:r w:rsidRPr="00FB01AA">
        <w:rPr>
          <w:sz w:val="18"/>
        </w:rPr>
        <w:t>ите сред членовете на МГ</w:t>
      </w:r>
      <w:r w:rsidR="005A5C1D" w:rsidRPr="00251DF4">
        <w:rPr>
          <w:sz w:val="18"/>
        </w:rPr>
        <w:t>Д</w:t>
      </w:r>
      <w:r w:rsidRPr="00FB01AA">
        <w:rPr>
          <w:sz w:val="18"/>
        </w:rPr>
        <w:t xml:space="preserve"> и населението.</w:t>
      </w:r>
    </w:p>
    <w:p w:rsidR="00BB2B11" w:rsidRPr="00FB01AA" w:rsidRDefault="00BB2B11" w:rsidP="00BB2B11">
      <w:pPr>
        <w:pStyle w:val="H-Standard"/>
        <w:rPr>
          <w:sz w:val="18"/>
        </w:rPr>
      </w:pPr>
      <w:r w:rsidRPr="00FB01AA">
        <w:rPr>
          <w:b/>
          <w:sz w:val="18"/>
        </w:rPr>
        <w:t>Когато се извършва оценка,</w:t>
      </w:r>
      <w:r w:rsidRPr="00FB01AA">
        <w:rPr>
          <w:sz w:val="18"/>
        </w:rPr>
        <w:t xml:space="preserve"> оценителите изготвят доклад за оценката. Не е необходимо докладът да е обширен, той обаче следва да бъде лесен за четене, за да се разпространи и обсъди с членовете на МГД, както и с по-широката общественост на територията на МГД. Важно е </w:t>
      </w:r>
      <w:r w:rsidR="005A5C1D" w:rsidRPr="00251DF4">
        <w:rPr>
          <w:sz w:val="18"/>
        </w:rPr>
        <w:t>констатаци</w:t>
      </w:r>
      <w:r w:rsidRPr="00FB01AA">
        <w:rPr>
          <w:sz w:val="18"/>
        </w:rPr>
        <w:t xml:space="preserve">ите от оценката и последващите дискусии със заинтересованите страни да се използват </w:t>
      </w:r>
      <w:r w:rsidR="00B75892">
        <w:rPr>
          <w:sz w:val="18"/>
        </w:rPr>
        <w:t xml:space="preserve">като входяща информация </w:t>
      </w:r>
      <w:r w:rsidRPr="00FB01AA">
        <w:rPr>
          <w:sz w:val="18"/>
        </w:rPr>
        <w:t xml:space="preserve">за по-нататъшното подобряване на стратегията за ВОМР, </w:t>
      </w:r>
      <w:r w:rsidR="00B75892">
        <w:rPr>
          <w:sz w:val="18"/>
        </w:rPr>
        <w:t>н</w:t>
      </w:r>
      <w:r w:rsidRPr="00FB01AA">
        <w:rPr>
          <w:sz w:val="18"/>
        </w:rPr>
        <w:t>а изпълнението на метода LEADER и на дейностите на МГД като цяло. Освен това поуките от оценката се използват в следващия кръг на разработване на стратегията.</w:t>
      </w:r>
    </w:p>
    <w:p w:rsidR="00335BB3" w:rsidRPr="00FB01AA" w:rsidRDefault="00335BB3" w:rsidP="00335BB3">
      <w:pPr>
        <w:pStyle w:val="H-Standard"/>
        <w:rPr>
          <w:sz w:val="18"/>
        </w:rPr>
      </w:pPr>
      <w:r w:rsidRPr="00FB01AA">
        <w:rPr>
          <w:noProof/>
          <w:sz w:val="18"/>
          <w:lang w:val="en-GB" w:eastAsia="en-GB" w:bidi="ar-SA"/>
        </w:rPr>
        <mc:AlternateContent>
          <mc:Choice Requires="wps">
            <w:drawing>
              <wp:inline distT="0" distB="0" distL="0" distR="0" wp14:anchorId="1A85A82D" wp14:editId="14918285">
                <wp:extent cx="2735580" cy="3338062"/>
                <wp:effectExtent l="0" t="0" r="26670" b="15240"/>
                <wp:docPr id="152" name="Rectangle: Diagonal Corners Rounded 152"/>
                <wp:cNvGraphicFramePr/>
                <a:graphic xmlns:a="http://schemas.openxmlformats.org/drawingml/2006/main">
                  <a:graphicData uri="http://schemas.microsoft.com/office/word/2010/wordprocessingShape">
                    <wps:wsp>
                      <wps:cNvSpPr/>
                      <wps:spPr>
                        <a:xfrm>
                          <a:off x="0" y="0"/>
                          <a:ext cx="2735580" cy="3338062"/>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21DBF" w:rsidRDefault="00D21DBF" w:rsidP="00B5693A">
                            <w:pPr>
                              <w:ind w:left="993" w:hanging="993"/>
                              <w:rPr>
                                <w:rFonts w:ascii="Arial" w:hAnsi="Arial"/>
                                <w:color w:val="373737"/>
                                <w:sz w:val="18"/>
                                <w:szCs w:val="18"/>
                              </w:rPr>
                            </w:pPr>
                            <w:r>
                              <w:rPr>
                                <w:noProof/>
                                <w:lang w:val="en-GB" w:eastAsia="en-GB" w:bidi="ar-SA"/>
                              </w:rPr>
                              <w:drawing>
                                <wp:inline distT="0" distB="0" distL="0" distR="0" wp14:anchorId="12E9C201" wp14:editId="2CC45ABC">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Инструмент за подкрепа — минимални   изисквания за докладване</w:t>
                            </w:r>
                          </w:p>
                          <w:p w:rsidR="00D21DBF" w:rsidRPr="00F31C46" w:rsidRDefault="00D21DBF" w:rsidP="00335BB3">
                            <w:pPr>
                              <w:jc w:val="both"/>
                              <w:rPr>
                                <w:spacing w:val="-4"/>
                              </w:rPr>
                            </w:pPr>
                            <w:r w:rsidRPr="00F31C46">
                              <w:rPr>
                                <w:rFonts w:ascii="Arial" w:hAnsi="Arial"/>
                                <w:color w:val="373737"/>
                                <w:spacing w:val="-4"/>
                                <w:sz w:val="18"/>
                              </w:rPr>
                              <w:t xml:space="preserve">По желание управляващият орган може да улесни докладването на оценката на равнището на МГД, като предостави </w:t>
                            </w:r>
                            <w:r w:rsidRPr="00F31C46">
                              <w:rPr>
                                <w:rFonts w:ascii="Arial" w:hAnsi="Arial"/>
                                <w:b/>
                                <w:color w:val="8BAB80" w:themeColor="accent6"/>
                                <w:spacing w:val="-4"/>
                                <w:sz w:val="18"/>
                              </w:rPr>
                              <w:t xml:space="preserve">индикативни (незадължителни) минимални изисквания за докладване. </w:t>
                            </w:r>
                            <w:r w:rsidRPr="00F31C46">
                              <w:rPr>
                                <w:rFonts w:ascii="Arial" w:hAnsi="Arial"/>
                                <w:color w:val="373737"/>
                                <w:spacing w:val="-4"/>
                                <w:sz w:val="18"/>
                              </w:rPr>
                              <w:t>Те биха могли да включват график за докладване и по този начин да помогнат да се гарантира, че констатациите могат да бъдат използвани за оценката на резултатите и въздействията на ПРСР. В допълнение това позволява сравняването и обмена на опит между МГД.</w:t>
                            </w: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inline>
            </w:drawing>
          </mc:Choice>
          <mc:Fallback>
            <w:pict>
              <v:shape w14:anchorId="1A85A82D" id="Rectangle: Diagonal Corners Rounded 152" o:spid="_x0000_s1051" style="width:215.4pt;height:262.85pt;visibility:visible;mso-wrap-style:square;mso-left-percent:-10001;mso-top-percent:-10001;mso-position-horizontal:absolute;mso-position-horizontal-relative:char;mso-position-vertical:absolute;mso-position-vertical-relative:line;mso-left-percent:-10001;mso-top-percent:-10001;v-text-anchor:middle" coordsize="2735580,333806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" adj="-11796480,,5400" path="m455939,l2735580,r,l2735580,2882123v,251808,-204131,455939,-455939,455939l,3338062r,l,455939c,204131,204131,,455939,xe" fillcolor="white [3204]" strokecolor="#8bab80 [3209]" strokeweight="2pt">
                <v:stroke joinstyle="miter"/>
                <v:formulas/>
                <v:path arrowok="t" o:connecttype="custom" o:connectlocs="455939,0;2735580,0;2735580,0;2735580,2882123;2279641,3338062;0,3338062;0,3338062;0,455939;455939,0" o:connectangles="0,0,0,0,0,0,0,0,0" textboxrect="0,0,2735580,3338062"/>
                <v:textbox inset=",,,0">
                  <w:txbxContent>
                    <w:p w:rsidR="00D21DBF" w:rsidRDefault="00D21DBF" w:rsidP="00B5693A">
                      <w:pPr>
                        <w:ind w:left="993" w:hanging="993"/>
                        <w:rPr>
                          <w:rFonts w:ascii="Arial" w:hAnsi="Arial"/>
                          <w:color w:val="373737"/>
                          <w:sz w:val="18"/>
                          <w:szCs w:val="18"/>
                        </w:rPr>
                      </w:pPr>
                      <w:r>
                        <w:rPr>
                          <w:noProof/>
                          <w:lang w:val="en-GB" w:eastAsia="en-GB" w:bidi="ar-SA"/>
                        </w:rPr>
                        <w:drawing>
                          <wp:inline distT="0" distB="0" distL="0" distR="0" wp14:anchorId="12E9C201" wp14:editId="2CC45ABC">
                            <wp:extent cx="666000" cy="408104"/>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Инструмент за подкрепа — минимални   изисквания за докладване</w:t>
                      </w:r>
                    </w:p>
                    <w:p w:rsidR="00D21DBF" w:rsidRPr="00F31C46" w:rsidRDefault="00D21DBF" w:rsidP="00335BB3">
                      <w:pPr>
                        <w:jc w:val="both"/>
                        <w:rPr>
                          <w:spacing w:val="-4"/>
                        </w:rPr>
                      </w:pPr>
                      <w:r w:rsidRPr="00F31C46">
                        <w:rPr>
                          <w:rFonts w:ascii="Arial" w:hAnsi="Arial"/>
                          <w:color w:val="373737"/>
                          <w:spacing w:val="-4"/>
                          <w:sz w:val="18"/>
                        </w:rPr>
                        <w:t xml:space="preserve">По желание управляващият орган може да улесни докладването на оценката на равнището на МГД, като предостави </w:t>
                      </w:r>
                      <w:r w:rsidRPr="00F31C46">
                        <w:rPr>
                          <w:rFonts w:ascii="Arial" w:hAnsi="Arial"/>
                          <w:b/>
                          <w:color w:val="8BAB80" w:themeColor="accent6"/>
                          <w:spacing w:val="-4"/>
                          <w:sz w:val="18"/>
                        </w:rPr>
                        <w:t xml:space="preserve">индикативни (незадължителни) минимални изисквания за докладване. </w:t>
                      </w:r>
                      <w:r w:rsidRPr="00F31C46">
                        <w:rPr>
                          <w:rFonts w:ascii="Arial" w:hAnsi="Arial"/>
                          <w:color w:val="373737"/>
                          <w:spacing w:val="-4"/>
                          <w:sz w:val="18"/>
                        </w:rPr>
                        <w:t>Те биха могли да включват график за докладване и по този начин да помогнат да се гарантира, че констатациите могат да бъдат използвани за оценката на резултатите и въздействията на ПРСР. В допълнение това позволява сравняването и обмена на опит между МГД.</w:t>
                      </w:r>
                    </w:p>
                  </w:txbxContent>
                </v:textbox>
                <w10:anchorlock/>
              </v:shape>
            </w:pict>
          </mc:Fallback>
        </mc:AlternateContent>
      </w:r>
    </w:p>
    <w:p w:rsidR="00BB2B11" w:rsidRPr="00FB01AA" w:rsidRDefault="00BB2B11" w:rsidP="002E02E3">
      <w:pPr>
        <w:pStyle w:val="HHeading5"/>
        <w:numPr>
          <w:ilvl w:val="0"/>
          <w:numId w:val="35"/>
        </w:numPr>
        <w:rPr>
          <w:sz w:val="18"/>
        </w:rPr>
      </w:pPr>
      <w:r w:rsidRPr="00FB01AA">
        <w:rPr>
          <w:sz w:val="18"/>
        </w:rPr>
        <w:lastRenderedPageBreak/>
        <w:t xml:space="preserve">Съобщаване и разпространение на </w:t>
      </w:r>
      <w:r w:rsidR="001A7439" w:rsidRPr="00251DF4">
        <w:rPr>
          <w:sz w:val="18"/>
        </w:rPr>
        <w:t>констатаци</w:t>
      </w:r>
      <w:r w:rsidRPr="00FB01AA">
        <w:rPr>
          <w:sz w:val="18"/>
        </w:rPr>
        <w:t xml:space="preserve">ите от оценката/самооценката  </w:t>
      </w:r>
      <w:r w:rsidRPr="00FB01AA">
        <w:rPr>
          <w:sz w:val="18"/>
        </w:rPr>
        <w:br/>
      </w:r>
      <w:r w:rsidRPr="00FB01AA">
        <w:rPr>
          <w:b w:val="0"/>
          <w:sz w:val="18"/>
        </w:rPr>
        <w:t xml:space="preserve">(препоръчително) </w:t>
      </w:r>
    </w:p>
    <w:p w:rsidR="00BB2B11" w:rsidRPr="00F31C46" w:rsidRDefault="001A7439" w:rsidP="00BB2B11">
      <w:pPr>
        <w:pStyle w:val="H-Standard"/>
        <w:rPr>
          <w:spacing w:val="-4"/>
          <w:sz w:val="18"/>
        </w:rPr>
      </w:pPr>
      <w:r w:rsidRPr="00251DF4">
        <w:rPr>
          <w:b/>
          <w:sz w:val="18"/>
        </w:rPr>
        <w:t>Констатаци</w:t>
      </w:r>
      <w:r w:rsidR="00BB2B11" w:rsidRPr="00FB01AA">
        <w:rPr>
          <w:b/>
          <w:sz w:val="18"/>
        </w:rPr>
        <w:t xml:space="preserve">ите от оценката/самооценката следва да бъдат </w:t>
      </w:r>
      <w:r w:rsidR="00C668D2" w:rsidRPr="00251DF4">
        <w:rPr>
          <w:b/>
          <w:sz w:val="18"/>
        </w:rPr>
        <w:t>съобщав</w:t>
      </w:r>
      <w:r w:rsidR="00BB2B11" w:rsidRPr="00FB01AA">
        <w:rPr>
          <w:b/>
          <w:sz w:val="18"/>
        </w:rPr>
        <w:t xml:space="preserve">ани и разпространявани </w:t>
      </w:r>
      <w:r w:rsidR="00BB2B11" w:rsidRPr="00F31C46">
        <w:rPr>
          <w:b/>
          <w:spacing w:val="-4"/>
          <w:sz w:val="18"/>
        </w:rPr>
        <w:t xml:space="preserve">сред различни целеви аудитории </w:t>
      </w:r>
      <w:r w:rsidR="00BB2B11" w:rsidRPr="00F31C46">
        <w:rPr>
          <w:spacing w:val="-4"/>
          <w:sz w:val="18"/>
        </w:rPr>
        <w:t xml:space="preserve">от МГД, УО и НМСР. МГД следва във всеки случай да гарантират, че дейностите за разпространение и </w:t>
      </w:r>
      <w:r w:rsidR="00856542">
        <w:rPr>
          <w:spacing w:val="-4"/>
          <w:sz w:val="18"/>
        </w:rPr>
        <w:t xml:space="preserve">осъществяване на </w:t>
      </w:r>
      <w:r w:rsidR="00BB2B11" w:rsidRPr="00F31C46">
        <w:rPr>
          <w:spacing w:val="-4"/>
          <w:sz w:val="18"/>
        </w:rPr>
        <w:t>комуник</w:t>
      </w:r>
      <w:r w:rsidR="00D13D9E" w:rsidRPr="00251DF4">
        <w:rPr>
          <w:spacing w:val="-4"/>
          <w:sz w:val="18"/>
        </w:rPr>
        <w:t>ация</w:t>
      </w:r>
      <w:r w:rsidR="00BB2B11" w:rsidRPr="00F31C46">
        <w:rPr>
          <w:spacing w:val="-4"/>
          <w:sz w:val="18"/>
        </w:rPr>
        <w:t xml:space="preserve"> са добре разработени и започват веднага след окончателното одобрение на оценката/самооценката. Две от основните предизвикателства при съобщаването на </w:t>
      </w:r>
      <w:r w:rsidRPr="00251DF4">
        <w:rPr>
          <w:spacing w:val="-4"/>
          <w:sz w:val="18"/>
        </w:rPr>
        <w:t>констатаци</w:t>
      </w:r>
      <w:r w:rsidR="00BB2B11" w:rsidRPr="00F31C46">
        <w:rPr>
          <w:spacing w:val="-4"/>
          <w:sz w:val="18"/>
        </w:rPr>
        <w:t xml:space="preserve">ите от оценката са да се определи целевата аудитория и да се създаде и разпространи информация, която да е полезна за конкретните ползватели. </w:t>
      </w:r>
    </w:p>
    <w:p w:rsidR="00BB2B11" w:rsidRPr="00F31C46" w:rsidRDefault="00BB2B11" w:rsidP="00BB2B11">
      <w:pPr>
        <w:pStyle w:val="H-Standard"/>
        <w:rPr>
          <w:spacing w:val="-4"/>
          <w:sz w:val="18"/>
        </w:rPr>
      </w:pPr>
      <w:r w:rsidRPr="00F31C46">
        <w:rPr>
          <w:spacing w:val="-4"/>
          <w:sz w:val="18"/>
        </w:rPr>
        <w:t xml:space="preserve">За оценката/самооценката на местно равнище е важно да се включи не само целевата аудитория, бенефициерите на ВОМР и членовете на МГД, но и цялото население </w:t>
      </w:r>
      <w:r w:rsidR="0020087E">
        <w:rPr>
          <w:spacing w:val="-4"/>
          <w:sz w:val="18"/>
        </w:rPr>
        <w:t xml:space="preserve">от района </w:t>
      </w:r>
      <w:r w:rsidRPr="00F31C46">
        <w:rPr>
          <w:spacing w:val="-4"/>
          <w:sz w:val="18"/>
        </w:rPr>
        <w:t xml:space="preserve">на МГД. </w:t>
      </w:r>
    </w:p>
    <w:p w:rsidR="00BB2B11" w:rsidRPr="00F31C46" w:rsidRDefault="00BB2B11" w:rsidP="00BB2B11">
      <w:pPr>
        <w:pStyle w:val="H-Standard"/>
        <w:rPr>
          <w:spacing w:val="-4"/>
          <w:sz w:val="18"/>
        </w:rPr>
      </w:pPr>
      <w:r w:rsidRPr="00F31C46">
        <w:rPr>
          <w:b/>
          <w:spacing w:val="-4"/>
          <w:sz w:val="18"/>
        </w:rPr>
        <w:t>МГД може да използват различни комуникационни инструменти за различните целеви групи (</w:t>
      </w:r>
      <w:r w:rsidRPr="00F31C46">
        <w:rPr>
          <w:spacing w:val="-4"/>
          <w:sz w:val="18"/>
        </w:rPr>
        <w:t xml:space="preserve">например резюме на доклада за оценка, статии, обобщаващи основните </w:t>
      </w:r>
      <w:r w:rsidR="001A7439" w:rsidRPr="00251DF4">
        <w:rPr>
          <w:spacing w:val="-4"/>
          <w:sz w:val="18"/>
        </w:rPr>
        <w:t>констатаци</w:t>
      </w:r>
      <w:r w:rsidRPr="00F31C46">
        <w:rPr>
          <w:spacing w:val="-4"/>
          <w:sz w:val="18"/>
        </w:rPr>
        <w:t>и). За тази цел могат да се използват различни канали за разпространение (например уебсайтове, публични прояви, масов</w:t>
      </w:r>
      <w:r w:rsidR="00B70974">
        <w:rPr>
          <w:spacing w:val="-4"/>
          <w:sz w:val="18"/>
        </w:rPr>
        <w:t>о изпращане на съобщения</w:t>
      </w:r>
      <w:r w:rsidRPr="00F31C46">
        <w:rPr>
          <w:spacing w:val="-4"/>
          <w:sz w:val="18"/>
        </w:rPr>
        <w:t xml:space="preserve">, телевизия, радио). </w:t>
      </w:r>
    </w:p>
    <w:p w:rsidR="00BB2B11" w:rsidRPr="00F31C46" w:rsidRDefault="00B65D3D" w:rsidP="002E02E3">
      <w:pPr>
        <w:pStyle w:val="HHeading5"/>
        <w:numPr>
          <w:ilvl w:val="0"/>
          <w:numId w:val="35"/>
        </w:numPr>
        <w:rPr>
          <w:spacing w:val="-4"/>
          <w:sz w:val="18"/>
        </w:rPr>
      </w:pPr>
      <w:r w:rsidRPr="00F31C46">
        <w:rPr>
          <w:spacing w:val="-4"/>
          <w:sz w:val="18"/>
        </w:rPr>
        <w:t xml:space="preserve">Гарантиране на последващи действия във връзка с </w:t>
      </w:r>
      <w:r w:rsidR="001A7439" w:rsidRPr="00251DF4">
        <w:rPr>
          <w:spacing w:val="-4"/>
          <w:sz w:val="18"/>
        </w:rPr>
        <w:t>констатаци</w:t>
      </w:r>
      <w:r w:rsidRPr="00F31C46">
        <w:rPr>
          <w:spacing w:val="-4"/>
          <w:sz w:val="18"/>
        </w:rPr>
        <w:t xml:space="preserve">ите от оценката/самооценката </w:t>
      </w:r>
      <w:r w:rsidRPr="00F31C46">
        <w:rPr>
          <w:b w:val="0"/>
          <w:spacing w:val="-4"/>
          <w:sz w:val="18"/>
        </w:rPr>
        <w:t xml:space="preserve">(препоръчително) </w:t>
      </w:r>
    </w:p>
    <w:p w:rsidR="00BB2B11" w:rsidRPr="00F31C46" w:rsidRDefault="00BB2B11" w:rsidP="00BB2B11">
      <w:pPr>
        <w:pStyle w:val="H-Standard"/>
        <w:rPr>
          <w:spacing w:val="-4"/>
          <w:sz w:val="18"/>
        </w:rPr>
      </w:pPr>
      <w:r w:rsidRPr="00F31C46">
        <w:rPr>
          <w:b/>
          <w:spacing w:val="-4"/>
          <w:sz w:val="18"/>
        </w:rPr>
        <w:t>Оценката е стратегически инструмент за управление и придобиване на знания</w:t>
      </w:r>
      <w:r w:rsidRPr="00F31C46">
        <w:rPr>
          <w:spacing w:val="-4"/>
          <w:sz w:val="18"/>
        </w:rPr>
        <w:t xml:space="preserve">. Тя дава </w:t>
      </w:r>
      <w:r w:rsidRPr="00F31C46">
        <w:rPr>
          <w:spacing w:val="-4"/>
          <w:sz w:val="18"/>
        </w:rPr>
        <w:t xml:space="preserve">възможност на заинтересованите страни да обмислят </w:t>
      </w:r>
      <w:r w:rsidR="001A7439" w:rsidRPr="00251DF4">
        <w:rPr>
          <w:spacing w:val="-4"/>
          <w:sz w:val="18"/>
        </w:rPr>
        <w:t>констатаци</w:t>
      </w:r>
      <w:r w:rsidRPr="00F31C46">
        <w:rPr>
          <w:spacing w:val="-4"/>
          <w:sz w:val="18"/>
        </w:rPr>
        <w:t>ите от оценката и възможните подобрения. Препоръчително е МГД да предприемат последващи действия във връзка със заключенията и препоръките с цел:</w:t>
      </w:r>
    </w:p>
    <w:p w:rsidR="00DE5ABA" w:rsidRPr="00F31C46" w:rsidRDefault="00F83A28" w:rsidP="002E02E3">
      <w:pPr>
        <w:numPr>
          <w:ilvl w:val="0"/>
          <w:numId w:val="17"/>
        </w:numPr>
        <w:spacing w:before="60"/>
        <w:ind w:left="426" w:hanging="426"/>
        <w:jc w:val="both"/>
        <w:rPr>
          <w:spacing w:val="-4"/>
          <w:sz w:val="28"/>
        </w:rPr>
      </w:pPr>
      <w:r w:rsidRPr="00F31C46">
        <w:rPr>
          <w:rFonts w:ascii="Arial" w:hAnsi="Arial"/>
          <w:color w:val="373737" w:themeColor="background1" w:themeShade="40"/>
          <w:spacing w:val="-4"/>
          <w:sz w:val="18"/>
        </w:rPr>
        <w:t>да се гарантират публичната отчетност и прозрачността на местното управление;</w:t>
      </w:r>
    </w:p>
    <w:p w:rsidR="00BB2B11" w:rsidRPr="00F31C46" w:rsidRDefault="00BB2B11" w:rsidP="002E02E3">
      <w:pPr>
        <w:numPr>
          <w:ilvl w:val="0"/>
          <w:numId w:val="17"/>
        </w:numPr>
        <w:spacing w:before="60"/>
        <w:ind w:left="426" w:hanging="426"/>
        <w:jc w:val="both"/>
        <w:rPr>
          <w:rFonts w:ascii="Arial" w:hAnsi="Arial"/>
          <w:color w:val="373737" w:themeColor="background1" w:themeShade="40"/>
          <w:spacing w:val="-4"/>
          <w:sz w:val="18"/>
          <w:szCs w:val="20"/>
        </w:rPr>
      </w:pPr>
      <w:r w:rsidRPr="00F31C46">
        <w:rPr>
          <w:rFonts w:ascii="Arial" w:hAnsi="Arial"/>
          <w:color w:val="373737" w:themeColor="background1" w:themeShade="40"/>
          <w:spacing w:val="-4"/>
          <w:sz w:val="18"/>
        </w:rPr>
        <w:t>да се улесни дебатът за определянето на стратегията и приоритетите със съответните заинтересовани страни;</w:t>
      </w:r>
    </w:p>
    <w:p w:rsidR="00BB2B11" w:rsidRPr="00F31C46" w:rsidRDefault="00BB2B11" w:rsidP="002E02E3">
      <w:pPr>
        <w:numPr>
          <w:ilvl w:val="0"/>
          <w:numId w:val="17"/>
        </w:numPr>
        <w:spacing w:before="60"/>
        <w:ind w:left="426" w:hanging="426"/>
        <w:jc w:val="both"/>
        <w:rPr>
          <w:rFonts w:ascii="Arial" w:hAnsi="Arial"/>
          <w:color w:val="373737" w:themeColor="background1" w:themeShade="40"/>
          <w:spacing w:val="-4"/>
          <w:sz w:val="18"/>
          <w:szCs w:val="20"/>
        </w:rPr>
      </w:pPr>
      <w:r w:rsidRPr="00F31C46">
        <w:rPr>
          <w:rFonts w:ascii="Arial" w:hAnsi="Arial"/>
          <w:color w:val="373737" w:themeColor="background1" w:themeShade="40"/>
          <w:spacing w:val="-4"/>
          <w:sz w:val="18"/>
        </w:rPr>
        <w:t>да се подобри разработването и изпълнението на стратегията;</w:t>
      </w:r>
    </w:p>
    <w:p w:rsidR="00BB2B11" w:rsidRPr="00F31C46" w:rsidRDefault="00BB2B11" w:rsidP="002E02E3">
      <w:pPr>
        <w:numPr>
          <w:ilvl w:val="0"/>
          <w:numId w:val="17"/>
        </w:numPr>
        <w:spacing w:before="60"/>
        <w:ind w:left="426" w:hanging="426"/>
        <w:jc w:val="both"/>
        <w:rPr>
          <w:rFonts w:ascii="Arial" w:hAnsi="Arial"/>
          <w:color w:val="373737" w:themeColor="background1" w:themeShade="40"/>
          <w:spacing w:val="-4"/>
          <w:sz w:val="18"/>
          <w:szCs w:val="20"/>
        </w:rPr>
      </w:pPr>
      <w:r w:rsidRPr="00F31C46">
        <w:rPr>
          <w:rFonts w:ascii="Arial" w:hAnsi="Arial"/>
          <w:color w:val="373737" w:themeColor="background1" w:themeShade="40"/>
          <w:spacing w:val="-4"/>
          <w:sz w:val="18"/>
        </w:rPr>
        <w:t xml:space="preserve">да се мотивират заинтересованите страни и ръководителите на МГД да участват активно в подобряването на работата на МГД и да се стимулира култура на придобиване на знания в рамките на организацията; </w:t>
      </w:r>
    </w:p>
    <w:p w:rsidR="00BB2B11" w:rsidRPr="00F31C46" w:rsidRDefault="00BB2B11" w:rsidP="002E02E3">
      <w:pPr>
        <w:numPr>
          <w:ilvl w:val="0"/>
          <w:numId w:val="17"/>
        </w:numPr>
        <w:spacing w:before="60"/>
        <w:ind w:left="426" w:hanging="426"/>
        <w:jc w:val="both"/>
        <w:rPr>
          <w:rFonts w:ascii="Arial" w:hAnsi="Arial"/>
          <w:color w:val="373737" w:themeColor="background1" w:themeShade="40"/>
          <w:spacing w:val="-4"/>
          <w:sz w:val="18"/>
          <w:szCs w:val="20"/>
        </w:rPr>
      </w:pPr>
      <w:r w:rsidRPr="00F31C46">
        <w:rPr>
          <w:rFonts w:ascii="Arial" w:hAnsi="Arial"/>
          <w:color w:val="373737" w:themeColor="background1" w:themeShade="40"/>
          <w:spacing w:val="-4"/>
          <w:sz w:val="18"/>
        </w:rPr>
        <w:t>да се засили прилагането на метода LEADER;</w:t>
      </w:r>
    </w:p>
    <w:p w:rsidR="00BB2B11" w:rsidRPr="00F31C46" w:rsidRDefault="00BB2B11" w:rsidP="002E02E3">
      <w:pPr>
        <w:numPr>
          <w:ilvl w:val="0"/>
          <w:numId w:val="17"/>
        </w:numPr>
        <w:spacing w:before="60"/>
        <w:ind w:left="426" w:hanging="426"/>
        <w:jc w:val="both"/>
        <w:rPr>
          <w:rFonts w:ascii="Arial" w:hAnsi="Arial"/>
          <w:color w:val="373737" w:themeColor="background1" w:themeShade="40"/>
          <w:spacing w:val="-4"/>
          <w:sz w:val="18"/>
          <w:szCs w:val="20"/>
        </w:rPr>
      </w:pPr>
      <w:r w:rsidRPr="00F31C46">
        <w:rPr>
          <w:rFonts w:ascii="Arial" w:hAnsi="Arial"/>
          <w:color w:val="373737" w:themeColor="background1" w:themeShade="40"/>
          <w:spacing w:val="-4"/>
          <w:sz w:val="18"/>
        </w:rPr>
        <w:t>да се създаде повече добавена стойност от ВОМР.</w:t>
      </w:r>
    </w:p>
    <w:p w:rsidR="00BB2B11" w:rsidRPr="00F31C46" w:rsidRDefault="00BB2B11" w:rsidP="00BB2B11">
      <w:pPr>
        <w:pStyle w:val="H-Standard"/>
        <w:rPr>
          <w:spacing w:val="-4"/>
          <w:sz w:val="18"/>
        </w:rPr>
      </w:pPr>
      <w:r w:rsidRPr="00F31C46">
        <w:rPr>
          <w:spacing w:val="-4"/>
          <w:sz w:val="18"/>
        </w:rPr>
        <w:t xml:space="preserve">МГД следва да предприемат последващи действия във връзка с препоръките от оценката/самооценката и да определят необходимите управленски реакции. Последващите действия следва да водят до постигането на конкретни резултати. На фигурата по-долу е представено как биха могли да бъдат организирани последващите действия във връзка с </w:t>
      </w:r>
      <w:r w:rsidR="009C3587" w:rsidRPr="00251DF4">
        <w:rPr>
          <w:spacing w:val="-4"/>
          <w:sz w:val="18"/>
        </w:rPr>
        <w:t>констатаци</w:t>
      </w:r>
      <w:r w:rsidRPr="00F31C46">
        <w:rPr>
          <w:spacing w:val="-4"/>
          <w:sz w:val="18"/>
        </w:rPr>
        <w:t>ите от оценката/самооценката.</w:t>
      </w:r>
    </w:p>
    <w:p w:rsidR="00335BB3" w:rsidRPr="00FB01AA" w:rsidRDefault="00335BB3" w:rsidP="00BB2B11">
      <w:pPr>
        <w:pStyle w:val="HHeadingFigure"/>
        <w:rPr>
          <w:sz w:val="14"/>
        </w:rPr>
        <w:sectPr w:rsidR="00335BB3" w:rsidRPr="00FB01AA" w:rsidSect="00335BB3">
          <w:type w:val="continuous"/>
          <w:pgSz w:w="11906" w:h="16838"/>
          <w:pgMar w:top="1418" w:right="1418" w:bottom="1418" w:left="1418" w:header="709" w:footer="709" w:gutter="0"/>
          <w:cols w:num="2" w:space="397"/>
          <w:docGrid w:linePitch="360"/>
        </w:sectPr>
      </w:pPr>
      <w:bookmarkStart w:id="182" w:name="_Toc475030425"/>
      <w:bookmarkStart w:id="183" w:name="_Toc479677111"/>
    </w:p>
    <w:p w:rsidR="00BB2B11" w:rsidRPr="00FB01AA" w:rsidRDefault="00BB2B11" w:rsidP="00BB2B11">
      <w:pPr>
        <w:pStyle w:val="HHeadingFigure"/>
        <w:rPr>
          <w:sz w:val="14"/>
        </w:rPr>
      </w:pPr>
      <w:bookmarkStart w:id="184" w:name="_Toc493497743"/>
      <w:bookmarkStart w:id="185" w:name="_Toc498507103"/>
      <w:r w:rsidRPr="00FB01AA">
        <w:rPr>
          <w:sz w:val="14"/>
        </w:rPr>
        <w:lastRenderedPageBreak/>
        <w:t xml:space="preserve">Организиране на последващи действия във връзка с </w:t>
      </w:r>
      <w:r w:rsidR="009C3587" w:rsidRPr="00251DF4">
        <w:rPr>
          <w:sz w:val="14"/>
        </w:rPr>
        <w:t>констатаци</w:t>
      </w:r>
      <w:r w:rsidRPr="00FB01AA">
        <w:rPr>
          <w:sz w:val="14"/>
        </w:rPr>
        <w:t>ите от оценката</w:t>
      </w:r>
      <w:bookmarkEnd w:id="182"/>
      <w:bookmarkEnd w:id="184"/>
      <w:bookmarkEnd w:id="185"/>
      <w:r w:rsidRPr="00FB01AA">
        <w:rPr>
          <w:sz w:val="14"/>
        </w:rPr>
        <w:t xml:space="preserve"> </w:t>
      </w:r>
      <w:bookmarkEnd w:id="183"/>
    </w:p>
    <w:p w:rsidR="00BB2B11" w:rsidRPr="00FB01AA" w:rsidRDefault="00F31C46" w:rsidP="00BB2B11">
      <w:pPr>
        <w:jc w:val="center"/>
        <w:rPr>
          <w:sz w:val="28"/>
        </w:rPr>
      </w:pPr>
      <w:r>
        <w:rPr>
          <w:noProof/>
          <w:sz w:val="28"/>
          <w:lang w:val="en-GB" w:eastAsia="en-GB" w:bidi="ar-SA"/>
        </w:rPr>
        <w:drawing>
          <wp:inline distT="0" distB="0" distL="0" distR="0" wp14:anchorId="3A10C87E" wp14:editId="30E86E07">
            <wp:extent cx="4999921" cy="2604977"/>
            <wp:effectExtent l="0" t="0" r="0" b="508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24705" cy="2617889"/>
                    </a:xfrm>
                    <a:prstGeom prst="rect">
                      <a:avLst/>
                    </a:prstGeom>
                    <a:noFill/>
                  </pic:spPr>
                </pic:pic>
              </a:graphicData>
            </a:graphic>
          </wp:inline>
        </w:drawing>
      </w:r>
    </w:p>
    <w:p w:rsidR="00BB2B11" w:rsidRPr="00FB01AA" w:rsidRDefault="00BB2B11" w:rsidP="00B5693A">
      <w:pPr>
        <w:suppressAutoHyphens/>
        <w:spacing w:before="60" w:after="140" w:line="240" w:lineRule="auto"/>
        <w:jc w:val="center"/>
        <w:rPr>
          <w:rFonts w:ascii="Arial" w:hAnsi="Arial"/>
          <w:i/>
          <w:color w:val="6E6E6E" w:themeColor="background1" w:themeShade="80"/>
          <w:sz w:val="14"/>
          <w:szCs w:val="24"/>
        </w:rPr>
      </w:pPr>
      <w:r w:rsidRPr="00FB01AA">
        <w:rPr>
          <w:rFonts w:ascii="Arial" w:hAnsi="Arial"/>
          <w:i/>
          <w:color w:val="6E6E6E" w:themeColor="background1" w:themeShade="80"/>
          <w:sz w:val="14"/>
        </w:rPr>
        <w:t>Източник: Европейско бюро за оценка в областта на развитието на селските райони, 2017 г.</w:t>
      </w:r>
    </w:p>
    <w:p w:rsidR="00BB2B11" w:rsidRPr="00FB01AA" w:rsidRDefault="00E20791" w:rsidP="00BB2B11">
      <w:pPr>
        <w:jc w:val="center"/>
        <w:rPr>
          <w:rFonts w:ascii="Arial" w:hAnsi="Arial"/>
          <w:color w:val="373737"/>
          <w:sz w:val="18"/>
          <w:szCs w:val="20"/>
        </w:rPr>
      </w:pPr>
      <w:r w:rsidRPr="00FB01AA">
        <w:rPr>
          <w:noProof/>
          <w:sz w:val="28"/>
          <w:lang w:val="en-GB" w:eastAsia="en-GB" w:bidi="ar-SA"/>
        </w:rPr>
        <mc:AlternateContent>
          <mc:Choice Requires="wps">
            <w:drawing>
              <wp:inline distT="0" distB="0" distL="0" distR="0" wp14:anchorId="5FD1DDBB" wp14:editId="11342AF3">
                <wp:extent cx="5273040" cy="5427023"/>
                <wp:effectExtent l="0" t="0" r="22860" b="21590"/>
                <wp:docPr id="153" name="Rectangle: Diagonal Corners Rounded 153"/>
                <wp:cNvGraphicFramePr/>
                <a:graphic xmlns:a="http://schemas.openxmlformats.org/drawingml/2006/main">
                  <a:graphicData uri="http://schemas.microsoft.com/office/word/2010/wordprocessingShape">
                    <wps:wsp>
                      <wps:cNvSpPr/>
                      <wps:spPr>
                        <a:xfrm>
                          <a:off x="0" y="0"/>
                          <a:ext cx="5273040" cy="5427023"/>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D21DBF">
                              <w:tc>
                                <w:tcPr>
                                  <w:tcW w:w="9288" w:type="dxa"/>
                                  <w:shd w:val="clear" w:color="auto" w:fill="auto"/>
                                </w:tcPr>
                                <w:p w:rsidR="00D21DBF" w:rsidRPr="00B5693A" w:rsidRDefault="00D21DBF" w:rsidP="00CB5FC3">
                                  <w:pPr>
                                    <w:jc w:val="both"/>
                                    <w:rPr>
                                      <w:rFonts w:ascii="Arial" w:hAnsi="Arial"/>
                                      <w:b/>
                                      <w:color w:val="373737"/>
                                      <w:sz w:val="18"/>
                                      <w:szCs w:val="18"/>
                                    </w:rPr>
                                  </w:pPr>
                                  <w:r>
                                    <w:rPr>
                                      <w:noProof/>
                                      <w:lang w:val="en-GB" w:eastAsia="en-GB" w:bidi="ar-SA"/>
                                    </w:rPr>
                                    <w:drawing>
                                      <wp:inline distT="0" distB="0" distL="0" distR="0" wp14:anchorId="1C578383" wp14:editId="645CE88B">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Инструмент за подкрепа: как МГД могат да улеснят последващите действия във връзка с оценката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26"/>
                                    <w:gridCol w:w="5912"/>
                                  </w:tblGrid>
                                  <w:tr w:rsidR="00D21DBF">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D21DBF" w:rsidRPr="000D7A50" w:rsidRDefault="00D21DB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Заключение </w:t>
                                        </w:r>
                                      </w:p>
                                    </w:tc>
                                    <w:tc>
                                      <w:tcPr>
                                        <w:tcW w:w="7082" w:type="dxa"/>
                                        <w:tcBorders>
                                          <w:top w:val="nil"/>
                                          <w:left w:val="single" w:sz="4" w:space="0" w:color="FFFFFF" w:themeColor="accent1"/>
                                          <w:bottom w:val="nil"/>
                                          <w:right w:val="nil"/>
                                        </w:tcBorders>
                                        <w:shd w:val="clear" w:color="auto" w:fill="E7EEE5" w:themeFill="accent6" w:themeFillTint="33"/>
                                      </w:tcPr>
                                      <w:p w:rsidR="00D21DBF" w:rsidRPr="000D7A50" w:rsidRDefault="00D21DB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Изборът на операциите по специфична цел 1 „Развиване на предприемачески умения и познания у местното население“ и тяхното разработване (допустимост на действията, бенефициери и бюджет) не са достатъчно ефективни за постигането на посочената по-горе цел. </w:t>
                                        </w:r>
                                      </w:p>
                                    </w:tc>
                                  </w:tr>
                                  <w:tr w:rsidR="00D21DBF">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D21DBF" w:rsidRPr="000D7A50" w:rsidRDefault="00D21DB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Препоръка</w:t>
                                        </w:r>
                                      </w:p>
                                    </w:tc>
                                    <w:tc>
                                      <w:tcPr>
                                        <w:tcW w:w="7082" w:type="dxa"/>
                                        <w:tcBorders>
                                          <w:top w:val="nil"/>
                                          <w:left w:val="single" w:sz="4" w:space="0" w:color="FFFFFF" w:themeColor="accent1"/>
                                          <w:bottom w:val="nil"/>
                                          <w:right w:val="nil"/>
                                        </w:tcBorders>
                                        <w:shd w:val="clear" w:color="auto" w:fill="D0DDCC" w:themeFill="accent6" w:themeFillTint="66"/>
                                      </w:tcPr>
                                      <w:p w:rsidR="00D21DBF" w:rsidRPr="000D7A50" w:rsidRDefault="00D21DB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Препоръчително е да се разшири обхватът на допустимите бенефициери, дейности и бюджет по съществуващите операции, за да се задоволи по-добре необходимостта от повишаване на уменията и знанията по предприемачество. </w:t>
                                        </w:r>
                                      </w:p>
                                      <w:p w:rsidR="00D21DBF" w:rsidRPr="000D7A50" w:rsidRDefault="00D21DB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Препоръчва се да се включат операции за подпомагане на стопанската инфраструктура (бизнес инкубатори, консултантски услуги, микрокредитиране и др.). </w:t>
                                        </w:r>
                                      </w:p>
                                    </w:tc>
                                  </w:tr>
                                  <w:tr w:rsidR="00D21DBF">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D21DBF" w:rsidRPr="000D7A50" w:rsidRDefault="00D21DB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Очакван резултат</w:t>
                                        </w:r>
                                      </w:p>
                                    </w:tc>
                                    <w:tc>
                                      <w:tcPr>
                                        <w:tcW w:w="7082" w:type="dxa"/>
                                        <w:tcBorders>
                                          <w:top w:val="nil"/>
                                          <w:left w:val="single" w:sz="4" w:space="0" w:color="FFFFFF" w:themeColor="accent1"/>
                                          <w:bottom w:val="nil"/>
                                          <w:right w:val="nil"/>
                                        </w:tcBorders>
                                        <w:shd w:val="clear" w:color="auto" w:fill="E7EEE5" w:themeFill="accent6" w:themeFillTint="33"/>
                                      </w:tcPr>
                                      <w:p w:rsidR="00D21DBF" w:rsidRPr="000D7A50" w:rsidRDefault="00D21DB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Повече операции, които да са по-добре насочени към потенциални и съществуващи стопански общности, с цел повишаване на техните знания и умения. </w:t>
                                        </w:r>
                                      </w:p>
                                    </w:tc>
                                  </w:tr>
                                  <w:tr w:rsidR="00D21DBF">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D21DBF" w:rsidRPr="000D7A50" w:rsidRDefault="00D21DB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Управленска реакция </w:t>
                                        </w:r>
                                      </w:p>
                                    </w:tc>
                                    <w:tc>
                                      <w:tcPr>
                                        <w:tcW w:w="7082" w:type="dxa"/>
                                        <w:tcBorders>
                                          <w:top w:val="nil"/>
                                          <w:left w:val="single" w:sz="4" w:space="0" w:color="FFFFFF" w:themeColor="accent1"/>
                                          <w:bottom w:val="nil"/>
                                          <w:right w:val="nil"/>
                                        </w:tcBorders>
                                        <w:shd w:val="clear" w:color="auto" w:fill="D0DDCC" w:themeFill="accent6" w:themeFillTint="66"/>
                                      </w:tcPr>
                                      <w:p w:rsidR="00D21DBF" w:rsidRPr="000D7A50" w:rsidRDefault="00D21DB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Промяна на стратегията за ВОМР във връзка със специфична цел 1. </w:t>
                                        </w:r>
                                      </w:p>
                                    </w:tc>
                                  </w:tr>
                                  <w:tr w:rsidR="00D21DBF">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D21DBF" w:rsidRPr="000D7A50" w:rsidRDefault="00D21DB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Последващи действия</w:t>
                                        </w:r>
                                      </w:p>
                                    </w:tc>
                                    <w:tc>
                                      <w:tcPr>
                                        <w:tcW w:w="7082" w:type="dxa"/>
                                        <w:tcBorders>
                                          <w:top w:val="nil"/>
                                          <w:left w:val="single" w:sz="4" w:space="0" w:color="FFFFFF" w:themeColor="accent1"/>
                                          <w:bottom w:val="nil"/>
                                          <w:right w:val="nil"/>
                                        </w:tcBorders>
                                        <w:shd w:val="clear" w:color="auto" w:fill="E7EEE5" w:themeFill="accent6" w:themeFillTint="33"/>
                                      </w:tcPr>
                                      <w:p w:rsidR="00D21DBF" w:rsidRPr="000D7A50" w:rsidRDefault="00D21DB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Промяна на избора и дизайна на операциите по специфична цел 1, нови операции за подпомагане на стопанската инфраструктурата. </w:t>
                                        </w:r>
                                      </w:p>
                                    </w:tc>
                                  </w:tr>
                                  <w:tr w:rsidR="00D21DBF">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D21DBF" w:rsidRPr="000D7A50" w:rsidRDefault="00D21DB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Постигнати резултати </w:t>
                                        </w:r>
                                      </w:p>
                                    </w:tc>
                                    <w:tc>
                                      <w:tcPr>
                                        <w:tcW w:w="7082" w:type="dxa"/>
                                        <w:tcBorders>
                                          <w:top w:val="nil"/>
                                          <w:left w:val="single" w:sz="4" w:space="0" w:color="FFFFFF" w:themeColor="accent1"/>
                                          <w:bottom w:val="nil"/>
                                          <w:right w:val="nil"/>
                                        </w:tcBorders>
                                        <w:shd w:val="clear" w:color="auto" w:fill="D0DDCC" w:themeFill="accent6" w:themeFillTint="66"/>
                                      </w:tcPr>
                                      <w:p w:rsidR="00D21DBF" w:rsidRPr="000D7A50" w:rsidRDefault="00D21DB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По-голям брой предприемачи с повече и по-добри умения за стартиране и разработване на собствен бизнес.</w:t>
                                        </w:r>
                                      </w:p>
                                    </w:tc>
                                  </w:tr>
                                </w:tbl>
                                <w:p w:rsidR="00D21DBF" w:rsidRPr="000D7A50" w:rsidRDefault="00D21DBF" w:rsidP="00CB5FC3">
                                  <w:pPr>
                                    <w:jc w:val="both"/>
                                    <w:rPr>
                                      <w:rFonts w:ascii="Arial" w:hAnsi="Arial"/>
                                      <w:color w:val="373737"/>
                                      <w:sz w:val="18"/>
                                      <w:szCs w:val="18"/>
                                    </w:rPr>
                                  </w:pPr>
                                </w:p>
                              </w:tc>
                            </w:tr>
                          </w:tbl>
                          <w:p w:rsidR="00D21DBF" w:rsidRPr="000D7A50" w:rsidRDefault="00D21DBF"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w14:anchorId="5FD1DDBB" id="Rectangle: Diagonal Corners Rounded 153" o:spid="_x0000_s1052" style="width:415.2pt;height:427.3pt;visibility:visible;mso-wrap-style:square;mso-left-percent:-10001;mso-top-percent:-10001;mso-position-horizontal:absolute;mso-position-horizontal-relative:char;mso-position-vertical:absolute;mso-position-vertical-relative:line;mso-left-percent:-10001;mso-top-percent:-10001;v-text-anchor:top" coordsize="5273040,5427023"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" adj="-11796480,,5400" path="m411192,l5273040,r,l5273040,5015831v,227095,-184097,411192,-411192,411192l,5427023r,l,411192c,184097,184097,,411192,xe" fillcolor="white [3204]" strokecolor="#8bab80 [3209]" strokeweight="2pt">
                <v:stroke joinstyle="miter"/>
                <v:formulas/>
                <v:path arrowok="t" o:connecttype="custom" o:connectlocs="411192,0;5273040,0;5273040,0;5273040,5015831;4861848,5427023;0,5427023;0,5427023;0,411192;411192,0" o:connectangles="0,0,0,0,0,0,0,0,0" textboxrect="0,0,5273040,5427023"/>
                <v:textbox inset=",0,,0">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D21DBF">
                        <w:tc>
                          <w:tcPr>
                            <w:tcW w:w="9288" w:type="dxa"/>
                            <w:shd w:val="clear" w:color="auto" w:fill="auto"/>
                          </w:tcPr>
                          <w:p w:rsidR="00D21DBF" w:rsidRPr="00B5693A" w:rsidRDefault="00D21DBF" w:rsidP="00CB5FC3">
                            <w:pPr>
                              <w:jc w:val="both"/>
                              <w:rPr>
                                <w:rFonts w:ascii="Arial" w:hAnsi="Arial"/>
                                <w:b/>
                                <w:color w:val="373737"/>
                                <w:sz w:val="18"/>
                                <w:szCs w:val="18"/>
                              </w:rPr>
                            </w:pPr>
                            <w:r>
                              <w:rPr>
                                <w:noProof/>
                                <w:lang w:val="en-GB" w:eastAsia="en-GB" w:bidi="ar-SA"/>
                              </w:rPr>
                              <w:drawing>
                                <wp:inline distT="0" distB="0" distL="0" distR="0" wp14:anchorId="1C578383" wp14:editId="645CE88B">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68">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8"/>
                              </w:rPr>
                              <w:t xml:space="preserve">Инструмент за подкрепа: как МГД могат да улеснят последващите действия във връзка с оценката </w:t>
                            </w:r>
                          </w:p>
                          <w:tbl>
                            <w:tblPr>
                              <w:tblStyle w:val="TableGrid"/>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26"/>
                              <w:gridCol w:w="5912"/>
                            </w:tblGrid>
                            <w:tr w:rsidR="00D21DBF">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D21DBF" w:rsidRPr="000D7A50" w:rsidRDefault="00D21DB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Заключение </w:t>
                                  </w:r>
                                </w:p>
                              </w:tc>
                              <w:tc>
                                <w:tcPr>
                                  <w:tcW w:w="7082" w:type="dxa"/>
                                  <w:tcBorders>
                                    <w:top w:val="nil"/>
                                    <w:left w:val="single" w:sz="4" w:space="0" w:color="FFFFFF" w:themeColor="accent1"/>
                                    <w:bottom w:val="nil"/>
                                    <w:right w:val="nil"/>
                                  </w:tcBorders>
                                  <w:shd w:val="clear" w:color="auto" w:fill="E7EEE5" w:themeFill="accent6" w:themeFillTint="33"/>
                                </w:tcPr>
                                <w:p w:rsidR="00D21DBF" w:rsidRPr="000D7A50" w:rsidRDefault="00D21DB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Изборът на операциите по специфична цел 1 „Развиване на предприемачески умения и познания у местното население“ и тяхното разработване (допустимост на действията, бенефициери и бюджет) не са достатъчно ефективни за постигането на посочената по-горе цел. </w:t>
                                  </w:r>
                                </w:p>
                              </w:tc>
                            </w:tr>
                            <w:tr w:rsidR="00D21DBF">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D21DBF" w:rsidRPr="000D7A50" w:rsidRDefault="00D21DB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Препоръка</w:t>
                                  </w:r>
                                </w:p>
                              </w:tc>
                              <w:tc>
                                <w:tcPr>
                                  <w:tcW w:w="7082" w:type="dxa"/>
                                  <w:tcBorders>
                                    <w:top w:val="nil"/>
                                    <w:left w:val="single" w:sz="4" w:space="0" w:color="FFFFFF" w:themeColor="accent1"/>
                                    <w:bottom w:val="nil"/>
                                    <w:right w:val="nil"/>
                                  </w:tcBorders>
                                  <w:shd w:val="clear" w:color="auto" w:fill="D0DDCC" w:themeFill="accent6" w:themeFillTint="66"/>
                                </w:tcPr>
                                <w:p w:rsidR="00D21DBF" w:rsidRPr="000D7A50" w:rsidRDefault="00D21DB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Препоръчително е да се разшири обхватът на допустимите бенефициери, дейности и бюджет по съществуващите операции, за да се задоволи по-добре необходимостта от повишаване на уменията и знанията по предприемачество. </w:t>
                                  </w:r>
                                </w:p>
                                <w:p w:rsidR="00D21DBF" w:rsidRPr="000D7A50" w:rsidRDefault="00D21DB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Препоръчва се да се включат операции за подпомагане на стопанската инфраструктура (бизнес инкубатори, консултантски услуги, микрокредитиране и др.). </w:t>
                                  </w:r>
                                </w:p>
                              </w:tc>
                            </w:tr>
                            <w:tr w:rsidR="00D21DBF">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D21DBF" w:rsidRPr="000D7A50" w:rsidRDefault="00D21DB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Очакван резултат</w:t>
                                  </w:r>
                                </w:p>
                              </w:tc>
                              <w:tc>
                                <w:tcPr>
                                  <w:tcW w:w="7082" w:type="dxa"/>
                                  <w:tcBorders>
                                    <w:top w:val="nil"/>
                                    <w:left w:val="single" w:sz="4" w:space="0" w:color="FFFFFF" w:themeColor="accent1"/>
                                    <w:bottom w:val="nil"/>
                                    <w:right w:val="nil"/>
                                  </w:tcBorders>
                                  <w:shd w:val="clear" w:color="auto" w:fill="E7EEE5" w:themeFill="accent6" w:themeFillTint="33"/>
                                </w:tcPr>
                                <w:p w:rsidR="00D21DBF" w:rsidRPr="000D7A50" w:rsidRDefault="00D21DB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Повече операции, които да са по-добре насочени към потенциални и съществуващи стопански общности, с цел повишаване на техните знания и умения. </w:t>
                                  </w:r>
                                </w:p>
                              </w:tc>
                            </w:tr>
                            <w:tr w:rsidR="00D21DBF">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D21DBF" w:rsidRPr="000D7A50" w:rsidRDefault="00D21DB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Управленска реакция </w:t>
                                  </w:r>
                                </w:p>
                              </w:tc>
                              <w:tc>
                                <w:tcPr>
                                  <w:tcW w:w="7082" w:type="dxa"/>
                                  <w:tcBorders>
                                    <w:top w:val="nil"/>
                                    <w:left w:val="single" w:sz="4" w:space="0" w:color="FFFFFF" w:themeColor="accent1"/>
                                    <w:bottom w:val="nil"/>
                                    <w:right w:val="nil"/>
                                  </w:tcBorders>
                                  <w:shd w:val="clear" w:color="auto" w:fill="D0DDCC" w:themeFill="accent6" w:themeFillTint="66"/>
                                </w:tcPr>
                                <w:p w:rsidR="00D21DBF" w:rsidRPr="000D7A50" w:rsidRDefault="00D21DB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Промяна на стратегията за ВОМР във връзка със специфична цел 1. </w:t>
                                  </w:r>
                                </w:p>
                              </w:tc>
                            </w:tr>
                            <w:tr w:rsidR="00D21DBF">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D21DBF" w:rsidRPr="000D7A50" w:rsidRDefault="00D21DB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Последващи действия</w:t>
                                  </w:r>
                                </w:p>
                              </w:tc>
                              <w:tc>
                                <w:tcPr>
                                  <w:tcW w:w="7082" w:type="dxa"/>
                                  <w:tcBorders>
                                    <w:top w:val="nil"/>
                                    <w:left w:val="single" w:sz="4" w:space="0" w:color="FFFFFF" w:themeColor="accent1"/>
                                    <w:bottom w:val="nil"/>
                                    <w:right w:val="nil"/>
                                  </w:tcBorders>
                                  <w:shd w:val="clear" w:color="auto" w:fill="E7EEE5" w:themeFill="accent6" w:themeFillTint="33"/>
                                </w:tcPr>
                                <w:p w:rsidR="00D21DBF" w:rsidRPr="000D7A50" w:rsidRDefault="00D21DB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Промяна на избора и дизайна на операциите по специфична цел 1, нови операции за подпомагане на стопанската инфраструктурата. </w:t>
                                  </w:r>
                                </w:p>
                              </w:tc>
                            </w:tr>
                            <w:tr w:rsidR="00D21DBF">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D21DBF" w:rsidRPr="000D7A50" w:rsidRDefault="00D21DBF"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Постигнати резултати </w:t>
                                  </w:r>
                                </w:p>
                              </w:tc>
                              <w:tc>
                                <w:tcPr>
                                  <w:tcW w:w="7082" w:type="dxa"/>
                                  <w:tcBorders>
                                    <w:top w:val="nil"/>
                                    <w:left w:val="single" w:sz="4" w:space="0" w:color="FFFFFF" w:themeColor="accent1"/>
                                    <w:bottom w:val="nil"/>
                                    <w:right w:val="nil"/>
                                  </w:tcBorders>
                                  <w:shd w:val="clear" w:color="auto" w:fill="D0DDCC" w:themeFill="accent6" w:themeFillTint="66"/>
                                </w:tcPr>
                                <w:p w:rsidR="00D21DBF" w:rsidRPr="000D7A50" w:rsidRDefault="00D21DBF"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По-голям брой предприемачи с повече и по-добри умения за стартиране и разработване на собствен бизнес.</w:t>
                                  </w:r>
                                </w:p>
                              </w:tc>
                            </w:tr>
                          </w:tbl>
                          <w:p w:rsidR="00D21DBF" w:rsidRPr="000D7A50" w:rsidRDefault="00D21DBF" w:rsidP="00CB5FC3">
                            <w:pPr>
                              <w:jc w:val="both"/>
                              <w:rPr>
                                <w:rFonts w:ascii="Arial" w:hAnsi="Arial"/>
                                <w:color w:val="373737"/>
                                <w:sz w:val="18"/>
                                <w:szCs w:val="18"/>
                              </w:rPr>
                            </w:pPr>
                          </w:p>
                        </w:tc>
                      </w:tr>
                    </w:tbl>
                    <w:p w:rsidR="00D21DBF" w:rsidRPr="000D7A50" w:rsidRDefault="00D21DBF" w:rsidP="00E20791">
                      <w:pPr>
                        <w:pStyle w:val="HStandard"/>
                        <w:rPr>
                          <w:rFonts w:cs="Arial"/>
                          <w:b/>
                          <w:sz w:val="18"/>
                          <w:szCs w:val="18"/>
                        </w:rPr>
                      </w:pPr>
                    </w:p>
                  </w:txbxContent>
                </v:textbox>
                <w10:anchorlock/>
              </v:shape>
            </w:pict>
          </mc:Fallback>
        </mc:AlternateContent>
      </w:r>
    </w:p>
    <w:p w:rsidR="009A7329" w:rsidRPr="00FB01AA" w:rsidRDefault="009A7329" w:rsidP="00BB2B11">
      <w:pPr>
        <w:jc w:val="center"/>
        <w:rPr>
          <w:rFonts w:ascii="Arial" w:hAnsi="Arial"/>
          <w:color w:val="373737"/>
          <w:sz w:val="18"/>
          <w:szCs w:val="20"/>
        </w:rPr>
      </w:pPr>
    </w:p>
    <w:p w:rsidR="009A7329" w:rsidRPr="00FB01AA" w:rsidRDefault="00717A1C" w:rsidP="00BB2B11">
      <w:pPr>
        <w:jc w:val="center"/>
        <w:rPr>
          <w:rFonts w:ascii="Arial" w:hAnsi="Arial"/>
          <w:color w:val="373737"/>
          <w:sz w:val="18"/>
          <w:szCs w:val="20"/>
        </w:rPr>
      </w:pPr>
      <w:r>
        <w:rPr>
          <w:rFonts w:ascii="Arial" w:hAnsi="Arial"/>
          <w:noProof/>
          <w:color w:val="373737"/>
          <w:sz w:val="18"/>
          <w:szCs w:val="20"/>
          <w:lang w:val="en-GB" w:eastAsia="en-GB" w:bidi="ar-SA"/>
        </w:rPr>
        <w:drawing>
          <wp:inline distT="0" distB="0" distL="0" distR="0" wp14:anchorId="196061DB" wp14:editId="2196BD2B">
            <wp:extent cx="5723922" cy="23832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723922" cy="2383200"/>
                    </a:xfrm>
                    <a:prstGeom prst="rect">
                      <a:avLst/>
                    </a:prstGeom>
                    <a:noFill/>
                  </pic:spPr>
                </pic:pic>
              </a:graphicData>
            </a:graphic>
          </wp:inline>
        </w:drawing>
      </w:r>
    </w:p>
    <w:p w:rsidR="00C82478" w:rsidRPr="00FB01AA" w:rsidRDefault="00C82478" w:rsidP="00674921">
      <w:pPr>
        <w:jc w:val="center"/>
        <w:rPr>
          <w:rFonts w:ascii="Arial" w:hAnsi="Arial"/>
          <w:color w:val="373737"/>
          <w:sz w:val="18"/>
          <w:szCs w:val="20"/>
        </w:rPr>
      </w:pPr>
    </w:p>
    <w:p w:rsidR="00E20791" w:rsidRPr="00FB01AA" w:rsidRDefault="00E20791" w:rsidP="00CA617B">
      <w:pPr>
        <w:pStyle w:val="HHeading1"/>
        <w:rPr>
          <w:sz w:val="28"/>
        </w:rPr>
        <w:sectPr w:rsidR="00E20791" w:rsidRPr="00FB01AA" w:rsidSect="009F15D6">
          <w:type w:val="continuous"/>
          <w:pgSz w:w="11906" w:h="16838"/>
          <w:pgMar w:top="1418" w:right="1418" w:bottom="1418" w:left="1418" w:header="709" w:footer="709" w:gutter="0"/>
          <w:cols w:space="708"/>
          <w:docGrid w:linePitch="360"/>
        </w:sectPr>
      </w:pPr>
      <w:bookmarkStart w:id="186" w:name="_Toc475030409"/>
      <w:bookmarkStart w:id="187" w:name="_Toc479677094"/>
    </w:p>
    <w:p w:rsidR="00C82478" w:rsidRPr="00FB01AA" w:rsidRDefault="00C82478" w:rsidP="00CA617B">
      <w:pPr>
        <w:pStyle w:val="HHeading1"/>
        <w:rPr>
          <w:sz w:val="28"/>
        </w:rPr>
      </w:pPr>
      <w:bookmarkStart w:id="188" w:name="_Toc493497724"/>
      <w:bookmarkStart w:id="189" w:name="_Toc498506727"/>
      <w:r w:rsidRPr="00FB01AA">
        <w:rPr>
          <w:sz w:val="28"/>
        </w:rPr>
        <w:lastRenderedPageBreak/>
        <w:t>Приложение</w:t>
      </w:r>
      <w:bookmarkEnd w:id="186"/>
      <w:bookmarkEnd w:id="187"/>
      <w:bookmarkEnd w:id="188"/>
      <w:bookmarkEnd w:id="189"/>
      <w:r w:rsidRPr="00FB01AA">
        <w:rPr>
          <w:sz w:val="28"/>
        </w:rPr>
        <w:t xml:space="preserve"> </w:t>
      </w:r>
    </w:p>
    <w:p w:rsidR="00E20791" w:rsidRPr="00C055BD" w:rsidRDefault="00E20791" w:rsidP="00FC3448">
      <w:pPr>
        <w:pStyle w:val="HHeading2"/>
        <w:spacing w:after="80" w:line="280" w:lineRule="atLeast"/>
        <w:rPr>
          <w:spacing w:val="-4"/>
          <w:sz w:val="18"/>
        </w:rPr>
      </w:pPr>
      <w:r w:rsidRPr="00C055BD">
        <w:rPr>
          <w:spacing w:val="-4"/>
          <w:sz w:val="18"/>
        </w:rPr>
        <w:t xml:space="preserve"> </w:t>
      </w:r>
      <w:bookmarkStart w:id="190" w:name="_Toc493497725"/>
      <w:bookmarkStart w:id="191" w:name="_Toc498506728"/>
      <w:r w:rsidRPr="00C055BD">
        <w:rPr>
          <w:spacing w:val="-4"/>
          <w:sz w:val="18"/>
        </w:rPr>
        <w:t>Речник</w:t>
      </w:r>
      <w:bookmarkEnd w:id="190"/>
      <w:bookmarkEnd w:id="191"/>
    </w:p>
    <w:p w:rsidR="00E20791" w:rsidRPr="00C055BD" w:rsidRDefault="00E20791" w:rsidP="00FC3448">
      <w:pPr>
        <w:spacing w:after="80"/>
        <w:rPr>
          <w:rFonts w:ascii="Arial" w:eastAsia="Arial" w:hAnsi="Arial" w:cs="Arial"/>
          <w:b/>
          <w:color w:val="57825E"/>
          <w:spacing w:val="-4"/>
          <w:sz w:val="18"/>
          <w:szCs w:val="20"/>
        </w:rPr>
      </w:pPr>
      <w:r w:rsidRPr="00C055BD">
        <w:rPr>
          <w:rFonts w:ascii="Arial" w:hAnsi="Arial"/>
          <w:b/>
          <w:color w:val="57825E"/>
          <w:spacing w:val="-4"/>
          <w:sz w:val="18"/>
        </w:rPr>
        <w:t>Добавена стойност на LEADER/ВОМР</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Добавената стойност на LEADER/ВОМР се отнася до ползите, които са постигнати в резултат на правилното прилагане на метода LEADER, сравнени с ползите, които биха били постигнати без прилагането на този метод. Добавената стойност на LEADER/ВОМР може да бъде изразена във вид на подобряване на социалния капитал, подобряване на управлението и засилване на резултатите и въздействията от изпълнението на пр</w:t>
      </w:r>
      <w:r w:rsidR="00422878" w:rsidRPr="00251DF4">
        <w:rPr>
          <w:rFonts w:ascii="Arial" w:hAnsi="Arial"/>
          <w:color w:val="373737" w:themeColor="background1" w:themeShade="40"/>
          <w:spacing w:val="-4"/>
          <w:sz w:val="18"/>
        </w:rPr>
        <w:t>о</w:t>
      </w:r>
      <w:r w:rsidRPr="00C055BD">
        <w:rPr>
          <w:rFonts w:ascii="Arial" w:hAnsi="Arial"/>
          <w:color w:val="373737" w:themeColor="background1" w:themeShade="40"/>
          <w:spacing w:val="-4"/>
          <w:sz w:val="18"/>
        </w:rPr>
        <w:t xml:space="preserve">грамата/стратегията. </w:t>
      </w:r>
    </w:p>
    <w:p w:rsidR="00E20791" w:rsidRPr="00C055BD" w:rsidRDefault="00E20791" w:rsidP="00FC3448">
      <w:pPr>
        <w:spacing w:before="240" w:after="80"/>
        <w:rPr>
          <w:rFonts w:ascii="Arial" w:eastAsia="Arial" w:hAnsi="Arial" w:cs="Arial"/>
          <w:b/>
          <w:color w:val="57825E"/>
          <w:spacing w:val="-4"/>
          <w:sz w:val="18"/>
          <w:szCs w:val="20"/>
        </w:rPr>
      </w:pPr>
      <w:r w:rsidRPr="00C055BD">
        <w:rPr>
          <w:rFonts w:ascii="Arial" w:hAnsi="Arial"/>
          <w:b/>
          <w:color w:val="57825E"/>
          <w:spacing w:val="-4"/>
          <w:sz w:val="18"/>
        </w:rPr>
        <w:t>Бенефициер</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Лице или организация, които са пряко засегнати от интервенцията, без значение дали това е преднамерено или непреднамерено. Бенефициерите получават подкрепа, услуги и информация и използват съоръжения, създадени с подкрепата на интервенцията (например семейство, използващо телефонна мрежа, която е била подобрена с по</w:t>
      </w:r>
      <w:r w:rsidR="00DB178B">
        <w:rPr>
          <w:rFonts w:ascii="Arial" w:hAnsi="Arial"/>
          <w:color w:val="373737" w:themeColor="background1" w:themeShade="40"/>
          <w:spacing w:val="-4"/>
          <w:sz w:val="18"/>
        </w:rPr>
        <w:t>дкрепа</w:t>
      </w:r>
      <w:r w:rsidRPr="00C055BD">
        <w:rPr>
          <w:rFonts w:ascii="Arial" w:hAnsi="Arial"/>
          <w:color w:val="373737" w:themeColor="background1" w:themeShade="40"/>
          <w:spacing w:val="-4"/>
          <w:sz w:val="18"/>
        </w:rPr>
        <w:t>та на публична интервенция, или предприятие, което е получило съдействие или съвет). Някои лица може да са бенефициери, без непременно да са част от целевата група на интервенцията. Аналогично — не е задължително цялата отговаряща на условията група, да е съставена от бенефициери.</w:t>
      </w:r>
    </w:p>
    <w:p w:rsidR="00E20791" w:rsidRPr="00C055BD" w:rsidRDefault="00E20791" w:rsidP="00FC3448">
      <w:pPr>
        <w:spacing w:before="240" w:after="80"/>
        <w:rPr>
          <w:rFonts w:ascii="Arial" w:eastAsia="Arial" w:hAnsi="Arial" w:cs="Arial"/>
          <w:b/>
          <w:color w:val="57825E"/>
          <w:spacing w:val="-4"/>
          <w:sz w:val="18"/>
          <w:szCs w:val="20"/>
        </w:rPr>
      </w:pPr>
      <w:r w:rsidRPr="00C055BD">
        <w:rPr>
          <w:rFonts w:ascii="Arial" w:hAnsi="Arial"/>
          <w:b/>
          <w:color w:val="57825E"/>
          <w:spacing w:val="-4"/>
          <w:sz w:val="18"/>
        </w:rPr>
        <w:t xml:space="preserve">Общи показатели </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Показателят е количествен или качествен фактор или променлива, който(която) осигурява просто и надеждно средство за измерване на постиженията, за отразяване на промените, свързани с дадена интервенция, или за подпомагане на оценката на представянето на ангажиран с развитието участник. В контекста на политиката за развитие на селските райони наборът от общи показатели, който е задължителен за всички държави членки, служи за измерване на постиженията и промените както на равнището на ПРСР, така и на европейско равнище.</w:t>
      </w:r>
    </w:p>
    <w:p w:rsidR="00E20791" w:rsidRPr="00C055BD" w:rsidRDefault="00E20791" w:rsidP="00FC3448">
      <w:pPr>
        <w:spacing w:before="240" w:after="80"/>
        <w:jc w:val="both"/>
        <w:rPr>
          <w:rFonts w:ascii="Arial" w:eastAsia="Arial" w:hAnsi="Arial" w:cs="Arial"/>
          <w:b/>
          <w:color w:val="57825E"/>
          <w:spacing w:val="-4"/>
          <w:sz w:val="18"/>
          <w:szCs w:val="20"/>
        </w:rPr>
      </w:pPr>
      <w:r w:rsidRPr="00C055BD">
        <w:rPr>
          <w:rFonts w:ascii="Arial" w:hAnsi="Arial"/>
          <w:b/>
          <w:color w:val="57825E"/>
          <w:spacing w:val="-4"/>
          <w:sz w:val="18"/>
        </w:rPr>
        <w:t xml:space="preserve">Обща система за мониторинг и оценка </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 xml:space="preserve">С член 14 от Регламент за изпълнение (ЕС) № 808/2014 на Комисията се установява обща система за мониторинг и оценка, която включва: а) </w:t>
      </w:r>
      <w:r w:rsidRPr="00C055BD">
        <w:rPr>
          <w:rFonts w:ascii="Arial" w:hAnsi="Arial"/>
          <w:color w:val="373737" w:themeColor="background1" w:themeShade="40"/>
          <w:spacing w:val="-4"/>
          <w:sz w:val="18"/>
        </w:rPr>
        <w:t>интервенционна логика, която показва взаимодействията между приоритетите, областите с поставен акцент и мерките; б) набор от общи показатели за контекст, резултати и крайни продукти, включително показатели, които да се използват за количественото определяне на цели във връзка с областите с поставен акцент, свързани с развитие на селските райони, и набор от предварително определени показатели за прегледа на изпълнението; в) общи въпроси за оценка; г) събиране, съхранение и предаване на данни; д) редовно докладване относно дейностите по мониторинг и оценка; е) плана за оценка; ж) предварителни и последващи оценки и всички други дейности за оценка, свързани с програмата за развитие на селските райони, включително необходимите дейности за спазване на повишените изисквания за годишните доклади за изпълнението за 2017 г. и 2019 г.; з) подпомагане, за да могат всички участници, отговорни за мониторинга и оценката, да изпълнят своите задължения.</w:t>
      </w:r>
    </w:p>
    <w:p w:rsidR="00E20791" w:rsidRPr="00C055BD" w:rsidRDefault="00E20791" w:rsidP="00FC3448">
      <w:pPr>
        <w:spacing w:before="240" w:after="80"/>
        <w:rPr>
          <w:rFonts w:ascii="Arial" w:eastAsia="Arial" w:hAnsi="Arial" w:cs="Arial"/>
          <w:b/>
          <w:color w:val="57825E"/>
          <w:spacing w:val="-4"/>
          <w:sz w:val="18"/>
          <w:szCs w:val="20"/>
        </w:rPr>
      </w:pPr>
      <w:r w:rsidRPr="00C055BD">
        <w:rPr>
          <w:rFonts w:ascii="Arial" w:hAnsi="Arial"/>
          <w:b/>
          <w:color w:val="57825E"/>
          <w:spacing w:val="-4"/>
          <w:sz w:val="18"/>
        </w:rPr>
        <w:t>Водено от общностите местно развитие (ВОМР)</w:t>
      </w:r>
    </w:p>
    <w:p w:rsidR="00E20791" w:rsidRPr="00C055BD" w:rsidRDefault="00E20791" w:rsidP="00FC3448">
      <w:pPr>
        <w:spacing w:after="80"/>
        <w:jc w:val="both"/>
        <w:rPr>
          <w:rFonts w:ascii="Arial" w:eastAsia="Arial" w:hAnsi="Arial" w:cs="Arial"/>
          <w:color w:val="373737" w:themeColor="background1" w:themeShade="40"/>
          <w:spacing w:val="-4"/>
          <w:sz w:val="18"/>
          <w:szCs w:val="20"/>
        </w:rPr>
      </w:pPr>
      <w:r w:rsidRPr="00C055BD">
        <w:rPr>
          <w:rFonts w:ascii="Arial" w:hAnsi="Arial"/>
          <w:color w:val="373737" w:themeColor="background1" w:themeShade="40"/>
          <w:spacing w:val="-4"/>
          <w:sz w:val="18"/>
        </w:rPr>
        <w:t xml:space="preserve">ВОМР е специфичен инструмент, който се </w:t>
      </w:r>
      <w:r w:rsidR="003845ED">
        <w:rPr>
          <w:rFonts w:ascii="Arial" w:hAnsi="Arial"/>
          <w:color w:val="373737" w:themeColor="background1" w:themeShade="40"/>
          <w:spacing w:val="-4"/>
          <w:sz w:val="18"/>
        </w:rPr>
        <w:t>прилага</w:t>
      </w:r>
      <w:r w:rsidRPr="00C055BD">
        <w:rPr>
          <w:rFonts w:ascii="Arial" w:hAnsi="Arial"/>
          <w:color w:val="373737" w:themeColor="background1" w:themeShade="40"/>
          <w:spacing w:val="-4"/>
          <w:sz w:val="18"/>
        </w:rPr>
        <w:t xml:space="preserve"> на подрегионално равнище и допълва друг</w:t>
      </w:r>
      <w:r w:rsidR="003845ED">
        <w:rPr>
          <w:rFonts w:ascii="Arial" w:hAnsi="Arial"/>
          <w:color w:val="373737" w:themeColor="background1" w:themeShade="40"/>
          <w:spacing w:val="-4"/>
          <w:sz w:val="18"/>
        </w:rPr>
        <w:t>и</w:t>
      </w:r>
      <w:r w:rsidRPr="00C055BD">
        <w:rPr>
          <w:rFonts w:ascii="Arial" w:hAnsi="Arial"/>
          <w:color w:val="373737" w:themeColor="background1" w:themeShade="40"/>
          <w:spacing w:val="-4"/>
          <w:sz w:val="18"/>
        </w:rPr>
        <w:t xml:space="preserve"> </w:t>
      </w:r>
      <w:r w:rsidR="003845ED">
        <w:rPr>
          <w:rFonts w:ascii="Arial" w:hAnsi="Arial"/>
          <w:color w:val="373737" w:themeColor="background1" w:themeShade="40"/>
          <w:spacing w:val="-4"/>
          <w:sz w:val="18"/>
        </w:rPr>
        <w:t xml:space="preserve">видове </w:t>
      </w:r>
      <w:r w:rsidRPr="00C055BD">
        <w:rPr>
          <w:rFonts w:ascii="Arial" w:hAnsi="Arial"/>
          <w:color w:val="373737" w:themeColor="background1" w:themeShade="40"/>
          <w:spacing w:val="-4"/>
          <w:sz w:val="18"/>
        </w:rPr>
        <w:t xml:space="preserve">подкрепа за развитието на местно равнище. ВОМР може да мобилизира и да ангажира местните общности и организации да допринасят за постигането на целите на стратегията „Европа 2020“ за интелигентен, устойчив и приобщаващ растеж, като насърчава териториалното сближаване и постига специфичните цели на политиката. </w:t>
      </w:r>
    </w:p>
    <w:p w:rsidR="00E20791" w:rsidRPr="00C055BD" w:rsidRDefault="00E20791" w:rsidP="00FC3448">
      <w:pPr>
        <w:spacing w:before="240" w:after="80"/>
        <w:jc w:val="both"/>
        <w:rPr>
          <w:rFonts w:ascii="Arial" w:eastAsia="Arial" w:hAnsi="Arial" w:cs="Arial"/>
          <w:b/>
          <w:color w:val="57825E"/>
          <w:spacing w:val="-4"/>
          <w:sz w:val="18"/>
          <w:szCs w:val="20"/>
        </w:rPr>
      </w:pPr>
      <w:r w:rsidRPr="00C055BD">
        <w:rPr>
          <w:rFonts w:ascii="Arial" w:hAnsi="Arial"/>
          <w:b/>
          <w:color w:val="57825E"/>
          <w:spacing w:val="-4"/>
          <w:sz w:val="18"/>
        </w:rPr>
        <w:t xml:space="preserve">Стратегия за водено от общностите местно развитие (ВОМР) </w:t>
      </w:r>
    </w:p>
    <w:p w:rsidR="00E20791" w:rsidRPr="00C055BD" w:rsidRDefault="00E20791" w:rsidP="00FC3448">
      <w:pPr>
        <w:spacing w:after="80"/>
        <w:jc w:val="both"/>
        <w:rPr>
          <w:rFonts w:ascii="Arial" w:eastAsia="Arial" w:hAnsi="Arial" w:cs="Arial"/>
          <w:color w:val="373737" w:themeColor="background1" w:themeShade="40"/>
          <w:spacing w:val="-4"/>
          <w:sz w:val="18"/>
          <w:szCs w:val="20"/>
        </w:rPr>
      </w:pPr>
      <w:r w:rsidRPr="00C055BD">
        <w:rPr>
          <w:rFonts w:ascii="Arial" w:hAnsi="Arial"/>
          <w:color w:val="373737" w:themeColor="background1" w:themeShade="40"/>
          <w:spacing w:val="-4"/>
          <w:sz w:val="18"/>
        </w:rPr>
        <w:t xml:space="preserve">Стратегия за водено от общностите местно развитие означава последователен набор от дейности, чиято цел е да се задоволят местните цели и потребности и която допринася за постигането на стратегията на Съюза за интелигентен, устойчив и приобщаващ растеж и е разработена и изпълнявана чрез местна група за действие. </w:t>
      </w:r>
    </w:p>
    <w:p w:rsidR="00E20791" w:rsidRPr="00C055BD" w:rsidRDefault="00E20791" w:rsidP="00FC3448">
      <w:pPr>
        <w:spacing w:before="240" w:after="80"/>
        <w:rPr>
          <w:rFonts w:ascii="Arial" w:eastAsia="Arial" w:hAnsi="Arial" w:cs="Arial"/>
          <w:b/>
          <w:color w:val="57825E"/>
          <w:spacing w:val="-4"/>
          <w:sz w:val="18"/>
          <w:szCs w:val="20"/>
        </w:rPr>
      </w:pPr>
      <w:r w:rsidRPr="00C055BD">
        <w:rPr>
          <w:rFonts w:ascii="Arial" w:hAnsi="Arial"/>
          <w:b/>
          <w:color w:val="57825E"/>
          <w:spacing w:val="-4"/>
          <w:sz w:val="18"/>
        </w:rPr>
        <w:t>Механизъм за изпълнение</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 xml:space="preserve">Механизмът за изпълнение може да се определи като „набор от правила, процедури и индивидуални стъпки, които се използват за превръщането на целите на политиката в окончателно изпълнени действия от страна на получателите на средствата“. </w:t>
      </w:r>
    </w:p>
    <w:p w:rsidR="00E20791" w:rsidRPr="00C055BD" w:rsidRDefault="00E20791" w:rsidP="00FC3448">
      <w:pPr>
        <w:spacing w:before="240" w:after="80"/>
        <w:rPr>
          <w:rFonts w:ascii="Arial" w:eastAsia="Arial" w:hAnsi="Arial" w:cs="Arial"/>
          <w:b/>
          <w:color w:val="57825E"/>
          <w:spacing w:val="-4"/>
          <w:sz w:val="18"/>
          <w:szCs w:val="20"/>
        </w:rPr>
      </w:pPr>
      <w:r w:rsidRPr="00C055BD">
        <w:rPr>
          <w:rFonts w:ascii="Arial" w:hAnsi="Arial"/>
          <w:b/>
          <w:color w:val="57825E"/>
          <w:spacing w:val="-4"/>
          <w:sz w:val="18"/>
        </w:rPr>
        <w:lastRenderedPageBreak/>
        <w:t>Ефективност</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Степента, в която се постигат преследваните с интервенцията цели. Показателят за ефективност се изчислява чрез отнасянето на показател за крайни продукти, резултати или въздействие към дадена количествена цел.</w:t>
      </w:r>
    </w:p>
    <w:p w:rsidR="00E20791" w:rsidRPr="00C055BD" w:rsidRDefault="00E20791" w:rsidP="00FC3448">
      <w:pPr>
        <w:spacing w:before="240" w:after="80"/>
        <w:rPr>
          <w:rFonts w:ascii="Arial" w:eastAsia="Arial" w:hAnsi="Arial" w:cs="Arial"/>
          <w:b/>
          <w:color w:val="57825E"/>
          <w:spacing w:val="-4"/>
          <w:sz w:val="18"/>
          <w:szCs w:val="20"/>
        </w:rPr>
      </w:pPr>
      <w:r w:rsidRPr="00C055BD">
        <w:rPr>
          <w:rFonts w:ascii="Arial" w:hAnsi="Arial"/>
          <w:b/>
          <w:color w:val="57825E"/>
          <w:spacing w:val="-4"/>
          <w:sz w:val="18"/>
        </w:rPr>
        <w:t>Ефикасност</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 xml:space="preserve">Най-доброто съотношение между използваните ресурси и постигнатите резултати при преследването на определена цел с дадена интервенция. Ефикасността е свързана с въпроса дали </w:t>
      </w:r>
      <w:r w:rsidR="00BF74F0">
        <w:rPr>
          <w:rFonts w:ascii="Arial" w:hAnsi="Arial"/>
          <w:color w:val="373737" w:themeColor="background1" w:themeShade="40"/>
          <w:spacing w:val="-4"/>
          <w:sz w:val="18"/>
        </w:rPr>
        <w:t xml:space="preserve">е било възможно </w:t>
      </w:r>
      <w:r w:rsidRPr="00C055BD">
        <w:rPr>
          <w:rFonts w:ascii="Arial" w:hAnsi="Arial"/>
          <w:color w:val="373737" w:themeColor="background1" w:themeShade="40"/>
          <w:spacing w:val="-4"/>
          <w:sz w:val="18"/>
        </w:rPr>
        <w:t>с</w:t>
      </w:r>
      <w:r w:rsidR="00BF74F0">
        <w:rPr>
          <w:rFonts w:ascii="Arial" w:hAnsi="Arial"/>
          <w:color w:val="373737" w:themeColor="background1" w:themeShade="40"/>
          <w:spacing w:val="-4"/>
          <w:sz w:val="18"/>
        </w:rPr>
        <w:t>ъс</w:t>
      </w:r>
      <w:r w:rsidRPr="00C055BD">
        <w:rPr>
          <w:rFonts w:ascii="Arial" w:hAnsi="Arial"/>
          <w:color w:val="373737" w:themeColor="background1" w:themeShade="40"/>
          <w:spacing w:val="-4"/>
          <w:sz w:val="18"/>
        </w:rPr>
        <w:t xml:space="preserve"> същи</w:t>
      </w:r>
      <w:r w:rsidR="00BF74F0">
        <w:rPr>
          <w:rFonts w:ascii="Arial" w:hAnsi="Arial"/>
          <w:color w:val="373737" w:themeColor="background1" w:themeShade="40"/>
          <w:spacing w:val="-4"/>
          <w:sz w:val="18"/>
        </w:rPr>
        <w:t>я</w:t>
      </w:r>
      <w:r w:rsidRPr="00C055BD">
        <w:rPr>
          <w:rFonts w:ascii="Arial" w:hAnsi="Arial"/>
          <w:color w:val="373737" w:themeColor="background1" w:themeShade="40"/>
          <w:spacing w:val="-4"/>
          <w:sz w:val="18"/>
        </w:rPr>
        <w:t xml:space="preserve"> бюджет да се постигн</w:t>
      </w:r>
      <w:r w:rsidR="00BF74F0">
        <w:rPr>
          <w:rFonts w:ascii="Arial" w:hAnsi="Arial"/>
          <w:color w:val="373737" w:themeColor="background1" w:themeShade="40"/>
          <w:spacing w:val="-4"/>
          <w:sz w:val="18"/>
        </w:rPr>
        <w:t>ат</w:t>
      </w:r>
      <w:r w:rsidRPr="00C055BD">
        <w:rPr>
          <w:rFonts w:ascii="Arial" w:hAnsi="Arial"/>
          <w:color w:val="373737" w:themeColor="background1" w:themeShade="40"/>
          <w:spacing w:val="-4"/>
          <w:sz w:val="18"/>
        </w:rPr>
        <w:t xml:space="preserve"> повече </w:t>
      </w:r>
      <w:r w:rsidR="00BF74F0">
        <w:rPr>
          <w:rFonts w:ascii="Arial" w:hAnsi="Arial"/>
          <w:color w:val="373737" w:themeColor="background1" w:themeShade="40"/>
          <w:spacing w:val="-4"/>
          <w:sz w:val="18"/>
        </w:rPr>
        <w:t xml:space="preserve">ефекти </w:t>
      </w:r>
      <w:r w:rsidRPr="00C055BD">
        <w:rPr>
          <w:rFonts w:ascii="Arial" w:hAnsi="Arial"/>
          <w:color w:val="373737" w:themeColor="background1" w:themeShade="40"/>
          <w:spacing w:val="-4"/>
          <w:sz w:val="18"/>
        </w:rPr>
        <w:t xml:space="preserve">или същите ефекти </w:t>
      </w:r>
      <w:r w:rsidR="00BF74F0">
        <w:rPr>
          <w:rFonts w:ascii="Arial" w:hAnsi="Arial"/>
          <w:color w:val="373737" w:themeColor="background1" w:themeShade="40"/>
          <w:spacing w:val="-4"/>
          <w:sz w:val="18"/>
        </w:rPr>
        <w:t>да се постигнат</w:t>
      </w:r>
      <w:r w:rsidRPr="00C055BD">
        <w:rPr>
          <w:rFonts w:ascii="Arial" w:hAnsi="Arial"/>
          <w:color w:val="373737" w:themeColor="background1" w:themeShade="40"/>
          <w:spacing w:val="-4"/>
          <w:sz w:val="18"/>
        </w:rPr>
        <w:t xml:space="preserve"> при по-ниски разходи. Показателят за ефикасност се изчислява, като </w:t>
      </w:r>
      <w:r w:rsidR="00560E40">
        <w:rPr>
          <w:rFonts w:ascii="Arial" w:hAnsi="Arial"/>
          <w:color w:val="373737" w:themeColor="background1" w:themeShade="40"/>
          <w:spacing w:val="-4"/>
          <w:sz w:val="18"/>
        </w:rPr>
        <w:t>мобилизира</w:t>
      </w:r>
      <w:r w:rsidRPr="00C055BD">
        <w:rPr>
          <w:rFonts w:ascii="Arial" w:hAnsi="Arial"/>
          <w:color w:val="373737" w:themeColor="background1" w:themeShade="40"/>
          <w:spacing w:val="-4"/>
          <w:sz w:val="18"/>
        </w:rPr>
        <w:t xml:space="preserve">ните </w:t>
      </w:r>
      <w:r w:rsidR="00E011C1">
        <w:rPr>
          <w:rFonts w:ascii="Arial" w:hAnsi="Arial"/>
          <w:color w:val="373737" w:themeColor="background1" w:themeShade="40"/>
          <w:spacing w:val="-4"/>
          <w:sz w:val="18"/>
        </w:rPr>
        <w:t xml:space="preserve">входящи </w:t>
      </w:r>
      <w:r w:rsidRPr="00C055BD">
        <w:rPr>
          <w:rFonts w:ascii="Arial" w:hAnsi="Arial"/>
          <w:color w:val="373737" w:themeColor="background1" w:themeShade="40"/>
          <w:spacing w:val="-4"/>
          <w:sz w:val="18"/>
        </w:rPr>
        <w:t>бюджетни ресурси се разделят на количеството по</w:t>
      </w:r>
      <w:r w:rsidR="00E011C1">
        <w:rPr>
          <w:rFonts w:ascii="Arial" w:hAnsi="Arial"/>
          <w:color w:val="373737" w:themeColor="background1" w:themeShade="40"/>
          <w:spacing w:val="-4"/>
          <w:sz w:val="18"/>
        </w:rPr>
        <w:t>стигнати ефекти</w:t>
      </w:r>
      <w:r w:rsidRPr="00C055BD">
        <w:rPr>
          <w:rFonts w:ascii="Arial" w:hAnsi="Arial"/>
          <w:color w:val="373737" w:themeColor="background1" w:themeShade="40"/>
          <w:spacing w:val="-4"/>
          <w:sz w:val="18"/>
        </w:rPr>
        <w:t>.</w:t>
      </w:r>
    </w:p>
    <w:p w:rsidR="00E20791" w:rsidRPr="00C055BD" w:rsidRDefault="00E20791" w:rsidP="00FC3448">
      <w:pPr>
        <w:spacing w:before="240" w:after="80"/>
        <w:rPr>
          <w:rFonts w:ascii="Arial" w:eastAsia="Arial" w:hAnsi="Arial" w:cs="Arial"/>
          <w:b/>
          <w:color w:val="57825E"/>
          <w:spacing w:val="-4"/>
          <w:sz w:val="18"/>
          <w:szCs w:val="20"/>
        </w:rPr>
      </w:pPr>
      <w:r w:rsidRPr="00C055BD">
        <w:rPr>
          <w:rFonts w:ascii="Arial" w:hAnsi="Arial"/>
          <w:b/>
          <w:color w:val="57825E"/>
          <w:spacing w:val="-4"/>
          <w:sz w:val="18"/>
        </w:rPr>
        <w:t xml:space="preserve">Оценка </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 xml:space="preserve">Оценката е процес на преценка на интервенциите в </w:t>
      </w:r>
      <w:r w:rsidR="006B5037">
        <w:rPr>
          <w:rFonts w:ascii="Arial" w:hAnsi="Arial"/>
          <w:color w:val="373737" w:themeColor="background1" w:themeShade="40"/>
          <w:spacing w:val="-4"/>
          <w:sz w:val="18"/>
        </w:rPr>
        <w:t>зависимост от</w:t>
      </w:r>
      <w:r w:rsidRPr="00C055BD">
        <w:rPr>
          <w:rFonts w:ascii="Arial" w:hAnsi="Arial"/>
          <w:color w:val="373737" w:themeColor="background1" w:themeShade="40"/>
          <w:spacing w:val="-4"/>
          <w:sz w:val="18"/>
        </w:rPr>
        <w:t xml:space="preserve"> </w:t>
      </w:r>
      <w:r w:rsidR="006B5037" w:rsidRPr="006B5037">
        <w:rPr>
          <w:rFonts w:ascii="Arial" w:hAnsi="Arial"/>
          <w:color w:val="373737" w:themeColor="background1" w:themeShade="40"/>
          <w:spacing w:val="-4"/>
          <w:sz w:val="18"/>
        </w:rPr>
        <w:t xml:space="preserve">резултатите от тях, техните въздействия и нуждите, които се стремят </w:t>
      </w:r>
      <w:r w:rsidR="006B5037">
        <w:rPr>
          <w:rFonts w:ascii="Arial" w:hAnsi="Arial"/>
          <w:color w:val="373737" w:themeColor="background1" w:themeShade="40"/>
          <w:spacing w:val="-4"/>
          <w:sz w:val="18"/>
        </w:rPr>
        <w:t>да задоволят</w:t>
      </w:r>
      <w:r w:rsidRPr="00C055BD">
        <w:rPr>
          <w:rFonts w:ascii="Arial" w:hAnsi="Arial"/>
          <w:color w:val="373737" w:themeColor="background1" w:themeShade="40"/>
          <w:spacing w:val="-4"/>
          <w:sz w:val="18"/>
        </w:rPr>
        <w:t xml:space="preserve">. Оценката разглежда ефективността, ефикасността, последователността и </w:t>
      </w:r>
      <w:r w:rsidR="00794736">
        <w:rPr>
          <w:rFonts w:ascii="Arial" w:hAnsi="Arial"/>
          <w:color w:val="373737" w:themeColor="background1" w:themeShade="40"/>
          <w:spacing w:val="-4"/>
          <w:sz w:val="18"/>
        </w:rPr>
        <w:t>умес</w:t>
      </w:r>
      <w:r w:rsidRPr="00C055BD">
        <w:rPr>
          <w:rFonts w:ascii="Arial" w:hAnsi="Arial"/>
          <w:color w:val="373737" w:themeColor="background1" w:themeShade="40"/>
          <w:spacing w:val="-4"/>
          <w:sz w:val="18"/>
        </w:rPr>
        <w:t>тността на интервенцията.</w:t>
      </w:r>
    </w:p>
    <w:p w:rsidR="00E20791" w:rsidRPr="00C055BD" w:rsidRDefault="00E20791" w:rsidP="00FC3448">
      <w:pPr>
        <w:spacing w:before="240" w:after="80"/>
        <w:rPr>
          <w:rFonts w:ascii="Arial" w:eastAsia="Arial" w:hAnsi="Arial" w:cs="Arial"/>
          <w:b/>
          <w:color w:val="57825E"/>
          <w:spacing w:val="-4"/>
          <w:sz w:val="18"/>
          <w:szCs w:val="20"/>
        </w:rPr>
      </w:pPr>
      <w:r w:rsidRPr="00C055BD">
        <w:rPr>
          <w:rFonts w:ascii="Arial" w:hAnsi="Arial"/>
          <w:b/>
          <w:color w:val="57825E"/>
          <w:spacing w:val="-4"/>
          <w:sz w:val="18"/>
        </w:rPr>
        <w:t>План за оценка</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В него са изложени дейностите за оценка, включително институционалната уредба (управление на оценката) и управленските разпоредби (ръководене на оценката) за целия период на изпълнение на програмата.</w:t>
      </w:r>
    </w:p>
    <w:p w:rsidR="00E20791" w:rsidRPr="00C055BD" w:rsidRDefault="00E20791" w:rsidP="00FC3448">
      <w:pPr>
        <w:spacing w:before="240" w:after="80"/>
        <w:jc w:val="both"/>
        <w:rPr>
          <w:rFonts w:ascii="Arial" w:eastAsia="Arial" w:hAnsi="Arial" w:cs="Arial"/>
          <w:b/>
          <w:color w:val="57825E"/>
          <w:spacing w:val="-4"/>
          <w:sz w:val="18"/>
          <w:szCs w:val="20"/>
        </w:rPr>
      </w:pPr>
      <w:r w:rsidRPr="00C055BD">
        <w:rPr>
          <w:rFonts w:ascii="Arial" w:hAnsi="Arial"/>
          <w:b/>
          <w:color w:val="57825E"/>
          <w:spacing w:val="-4"/>
          <w:sz w:val="18"/>
        </w:rPr>
        <w:t>Въпрос за оценка</w:t>
      </w:r>
    </w:p>
    <w:p w:rsidR="00E20791" w:rsidRPr="00C055BD" w:rsidRDefault="00E20791" w:rsidP="00FC3448">
      <w:pPr>
        <w:spacing w:after="80"/>
        <w:jc w:val="both"/>
        <w:rPr>
          <w:rFonts w:ascii="Arial" w:eastAsia="Arial" w:hAnsi="Arial" w:cs="Arial"/>
          <w:color w:val="373737" w:themeColor="background1" w:themeShade="40"/>
          <w:spacing w:val="-4"/>
          <w:sz w:val="18"/>
          <w:szCs w:val="20"/>
        </w:rPr>
      </w:pPr>
      <w:r w:rsidRPr="00C055BD">
        <w:rPr>
          <w:rFonts w:ascii="Arial" w:hAnsi="Arial"/>
          <w:color w:val="373737" w:themeColor="background1" w:themeShade="40"/>
          <w:spacing w:val="-4"/>
          <w:sz w:val="18"/>
        </w:rPr>
        <w:t>Въпрос, на който трябва да отговорят оценителите. Тези въпроси обикновено се задават от лицата, възлагащи оценката. Въпросите за оценка обикновено присъстват в техническото задание на проектите за оценка.</w:t>
      </w:r>
    </w:p>
    <w:p w:rsidR="00E20791" w:rsidRPr="00C055BD" w:rsidRDefault="00E20791" w:rsidP="00FC3448">
      <w:pPr>
        <w:spacing w:before="240" w:after="80"/>
        <w:rPr>
          <w:rFonts w:ascii="Arial" w:eastAsia="Arial" w:hAnsi="Arial" w:cs="Arial"/>
          <w:b/>
          <w:color w:val="57825E"/>
          <w:spacing w:val="-4"/>
          <w:sz w:val="18"/>
          <w:szCs w:val="20"/>
        </w:rPr>
      </w:pPr>
      <w:r w:rsidRPr="00C055BD">
        <w:rPr>
          <w:rFonts w:ascii="Arial" w:hAnsi="Arial"/>
          <w:b/>
          <w:color w:val="57825E"/>
          <w:spacing w:val="-4"/>
          <w:sz w:val="18"/>
        </w:rPr>
        <w:t xml:space="preserve">Оценител </w:t>
      </w:r>
    </w:p>
    <w:p w:rsidR="00E20791" w:rsidRPr="00C055BD" w:rsidRDefault="00E20791" w:rsidP="00FC3448">
      <w:pPr>
        <w:autoSpaceDE w:val="0"/>
        <w:autoSpaceDN w:val="0"/>
        <w:adjustRightInd w:val="0"/>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 xml:space="preserve">Лицата, които извършват оценката, обикновено </w:t>
      </w:r>
      <w:r w:rsidR="00C41F0A">
        <w:rPr>
          <w:rFonts w:ascii="Arial" w:hAnsi="Arial"/>
          <w:color w:val="373737" w:themeColor="background1" w:themeShade="40"/>
          <w:spacing w:val="-4"/>
          <w:sz w:val="18"/>
        </w:rPr>
        <w:t xml:space="preserve">работещи </w:t>
      </w:r>
      <w:r w:rsidRPr="00C055BD">
        <w:rPr>
          <w:rFonts w:ascii="Arial" w:hAnsi="Arial"/>
          <w:color w:val="373737" w:themeColor="background1" w:themeShade="40"/>
          <w:spacing w:val="-4"/>
          <w:sz w:val="18"/>
        </w:rPr>
        <w:t xml:space="preserve">в екип </w:t>
      </w:r>
      <w:r w:rsidR="00C41F0A">
        <w:rPr>
          <w:rFonts w:ascii="Arial" w:hAnsi="Arial"/>
          <w:color w:val="373737" w:themeColor="background1" w:themeShade="40"/>
          <w:spacing w:val="-4"/>
          <w:sz w:val="18"/>
        </w:rPr>
        <w:t>при</w:t>
      </w:r>
      <w:r w:rsidRPr="00C055BD">
        <w:rPr>
          <w:rFonts w:ascii="Arial" w:hAnsi="Arial"/>
          <w:color w:val="373737" w:themeColor="background1" w:themeShade="40"/>
          <w:spacing w:val="-4"/>
          <w:sz w:val="18"/>
        </w:rPr>
        <w:t xml:space="preserve"> сложни програми, които изискват комбинация от умения и компетенции. Оценителите набират и интерпретират вторични данни, събират първични данни, извършват анализи и изготвят доклада за оценката. Те трябва да бъдат </w:t>
      </w:r>
      <w:r w:rsidRPr="00C055BD">
        <w:rPr>
          <w:rFonts w:ascii="Arial" w:hAnsi="Arial"/>
          <w:color w:val="373737" w:themeColor="background1" w:themeShade="40"/>
          <w:spacing w:val="-4"/>
          <w:sz w:val="18"/>
        </w:rPr>
        <w:t xml:space="preserve">независими от възлагащия орган или от програмните ръководители. </w:t>
      </w:r>
    </w:p>
    <w:p w:rsidR="00E20791" w:rsidRPr="00C055BD" w:rsidRDefault="00E20791" w:rsidP="00FC3448">
      <w:pPr>
        <w:spacing w:before="240" w:after="80"/>
        <w:rPr>
          <w:rFonts w:ascii="Arial" w:eastAsia="Arial" w:hAnsi="Arial" w:cs="Arial"/>
          <w:b/>
          <w:color w:val="57825E"/>
          <w:spacing w:val="-4"/>
          <w:sz w:val="18"/>
          <w:szCs w:val="20"/>
        </w:rPr>
      </w:pPr>
      <w:r w:rsidRPr="00C055BD">
        <w:rPr>
          <w:rFonts w:ascii="Arial" w:hAnsi="Arial"/>
          <w:b/>
          <w:color w:val="57825E"/>
          <w:spacing w:val="-4"/>
          <w:sz w:val="18"/>
        </w:rPr>
        <w:t>Област с поставен акцент</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Европейският съюз е определил шест приоритета за развитието на селските райони. Те са разделени на 18 „области с поставен акцент“ с цел по-подробно представяне на целите на всеки приоритет и улесняване на планирането. В програмите за развитие на селските райони трябва количествено да се определят предварителни специфични цели във връзка с всяка от областите с поставен акцент. Държавите членки трябва редовно да докладват напредъка в постигането на тези цели в хода на програмния период.</w:t>
      </w:r>
    </w:p>
    <w:p w:rsidR="00E20791" w:rsidRPr="00C055BD" w:rsidRDefault="00E20791" w:rsidP="00FC3448">
      <w:pPr>
        <w:spacing w:before="240" w:after="80"/>
        <w:rPr>
          <w:rFonts w:ascii="Arial" w:eastAsia="Arial" w:hAnsi="Arial" w:cs="Arial"/>
          <w:b/>
          <w:color w:val="57825E"/>
          <w:spacing w:val="-4"/>
          <w:sz w:val="18"/>
          <w:szCs w:val="20"/>
        </w:rPr>
      </w:pPr>
      <w:r w:rsidRPr="00C055BD">
        <w:rPr>
          <w:rFonts w:ascii="Arial" w:hAnsi="Arial"/>
          <w:b/>
          <w:color w:val="57825E"/>
          <w:spacing w:val="-4"/>
          <w:sz w:val="18"/>
        </w:rPr>
        <w:t>Заетост в еквивалент на пълно работно време (ЕПРВ)</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Единиците в еквивалент на пълно работно време се използват за подобряване на съпоставимостта при измерването на заетостта. Данните за броя на лицата, които работят под стандарта за целогодишна заетост на пълен работен ден, трябва да бъдат превърнати в еквивалент на пълно работно време, който отразява работното време на служител, нает в условията на целогодишна заетост на пълен работен ден в дадената единица. В тази категория влизат лицата, които работят по-малко от стандартния работен ден, от стандартния брой работни дни в седмицата или от стандартния брой седмици/месеци в годината. Пр</w:t>
      </w:r>
      <w:r w:rsidR="00C41F0A">
        <w:rPr>
          <w:rFonts w:ascii="Arial" w:hAnsi="Arial"/>
          <w:color w:val="373737" w:themeColor="background1" w:themeShade="40"/>
          <w:spacing w:val="-4"/>
          <w:sz w:val="18"/>
        </w:rPr>
        <w:t>евръщ</w:t>
      </w:r>
      <w:r w:rsidRPr="00C055BD">
        <w:rPr>
          <w:rFonts w:ascii="Arial" w:hAnsi="Arial"/>
          <w:color w:val="373737" w:themeColor="background1" w:themeShade="40"/>
          <w:spacing w:val="-4"/>
          <w:sz w:val="18"/>
        </w:rPr>
        <w:t>ането следва да се извършва въз основа на броя на изработените часове, дни, седмици или месеци.</w:t>
      </w:r>
    </w:p>
    <w:p w:rsidR="00E20791" w:rsidRPr="00C055BD" w:rsidRDefault="00E20791" w:rsidP="00FC3448">
      <w:pPr>
        <w:spacing w:before="240" w:after="80"/>
        <w:rPr>
          <w:rFonts w:ascii="Arial" w:eastAsia="Arial" w:hAnsi="Arial" w:cs="Arial"/>
          <w:b/>
          <w:color w:val="57825E"/>
          <w:spacing w:val="-4"/>
          <w:sz w:val="18"/>
          <w:szCs w:val="20"/>
        </w:rPr>
      </w:pPr>
      <w:r w:rsidRPr="00C055BD">
        <w:rPr>
          <w:rFonts w:ascii="Arial" w:hAnsi="Arial"/>
          <w:b/>
          <w:color w:val="57825E"/>
          <w:spacing w:val="-4"/>
          <w:sz w:val="18"/>
        </w:rPr>
        <w:t xml:space="preserve">Управление </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 xml:space="preserve">То включва институциите, процесите и механизмите, посредством които заинтересованите лица от обществеността, бизнеса и гражданското общество формулират своите интереси, упражняват законните си права, изпълняват своите задължения и уреждат различията си. </w:t>
      </w:r>
    </w:p>
    <w:p w:rsidR="00E20791" w:rsidRPr="00C055BD" w:rsidRDefault="00E20791" w:rsidP="00FC3448">
      <w:pPr>
        <w:spacing w:before="240" w:after="80"/>
        <w:rPr>
          <w:rFonts w:ascii="Arial" w:eastAsia="Arial" w:hAnsi="Arial" w:cs="Arial"/>
          <w:b/>
          <w:color w:val="57825E"/>
          <w:spacing w:val="-4"/>
          <w:sz w:val="18"/>
          <w:szCs w:val="20"/>
        </w:rPr>
      </w:pPr>
      <w:r w:rsidRPr="00C055BD">
        <w:rPr>
          <w:rFonts w:ascii="Arial" w:hAnsi="Arial"/>
          <w:b/>
          <w:color w:val="57825E"/>
          <w:spacing w:val="-4"/>
          <w:sz w:val="18"/>
        </w:rPr>
        <w:t xml:space="preserve">Йерархия на целите </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 xml:space="preserve">Това е инструмент, който помага при анализа и </w:t>
      </w:r>
      <w:r w:rsidR="008F3C4F">
        <w:rPr>
          <w:rFonts w:ascii="Arial" w:hAnsi="Arial"/>
          <w:color w:val="373737" w:themeColor="background1" w:themeShade="40"/>
          <w:spacing w:val="-4"/>
          <w:sz w:val="18"/>
        </w:rPr>
        <w:t>съобщав</w:t>
      </w:r>
      <w:r w:rsidRPr="00C055BD">
        <w:rPr>
          <w:rFonts w:ascii="Arial" w:hAnsi="Arial"/>
          <w:color w:val="373737" w:themeColor="background1" w:themeShade="40"/>
          <w:spacing w:val="-4"/>
          <w:sz w:val="18"/>
        </w:rPr>
        <w:t xml:space="preserve">ането на целите и показва по какъв начин интервенциите допринасят за глобалните, междинните и оперативните цели. Той организира тези цели на различни равнища (цели, подцели) под формата на йерархия или дърво, като по този начин </w:t>
      </w:r>
      <w:r w:rsidRPr="00C055BD">
        <w:rPr>
          <w:rFonts w:ascii="Arial" w:hAnsi="Arial"/>
          <w:color w:val="373737" w:themeColor="background1" w:themeShade="40"/>
          <w:spacing w:val="-4"/>
          <w:sz w:val="18"/>
        </w:rPr>
        <w:lastRenderedPageBreak/>
        <w:t>показва логическите връзки между целите и техните подцели. Той представя по синтезиран начин различните интервенционни логики, произтичащи от нормативната уредба, които свързват отделните действия с общите цели на интервенцията.</w:t>
      </w:r>
    </w:p>
    <w:p w:rsidR="00E20791" w:rsidRPr="00C055BD" w:rsidRDefault="00E20791" w:rsidP="00FC3448">
      <w:pPr>
        <w:spacing w:before="240" w:after="80"/>
        <w:rPr>
          <w:rFonts w:ascii="Arial" w:eastAsia="Arial" w:hAnsi="Arial" w:cs="Arial"/>
          <w:b/>
          <w:color w:val="57825E"/>
          <w:spacing w:val="-4"/>
          <w:sz w:val="18"/>
          <w:szCs w:val="20"/>
        </w:rPr>
      </w:pPr>
      <w:r w:rsidRPr="00C055BD">
        <w:rPr>
          <w:rFonts w:ascii="Arial" w:hAnsi="Arial"/>
          <w:b/>
          <w:color w:val="57825E"/>
          <w:spacing w:val="-4"/>
          <w:sz w:val="18"/>
        </w:rPr>
        <w:t xml:space="preserve">Въздействие </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 xml:space="preserve">В процеса на оценка на въздействието терминът „въздействие“ описва всички промени, които се очаква да настъпят в резултат на изпълнението и прилагането на даден вариант/интервенция на политиката. Тези въздействия може да възникнат в различни моменти, да засегнат различни участници и да са относими към различни равнища (местно, регионално, национално и европейско). В контекста на оценката въздействието се отнася до свързаните с определена интервенция промени, които възникват в дългосрочен план. </w:t>
      </w:r>
    </w:p>
    <w:p w:rsidR="00E20791" w:rsidRPr="00C055BD" w:rsidRDefault="00E20791" w:rsidP="00FC3448">
      <w:pPr>
        <w:spacing w:after="80"/>
        <w:rPr>
          <w:rFonts w:ascii="Arial" w:eastAsia="Arial" w:hAnsi="Arial" w:cs="Arial"/>
          <w:b/>
          <w:color w:val="57825E"/>
          <w:spacing w:val="-4"/>
          <w:sz w:val="18"/>
          <w:szCs w:val="20"/>
        </w:rPr>
      </w:pPr>
      <w:r w:rsidRPr="00C055BD">
        <w:rPr>
          <w:rFonts w:ascii="Arial" w:hAnsi="Arial"/>
          <w:b/>
          <w:color w:val="57825E"/>
          <w:spacing w:val="-4"/>
          <w:sz w:val="18"/>
        </w:rPr>
        <w:t>Показател</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 xml:space="preserve">Инструмент за измерване на изпълнението на: цел; </w:t>
      </w:r>
      <w:r w:rsidR="00730B94">
        <w:rPr>
          <w:rFonts w:ascii="Arial" w:hAnsi="Arial"/>
          <w:color w:val="373737" w:themeColor="background1" w:themeShade="40"/>
          <w:spacing w:val="-4"/>
          <w:sz w:val="18"/>
        </w:rPr>
        <w:t>мобилизир</w:t>
      </w:r>
      <w:r w:rsidRPr="00C055BD">
        <w:rPr>
          <w:rFonts w:ascii="Arial" w:hAnsi="Arial"/>
          <w:color w:val="373737" w:themeColor="background1" w:themeShade="40"/>
          <w:spacing w:val="-4"/>
          <w:sz w:val="18"/>
        </w:rPr>
        <w:t xml:space="preserve">ан ресурс; постигнат краен продукт; постигнат ефект; или променлив елемент на средата (икономически, социален или екологичен). Информацията, която се осигурява чрез даден показател, представлява </w:t>
      </w:r>
      <w:r w:rsidR="002A2FD0">
        <w:rPr>
          <w:rFonts w:ascii="Arial" w:hAnsi="Arial"/>
          <w:color w:val="373737" w:themeColor="background1" w:themeShade="40"/>
          <w:spacing w:val="-4"/>
          <w:sz w:val="18"/>
        </w:rPr>
        <w:t>изходни данни</w:t>
      </w:r>
      <w:r w:rsidRPr="00C055BD">
        <w:rPr>
          <w:rFonts w:ascii="Arial" w:hAnsi="Arial"/>
          <w:color w:val="373737" w:themeColor="background1" w:themeShade="40"/>
          <w:spacing w:val="-4"/>
          <w:sz w:val="18"/>
        </w:rPr>
        <w:t>, които се използват за измерването на факти или становища. Даден показател трябва, наред с другото, да предлага опростена информация в лесен за комуник</w:t>
      </w:r>
      <w:r w:rsidR="00C72B5A">
        <w:rPr>
          <w:rFonts w:ascii="Arial" w:hAnsi="Arial"/>
          <w:color w:val="373737" w:themeColor="background1" w:themeShade="40"/>
          <w:spacing w:val="-4"/>
          <w:sz w:val="18"/>
        </w:rPr>
        <w:t>ация</w:t>
      </w:r>
      <w:r w:rsidRPr="00C055BD">
        <w:rPr>
          <w:rFonts w:ascii="Arial" w:hAnsi="Arial"/>
          <w:color w:val="373737" w:themeColor="background1" w:themeShade="40"/>
          <w:spacing w:val="-4"/>
          <w:sz w:val="18"/>
        </w:rPr>
        <w:t xml:space="preserve"> и разбиране вид както от доставчика, така и от ползвателя на информацията. Той трябва да помага на ръководителите на публични интервенции да </w:t>
      </w:r>
      <w:r w:rsidR="00C668D2" w:rsidRPr="00251DF4">
        <w:rPr>
          <w:rFonts w:ascii="Arial" w:hAnsi="Arial"/>
          <w:color w:val="373737" w:themeColor="background1" w:themeShade="40"/>
          <w:spacing w:val="-4"/>
          <w:sz w:val="18"/>
        </w:rPr>
        <w:t xml:space="preserve">осъществяват </w:t>
      </w:r>
      <w:r w:rsidRPr="00C055BD">
        <w:rPr>
          <w:rFonts w:ascii="Arial" w:hAnsi="Arial"/>
          <w:color w:val="373737" w:themeColor="background1" w:themeShade="40"/>
          <w:spacing w:val="-4"/>
          <w:sz w:val="18"/>
        </w:rPr>
        <w:t>комуник</w:t>
      </w:r>
      <w:r w:rsidR="00C668D2" w:rsidRPr="00251DF4">
        <w:rPr>
          <w:rFonts w:ascii="Arial" w:hAnsi="Arial"/>
          <w:color w:val="373737" w:themeColor="background1" w:themeShade="40"/>
          <w:spacing w:val="-4"/>
          <w:sz w:val="18"/>
        </w:rPr>
        <w:t>ация</w:t>
      </w:r>
      <w:r w:rsidRPr="00C055BD">
        <w:rPr>
          <w:rFonts w:ascii="Arial" w:hAnsi="Arial"/>
          <w:color w:val="373737" w:themeColor="background1" w:themeShade="40"/>
          <w:spacing w:val="-4"/>
          <w:sz w:val="18"/>
        </w:rPr>
        <w:t>, да преговарят и да вземат решения. Ето защо е за предпочитане показателят да е свързан с критери</w:t>
      </w:r>
      <w:r w:rsidR="00D63E24">
        <w:rPr>
          <w:rFonts w:ascii="Arial" w:hAnsi="Arial"/>
          <w:color w:val="373737" w:themeColor="background1" w:themeShade="40"/>
          <w:spacing w:val="-4"/>
          <w:sz w:val="18"/>
        </w:rPr>
        <w:t>й</w:t>
      </w:r>
      <w:r w:rsidRPr="00C055BD">
        <w:rPr>
          <w:rFonts w:ascii="Arial" w:hAnsi="Arial"/>
          <w:color w:val="373737" w:themeColor="background1" w:themeShade="40"/>
          <w:spacing w:val="-4"/>
          <w:sz w:val="18"/>
        </w:rPr>
        <w:t xml:space="preserve"> за успеха на интервенцията. Той следва да отразява възможно най-точно елемента, който е предназначен да измерва (валидност на конструкцията). Показателят и </w:t>
      </w:r>
      <w:r w:rsidR="00D63E24">
        <w:rPr>
          <w:rFonts w:ascii="Arial" w:hAnsi="Arial"/>
          <w:color w:val="373737" w:themeColor="background1" w:themeShade="40"/>
          <w:spacing w:val="-4"/>
          <w:sz w:val="18"/>
        </w:rPr>
        <w:t>мерната единица</w:t>
      </w:r>
      <w:r w:rsidRPr="00C055BD">
        <w:rPr>
          <w:rFonts w:ascii="Arial" w:hAnsi="Arial"/>
          <w:color w:val="373737" w:themeColor="background1" w:themeShade="40"/>
          <w:spacing w:val="-4"/>
          <w:sz w:val="18"/>
        </w:rPr>
        <w:t xml:space="preserve"> за неговото измерване трябва да са чувствителни. Измереното количество трябва да варира значително при възникване на промяна в подлежащата на измерване променлива.</w:t>
      </w:r>
    </w:p>
    <w:p w:rsidR="00E20791" w:rsidRPr="00C055BD" w:rsidRDefault="00E20791" w:rsidP="00FC3448">
      <w:pPr>
        <w:spacing w:after="80"/>
        <w:rPr>
          <w:rFonts w:ascii="Arial" w:eastAsia="Arial" w:hAnsi="Arial" w:cs="Arial"/>
          <w:b/>
          <w:color w:val="57825E"/>
          <w:spacing w:val="-4"/>
          <w:sz w:val="18"/>
          <w:szCs w:val="20"/>
        </w:rPr>
      </w:pPr>
      <w:r w:rsidRPr="00C055BD">
        <w:rPr>
          <w:rFonts w:ascii="Arial" w:hAnsi="Arial"/>
          <w:b/>
          <w:color w:val="57825E"/>
          <w:spacing w:val="-4"/>
          <w:sz w:val="18"/>
        </w:rPr>
        <w:t xml:space="preserve">Вътрешна съгласуваност </w:t>
      </w:r>
    </w:p>
    <w:p w:rsidR="00E20791" w:rsidRPr="00C055BD" w:rsidRDefault="00E20791" w:rsidP="00FC3448">
      <w:pPr>
        <w:spacing w:after="80"/>
        <w:jc w:val="both"/>
        <w:rPr>
          <w:rFonts w:ascii="Arial" w:eastAsia="Arial" w:hAnsi="Arial" w:cs="Arial"/>
          <w:color w:val="373737" w:themeColor="background1" w:themeShade="40"/>
          <w:spacing w:val="-4"/>
          <w:sz w:val="18"/>
          <w:szCs w:val="20"/>
        </w:rPr>
      </w:pPr>
      <w:r w:rsidRPr="00C055BD">
        <w:rPr>
          <w:rFonts w:ascii="Arial" w:hAnsi="Arial"/>
          <w:color w:val="373737" w:themeColor="background1" w:themeShade="40"/>
          <w:spacing w:val="-4"/>
          <w:sz w:val="18"/>
        </w:rPr>
        <w:t xml:space="preserve">Съответствие между различните цели на една и съща интервенция. Вътрешната съгласуваност предполага наличието на йерархия на целите, като целите на долното равнище логично допринасят за постигането на тези на по-горното равнище. </w:t>
      </w:r>
    </w:p>
    <w:p w:rsidR="00E20791" w:rsidRPr="00C055BD" w:rsidRDefault="00FC3448" w:rsidP="00FC3448">
      <w:pPr>
        <w:spacing w:after="80"/>
        <w:rPr>
          <w:rFonts w:ascii="Arial" w:eastAsia="Arial" w:hAnsi="Arial" w:cs="Arial"/>
          <w:b/>
          <w:color w:val="57825E"/>
          <w:spacing w:val="-4"/>
          <w:sz w:val="18"/>
          <w:szCs w:val="20"/>
        </w:rPr>
      </w:pPr>
      <w:r>
        <w:rPr>
          <w:rFonts w:ascii="Arial" w:hAnsi="Arial"/>
          <w:b/>
          <w:color w:val="57825E"/>
          <w:spacing w:val="-4"/>
          <w:sz w:val="18"/>
        </w:rPr>
        <w:br w:type="column"/>
      </w:r>
      <w:r w:rsidR="00E20791" w:rsidRPr="00C055BD">
        <w:rPr>
          <w:rFonts w:ascii="Arial" w:hAnsi="Arial"/>
          <w:b/>
          <w:color w:val="57825E"/>
          <w:spacing w:val="-4"/>
          <w:sz w:val="18"/>
        </w:rPr>
        <w:t>Интервенция</w:t>
      </w:r>
    </w:p>
    <w:p w:rsidR="00E20791" w:rsidRPr="00C055BD" w:rsidRDefault="00E20791" w:rsidP="00FC3448">
      <w:pPr>
        <w:spacing w:after="80"/>
        <w:jc w:val="both"/>
        <w:rPr>
          <w:rFonts w:ascii="Arial" w:eastAsia="Arial" w:hAnsi="Arial" w:cs="Arial"/>
          <w:color w:val="373737" w:themeColor="background1" w:themeShade="40"/>
          <w:spacing w:val="-4"/>
          <w:sz w:val="18"/>
          <w:szCs w:val="20"/>
        </w:rPr>
      </w:pPr>
      <w:r w:rsidRPr="00C055BD">
        <w:rPr>
          <w:rFonts w:ascii="Arial" w:hAnsi="Arial"/>
          <w:color w:val="373737" w:themeColor="background1" w:themeShade="40"/>
          <w:spacing w:val="-4"/>
          <w:sz w:val="18"/>
        </w:rPr>
        <w:t xml:space="preserve">Интервенцията е общ термин, който се използва за описването на широк кръг дейности на ЕС, включително: </w:t>
      </w:r>
      <w:r w:rsidR="00EC1937">
        <w:rPr>
          <w:rFonts w:ascii="Arial" w:hAnsi="Arial"/>
          <w:color w:val="373737" w:themeColor="background1" w:themeShade="40"/>
          <w:spacing w:val="-4"/>
          <w:sz w:val="18"/>
        </w:rPr>
        <w:t xml:space="preserve">свързани и несвързани с разходи </w:t>
      </w:r>
      <w:r w:rsidRPr="00C055BD">
        <w:rPr>
          <w:rFonts w:ascii="Arial" w:hAnsi="Arial"/>
          <w:color w:val="373737" w:themeColor="background1" w:themeShade="40"/>
          <w:spacing w:val="-4"/>
          <w:sz w:val="18"/>
        </w:rPr>
        <w:t>мерки, законодателство, планове за действие, мрежи.</w:t>
      </w:r>
    </w:p>
    <w:p w:rsidR="00E20791" w:rsidRPr="00C055BD" w:rsidRDefault="00E20791" w:rsidP="00FC3448">
      <w:pPr>
        <w:spacing w:before="240" w:after="80"/>
        <w:jc w:val="both"/>
        <w:rPr>
          <w:rFonts w:ascii="Arial" w:eastAsia="Arial" w:hAnsi="Arial" w:cs="Arial"/>
          <w:b/>
          <w:color w:val="57825E"/>
          <w:spacing w:val="-4"/>
          <w:sz w:val="18"/>
          <w:szCs w:val="20"/>
        </w:rPr>
      </w:pPr>
      <w:r w:rsidRPr="00C055BD">
        <w:rPr>
          <w:rFonts w:ascii="Arial" w:hAnsi="Arial"/>
          <w:b/>
          <w:color w:val="57825E"/>
          <w:spacing w:val="-4"/>
          <w:sz w:val="18"/>
        </w:rPr>
        <w:t xml:space="preserve">Интервенционна логика </w:t>
      </w:r>
    </w:p>
    <w:p w:rsidR="00E20791" w:rsidRPr="00C055BD" w:rsidRDefault="00E20791" w:rsidP="00FC3448">
      <w:pPr>
        <w:spacing w:after="80"/>
        <w:jc w:val="both"/>
        <w:rPr>
          <w:rFonts w:ascii="Arial" w:hAnsi="Arial" w:cs="Arial"/>
          <w:b/>
          <w:color w:val="373737" w:themeColor="background1" w:themeShade="40"/>
          <w:spacing w:val="-4"/>
          <w:sz w:val="18"/>
          <w:szCs w:val="20"/>
        </w:rPr>
      </w:pPr>
      <w:r w:rsidRPr="00C055BD">
        <w:rPr>
          <w:rFonts w:ascii="Arial" w:hAnsi="Arial"/>
          <w:color w:val="373737" w:themeColor="background1" w:themeShade="40"/>
          <w:spacing w:val="-4"/>
          <w:sz w:val="18"/>
        </w:rPr>
        <w:t xml:space="preserve">Интервенционната логика е логическата връзка между проблема, който трябва да бъде </w:t>
      </w:r>
      <w:r w:rsidR="00EC1937">
        <w:rPr>
          <w:rFonts w:ascii="Arial" w:hAnsi="Arial"/>
          <w:color w:val="373737" w:themeColor="background1" w:themeShade="40"/>
          <w:spacing w:val="-4"/>
          <w:sz w:val="18"/>
        </w:rPr>
        <w:t>решен</w:t>
      </w:r>
      <w:r w:rsidRPr="00C055BD">
        <w:rPr>
          <w:rFonts w:ascii="Arial" w:hAnsi="Arial"/>
          <w:color w:val="373737" w:themeColor="background1" w:themeShade="40"/>
          <w:spacing w:val="-4"/>
          <w:sz w:val="18"/>
        </w:rPr>
        <w:t xml:space="preserve"> (или целта, която трябва да бъде п</w:t>
      </w:r>
      <w:r w:rsidR="00EC1937">
        <w:rPr>
          <w:rFonts w:ascii="Arial" w:hAnsi="Arial"/>
          <w:color w:val="373737" w:themeColor="background1" w:themeShade="40"/>
          <w:spacing w:val="-4"/>
          <w:sz w:val="18"/>
        </w:rPr>
        <w:t>остигната</w:t>
      </w:r>
      <w:r w:rsidRPr="00C055BD">
        <w:rPr>
          <w:rFonts w:ascii="Arial" w:hAnsi="Arial"/>
          <w:color w:val="373737" w:themeColor="background1" w:themeShade="40"/>
          <w:spacing w:val="-4"/>
          <w:sz w:val="18"/>
        </w:rPr>
        <w:t>), първопричините за проблема и наличните варианти на политиката (или действително предприетите действия на ЕС) за справянето с проблема или за постигането на целта. Тази интервенционна логика се използва както в прогнозните оценки на въздействието, така и в ретроспективните оценки</w:t>
      </w:r>
      <w:r w:rsidRPr="00C055BD">
        <w:rPr>
          <w:rFonts w:ascii="Arial" w:hAnsi="Arial"/>
          <w:b/>
          <w:color w:val="373737" w:themeColor="background1" w:themeShade="40"/>
          <w:spacing w:val="-4"/>
          <w:sz w:val="18"/>
        </w:rPr>
        <w:t>.</w:t>
      </w:r>
    </w:p>
    <w:p w:rsidR="00E20791" w:rsidRPr="00C055BD" w:rsidRDefault="00E20791" w:rsidP="00FC3448">
      <w:pPr>
        <w:spacing w:before="240" w:after="80"/>
        <w:jc w:val="both"/>
        <w:rPr>
          <w:rFonts w:ascii="Arial" w:eastAsia="Arial" w:hAnsi="Arial" w:cs="Arial"/>
          <w:b/>
          <w:color w:val="57825E"/>
          <w:spacing w:val="-4"/>
          <w:sz w:val="18"/>
          <w:szCs w:val="20"/>
        </w:rPr>
      </w:pPr>
      <w:r w:rsidRPr="00C055BD">
        <w:rPr>
          <w:rFonts w:ascii="Arial" w:hAnsi="Arial"/>
          <w:b/>
          <w:color w:val="57825E"/>
          <w:spacing w:val="-4"/>
          <w:sz w:val="18"/>
        </w:rPr>
        <w:t>Критерии за преценка</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 xml:space="preserve">Познат също като „критерий за оценка“, той посочва аспект от подложената на оценка интервенция, който ще даде възможност да се оценят ползите от нея или нейният успех. Критериите за преценка са тясно свързани с въпросите за оценка; критерият се използва за отговор на даден въпрос за оценка. От всеки въпрос се извлича един или повече критерии за преценка. </w:t>
      </w:r>
    </w:p>
    <w:p w:rsidR="00E20791" w:rsidRPr="00C055BD" w:rsidRDefault="00E20791" w:rsidP="00FC3448">
      <w:pPr>
        <w:spacing w:before="240" w:after="80"/>
        <w:rPr>
          <w:rFonts w:ascii="Arial" w:eastAsia="Arial" w:hAnsi="Arial" w:cs="Arial"/>
          <w:b/>
          <w:color w:val="57825E"/>
          <w:spacing w:val="-4"/>
          <w:sz w:val="18"/>
          <w:szCs w:val="20"/>
        </w:rPr>
      </w:pPr>
      <w:r w:rsidRPr="00C055BD">
        <w:rPr>
          <w:rFonts w:ascii="Arial" w:hAnsi="Arial"/>
          <w:b/>
          <w:color w:val="57825E"/>
          <w:spacing w:val="-4"/>
          <w:sz w:val="18"/>
        </w:rPr>
        <w:t>LEADER</w:t>
      </w:r>
    </w:p>
    <w:p w:rsidR="00E20791" w:rsidRPr="00C055BD" w:rsidRDefault="00E20791" w:rsidP="00FC3448">
      <w:pPr>
        <w:pStyle w:val="Default"/>
        <w:spacing w:after="80" w:line="280" w:lineRule="atLeast"/>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 xml:space="preserve">Този термин е акроним от френски език и означава „Liaison Entre Actions de Développement de l'Economie Rurale“ (на български: „Връзка между действията за развитие на икономиката на селските райони“). Това е метод за водено от общностите местно развитие </w:t>
      </w:r>
      <w:r w:rsidR="00800C9F">
        <w:rPr>
          <w:rFonts w:ascii="Arial" w:hAnsi="Arial"/>
          <w:color w:val="373737" w:themeColor="background1" w:themeShade="40"/>
          <w:spacing w:val="-4"/>
          <w:sz w:val="18"/>
        </w:rPr>
        <w:t>с цел</w:t>
      </w:r>
      <w:r w:rsidRPr="00C055BD">
        <w:rPr>
          <w:rFonts w:ascii="Arial" w:hAnsi="Arial"/>
          <w:color w:val="373737" w:themeColor="background1" w:themeShade="40"/>
          <w:spacing w:val="-4"/>
          <w:sz w:val="18"/>
        </w:rPr>
        <w:t xml:space="preserve"> мобилизиране и развитие на селските общности посредством местни публично-частни партньорства (местни групи за действие). Той помага на хора, групи и предприятия в селските райони да осъзнаят потенциала на своя район и насърчава изпълнението на интегрирани и иновативни стратегии за местно развитие. През първите две поколения на съществуването си като инициатива на Общността (Leader I: 1991—1993 г., последвана от Leader II: 1994—1999 г.) методът беше насочен към </w:t>
      </w:r>
      <w:r w:rsidR="00B339B2">
        <w:rPr>
          <w:rFonts w:ascii="Arial" w:hAnsi="Arial"/>
          <w:color w:val="373737" w:themeColor="background1" w:themeShade="40"/>
          <w:spacing w:val="-4"/>
          <w:sz w:val="18"/>
        </w:rPr>
        <w:t xml:space="preserve">необлагодетелстваните </w:t>
      </w:r>
      <w:r w:rsidRPr="00C055BD">
        <w:rPr>
          <w:rFonts w:ascii="Arial" w:hAnsi="Arial"/>
          <w:color w:val="373737" w:themeColor="background1" w:themeShade="40"/>
          <w:spacing w:val="-4"/>
          <w:sz w:val="18"/>
        </w:rPr>
        <w:t xml:space="preserve">селски райони. В периода 2000—2006 г. (Leader+) той беше разширен, за да бъдат включени всички видове селски райони. След това, в периода 2007—2013 г., подходът стана неразделна част от програмите на Европейския съюз </w:t>
      </w:r>
      <w:r w:rsidRPr="00C055BD">
        <w:rPr>
          <w:rFonts w:ascii="Arial" w:hAnsi="Arial"/>
          <w:color w:val="373737" w:themeColor="background1" w:themeShade="40"/>
          <w:spacing w:val="-4"/>
          <w:sz w:val="18"/>
        </w:rPr>
        <w:lastRenderedPageBreak/>
        <w:t xml:space="preserve">за развитие на селските райони, като по този начин бяха обхванати приблизително 2 200 селски територии в 27 държави членки. През 2007 г. подходът Leader беше разширен </w:t>
      </w:r>
      <w:r w:rsidR="00904238">
        <w:rPr>
          <w:rFonts w:ascii="Arial" w:hAnsi="Arial"/>
          <w:color w:val="373737" w:themeColor="background1" w:themeShade="40"/>
          <w:spacing w:val="-4"/>
          <w:sz w:val="18"/>
        </w:rPr>
        <w:t>със</w:t>
      </w:r>
      <w:r w:rsidRPr="00C055BD">
        <w:rPr>
          <w:rFonts w:ascii="Arial" w:hAnsi="Arial"/>
          <w:color w:val="373737" w:themeColor="background1" w:themeShade="40"/>
          <w:spacing w:val="-4"/>
          <w:sz w:val="18"/>
        </w:rPr>
        <w:t xml:space="preserve"> сектора на рибарството. В периода 2014—2020 г. подходът Leader продължава по линия на развитието на селските райони. Той е достъпен и по линия на политиката на сближаване под формата на общ инструмент, наречен „водено от общностите местно развитие“. </w:t>
      </w:r>
    </w:p>
    <w:p w:rsidR="00E20791" w:rsidRPr="00C055BD" w:rsidRDefault="00E20791" w:rsidP="00FC3448">
      <w:pPr>
        <w:pStyle w:val="Default"/>
        <w:spacing w:before="240" w:after="80" w:line="280" w:lineRule="atLeast"/>
        <w:jc w:val="both"/>
        <w:rPr>
          <w:rFonts w:ascii="Arial" w:eastAsia="Arial" w:hAnsi="Arial" w:cs="Arial"/>
          <w:b/>
          <w:color w:val="57825E"/>
          <w:spacing w:val="-4"/>
          <w:sz w:val="18"/>
          <w:szCs w:val="20"/>
        </w:rPr>
      </w:pPr>
      <w:r w:rsidRPr="00C055BD">
        <w:rPr>
          <w:rFonts w:ascii="Arial" w:hAnsi="Arial"/>
          <w:b/>
          <w:color w:val="57825E"/>
          <w:spacing w:val="-4"/>
          <w:sz w:val="18"/>
        </w:rPr>
        <w:t xml:space="preserve">Метод LEADER </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Методът LEADER представлява комбинираното прилагане на принципите на LEADER:</w:t>
      </w:r>
    </w:p>
    <w:p w:rsidR="00E20791" w:rsidRPr="00C055BD" w:rsidRDefault="00E20791" w:rsidP="00FC3448">
      <w:pPr>
        <w:pStyle w:val="ListParagraph"/>
        <w:numPr>
          <w:ilvl w:val="0"/>
          <w:numId w:val="37"/>
        </w:numPr>
        <w:spacing w:after="80"/>
        <w:ind w:left="714" w:hanging="357"/>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подход, ориентиран „от долу нагоре“;</w:t>
      </w:r>
    </w:p>
    <w:p w:rsidR="00E20791" w:rsidRPr="00C055BD" w:rsidRDefault="00E20791" w:rsidP="00FC3448">
      <w:pPr>
        <w:pStyle w:val="ListParagraph"/>
        <w:numPr>
          <w:ilvl w:val="0"/>
          <w:numId w:val="37"/>
        </w:numPr>
        <w:spacing w:after="80"/>
        <w:ind w:left="714" w:hanging="357"/>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подход, основан на характеристиките на района;</w:t>
      </w:r>
    </w:p>
    <w:p w:rsidR="00E20791" w:rsidRPr="00C055BD" w:rsidRDefault="00E20791" w:rsidP="00FC3448">
      <w:pPr>
        <w:pStyle w:val="ListParagraph"/>
        <w:numPr>
          <w:ilvl w:val="0"/>
          <w:numId w:val="37"/>
        </w:numPr>
        <w:spacing w:after="80"/>
        <w:ind w:left="714" w:hanging="357"/>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местно партньорство;</w:t>
      </w:r>
    </w:p>
    <w:p w:rsidR="00E20791" w:rsidRPr="00C055BD" w:rsidRDefault="00E20791" w:rsidP="00FC3448">
      <w:pPr>
        <w:pStyle w:val="ListParagraph"/>
        <w:numPr>
          <w:ilvl w:val="0"/>
          <w:numId w:val="37"/>
        </w:numPr>
        <w:spacing w:after="80"/>
        <w:ind w:left="714" w:hanging="357"/>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многосекторна интеграция;</w:t>
      </w:r>
    </w:p>
    <w:p w:rsidR="00E20791" w:rsidRPr="00C055BD" w:rsidRDefault="00E20791" w:rsidP="00FC3448">
      <w:pPr>
        <w:pStyle w:val="ListParagraph"/>
        <w:numPr>
          <w:ilvl w:val="0"/>
          <w:numId w:val="37"/>
        </w:numPr>
        <w:spacing w:after="80"/>
        <w:ind w:left="714" w:hanging="357"/>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изграждане на мрежи;</w:t>
      </w:r>
    </w:p>
    <w:p w:rsidR="00E20791" w:rsidRPr="00C055BD" w:rsidRDefault="00E20791" w:rsidP="00FC3448">
      <w:pPr>
        <w:pStyle w:val="ListParagraph"/>
        <w:numPr>
          <w:ilvl w:val="0"/>
          <w:numId w:val="37"/>
        </w:numPr>
        <w:spacing w:after="80"/>
        <w:ind w:left="714" w:hanging="357"/>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Иновации;</w:t>
      </w:r>
    </w:p>
    <w:p w:rsidR="00E20791" w:rsidRPr="00C055BD" w:rsidRDefault="00E20791" w:rsidP="00FC3448">
      <w:pPr>
        <w:pStyle w:val="ListParagraph"/>
        <w:numPr>
          <w:ilvl w:val="0"/>
          <w:numId w:val="37"/>
        </w:numPr>
        <w:spacing w:after="80"/>
        <w:ind w:left="714" w:hanging="357"/>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междутериториално и международно сътрудничество.</w:t>
      </w:r>
    </w:p>
    <w:p w:rsidR="00E20791" w:rsidRPr="00C055BD" w:rsidRDefault="00E20791" w:rsidP="00FC3448">
      <w:pPr>
        <w:spacing w:before="240" w:after="80"/>
        <w:rPr>
          <w:rFonts w:ascii="Arial" w:eastAsia="Arial" w:hAnsi="Arial" w:cs="Arial"/>
          <w:b/>
          <w:color w:val="57825E"/>
          <w:spacing w:val="-4"/>
          <w:sz w:val="18"/>
          <w:szCs w:val="20"/>
        </w:rPr>
      </w:pPr>
      <w:r w:rsidRPr="00C055BD">
        <w:rPr>
          <w:rFonts w:ascii="Arial" w:hAnsi="Arial"/>
          <w:b/>
          <w:color w:val="57825E"/>
          <w:spacing w:val="-4"/>
          <w:sz w:val="18"/>
        </w:rPr>
        <w:t>Мониторинг</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 xml:space="preserve">Изчерпателно и редовно проучване на ресурсите, крайните продукти и резултатите от публичните интервенции. Мониторингът се основава на система от съгласувана информация, включваща доклади, прегледи, баланси, показатели и т.н. Информацията в системата за мониторинг се получава предимно от бенефициерите и се използва основно за насочване на публичните интервенции. Когато мониторингът включва преценка, тази преценка се отнася до постигането на оперативните цели. Освен това мониторингът е предназначен да предлага обратна връзка и пряко придобиване на знания. Обикновено за него отговарят участниците, които са натоварени с изпълнението на интервенцията. </w:t>
      </w:r>
    </w:p>
    <w:p w:rsidR="00E20791" w:rsidRPr="00C055BD" w:rsidRDefault="00E20791" w:rsidP="00FC3448">
      <w:pPr>
        <w:spacing w:before="240" w:after="80"/>
        <w:rPr>
          <w:rFonts w:ascii="Arial" w:hAnsi="Arial" w:cs="Arial"/>
          <w:color w:val="373737" w:themeColor="background1" w:themeShade="40"/>
          <w:spacing w:val="-4"/>
          <w:sz w:val="18"/>
          <w:szCs w:val="20"/>
        </w:rPr>
      </w:pPr>
      <w:r w:rsidRPr="00C055BD">
        <w:rPr>
          <w:rFonts w:ascii="Arial" w:hAnsi="Arial"/>
          <w:b/>
          <w:color w:val="57825E"/>
          <w:spacing w:val="-4"/>
          <w:sz w:val="18"/>
        </w:rPr>
        <w:t xml:space="preserve">Нетен ефект </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 xml:space="preserve">Ефект, приписван единствено и само на публичната интервенция, за разлика от видимите промени или брутните ефекти. За да се оценят нетните ефекти въз основа на брутните такива, е необходимо да се извадят промените, които са щели да възникнат при отсъствието на публична интервенция и поради това </w:t>
      </w:r>
      <w:r w:rsidRPr="00C055BD">
        <w:rPr>
          <w:rFonts w:ascii="Arial" w:hAnsi="Arial"/>
          <w:color w:val="373737" w:themeColor="background1" w:themeShade="40"/>
          <w:spacing w:val="-4"/>
          <w:sz w:val="18"/>
        </w:rPr>
        <w:t>не могат да бъдат приписани на нея, тъй като с</w:t>
      </w:r>
      <w:r w:rsidR="002C0ADA">
        <w:rPr>
          <w:rFonts w:ascii="Arial" w:hAnsi="Arial"/>
          <w:color w:val="373737" w:themeColor="background1" w:themeShade="40"/>
          <w:spacing w:val="-4"/>
          <w:sz w:val="18"/>
        </w:rPr>
        <w:t>е дължат на</w:t>
      </w:r>
      <w:r w:rsidRPr="00C055BD">
        <w:rPr>
          <w:rFonts w:ascii="Arial" w:hAnsi="Arial"/>
          <w:color w:val="373737" w:themeColor="background1" w:themeShade="40"/>
          <w:spacing w:val="-4"/>
          <w:sz w:val="18"/>
        </w:rPr>
        <w:t xml:space="preserve"> </w:t>
      </w:r>
      <w:r w:rsidR="004F6DAF">
        <w:rPr>
          <w:rFonts w:ascii="Arial" w:hAnsi="Arial"/>
          <w:color w:val="373737" w:themeColor="background1" w:themeShade="40"/>
          <w:spacing w:val="-4"/>
          <w:sz w:val="18"/>
        </w:rPr>
        <w:t>изкривяващи резултата</w:t>
      </w:r>
      <w:r w:rsidRPr="00C055BD">
        <w:rPr>
          <w:rFonts w:ascii="Arial" w:hAnsi="Arial"/>
          <w:color w:val="373737" w:themeColor="background1" w:themeShade="40"/>
          <w:spacing w:val="-4"/>
          <w:sz w:val="18"/>
        </w:rPr>
        <w:t xml:space="preserve"> фактори (съпоставителна ситуация). Например броят на заетите</w:t>
      </w:r>
      <w:r w:rsidR="004F6DAF">
        <w:rPr>
          <w:rFonts w:ascii="Arial" w:hAnsi="Arial"/>
          <w:color w:val="373737" w:themeColor="background1" w:themeShade="40"/>
          <w:spacing w:val="-4"/>
          <w:sz w:val="18"/>
        </w:rPr>
        <w:t xml:space="preserve"> лица</w:t>
      </w:r>
      <w:r w:rsidRPr="00C055BD">
        <w:rPr>
          <w:rFonts w:ascii="Arial" w:hAnsi="Arial"/>
          <w:color w:val="373737" w:themeColor="background1" w:themeShade="40"/>
          <w:spacing w:val="-4"/>
          <w:sz w:val="18"/>
        </w:rPr>
        <w:t xml:space="preserve"> в подпомагани предприятия изглежда стабилен (промяната или брутният ефект е равен на нула). Въпреки това оценките показват, че без подкрепа е щяло да има 400 съкращения (съпоставителна ситуация). Следователно 400 работни места са били запазени (нетен ефект). </w:t>
      </w:r>
    </w:p>
    <w:p w:rsidR="00E20791" w:rsidRPr="00C055BD" w:rsidRDefault="00E20791" w:rsidP="00FC3448">
      <w:pPr>
        <w:spacing w:before="240" w:after="80"/>
        <w:rPr>
          <w:rFonts w:ascii="Arial" w:eastAsia="Arial" w:hAnsi="Arial" w:cs="Arial"/>
          <w:b/>
          <w:color w:val="57825E"/>
          <w:spacing w:val="-4"/>
          <w:sz w:val="18"/>
          <w:szCs w:val="20"/>
        </w:rPr>
      </w:pPr>
      <w:r w:rsidRPr="00C055BD">
        <w:rPr>
          <w:rFonts w:ascii="Arial" w:hAnsi="Arial"/>
          <w:b/>
          <w:color w:val="57825E"/>
          <w:spacing w:val="-4"/>
          <w:sz w:val="18"/>
        </w:rPr>
        <w:t xml:space="preserve">Цел </w:t>
      </w:r>
    </w:p>
    <w:p w:rsidR="00E20791" w:rsidRPr="00C055BD" w:rsidRDefault="00E20791" w:rsidP="00FC3448">
      <w:pPr>
        <w:spacing w:after="80"/>
        <w:jc w:val="both"/>
        <w:rPr>
          <w:rFonts w:ascii="Arial" w:eastAsia="Arial" w:hAnsi="Arial" w:cs="Arial"/>
          <w:b/>
          <w:color w:val="373737" w:themeColor="background1" w:themeShade="40"/>
          <w:spacing w:val="-4"/>
          <w:sz w:val="18"/>
          <w:szCs w:val="20"/>
        </w:rPr>
      </w:pPr>
      <w:r w:rsidRPr="00C055BD">
        <w:rPr>
          <w:rFonts w:ascii="Arial" w:hAnsi="Arial"/>
          <w:color w:val="373737" w:themeColor="background1" w:themeShade="40"/>
          <w:spacing w:val="-4"/>
          <w:sz w:val="18"/>
        </w:rPr>
        <w:t>Ясно, изрично и първоначално о</w:t>
      </w:r>
      <w:r w:rsidR="00EE1E62">
        <w:rPr>
          <w:rFonts w:ascii="Arial" w:hAnsi="Arial"/>
          <w:color w:val="373737" w:themeColor="background1" w:themeShade="40"/>
          <w:spacing w:val="-4"/>
          <w:sz w:val="18"/>
        </w:rPr>
        <w:t>пределя</w:t>
      </w:r>
      <w:r w:rsidRPr="00C055BD">
        <w:rPr>
          <w:rFonts w:ascii="Arial" w:hAnsi="Arial"/>
          <w:color w:val="373737" w:themeColor="background1" w:themeShade="40"/>
          <w:spacing w:val="-4"/>
          <w:sz w:val="18"/>
        </w:rPr>
        <w:t xml:space="preserve">не на </w:t>
      </w:r>
      <w:r w:rsidR="00EE1E62">
        <w:rPr>
          <w:rFonts w:ascii="Arial" w:hAnsi="Arial"/>
          <w:color w:val="373737" w:themeColor="background1" w:themeShade="40"/>
          <w:spacing w:val="-4"/>
          <w:sz w:val="18"/>
        </w:rPr>
        <w:t>ефектите</w:t>
      </w:r>
      <w:r w:rsidRPr="00C055BD">
        <w:rPr>
          <w:rFonts w:ascii="Arial" w:hAnsi="Arial"/>
          <w:color w:val="373737" w:themeColor="background1" w:themeShade="40"/>
          <w:spacing w:val="-4"/>
          <w:sz w:val="18"/>
        </w:rPr>
        <w:t>, ко</w:t>
      </w:r>
      <w:r w:rsidR="00EE1E62">
        <w:rPr>
          <w:rFonts w:ascii="Arial" w:hAnsi="Arial"/>
          <w:color w:val="373737" w:themeColor="background1" w:themeShade="40"/>
          <w:spacing w:val="-4"/>
          <w:sz w:val="18"/>
        </w:rPr>
        <w:t>и</w:t>
      </w:r>
      <w:r w:rsidRPr="00C055BD">
        <w:rPr>
          <w:rFonts w:ascii="Arial" w:hAnsi="Arial"/>
          <w:color w:val="373737" w:themeColor="background1" w:themeShade="40"/>
          <w:spacing w:val="-4"/>
          <w:sz w:val="18"/>
        </w:rPr>
        <w:t>то трябва да се постигн</w:t>
      </w:r>
      <w:r w:rsidR="00EE1E62">
        <w:rPr>
          <w:rFonts w:ascii="Arial" w:hAnsi="Arial"/>
          <w:color w:val="373737" w:themeColor="background1" w:themeShade="40"/>
          <w:spacing w:val="-4"/>
          <w:sz w:val="18"/>
        </w:rPr>
        <w:t>ат</w:t>
      </w:r>
      <w:r w:rsidRPr="00C055BD">
        <w:rPr>
          <w:rFonts w:ascii="Arial" w:hAnsi="Arial"/>
          <w:color w:val="373737" w:themeColor="background1" w:themeShade="40"/>
          <w:spacing w:val="-4"/>
          <w:sz w:val="18"/>
        </w:rPr>
        <w:t xml:space="preserve"> чрез дадена публична интервенция. Количествена</w:t>
      </w:r>
      <w:r w:rsidR="00315DB0">
        <w:rPr>
          <w:rFonts w:ascii="Arial" w:hAnsi="Arial"/>
          <w:color w:val="373737" w:themeColor="background1" w:themeShade="40"/>
          <w:spacing w:val="-4"/>
          <w:sz w:val="18"/>
        </w:rPr>
        <w:t>та</w:t>
      </w:r>
      <w:r w:rsidRPr="00C055BD">
        <w:rPr>
          <w:rFonts w:ascii="Arial" w:hAnsi="Arial"/>
          <w:color w:val="373737" w:themeColor="background1" w:themeShade="40"/>
          <w:spacing w:val="-4"/>
          <w:sz w:val="18"/>
        </w:rPr>
        <w:t xml:space="preserve"> цел се изразява под формата на показатели, а качествена</w:t>
      </w:r>
      <w:r w:rsidR="00315DB0">
        <w:rPr>
          <w:rFonts w:ascii="Arial" w:hAnsi="Arial"/>
          <w:color w:val="373737" w:themeColor="background1" w:themeShade="40"/>
          <w:spacing w:val="-4"/>
          <w:sz w:val="18"/>
        </w:rPr>
        <w:t>та</w:t>
      </w:r>
      <w:r w:rsidRPr="00C055BD">
        <w:rPr>
          <w:rFonts w:ascii="Arial" w:hAnsi="Arial"/>
          <w:color w:val="373737" w:themeColor="background1" w:themeShade="40"/>
          <w:spacing w:val="-4"/>
          <w:sz w:val="18"/>
        </w:rPr>
        <w:t xml:space="preserve"> цел </w:t>
      </w:r>
      <w:r w:rsidR="00315DB0">
        <w:rPr>
          <w:rFonts w:ascii="Arial" w:hAnsi="Arial"/>
          <w:color w:val="373737" w:themeColor="background1" w:themeShade="40"/>
          <w:spacing w:val="-4"/>
          <w:sz w:val="18"/>
        </w:rPr>
        <w:t xml:space="preserve">— </w:t>
      </w:r>
      <w:r w:rsidRPr="00C055BD">
        <w:rPr>
          <w:rFonts w:ascii="Arial" w:hAnsi="Arial"/>
          <w:color w:val="373737" w:themeColor="background1" w:themeShade="40"/>
          <w:spacing w:val="-4"/>
          <w:sz w:val="18"/>
        </w:rPr>
        <w:t>под формата на дескриптори. Специфичните цели се отнасят до резултатите и въздействията от дадена интервенция върху преките бенефициери. Общата цел съответства на целта на интервенцията. Целта на интервенцията е постигането на въздействие с глобално измерение — напр. намаляване на регионалните различия в нивата на развитие. Целите могат да бъдат и междинни. Целите, с които се определят желаните крайни продукти, се наричат оперативни цели. Ако целите на публичната интервенция не са били ясно определени предварително, може да се направи опит те да бъдат изяснени впоследствие при оценката. В такъв случай е за предпочитане те да се наричат имплицитни цели. Целите следва да бъдат изразени в SMART термини (конкретни, измерими, постижими, реалистични и обвързани със срокове).</w:t>
      </w:r>
      <w:r w:rsidRPr="00C055BD">
        <w:rPr>
          <w:rFonts w:ascii="Arial" w:hAnsi="Arial"/>
          <w:b/>
          <w:color w:val="373737" w:themeColor="background1" w:themeShade="40"/>
          <w:spacing w:val="-4"/>
          <w:sz w:val="18"/>
        </w:rPr>
        <w:t xml:space="preserve"> </w:t>
      </w:r>
    </w:p>
    <w:p w:rsidR="00E20791" w:rsidRPr="00C055BD" w:rsidRDefault="00E20791" w:rsidP="00FC3448">
      <w:pPr>
        <w:spacing w:before="240" w:after="80"/>
        <w:rPr>
          <w:rFonts w:ascii="Arial" w:eastAsia="Arial" w:hAnsi="Arial" w:cs="Arial"/>
          <w:b/>
          <w:color w:val="57825E"/>
          <w:spacing w:val="-4"/>
          <w:sz w:val="18"/>
          <w:szCs w:val="20"/>
        </w:rPr>
      </w:pPr>
      <w:r w:rsidRPr="00C055BD">
        <w:rPr>
          <w:rFonts w:ascii="Arial" w:hAnsi="Arial"/>
          <w:b/>
          <w:color w:val="57825E"/>
          <w:spacing w:val="-4"/>
          <w:sz w:val="18"/>
        </w:rPr>
        <w:t>Споразумение за партньорство</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Това е документ, подготвен от държавата членка с участието на партньорите в съответствие с подхода за многостепенно управление, в който се определят стратегията, приоритетите и договореностите на държав</w:t>
      </w:r>
      <w:r w:rsidR="001C03DA" w:rsidRPr="00251DF4">
        <w:rPr>
          <w:rFonts w:ascii="Arial" w:hAnsi="Arial"/>
          <w:color w:val="373737" w:themeColor="background1" w:themeShade="40"/>
          <w:spacing w:val="-4"/>
          <w:sz w:val="18"/>
        </w:rPr>
        <w:t>а</w:t>
      </w:r>
      <w:r w:rsidRPr="00C055BD">
        <w:rPr>
          <w:rFonts w:ascii="Arial" w:hAnsi="Arial"/>
          <w:color w:val="373737" w:themeColor="background1" w:themeShade="40"/>
          <w:spacing w:val="-4"/>
          <w:sz w:val="18"/>
        </w:rPr>
        <w:t>т</w:t>
      </w:r>
      <w:r w:rsidR="001C03DA" w:rsidRPr="00251DF4">
        <w:rPr>
          <w:rFonts w:ascii="Arial" w:hAnsi="Arial"/>
          <w:color w:val="373737" w:themeColor="background1" w:themeShade="40"/>
          <w:spacing w:val="-4"/>
          <w:sz w:val="18"/>
        </w:rPr>
        <w:t>а</w:t>
      </w:r>
      <w:r w:rsidRPr="00C055BD">
        <w:rPr>
          <w:rFonts w:ascii="Arial" w:hAnsi="Arial"/>
          <w:color w:val="373737" w:themeColor="background1" w:themeShade="40"/>
          <w:spacing w:val="-4"/>
          <w:sz w:val="18"/>
        </w:rPr>
        <w:t xml:space="preserve"> членк</w:t>
      </w:r>
      <w:r w:rsidR="001C03DA" w:rsidRPr="00251DF4">
        <w:rPr>
          <w:rFonts w:ascii="Arial" w:hAnsi="Arial"/>
          <w:color w:val="373737" w:themeColor="background1" w:themeShade="40"/>
          <w:spacing w:val="-4"/>
          <w:sz w:val="18"/>
        </w:rPr>
        <w:t>а</w:t>
      </w:r>
      <w:r w:rsidRPr="00C055BD">
        <w:rPr>
          <w:rFonts w:ascii="Arial" w:hAnsi="Arial"/>
          <w:color w:val="373737" w:themeColor="background1" w:themeShade="40"/>
          <w:spacing w:val="-4"/>
          <w:sz w:val="18"/>
        </w:rPr>
        <w:t xml:space="preserve"> за ефективно и ефикасно използване на ЕСИ фондове, насочено към изпълнението на стратегията на Съюза за интелигентен, устойчив и приобщаващ растеж, и който е одобрен от Комисията след оценка и диалог с държавата членка.</w:t>
      </w:r>
    </w:p>
    <w:p w:rsidR="00E20791" w:rsidRPr="00C055BD" w:rsidRDefault="00E20791" w:rsidP="00FC3448">
      <w:pPr>
        <w:spacing w:before="240" w:after="80"/>
        <w:rPr>
          <w:rFonts w:ascii="Arial" w:eastAsia="Arial" w:hAnsi="Arial" w:cs="Arial"/>
          <w:b/>
          <w:color w:val="57825E"/>
          <w:spacing w:val="-4"/>
          <w:sz w:val="18"/>
          <w:szCs w:val="20"/>
        </w:rPr>
      </w:pPr>
      <w:r w:rsidRPr="00C055BD">
        <w:rPr>
          <w:rFonts w:ascii="Arial" w:hAnsi="Arial"/>
          <w:b/>
          <w:color w:val="57825E"/>
          <w:spacing w:val="-4"/>
          <w:sz w:val="18"/>
        </w:rPr>
        <w:t>Първичен принос на LEADER/ВОМР</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 xml:space="preserve">Пряк принос на дейностите, изпълнявани по LEADER/ВОМР, за целта, свързана с основната област с поставен акцент (обикновено 6Б— </w:t>
      </w:r>
      <w:r w:rsidRPr="00C055BD">
        <w:rPr>
          <w:rFonts w:ascii="Arial" w:hAnsi="Arial"/>
          <w:color w:val="373737" w:themeColor="background1" w:themeShade="40"/>
          <w:spacing w:val="-4"/>
          <w:sz w:val="18"/>
        </w:rPr>
        <w:lastRenderedPageBreak/>
        <w:t>стимулиране на местното развитие в селските райони), по която е планиран LEADER/ВОМР.</w:t>
      </w:r>
    </w:p>
    <w:p w:rsidR="00E20791" w:rsidRPr="00C055BD" w:rsidRDefault="00E20791" w:rsidP="00FC3448">
      <w:pPr>
        <w:spacing w:before="240" w:after="80"/>
        <w:rPr>
          <w:rFonts w:ascii="Arial" w:eastAsia="Arial" w:hAnsi="Arial" w:cs="Arial"/>
          <w:b/>
          <w:color w:val="57825E"/>
          <w:spacing w:val="-4"/>
          <w:sz w:val="18"/>
          <w:szCs w:val="20"/>
        </w:rPr>
      </w:pPr>
      <w:r w:rsidRPr="00C055BD">
        <w:rPr>
          <w:rFonts w:ascii="Arial" w:hAnsi="Arial"/>
          <w:b/>
          <w:color w:val="57825E"/>
          <w:spacing w:val="-4"/>
          <w:sz w:val="18"/>
        </w:rPr>
        <w:t xml:space="preserve">Специфичен за програмата въпрос за оценка </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 xml:space="preserve">За целите на оценката на дадена програма се </w:t>
      </w:r>
      <w:r w:rsidR="00BE14DA">
        <w:rPr>
          <w:rFonts w:ascii="Arial" w:hAnsi="Arial"/>
          <w:color w:val="373737" w:themeColor="background1" w:themeShade="40"/>
          <w:spacing w:val="-4"/>
          <w:sz w:val="18"/>
        </w:rPr>
        <w:t>формулир</w:t>
      </w:r>
      <w:r w:rsidRPr="00C055BD">
        <w:rPr>
          <w:rFonts w:ascii="Arial" w:hAnsi="Arial"/>
          <w:color w:val="373737" w:themeColor="background1" w:themeShade="40"/>
          <w:spacing w:val="-4"/>
          <w:sz w:val="18"/>
        </w:rPr>
        <w:t>ат специфични за програмата въпроси за оценка, чиято цел е да се предостави по-задълбочен поглед върху цялостното изпълнение на тази програма или да се отразят нейните специфични цели. За разлика от тях „общите“ въпроси за оценка са приложими за всички програми.</w:t>
      </w:r>
    </w:p>
    <w:p w:rsidR="00E20791" w:rsidRPr="00C055BD" w:rsidRDefault="00E20791" w:rsidP="00FC3448">
      <w:pPr>
        <w:spacing w:before="240" w:after="80"/>
        <w:rPr>
          <w:rFonts w:ascii="Arial" w:eastAsia="Arial" w:hAnsi="Arial" w:cs="Arial"/>
          <w:b/>
          <w:color w:val="57825E"/>
          <w:spacing w:val="-4"/>
          <w:sz w:val="18"/>
          <w:szCs w:val="20"/>
        </w:rPr>
      </w:pPr>
      <w:r w:rsidRPr="00C055BD">
        <w:rPr>
          <w:rFonts w:ascii="Arial" w:hAnsi="Arial"/>
          <w:b/>
          <w:color w:val="57825E"/>
          <w:spacing w:val="-4"/>
          <w:sz w:val="18"/>
        </w:rPr>
        <w:t xml:space="preserve">Специфични за програмата показатели </w:t>
      </w:r>
    </w:p>
    <w:p w:rsidR="00E20791" w:rsidRPr="00C055BD" w:rsidRDefault="00E20791" w:rsidP="00FC3448">
      <w:pPr>
        <w:spacing w:after="80"/>
        <w:jc w:val="both"/>
        <w:rPr>
          <w:rFonts w:ascii="Arial" w:hAnsi="Arial" w:cs="Arial"/>
          <w:color w:val="373737" w:themeColor="background1" w:themeShade="40"/>
          <w:spacing w:val="-4"/>
          <w:sz w:val="18"/>
          <w:szCs w:val="20"/>
        </w:rPr>
      </w:pPr>
      <w:r w:rsidRPr="00C055BD">
        <w:rPr>
          <w:rFonts w:ascii="Arial" w:hAnsi="Arial"/>
          <w:color w:val="373737" w:themeColor="background1" w:themeShade="40"/>
          <w:spacing w:val="-4"/>
          <w:sz w:val="18"/>
        </w:rPr>
        <w:t>Показателят е количествен или качествен фактор или променлива, който(която) осигурява просто и надеждно средство за измерване на постиженията, за отразяване на промените, свързани с дадена интервенция, или за подпомагане на оценката на представянето на ангажиран с развитието участник. Наборът от общи показатели, който е задължителен за всички държави членки, служи за измерване на постиженията и промените както на равнището на ПРСР, така и на европейско равнище. Тъй като е възможно общите показатели да не отразяват напълно всички ефекти на програмните дейности, управляващите органи в държавите членки са приканени да допълнят заложения общ показател, като определят допълнителни показатели така, че да се обхване пълният набор от желани ефекти на дадена програма, по-специално за националните приоритети и специфичните за обекта мерки. Тези допълнителни показатели се наричат специфични за програмата показатели.</w:t>
      </w:r>
    </w:p>
    <w:p w:rsidR="00E20791" w:rsidRPr="00804018" w:rsidRDefault="00E20791" w:rsidP="00FC3448">
      <w:pPr>
        <w:spacing w:before="240"/>
        <w:rPr>
          <w:rFonts w:ascii="Arial" w:eastAsia="Arial" w:hAnsi="Arial" w:cs="Arial"/>
          <w:b/>
          <w:color w:val="57825E"/>
          <w:spacing w:val="-4"/>
          <w:sz w:val="18"/>
          <w:szCs w:val="20"/>
        </w:rPr>
      </w:pPr>
      <w:r w:rsidRPr="00804018">
        <w:rPr>
          <w:rFonts w:ascii="Arial" w:hAnsi="Arial"/>
          <w:b/>
          <w:color w:val="57825E"/>
          <w:spacing w:val="-4"/>
          <w:sz w:val="18"/>
        </w:rPr>
        <w:t>Качествен показател</w:t>
      </w:r>
    </w:p>
    <w:p w:rsidR="00E20791" w:rsidRPr="00804018" w:rsidRDefault="00E20791" w:rsidP="00FC3448">
      <w:pPr>
        <w:jc w:val="both"/>
        <w:rPr>
          <w:rFonts w:ascii="Arial" w:hAnsi="Arial" w:cs="Arial"/>
          <w:color w:val="373737" w:themeColor="background1" w:themeShade="40"/>
          <w:spacing w:val="-4"/>
          <w:sz w:val="18"/>
          <w:szCs w:val="20"/>
        </w:rPr>
      </w:pPr>
      <w:r w:rsidRPr="00804018">
        <w:rPr>
          <w:rFonts w:ascii="Arial" w:hAnsi="Arial"/>
          <w:color w:val="373737" w:themeColor="background1" w:themeShade="40"/>
          <w:spacing w:val="-4"/>
          <w:sz w:val="18"/>
        </w:rPr>
        <w:t>Описание</w:t>
      </w:r>
      <w:r w:rsidR="00191E85">
        <w:rPr>
          <w:rFonts w:ascii="Arial" w:hAnsi="Arial"/>
          <w:color w:val="373737" w:themeColor="background1" w:themeShade="40"/>
          <w:spacing w:val="-4"/>
          <w:sz w:val="18"/>
        </w:rPr>
        <w:t>,</w:t>
      </w:r>
      <w:r w:rsidRPr="00804018">
        <w:rPr>
          <w:rFonts w:ascii="Arial" w:hAnsi="Arial"/>
          <w:color w:val="373737" w:themeColor="background1" w:themeShade="40"/>
          <w:spacing w:val="-4"/>
          <w:sz w:val="18"/>
        </w:rPr>
        <w:t xml:space="preserve"> под формата на кратко, ясно и конкретно изявление, </w:t>
      </w:r>
      <w:r w:rsidR="00191E85">
        <w:rPr>
          <w:rFonts w:ascii="Arial" w:hAnsi="Arial"/>
          <w:color w:val="373737" w:themeColor="background1" w:themeShade="40"/>
          <w:spacing w:val="-4"/>
          <w:sz w:val="18"/>
        </w:rPr>
        <w:t xml:space="preserve">на дадена </w:t>
      </w:r>
      <w:r w:rsidRPr="00804018">
        <w:rPr>
          <w:rFonts w:ascii="Arial" w:hAnsi="Arial"/>
          <w:color w:val="373737" w:themeColor="background1" w:themeShade="40"/>
          <w:spacing w:val="-4"/>
          <w:sz w:val="18"/>
        </w:rPr>
        <w:t xml:space="preserve">цел за изпълнение или </w:t>
      </w:r>
      <w:r w:rsidR="00191E85">
        <w:rPr>
          <w:rFonts w:ascii="Arial" w:hAnsi="Arial"/>
          <w:color w:val="373737" w:themeColor="background1" w:themeShade="40"/>
          <w:spacing w:val="-4"/>
          <w:sz w:val="18"/>
        </w:rPr>
        <w:t xml:space="preserve">на постигнато </w:t>
      </w:r>
      <w:r w:rsidRPr="00804018">
        <w:rPr>
          <w:rFonts w:ascii="Arial" w:hAnsi="Arial"/>
          <w:color w:val="373737" w:themeColor="background1" w:themeShade="40"/>
          <w:spacing w:val="-4"/>
          <w:sz w:val="18"/>
        </w:rPr>
        <w:t xml:space="preserve">въздействие. Организирането на дескриптори във вид на структурирана мрежа може да представлява първата стъпка от изграждането на даден показател. В случай че няколко дескриптора са били създадени предварително, те могат да бъдат използвани за изграждането на мрежа за наблюдение. Чрез тази мрежа дадено явление или промяна може да се наблюдава и описва чрез качествени изражения и по структуриран начин. Не бива да се допуска от обхвата на анализа при оценката да се изключва важна цел или въздействие само защото те трудно могат да бъдат измерени </w:t>
      </w:r>
      <w:r w:rsidRPr="00804018">
        <w:rPr>
          <w:rFonts w:ascii="Arial" w:hAnsi="Arial"/>
          <w:color w:val="373737" w:themeColor="background1" w:themeShade="40"/>
          <w:spacing w:val="-4"/>
          <w:sz w:val="18"/>
        </w:rPr>
        <w:t>количествено, ако те действително се считат за важни. В този случай е за предпочитане да се събират качествени данни и да се структурират с помощта на дескриптори.</w:t>
      </w:r>
    </w:p>
    <w:p w:rsidR="00E20791" w:rsidRPr="00804018" w:rsidRDefault="00E20791" w:rsidP="00FC3448">
      <w:pPr>
        <w:rPr>
          <w:rFonts w:ascii="Arial" w:eastAsia="Arial" w:hAnsi="Arial" w:cs="Arial"/>
          <w:b/>
          <w:color w:val="57825E"/>
          <w:spacing w:val="-4"/>
          <w:sz w:val="18"/>
          <w:szCs w:val="20"/>
        </w:rPr>
      </w:pPr>
      <w:r w:rsidRPr="00804018">
        <w:rPr>
          <w:rFonts w:ascii="Arial" w:hAnsi="Arial"/>
          <w:b/>
          <w:color w:val="57825E"/>
          <w:spacing w:val="-4"/>
          <w:sz w:val="18"/>
        </w:rPr>
        <w:t>Препоръки</w:t>
      </w:r>
    </w:p>
    <w:p w:rsidR="00E20791" w:rsidRPr="00804018" w:rsidRDefault="00E20791" w:rsidP="00FC3448">
      <w:pPr>
        <w:jc w:val="both"/>
        <w:rPr>
          <w:rFonts w:ascii="Arial" w:hAnsi="Arial" w:cs="Arial"/>
          <w:color w:val="373737" w:themeColor="background1" w:themeShade="40"/>
          <w:spacing w:val="-4"/>
          <w:sz w:val="18"/>
          <w:szCs w:val="20"/>
        </w:rPr>
      </w:pPr>
      <w:r w:rsidRPr="00804018">
        <w:rPr>
          <w:rFonts w:ascii="Arial" w:hAnsi="Arial"/>
          <w:color w:val="373737" w:themeColor="background1" w:themeShade="40"/>
          <w:spacing w:val="-4"/>
          <w:sz w:val="18"/>
        </w:rPr>
        <w:t xml:space="preserve">Предложения, насочени към засилване на </w:t>
      </w:r>
      <w:r w:rsidR="00794736">
        <w:rPr>
          <w:rFonts w:ascii="Arial" w:hAnsi="Arial"/>
          <w:color w:val="373737" w:themeColor="background1" w:themeShade="40"/>
          <w:spacing w:val="-4"/>
          <w:sz w:val="18"/>
        </w:rPr>
        <w:t>умес</w:t>
      </w:r>
      <w:r w:rsidRPr="00804018">
        <w:rPr>
          <w:rFonts w:ascii="Arial" w:hAnsi="Arial"/>
          <w:color w:val="373737" w:themeColor="background1" w:themeShade="40"/>
          <w:spacing w:val="-4"/>
          <w:sz w:val="18"/>
        </w:rPr>
        <w:t>тността, ефективността, ефикасността, добавената стойност и последователността на програмата/стратегията; към преработване на целите и мерките; и/или към преразпределяне на ресурсите. Препоръките следва да бъдат свързани със заключения, основани на доказателства.</w:t>
      </w:r>
    </w:p>
    <w:p w:rsidR="00E20791" w:rsidRPr="00804018" w:rsidRDefault="00794736" w:rsidP="00FC3448">
      <w:pPr>
        <w:spacing w:before="240"/>
        <w:rPr>
          <w:rFonts w:ascii="Arial" w:eastAsia="Arial" w:hAnsi="Arial" w:cs="Arial"/>
          <w:b/>
          <w:color w:val="57825E"/>
          <w:spacing w:val="-4"/>
          <w:sz w:val="18"/>
          <w:szCs w:val="20"/>
        </w:rPr>
      </w:pPr>
      <w:r>
        <w:rPr>
          <w:rFonts w:ascii="Arial" w:hAnsi="Arial"/>
          <w:b/>
          <w:color w:val="57825E"/>
          <w:spacing w:val="-4"/>
          <w:sz w:val="18"/>
        </w:rPr>
        <w:t>Умес</w:t>
      </w:r>
      <w:r w:rsidR="00E20791" w:rsidRPr="00804018">
        <w:rPr>
          <w:rFonts w:ascii="Arial" w:hAnsi="Arial"/>
          <w:b/>
          <w:color w:val="57825E"/>
          <w:spacing w:val="-4"/>
          <w:sz w:val="18"/>
        </w:rPr>
        <w:t xml:space="preserve">тност </w:t>
      </w:r>
    </w:p>
    <w:p w:rsidR="00E20791" w:rsidRPr="00804018" w:rsidRDefault="00E20791" w:rsidP="00FC3448">
      <w:pPr>
        <w:jc w:val="both"/>
        <w:rPr>
          <w:rFonts w:ascii="Arial" w:hAnsi="Arial" w:cs="Arial"/>
          <w:color w:val="373737" w:themeColor="background1" w:themeShade="40"/>
          <w:spacing w:val="-4"/>
          <w:sz w:val="18"/>
          <w:szCs w:val="20"/>
        </w:rPr>
      </w:pPr>
      <w:r w:rsidRPr="00804018">
        <w:rPr>
          <w:rFonts w:ascii="Arial" w:hAnsi="Arial"/>
          <w:color w:val="373737" w:themeColor="background1" w:themeShade="40"/>
          <w:spacing w:val="-4"/>
          <w:sz w:val="18"/>
        </w:rPr>
        <w:t xml:space="preserve">Степента, в която целите на интервенцията са относими към потребностите, проблемите и въпросите. Въпросите, свързани с </w:t>
      </w:r>
      <w:r w:rsidR="00794736">
        <w:rPr>
          <w:rFonts w:ascii="Arial" w:hAnsi="Arial"/>
          <w:color w:val="373737" w:themeColor="background1" w:themeShade="40"/>
          <w:spacing w:val="-4"/>
          <w:sz w:val="18"/>
        </w:rPr>
        <w:t>умес</w:t>
      </w:r>
      <w:r w:rsidRPr="00804018">
        <w:rPr>
          <w:rFonts w:ascii="Arial" w:hAnsi="Arial"/>
          <w:color w:val="373737" w:themeColor="background1" w:themeShade="40"/>
          <w:spacing w:val="-4"/>
          <w:sz w:val="18"/>
        </w:rPr>
        <w:t>тността, са особено важни в предварителната оценка, защото акцентът е върху избраната стратегия или нейната обосновка.</w:t>
      </w:r>
    </w:p>
    <w:p w:rsidR="00E20791" w:rsidRPr="00804018" w:rsidRDefault="00E20791" w:rsidP="00FC3448">
      <w:pPr>
        <w:spacing w:before="240"/>
        <w:rPr>
          <w:rFonts w:ascii="Arial" w:eastAsia="Arial" w:hAnsi="Arial" w:cs="Arial"/>
          <w:b/>
          <w:color w:val="57825E"/>
          <w:spacing w:val="-4"/>
          <w:sz w:val="18"/>
          <w:szCs w:val="20"/>
        </w:rPr>
      </w:pPr>
      <w:r w:rsidRPr="00804018">
        <w:rPr>
          <w:rFonts w:ascii="Arial" w:hAnsi="Arial"/>
          <w:b/>
          <w:color w:val="57825E"/>
          <w:spacing w:val="-4"/>
          <w:sz w:val="18"/>
        </w:rPr>
        <w:t xml:space="preserve">Надеждност </w:t>
      </w:r>
    </w:p>
    <w:p w:rsidR="00E20791" w:rsidRPr="00804018" w:rsidRDefault="00E20791" w:rsidP="00FC3448">
      <w:pPr>
        <w:jc w:val="both"/>
        <w:rPr>
          <w:rFonts w:ascii="Arial" w:hAnsi="Arial" w:cs="Arial"/>
          <w:color w:val="373737" w:themeColor="background1" w:themeShade="40"/>
          <w:spacing w:val="-4"/>
          <w:sz w:val="18"/>
          <w:szCs w:val="20"/>
        </w:rPr>
      </w:pPr>
      <w:r w:rsidRPr="00804018">
        <w:rPr>
          <w:rFonts w:ascii="Arial" w:hAnsi="Arial"/>
          <w:color w:val="373737" w:themeColor="background1" w:themeShade="40"/>
          <w:spacing w:val="-4"/>
          <w:sz w:val="18"/>
        </w:rPr>
        <w:t>Качеството на събирането на данни за оценката, когато използваният протокол позволява генерирането на сходна информация при повторни наблюдения в идентични условия. Надеждността зависи от спазването на правилата за събиране на извадки и от използваните инструменти за събиране и запис на количествена и качествена информация.</w:t>
      </w:r>
    </w:p>
    <w:p w:rsidR="00E20791" w:rsidRPr="00804018" w:rsidRDefault="00E20791" w:rsidP="00FC3448">
      <w:pPr>
        <w:spacing w:before="240"/>
        <w:rPr>
          <w:rFonts w:ascii="Arial" w:eastAsia="Arial" w:hAnsi="Arial" w:cs="Arial"/>
          <w:b/>
          <w:color w:val="57825E"/>
          <w:spacing w:val="-4"/>
          <w:sz w:val="18"/>
          <w:szCs w:val="20"/>
        </w:rPr>
      </w:pPr>
      <w:r w:rsidRPr="00804018">
        <w:rPr>
          <w:rFonts w:ascii="Arial" w:hAnsi="Arial"/>
          <w:b/>
          <w:color w:val="57825E"/>
          <w:spacing w:val="-4"/>
          <w:sz w:val="18"/>
        </w:rPr>
        <w:t xml:space="preserve">Резултат </w:t>
      </w:r>
    </w:p>
    <w:p w:rsidR="00E20791" w:rsidRPr="00804018" w:rsidRDefault="00E20791" w:rsidP="00FC3448">
      <w:pPr>
        <w:jc w:val="both"/>
        <w:rPr>
          <w:rFonts w:ascii="Arial" w:hAnsi="Arial" w:cs="Arial"/>
          <w:color w:val="373737" w:themeColor="background1" w:themeShade="40"/>
          <w:spacing w:val="-4"/>
          <w:sz w:val="18"/>
          <w:szCs w:val="20"/>
        </w:rPr>
      </w:pPr>
      <w:r w:rsidRPr="00804018">
        <w:rPr>
          <w:rFonts w:ascii="Arial" w:hAnsi="Arial"/>
          <w:color w:val="373737" w:themeColor="background1" w:themeShade="40"/>
          <w:spacing w:val="-4"/>
          <w:sz w:val="18"/>
        </w:rPr>
        <w:t>П</w:t>
      </w:r>
      <w:r w:rsidR="004B2623">
        <w:rPr>
          <w:rFonts w:ascii="Arial" w:hAnsi="Arial"/>
          <w:color w:val="373737" w:themeColor="background1" w:themeShade="40"/>
          <w:spacing w:val="-4"/>
          <w:sz w:val="18"/>
        </w:rPr>
        <w:t>олза</w:t>
      </w:r>
      <w:r w:rsidRPr="00804018">
        <w:rPr>
          <w:rFonts w:ascii="Arial" w:hAnsi="Arial"/>
          <w:color w:val="373737" w:themeColor="background1" w:themeShade="40"/>
          <w:spacing w:val="-4"/>
          <w:sz w:val="18"/>
        </w:rPr>
        <w:t xml:space="preserve"> (или </w:t>
      </w:r>
      <w:r w:rsidR="004B2623">
        <w:rPr>
          <w:rFonts w:ascii="Arial" w:hAnsi="Arial"/>
          <w:color w:val="373737" w:themeColor="background1" w:themeShade="40"/>
          <w:spacing w:val="-4"/>
          <w:sz w:val="18"/>
        </w:rPr>
        <w:t>вреда</w:t>
      </w:r>
      <w:r w:rsidRPr="00804018">
        <w:rPr>
          <w:rFonts w:ascii="Arial" w:hAnsi="Arial"/>
          <w:color w:val="373737" w:themeColor="background1" w:themeShade="40"/>
          <w:spacing w:val="-4"/>
          <w:sz w:val="18"/>
        </w:rPr>
        <w:t>), ко</w:t>
      </w:r>
      <w:r w:rsidR="004B2623">
        <w:rPr>
          <w:rFonts w:ascii="Arial" w:hAnsi="Arial"/>
          <w:color w:val="373737" w:themeColor="background1" w:themeShade="40"/>
          <w:spacing w:val="-4"/>
          <w:sz w:val="18"/>
        </w:rPr>
        <w:t>я</w:t>
      </w:r>
      <w:r w:rsidRPr="00804018">
        <w:rPr>
          <w:rFonts w:ascii="Arial" w:hAnsi="Arial"/>
          <w:color w:val="373737" w:themeColor="background1" w:themeShade="40"/>
          <w:spacing w:val="-4"/>
          <w:sz w:val="18"/>
        </w:rPr>
        <w:t>то преките бенефициери получават в края на своето участие в дадена публична интервенция или веднага след завършване</w:t>
      </w:r>
      <w:r w:rsidR="007B65BB">
        <w:rPr>
          <w:rFonts w:ascii="Arial" w:hAnsi="Arial"/>
          <w:color w:val="373737" w:themeColor="background1" w:themeShade="40"/>
          <w:spacing w:val="-4"/>
          <w:sz w:val="18"/>
        </w:rPr>
        <w:t xml:space="preserve"> на прилагане</w:t>
      </w:r>
      <w:r w:rsidRPr="00804018">
        <w:rPr>
          <w:rFonts w:ascii="Arial" w:hAnsi="Arial"/>
          <w:color w:val="373737" w:themeColor="background1" w:themeShade="40"/>
          <w:spacing w:val="-4"/>
          <w:sz w:val="18"/>
        </w:rPr>
        <w:t>то на публичен механизъм. Резултати могат да се наблюдават, когато оператор завърши дадено действи</w:t>
      </w:r>
      <w:r w:rsidR="004B2623">
        <w:rPr>
          <w:rFonts w:ascii="Arial" w:hAnsi="Arial"/>
          <w:color w:val="373737" w:themeColor="background1" w:themeShade="40"/>
          <w:spacing w:val="-4"/>
          <w:sz w:val="18"/>
        </w:rPr>
        <w:t>е</w:t>
      </w:r>
      <w:r w:rsidRPr="00804018">
        <w:rPr>
          <w:rFonts w:ascii="Arial" w:hAnsi="Arial"/>
          <w:color w:val="373737" w:themeColor="background1" w:themeShade="40"/>
          <w:spacing w:val="-4"/>
          <w:sz w:val="18"/>
        </w:rPr>
        <w:t xml:space="preserve"> и се отчете за начина, по който са изразходвани и управлявани разпределените средства. На този етап той може да покаже например, че достъпността е била подобрена благодарение на изграден път или че получилите съвет дружества заявяват, че са удовлетворени. Операторите може редовно да извършват мониторинг на резултатите. Те трябва да адаптират изпълнението на интервенцията спрямо получените резултати.</w:t>
      </w:r>
    </w:p>
    <w:p w:rsidR="00FC3448" w:rsidRDefault="00FC3448" w:rsidP="00FC3448">
      <w:pPr>
        <w:spacing w:after="0"/>
        <w:rPr>
          <w:rFonts w:ascii="Arial" w:hAnsi="Arial"/>
          <w:b/>
          <w:color w:val="57825E"/>
          <w:spacing w:val="-4"/>
          <w:sz w:val="18"/>
        </w:rPr>
      </w:pPr>
      <w:r>
        <w:rPr>
          <w:rFonts w:ascii="Arial" w:hAnsi="Arial"/>
          <w:b/>
          <w:color w:val="57825E"/>
          <w:spacing w:val="-4"/>
          <w:sz w:val="18"/>
        </w:rPr>
        <w:br w:type="page"/>
      </w:r>
    </w:p>
    <w:p w:rsidR="00E20791" w:rsidRPr="00804018" w:rsidRDefault="00E20791" w:rsidP="00FC3448">
      <w:pPr>
        <w:spacing w:before="240"/>
        <w:rPr>
          <w:rFonts w:ascii="Arial" w:eastAsia="Arial" w:hAnsi="Arial" w:cs="Arial"/>
          <w:b/>
          <w:color w:val="57825E"/>
          <w:spacing w:val="-4"/>
          <w:sz w:val="18"/>
          <w:szCs w:val="20"/>
        </w:rPr>
      </w:pPr>
      <w:r w:rsidRPr="00804018">
        <w:rPr>
          <w:rFonts w:ascii="Arial" w:hAnsi="Arial"/>
          <w:b/>
          <w:color w:val="57825E"/>
          <w:spacing w:val="-4"/>
          <w:sz w:val="18"/>
        </w:rPr>
        <w:lastRenderedPageBreak/>
        <w:t>Вторичен принос на LEADER/ВОМР</w:t>
      </w:r>
    </w:p>
    <w:p w:rsidR="00E20791" w:rsidRPr="00804018" w:rsidRDefault="00E20791" w:rsidP="00FC3448">
      <w:pPr>
        <w:jc w:val="both"/>
        <w:rPr>
          <w:rFonts w:ascii="Arial" w:eastAsia="Arial" w:hAnsi="Arial" w:cs="Arial"/>
          <w:color w:val="373737" w:themeColor="background1" w:themeShade="40"/>
          <w:spacing w:val="-4"/>
          <w:sz w:val="18"/>
          <w:szCs w:val="20"/>
        </w:rPr>
      </w:pPr>
      <w:r w:rsidRPr="00804018">
        <w:rPr>
          <w:rFonts w:ascii="Arial" w:hAnsi="Arial"/>
          <w:color w:val="373737" w:themeColor="background1" w:themeShade="40"/>
          <w:spacing w:val="-4"/>
          <w:sz w:val="18"/>
        </w:rPr>
        <w:t>Принос на изпълняваните по LEADER/ВОМР дейности за допълнителн</w:t>
      </w:r>
      <w:r w:rsidR="0027271A">
        <w:rPr>
          <w:rFonts w:ascii="Arial" w:hAnsi="Arial"/>
          <w:color w:val="373737" w:themeColor="background1" w:themeShade="40"/>
          <w:spacing w:val="-4"/>
          <w:sz w:val="18"/>
        </w:rPr>
        <w:t>и</w:t>
      </w:r>
      <w:r w:rsidRPr="00804018">
        <w:rPr>
          <w:rFonts w:ascii="Arial" w:hAnsi="Arial"/>
          <w:color w:val="373737" w:themeColor="background1" w:themeShade="40"/>
          <w:spacing w:val="-4"/>
          <w:sz w:val="18"/>
        </w:rPr>
        <w:t xml:space="preserve"> област</w:t>
      </w:r>
      <w:r w:rsidR="0027271A">
        <w:rPr>
          <w:rFonts w:ascii="Arial" w:hAnsi="Arial"/>
          <w:color w:val="373737" w:themeColor="background1" w:themeShade="40"/>
          <w:spacing w:val="-4"/>
          <w:sz w:val="18"/>
        </w:rPr>
        <w:t>и</w:t>
      </w:r>
      <w:r w:rsidRPr="00804018">
        <w:rPr>
          <w:rFonts w:ascii="Arial" w:hAnsi="Arial"/>
          <w:color w:val="373737" w:themeColor="background1" w:themeShade="40"/>
          <w:spacing w:val="-4"/>
          <w:sz w:val="18"/>
        </w:rPr>
        <w:t xml:space="preserve"> с поставен акцент, различн</w:t>
      </w:r>
      <w:r w:rsidR="0027271A">
        <w:rPr>
          <w:rFonts w:ascii="Arial" w:hAnsi="Arial"/>
          <w:color w:val="373737" w:themeColor="background1" w:themeShade="40"/>
          <w:spacing w:val="-4"/>
          <w:sz w:val="18"/>
        </w:rPr>
        <w:t>и</w:t>
      </w:r>
      <w:r w:rsidRPr="00804018">
        <w:rPr>
          <w:rFonts w:ascii="Arial" w:hAnsi="Arial"/>
          <w:color w:val="373737" w:themeColor="background1" w:themeShade="40"/>
          <w:spacing w:val="-4"/>
          <w:sz w:val="18"/>
        </w:rPr>
        <w:t xml:space="preserve"> от основната област с поставен акцент (обикновено ОПА 6Б), </w:t>
      </w:r>
      <w:r w:rsidR="007A14A1">
        <w:rPr>
          <w:rFonts w:ascii="Arial" w:hAnsi="Arial"/>
          <w:color w:val="373737" w:themeColor="background1" w:themeShade="40"/>
          <w:spacing w:val="-4"/>
          <w:sz w:val="18"/>
        </w:rPr>
        <w:t>за</w:t>
      </w:r>
      <w:r w:rsidRPr="00804018">
        <w:rPr>
          <w:rFonts w:ascii="Arial" w:hAnsi="Arial"/>
          <w:color w:val="373737" w:themeColor="background1" w:themeShade="40"/>
          <w:spacing w:val="-4"/>
          <w:sz w:val="18"/>
        </w:rPr>
        <w:t xml:space="preserve"> която </w:t>
      </w:r>
      <w:r w:rsidR="0027271A">
        <w:rPr>
          <w:rFonts w:ascii="Arial" w:hAnsi="Arial"/>
          <w:color w:val="373737" w:themeColor="background1" w:themeShade="40"/>
          <w:spacing w:val="-4"/>
          <w:sz w:val="18"/>
        </w:rPr>
        <w:t>се планира и основно допринася</w:t>
      </w:r>
      <w:r w:rsidRPr="00804018">
        <w:rPr>
          <w:rFonts w:ascii="Arial" w:hAnsi="Arial"/>
          <w:color w:val="373737" w:themeColor="background1" w:themeShade="40"/>
          <w:spacing w:val="-4"/>
          <w:sz w:val="18"/>
        </w:rPr>
        <w:t xml:space="preserve"> LEADER/ВМОР. Вторичният принос може да бъде преобладаващ и допълнителен. Преобладаващ вторичен принос </w:t>
      </w:r>
      <w:r w:rsidR="007A14A1">
        <w:rPr>
          <w:rFonts w:ascii="Arial" w:hAnsi="Arial"/>
          <w:color w:val="373737" w:themeColor="background1" w:themeShade="40"/>
          <w:spacing w:val="-4"/>
          <w:sz w:val="18"/>
        </w:rPr>
        <w:t xml:space="preserve">— </w:t>
      </w:r>
      <w:r w:rsidRPr="00804018">
        <w:rPr>
          <w:rFonts w:ascii="Arial" w:hAnsi="Arial"/>
          <w:color w:val="373737" w:themeColor="background1" w:themeShade="40"/>
          <w:spacing w:val="-4"/>
          <w:sz w:val="18"/>
        </w:rPr>
        <w:t xml:space="preserve">за областта с поставен акцент, за която операцията има значителен принос. Допълнителен вторичен принос </w:t>
      </w:r>
      <w:r w:rsidR="007A14A1">
        <w:rPr>
          <w:rFonts w:ascii="Arial" w:hAnsi="Arial"/>
          <w:color w:val="373737" w:themeColor="background1" w:themeShade="40"/>
          <w:spacing w:val="-4"/>
          <w:sz w:val="18"/>
        </w:rPr>
        <w:t xml:space="preserve">— </w:t>
      </w:r>
      <w:r w:rsidRPr="00804018">
        <w:rPr>
          <w:rFonts w:ascii="Arial" w:hAnsi="Arial"/>
          <w:color w:val="373737" w:themeColor="background1" w:themeShade="40"/>
          <w:spacing w:val="-4"/>
          <w:sz w:val="18"/>
        </w:rPr>
        <w:t xml:space="preserve">за областта с поставен акцент, за която операцията допринася, но не </w:t>
      </w:r>
      <w:r w:rsidR="00390711">
        <w:rPr>
          <w:rFonts w:ascii="Arial" w:hAnsi="Arial"/>
          <w:color w:val="373737" w:themeColor="background1" w:themeShade="40"/>
          <w:spacing w:val="-4"/>
          <w:sz w:val="18"/>
        </w:rPr>
        <w:t>значител</w:t>
      </w:r>
      <w:r w:rsidRPr="00804018">
        <w:rPr>
          <w:rFonts w:ascii="Arial" w:hAnsi="Arial"/>
          <w:color w:val="373737" w:themeColor="background1" w:themeShade="40"/>
          <w:spacing w:val="-4"/>
          <w:sz w:val="18"/>
        </w:rPr>
        <w:t>но.</w:t>
      </w:r>
    </w:p>
    <w:p w:rsidR="00E20791" w:rsidRPr="00804018" w:rsidRDefault="00E20791" w:rsidP="00FC3448">
      <w:pPr>
        <w:spacing w:before="240"/>
        <w:rPr>
          <w:rFonts w:ascii="Arial" w:eastAsia="Arial" w:hAnsi="Arial" w:cs="Arial"/>
          <w:b/>
          <w:color w:val="57825E"/>
          <w:spacing w:val="-4"/>
          <w:sz w:val="18"/>
          <w:szCs w:val="20"/>
        </w:rPr>
      </w:pPr>
      <w:r w:rsidRPr="00804018">
        <w:rPr>
          <w:rFonts w:ascii="Arial" w:hAnsi="Arial"/>
          <w:b/>
          <w:color w:val="57825E"/>
          <w:spacing w:val="-4"/>
          <w:sz w:val="18"/>
        </w:rPr>
        <w:t>Самооценка</w:t>
      </w:r>
    </w:p>
    <w:p w:rsidR="00E20791" w:rsidRPr="00804018" w:rsidRDefault="00E20791" w:rsidP="00FC3448">
      <w:pPr>
        <w:jc w:val="both"/>
        <w:rPr>
          <w:rFonts w:ascii="Arial" w:eastAsia="Arial" w:hAnsi="Arial" w:cs="Arial"/>
          <w:color w:val="373737" w:themeColor="background1" w:themeShade="40"/>
          <w:spacing w:val="-4"/>
          <w:sz w:val="18"/>
          <w:szCs w:val="20"/>
        </w:rPr>
      </w:pPr>
      <w:r w:rsidRPr="00804018">
        <w:rPr>
          <w:rFonts w:ascii="Arial" w:hAnsi="Arial"/>
          <w:color w:val="373737" w:themeColor="background1" w:themeShade="40"/>
          <w:spacing w:val="-4"/>
          <w:sz w:val="18"/>
        </w:rPr>
        <w:t>Самооценката е процес с образователна функция, който се разработва и провежда от лицата, осъществяващи дадена интервенция, или които са част от нея (напр. управляващи органи, органи за вземане на решения, бенефициери). Чрез нея се формира вътрешен поглед върху дейностите и се акцентира върху цялостното изпълнение. Ангажираните участници — със или без помощта на външен модератор — анализират начина, по който правят нещата и се питат как допринасят за постигането на договорените краткосрочни и дългосрочни цели. Поради своето основано на участие естество самооценката води до ефект на придобиване на знания сред всички, които са част от нея.</w:t>
      </w:r>
    </w:p>
    <w:p w:rsidR="00E20791" w:rsidRPr="00804018" w:rsidRDefault="00E20791" w:rsidP="00FC3448">
      <w:pPr>
        <w:spacing w:before="240"/>
        <w:rPr>
          <w:rFonts w:ascii="Arial" w:eastAsia="Arial" w:hAnsi="Arial" w:cs="Arial"/>
          <w:b/>
          <w:color w:val="57825E"/>
          <w:spacing w:val="-4"/>
          <w:sz w:val="18"/>
          <w:szCs w:val="20"/>
        </w:rPr>
      </w:pPr>
      <w:r w:rsidRPr="00804018">
        <w:rPr>
          <w:rFonts w:ascii="Arial" w:hAnsi="Arial"/>
          <w:b/>
          <w:color w:val="57825E"/>
          <w:spacing w:val="-4"/>
          <w:sz w:val="18"/>
        </w:rPr>
        <w:t>Социален капитал</w:t>
      </w:r>
    </w:p>
    <w:p w:rsidR="00E20791" w:rsidRPr="00804018" w:rsidRDefault="00E20791" w:rsidP="00FC3448">
      <w:pPr>
        <w:jc w:val="both"/>
        <w:rPr>
          <w:rFonts w:ascii="Arial" w:hAnsi="Arial" w:cs="Arial"/>
          <w:color w:val="373737" w:themeColor="background1" w:themeShade="40"/>
          <w:spacing w:val="-4"/>
          <w:sz w:val="18"/>
          <w:szCs w:val="20"/>
        </w:rPr>
      </w:pPr>
      <w:r w:rsidRPr="00804018">
        <w:rPr>
          <w:rFonts w:ascii="Arial" w:hAnsi="Arial"/>
          <w:color w:val="373737" w:themeColor="background1" w:themeShade="40"/>
          <w:spacing w:val="-4"/>
          <w:sz w:val="18"/>
        </w:rPr>
        <w:t xml:space="preserve">Социалният капитал може да се определи като „мрежи, както и общи норми, ценности и разбирания, които улесняват сътрудничеството в рамките на определени групи или между тях“. </w:t>
      </w:r>
    </w:p>
    <w:p w:rsidR="00E20791" w:rsidRPr="00804018" w:rsidRDefault="00E20791" w:rsidP="00FC3448">
      <w:pPr>
        <w:rPr>
          <w:rFonts w:ascii="Arial" w:eastAsia="Arial" w:hAnsi="Arial" w:cs="Arial"/>
          <w:b/>
          <w:color w:val="57825E"/>
          <w:spacing w:val="-4"/>
          <w:sz w:val="18"/>
          <w:szCs w:val="20"/>
        </w:rPr>
      </w:pPr>
      <w:r w:rsidRPr="00804018">
        <w:rPr>
          <w:rFonts w:ascii="Arial" w:hAnsi="Arial"/>
          <w:b/>
          <w:color w:val="57825E"/>
          <w:spacing w:val="-4"/>
          <w:sz w:val="18"/>
        </w:rPr>
        <w:t>Заинтересовани страни</w:t>
      </w:r>
    </w:p>
    <w:p w:rsidR="00E20791" w:rsidRPr="00804018" w:rsidRDefault="00E20791" w:rsidP="00FC3448">
      <w:pPr>
        <w:jc w:val="both"/>
        <w:rPr>
          <w:rFonts w:ascii="Arial" w:eastAsia="Arial" w:hAnsi="Arial" w:cs="Arial"/>
          <w:color w:val="373737" w:themeColor="background1" w:themeShade="40"/>
          <w:spacing w:val="-4"/>
          <w:sz w:val="18"/>
          <w:szCs w:val="20"/>
        </w:rPr>
      </w:pPr>
      <w:r w:rsidRPr="00804018">
        <w:rPr>
          <w:rFonts w:ascii="Arial" w:hAnsi="Arial"/>
          <w:color w:val="373737" w:themeColor="background1" w:themeShade="40"/>
          <w:spacing w:val="-4"/>
          <w:sz w:val="18"/>
        </w:rPr>
        <w:t>Заинтересован</w:t>
      </w:r>
      <w:r w:rsidR="00EE0FDE">
        <w:rPr>
          <w:rFonts w:ascii="Arial" w:hAnsi="Arial"/>
          <w:color w:val="373737" w:themeColor="background1" w:themeShade="40"/>
          <w:spacing w:val="-4"/>
          <w:sz w:val="18"/>
        </w:rPr>
        <w:t>а</w:t>
      </w:r>
      <w:r w:rsidRPr="00804018">
        <w:rPr>
          <w:rFonts w:ascii="Arial" w:hAnsi="Arial"/>
          <w:color w:val="373737" w:themeColor="background1" w:themeShade="40"/>
          <w:spacing w:val="-4"/>
          <w:sz w:val="18"/>
        </w:rPr>
        <w:t xml:space="preserve"> </w:t>
      </w:r>
      <w:r w:rsidR="009F6E40">
        <w:rPr>
          <w:rFonts w:ascii="Arial" w:hAnsi="Arial"/>
          <w:color w:val="373737" w:themeColor="background1" w:themeShade="40"/>
          <w:spacing w:val="-4"/>
          <w:sz w:val="18"/>
        </w:rPr>
        <w:t>страна</w:t>
      </w:r>
      <w:r w:rsidRPr="00804018">
        <w:rPr>
          <w:rFonts w:ascii="Arial" w:hAnsi="Arial"/>
          <w:color w:val="373737" w:themeColor="background1" w:themeShade="40"/>
          <w:spacing w:val="-4"/>
          <w:sz w:val="18"/>
        </w:rPr>
        <w:t xml:space="preserve"> е всяко физическо или юридическо лице, което е подложено на въздействието на дадена интервенция на ЕС, засегнато е от нея или по друг начин е свързано с нея. </w:t>
      </w:r>
    </w:p>
    <w:p w:rsidR="00E20791" w:rsidRPr="00FB01AA" w:rsidRDefault="00FC3448" w:rsidP="00FC3448">
      <w:pPr>
        <w:rPr>
          <w:rFonts w:ascii="Arial" w:eastAsia="Arial" w:hAnsi="Arial" w:cs="Arial"/>
          <w:b/>
          <w:color w:val="57825E"/>
          <w:sz w:val="18"/>
          <w:szCs w:val="20"/>
        </w:rPr>
      </w:pPr>
      <w:r>
        <w:rPr>
          <w:rFonts w:ascii="Arial" w:hAnsi="Arial"/>
          <w:b/>
          <w:color w:val="57825E"/>
          <w:sz w:val="18"/>
        </w:rPr>
        <w:br w:type="column"/>
      </w:r>
      <w:r w:rsidR="00E20791" w:rsidRPr="00FB01AA">
        <w:rPr>
          <w:rFonts w:ascii="Arial" w:hAnsi="Arial"/>
          <w:b/>
          <w:color w:val="57825E"/>
          <w:sz w:val="18"/>
        </w:rPr>
        <w:t xml:space="preserve">Взаимодействие </w:t>
      </w:r>
    </w:p>
    <w:p w:rsidR="00E20791" w:rsidRPr="00FB01AA" w:rsidRDefault="00E20791" w:rsidP="00FC3448">
      <w:pPr>
        <w:jc w:val="both"/>
        <w:rPr>
          <w:rFonts w:ascii="Arial" w:eastAsia="Arial" w:hAnsi="Arial" w:cs="Arial"/>
          <w:color w:val="373737" w:themeColor="background1" w:themeShade="40"/>
          <w:sz w:val="18"/>
          <w:szCs w:val="20"/>
        </w:rPr>
      </w:pPr>
      <w:r w:rsidRPr="00FB01AA">
        <w:rPr>
          <w:rFonts w:ascii="Arial" w:hAnsi="Arial"/>
          <w:color w:val="373737" w:themeColor="background1" w:themeShade="40"/>
          <w:sz w:val="18"/>
        </w:rPr>
        <w:t>Фактът, че няколко публични интервенции (или няколко компонента на дадена интервенция), взети заедно, оказват въздействие, което е по-голямо от сумата на въздействията, които те биха предизвикали самостоятелно (напр. интервенция за финансиране на разширяването на летище, която на свой ред помага за запълване на туристическите съоръжения, самите те финансирани от интервенцията). Взаимодействието обикновено се отнася до положителните ефекти. Могат обаче да се посочат и явления, които засилват отрицателните ефекти, отрицателните или обратните взаимодействия (например дадена интервенция субсидира диверсификацията на предприятията, докато регионалната политика помага за укрепването на доминиращата дейност).</w:t>
      </w:r>
    </w:p>
    <w:p w:rsidR="00E20791" w:rsidRPr="00FB01AA" w:rsidRDefault="00E20791" w:rsidP="00FC3448">
      <w:pPr>
        <w:spacing w:before="240"/>
        <w:rPr>
          <w:rFonts w:ascii="Arial" w:eastAsia="Arial" w:hAnsi="Arial" w:cs="Arial"/>
          <w:b/>
          <w:color w:val="57825E"/>
          <w:sz w:val="18"/>
          <w:szCs w:val="20"/>
        </w:rPr>
      </w:pPr>
      <w:r w:rsidRPr="00FB01AA">
        <w:rPr>
          <w:rFonts w:ascii="Arial" w:hAnsi="Arial"/>
          <w:b/>
          <w:color w:val="57825E"/>
          <w:sz w:val="18"/>
        </w:rPr>
        <w:t>Целеви показател</w:t>
      </w:r>
    </w:p>
    <w:p w:rsidR="00804018" w:rsidRDefault="00E20791" w:rsidP="00FC3448">
      <w:pPr>
        <w:jc w:val="both"/>
        <w:rPr>
          <w:rFonts w:ascii="Arial" w:hAnsi="Arial"/>
          <w:color w:val="373737" w:themeColor="background1" w:themeShade="40"/>
          <w:sz w:val="18"/>
        </w:rPr>
      </w:pPr>
      <w:r w:rsidRPr="00FB01AA">
        <w:rPr>
          <w:rFonts w:ascii="Arial" w:hAnsi="Arial"/>
          <w:color w:val="373737" w:themeColor="background1" w:themeShade="40"/>
          <w:sz w:val="18"/>
        </w:rPr>
        <w:t xml:space="preserve">За всяка област с поставен акцент, избрана измежду шестте приоритета за развитие на селските райони, се определят количествено измерими целеви показатели на общностно равнище. Целевите показатели следва да бъдат свързани възможно най-пряко с интервенциите по програмите за развитие на селските райони, като по този начин се сведе до минимум въздействието на външните фактори. Тези показатели следва да могат да бъдат наблюдавани лесно и редовно, като по този начин се сведат до минимум изискванията за данни, налагани на бенефициерите и администрациите, тъй като стойностите на тези показатели ще се наблюдават редовно през целия жизнен цикъл на всяка програма за развитие на селските райони. По възможност следва да се използват вече установени показатели и методи. В по-голямата си част целевите показатели са на равнище резултати, с изключение на приоритет 1, който е хоризонтален и чиито резултати се установяват посредством крайните </w:t>
      </w:r>
      <w:r w:rsidR="000B7009">
        <w:rPr>
          <w:rFonts w:ascii="Arial" w:hAnsi="Arial"/>
          <w:color w:val="373737" w:themeColor="background1" w:themeShade="40"/>
          <w:sz w:val="18"/>
        </w:rPr>
        <w:t>резултати</w:t>
      </w:r>
      <w:r w:rsidRPr="00FB01AA">
        <w:rPr>
          <w:rFonts w:ascii="Arial" w:hAnsi="Arial"/>
          <w:color w:val="373737" w:themeColor="background1" w:themeShade="40"/>
          <w:sz w:val="18"/>
        </w:rPr>
        <w:t xml:space="preserve"> </w:t>
      </w:r>
      <w:r w:rsidR="000B7009">
        <w:rPr>
          <w:rFonts w:ascii="Arial" w:hAnsi="Arial"/>
          <w:color w:val="373737" w:themeColor="background1" w:themeShade="40"/>
          <w:sz w:val="18"/>
        </w:rPr>
        <w:t>от</w:t>
      </w:r>
      <w:r w:rsidRPr="00FB01AA">
        <w:rPr>
          <w:rFonts w:ascii="Arial" w:hAnsi="Arial"/>
          <w:color w:val="373737" w:themeColor="background1" w:themeShade="40"/>
          <w:sz w:val="18"/>
        </w:rPr>
        <w:t xml:space="preserve"> други приоритети. За областите с поставен акцент в рамките на този приоритет целевите показатели се определят на равнище краен продукт.</w:t>
      </w:r>
    </w:p>
    <w:p w:rsidR="00E20791" w:rsidRPr="00FB01AA" w:rsidRDefault="00E20791" w:rsidP="00804018">
      <w:pPr>
        <w:jc w:val="both"/>
        <w:rPr>
          <w:sz w:val="28"/>
        </w:rPr>
      </w:pPr>
    </w:p>
    <w:p w:rsidR="00E20791" w:rsidRPr="00FB01AA" w:rsidRDefault="00E20791" w:rsidP="00804018">
      <w:pPr>
        <w:spacing w:after="0"/>
        <w:rPr>
          <w:sz w:val="28"/>
        </w:rPr>
        <w:sectPr w:rsidR="00E20791" w:rsidRPr="00FB01AA" w:rsidSect="00E20791">
          <w:headerReference w:type="default" r:id="rId75"/>
          <w:type w:val="continuous"/>
          <w:pgSz w:w="11906" w:h="16838"/>
          <w:pgMar w:top="1418" w:right="1418" w:bottom="1418" w:left="1418" w:header="709" w:footer="709" w:gutter="0"/>
          <w:cols w:num="2" w:space="397"/>
          <w:docGrid w:linePitch="360"/>
        </w:sectPr>
      </w:pPr>
    </w:p>
    <w:p w:rsidR="001C214D" w:rsidRPr="00FB01AA" w:rsidRDefault="00C82478" w:rsidP="00804018">
      <w:pPr>
        <w:spacing w:after="0"/>
        <w:rPr>
          <w:sz w:val="28"/>
        </w:rPr>
      </w:pPr>
      <w:r w:rsidRPr="00FB01AA">
        <w:rPr>
          <w:sz w:val="28"/>
        </w:rPr>
        <w:br w:type="page"/>
      </w:r>
      <w:r w:rsidRPr="00FB01AA">
        <w:rPr>
          <w:sz w:val="28"/>
        </w:rPr>
        <w:lastRenderedPageBreak/>
        <w:br w:type="page"/>
      </w:r>
    </w:p>
    <w:p w:rsidR="00206F2D" w:rsidRPr="00FB01AA" w:rsidRDefault="00206F2D">
      <w:pPr>
        <w:rPr>
          <w:sz w:val="28"/>
        </w:rPr>
      </w:pPr>
      <w:bookmarkStart w:id="192" w:name="_GoBack"/>
      <w:bookmarkEnd w:id="192"/>
    </w:p>
    <w:sectPr w:rsidR="00206F2D" w:rsidRPr="00FB01AA"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3A21" w:rsidRDefault="00763A21" w:rsidP="00D46DC0">
      <w:pPr>
        <w:spacing w:after="0" w:line="240" w:lineRule="auto"/>
      </w:pPr>
      <w:r>
        <w:separator/>
      </w:r>
    </w:p>
  </w:endnote>
  <w:endnote w:type="continuationSeparator" w:id="0">
    <w:p w:rsidR="00763A21" w:rsidRDefault="00763A21"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Helvetica LT Pro">
    <w:panose1 w:val="020B0704020202030204"/>
    <w:charset w:val="00"/>
    <w:family w:val="swiss"/>
    <w:pitch w:val="variable"/>
    <w:sig w:usb0="A00002AF" w:usb1="5000204A" w:usb2="00000000" w:usb3="00000000" w:csb0="00000097"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DBF" w:rsidRDefault="00D21DBF" w:rsidP="00D46DC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21DBF" w:rsidRDefault="00D21DBF" w:rsidP="00D46DC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59317983"/>
      <w:docPartObj>
        <w:docPartGallery w:val="Page Numbers (Bottom of Page)"/>
        <w:docPartUnique/>
      </w:docPartObj>
    </w:sdtPr>
    <w:sdtEndPr>
      <w:rPr>
        <w:rFonts w:ascii="Arial" w:hAnsi="Arial" w:cs="Arial"/>
        <w:sz w:val="18"/>
        <w:szCs w:val="18"/>
      </w:rPr>
    </w:sdtEndPr>
    <w:sdtContent>
      <w:p w:rsidR="00D21DBF" w:rsidRPr="00292DA9" w:rsidRDefault="00D21DBF" w:rsidP="00D46DC0">
        <w:pPr>
          <w:pStyle w:val="Footer"/>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7B761D">
          <w:rPr>
            <w:rFonts w:ascii="Arial" w:hAnsi="Arial" w:cs="Arial"/>
            <w:noProof/>
            <w:sz w:val="18"/>
            <w:szCs w:val="18"/>
          </w:rPr>
          <w:t>89</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88941060"/>
      <w:docPartObj>
        <w:docPartGallery w:val="Page Numbers (Bottom of Page)"/>
        <w:docPartUnique/>
      </w:docPartObj>
    </w:sdtPr>
    <w:sdtEndPr/>
    <w:sdtContent>
      <w:p w:rsidR="00D21DBF" w:rsidRDefault="00763A21" w:rsidP="00D46DC0">
        <w:pPr>
          <w:pStyle w:val="Footer"/>
          <w:tabs>
            <w:tab w:val="left" w:pos="7822"/>
            <w:tab w:val="right" w:pos="9027"/>
          </w:tabs>
          <w:jc w:val="cente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3A21" w:rsidRPr="003822BB" w:rsidRDefault="00763A21" w:rsidP="00D46DC0">
      <w:pPr>
        <w:spacing w:after="0" w:line="240" w:lineRule="auto"/>
        <w:rPr>
          <w:color w:val="F07E31" w:themeColor="background2"/>
        </w:rPr>
      </w:pPr>
      <w:r>
        <w:rPr>
          <w:color w:val="F07E31" w:themeColor="background2"/>
        </w:rPr>
        <w:separator/>
      </w:r>
    </w:p>
  </w:footnote>
  <w:footnote w:type="continuationSeparator" w:id="0">
    <w:p w:rsidR="00763A21" w:rsidRDefault="00763A21" w:rsidP="00D46DC0">
      <w:pPr>
        <w:spacing w:after="0" w:line="240" w:lineRule="auto"/>
      </w:pPr>
      <w:r>
        <w:continuationSeparator/>
      </w:r>
    </w:p>
  </w:footnote>
  <w:footnote w:id="1">
    <w:p w:rsidR="00D21DBF" w:rsidRPr="008B3FC7" w:rsidRDefault="00D21DBF" w:rsidP="00D46DC0">
      <w:pPr>
        <w:pStyle w:val="FootnoteText"/>
        <w:rPr>
          <w:lang w:val="ru-RU"/>
        </w:rPr>
      </w:pPr>
      <w:r>
        <w:rPr>
          <w:rStyle w:val="FootnoteReference"/>
        </w:rPr>
        <w:footnoteRef/>
      </w:r>
      <w:r>
        <w:t xml:space="preserve"> Необходимостта от предоставяне на повече методически насоки за LEADER/ВОМР е залегнала и в правната рамка, а именно в </w:t>
      </w:r>
      <w:r w:rsidRPr="00622585">
        <w:t xml:space="preserve">точка </w:t>
      </w:r>
      <w:r>
        <w:t>1</w:t>
      </w:r>
      <w:r w:rsidRPr="00622585">
        <w:t xml:space="preserve"> </w:t>
      </w:r>
      <w:r>
        <w:t xml:space="preserve">от приложение VI към Регламент за изпълнение (ЕС) № 808/2014 на Комисията. </w:t>
      </w:r>
    </w:p>
  </w:footnote>
  <w:footnote w:id="2">
    <w:p w:rsidR="00D21DBF" w:rsidRPr="008B3FC7" w:rsidRDefault="00D21DBF" w:rsidP="00D46DC0">
      <w:pPr>
        <w:pStyle w:val="FootnoteText"/>
        <w:rPr>
          <w:lang w:val="ru-RU"/>
        </w:rPr>
      </w:pPr>
      <w:r>
        <w:rPr>
          <w:rStyle w:val="FootnoteReference"/>
        </w:rPr>
        <w:footnoteRef/>
      </w:r>
      <w:r>
        <w:t xml:space="preserve"> В група</w:t>
      </w:r>
      <w:r w:rsidRPr="00251DF4">
        <w:rPr>
          <w:lang w:val="ru-RU"/>
        </w:rPr>
        <w:t>та за отзвук</w:t>
      </w:r>
      <w:r>
        <w:t xml:space="preserve"> към тематичната работна група относно „Насоките за оценка на LEADER/ВОМР“ участваха и представители на ГД „Земеделие и развитие на селските райони“, ГД „Морско дело и рибарство“, експертната група за мониторинг и оценка на ОСП за периода 2014—2020 г. и звеното за контакт на ЕМРСР. </w:t>
      </w:r>
    </w:p>
  </w:footnote>
  <w:footnote w:id="3">
    <w:p w:rsidR="00D21DBF" w:rsidRPr="003231BD" w:rsidRDefault="00D21DBF" w:rsidP="00D46DC0">
      <w:pPr>
        <w:pStyle w:val="FootnoteText"/>
        <w:rPr>
          <w:lang w:val="sk-SK"/>
        </w:rPr>
      </w:pPr>
      <w:r>
        <w:rPr>
          <w:rStyle w:val="FootnoteReference"/>
        </w:rPr>
        <w:footnoteRef/>
      </w:r>
      <w:r>
        <w:t xml:space="preserve"> Член 32, параграф 2 от Регламент (ЕС) № 1303/2013.</w:t>
      </w:r>
    </w:p>
  </w:footnote>
  <w:footnote w:id="4">
    <w:p w:rsidR="00D21DBF" w:rsidRPr="003231BD" w:rsidRDefault="00D21DBF" w:rsidP="00370643">
      <w:pPr>
        <w:pStyle w:val="FootnoteText"/>
        <w:jc w:val="both"/>
        <w:rPr>
          <w:lang w:val="sk-SK"/>
        </w:rPr>
      </w:pPr>
      <w:r>
        <w:rPr>
          <w:rStyle w:val="FootnoteReference"/>
        </w:rPr>
        <w:footnoteRef/>
      </w:r>
      <w:r>
        <w:t xml:space="preserve"> Като се имат предвид възможностите, предоставени от правната рамка, и по-специално посочените в членове 67, 68 и 69 от Регламент (ЕС) № 1303/2013.</w:t>
      </w:r>
    </w:p>
  </w:footnote>
  <w:footnote w:id="5">
    <w:p w:rsidR="00D21DBF" w:rsidRPr="008B3FC7" w:rsidRDefault="00D21DBF" w:rsidP="00D46DC0">
      <w:pPr>
        <w:pStyle w:val="FootnoteText"/>
        <w:rPr>
          <w:lang w:val="ru-RU"/>
        </w:rPr>
      </w:pPr>
      <w:r>
        <w:rPr>
          <w:rStyle w:val="FootnoteReference"/>
        </w:rPr>
        <w:footnoteRef/>
      </w:r>
      <w:r>
        <w:t xml:space="preserve"> Заедно с интегрираните териториални инвестиции на ЕФРР, ЕСФ, ЕЗФРСР, ЕФМДР и Кохезионния фонд. Член 36 от Регламент (ЕС) № 1303/2013. </w:t>
      </w:r>
    </w:p>
  </w:footnote>
  <w:footnote w:id="6">
    <w:p w:rsidR="00D21DBF" w:rsidRPr="003231BD" w:rsidRDefault="00D21DBF" w:rsidP="00D46DC0">
      <w:pPr>
        <w:pStyle w:val="FootnoteText"/>
      </w:pPr>
      <w:r>
        <w:rPr>
          <w:rStyle w:val="FootnoteReference"/>
        </w:rPr>
        <w:footnoteRef/>
      </w:r>
      <w:r>
        <w:t xml:space="preserve"> Работен документ на службите на Комисията: Елементи на общата стратегическа рамка на ЕФРР, ЕСФ, Кохезионния фонд, ЕЗФРСР и ЕФМДР. </w:t>
      </w:r>
    </w:p>
  </w:footnote>
  <w:footnote w:id="7">
    <w:p w:rsidR="00D21DBF" w:rsidRPr="003231BD" w:rsidRDefault="00D21DBF" w:rsidP="00D46DC0">
      <w:pPr>
        <w:pStyle w:val="FootnoteText"/>
        <w:rPr>
          <w:lang w:val="sk-SK"/>
        </w:rPr>
      </w:pPr>
      <w:r>
        <w:rPr>
          <w:rStyle w:val="FootnoteReference"/>
        </w:rPr>
        <w:footnoteRef/>
      </w:r>
      <w:r>
        <w:t xml:space="preserve"> Член 32, параграф 1 и член 32, параграф 2 от Регламент (ЕС) № 1303/2013.</w:t>
      </w:r>
    </w:p>
  </w:footnote>
  <w:footnote w:id="8">
    <w:p w:rsidR="00D21DBF" w:rsidRPr="008B3FC7" w:rsidRDefault="00D21DBF" w:rsidP="00D46DC0">
      <w:pPr>
        <w:pStyle w:val="FootnoteText"/>
        <w:rPr>
          <w:lang w:val="ru-RU"/>
        </w:rPr>
      </w:pPr>
      <w:r>
        <w:rPr>
          <w:rStyle w:val="FootnoteReference"/>
        </w:rPr>
        <w:footnoteRef/>
      </w:r>
      <w:r>
        <w:t xml:space="preserve"> Член 34, параграф 3, буква ж) от Регламент (ЕС) № 1303/2013.</w:t>
      </w:r>
    </w:p>
  </w:footnote>
  <w:footnote w:id="9">
    <w:p w:rsidR="00D21DBF" w:rsidRPr="003231BD" w:rsidRDefault="00D21DBF" w:rsidP="00D46DC0">
      <w:pPr>
        <w:pStyle w:val="FootnoteText"/>
        <w:rPr>
          <w:lang w:val="sk-SK"/>
        </w:rPr>
      </w:pPr>
      <w:r>
        <w:rPr>
          <w:rStyle w:val="FootnoteReference"/>
        </w:rPr>
        <w:footnoteRef/>
      </w:r>
      <w:r>
        <w:t xml:space="preserve"> Член 33, параграф 1, буква е) от Регламент (ЕС) № 1303/2013.</w:t>
      </w:r>
    </w:p>
  </w:footnote>
  <w:footnote w:id="10">
    <w:p w:rsidR="00D21DBF" w:rsidRPr="003231BD" w:rsidRDefault="00D21DBF" w:rsidP="00D46DC0">
      <w:pPr>
        <w:pStyle w:val="FootnoteText"/>
        <w:rPr>
          <w:lang w:val="sk-SK"/>
        </w:rPr>
      </w:pPr>
      <w:r>
        <w:rPr>
          <w:rStyle w:val="FootnoteReference"/>
        </w:rPr>
        <w:footnoteRef/>
      </w:r>
      <w:r>
        <w:t xml:space="preserve"> Член 35, параграф 1, буква г) от Регламент (ЕС) № 1303/2013. </w:t>
      </w:r>
    </w:p>
  </w:footnote>
  <w:footnote w:id="11">
    <w:p w:rsidR="00D21DBF" w:rsidRPr="003231BD" w:rsidRDefault="00D21DBF" w:rsidP="00D46DC0">
      <w:pPr>
        <w:pStyle w:val="FootnoteText"/>
        <w:rPr>
          <w:lang w:val="sk-SK"/>
        </w:rPr>
      </w:pPr>
      <w:r>
        <w:rPr>
          <w:rStyle w:val="FootnoteReference"/>
        </w:rPr>
        <w:footnoteRef/>
      </w:r>
      <w:r>
        <w:t xml:space="preserve"> Част I, точка 9, параграф 3, букви a) и б) от приложение I към Регламент (ЕС) № 808/2014.</w:t>
      </w:r>
    </w:p>
  </w:footnote>
  <w:footnote w:id="12">
    <w:p w:rsidR="00D21DBF" w:rsidRPr="003231BD" w:rsidRDefault="00D21DBF" w:rsidP="00D46DC0">
      <w:pPr>
        <w:pStyle w:val="FootnoteText"/>
        <w:rPr>
          <w:lang w:val="sk-SK"/>
        </w:rPr>
      </w:pPr>
      <w:r>
        <w:rPr>
          <w:rStyle w:val="FootnoteReference"/>
        </w:rPr>
        <w:footnoteRef/>
      </w:r>
      <w:r>
        <w:t xml:space="preserve"> Точка 7 от приложение VII към Регламент (ЕС) № 808/2014.</w:t>
      </w:r>
    </w:p>
  </w:footnote>
  <w:footnote w:id="13">
    <w:p w:rsidR="00D21DBF" w:rsidRPr="003231BD" w:rsidRDefault="00D21DBF" w:rsidP="00D46DC0">
      <w:pPr>
        <w:pStyle w:val="FootnoteText"/>
        <w:rPr>
          <w:lang w:val="sk-SK"/>
        </w:rPr>
      </w:pPr>
      <w:r>
        <w:rPr>
          <w:rStyle w:val="FootnoteReference"/>
        </w:rPr>
        <w:footnoteRef/>
      </w:r>
      <w:r>
        <w:t xml:space="preserve"> Член 14 от Регламент (ЕС) № 808/2014.</w:t>
      </w:r>
    </w:p>
  </w:footnote>
  <w:footnote w:id="14">
    <w:p w:rsidR="00D21DBF" w:rsidRPr="003231BD" w:rsidRDefault="00D21DBF" w:rsidP="00D46DC0">
      <w:pPr>
        <w:pStyle w:val="FootnoteText"/>
        <w:rPr>
          <w:lang w:val="sk-SK"/>
        </w:rPr>
      </w:pPr>
      <w:r>
        <w:rPr>
          <w:rStyle w:val="FootnoteReference"/>
        </w:rPr>
        <w:footnoteRef/>
      </w:r>
      <w:r>
        <w:t xml:space="preserve"> Член 67 от Регламент (ЕС) № 1305/2013.</w:t>
      </w:r>
    </w:p>
  </w:footnote>
  <w:footnote w:id="15">
    <w:p w:rsidR="00D21DBF" w:rsidRPr="002334F6" w:rsidRDefault="00D21DBF">
      <w:pPr>
        <w:pStyle w:val="FootnoteText"/>
        <w:rPr>
          <w:lang w:val="sk-SK"/>
        </w:rPr>
      </w:pPr>
      <w:r>
        <w:rPr>
          <w:rStyle w:val="FootnoteReference"/>
        </w:rPr>
        <w:footnoteRef/>
      </w:r>
      <w:r>
        <w:t xml:space="preserve"> http://ec.europa.eu/transparency/regexpert/index.cfm?do=groupDetail.groupDetailDoc&amp;id=21095&amp;no=3</w:t>
      </w:r>
    </w:p>
  </w:footnote>
  <w:footnote w:id="16">
    <w:p w:rsidR="00D21DBF" w:rsidRPr="003231BD" w:rsidRDefault="00D21DBF" w:rsidP="00D46DC0">
      <w:pPr>
        <w:pStyle w:val="FootnoteText"/>
        <w:rPr>
          <w:lang w:val="sk-SK"/>
        </w:rPr>
      </w:pPr>
      <w:r>
        <w:rPr>
          <w:rStyle w:val="FootnoteReference"/>
        </w:rPr>
        <w:footnoteRef/>
      </w:r>
      <w:r>
        <w:t xml:space="preserve"> </w:t>
      </w:r>
      <w:hyperlink r:id="rId1">
        <w:r>
          <w:rPr>
            <w:rStyle w:val="Hyperlink"/>
          </w:rPr>
          <w:t>http://ec.europa.eu/agriculture/cap-post-2013/monitoring-evaluation/index_en.htm</w:t>
        </w:r>
      </w:hyperlink>
      <w:r>
        <w:t xml:space="preserve"> и </w:t>
      </w:r>
      <w:hyperlink r:id="rId2">
        <w:r>
          <w:rPr>
            <w:rStyle w:val="Hyperlink"/>
          </w:rPr>
          <w:t>http://enrd.ec.europa.eu/evaluation/european-evaluation-helpdesk-rural-development/evaluation-helpdesks-publications/guidance</w:t>
        </w:r>
      </w:hyperlink>
      <w:r>
        <w:t xml:space="preserve"> </w:t>
      </w:r>
    </w:p>
  </w:footnote>
  <w:footnote w:id="17">
    <w:p w:rsidR="00D21DBF" w:rsidRPr="003231BD" w:rsidRDefault="00D21DBF" w:rsidP="00D46DC0">
      <w:pPr>
        <w:pStyle w:val="FootnoteText"/>
        <w:rPr>
          <w:lang w:val="sk-SK"/>
        </w:rPr>
      </w:pPr>
      <w:r>
        <w:rPr>
          <w:rStyle w:val="FootnoteReference"/>
        </w:rPr>
        <w:footnoteRef/>
      </w:r>
      <w:r>
        <w:t xml:space="preserve"> Работен документ: Насоки за стратегическо планиране за периода 2014—2020 г.</w:t>
      </w:r>
    </w:p>
  </w:footnote>
  <w:footnote w:id="18">
    <w:p w:rsidR="00D21DBF" w:rsidRPr="003231BD" w:rsidRDefault="00D21DBF" w:rsidP="00D46DC0">
      <w:pPr>
        <w:pStyle w:val="FootnoteText"/>
        <w:rPr>
          <w:lang w:val="sk-SK"/>
        </w:rPr>
      </w:pPr>
      <w:r>
        <w:rPr>
          <w:rStyle w:val="FootnoteReference"/>
        </w:rPr>
        <w:footnoteRef/>
      </w:r>
      <w:r>
        <w:t xml:space="preserve"> Приложение IV към Регламент (ЕС) № 808/2014 и приложение 11 към „Насоки за оценка на резултатите от ПРСР“.</w:t>
      </w:r>
    </w:p>
  </w:footnote>
  <w:footnote w:id="19">
    <w:p w:rsidR="00D21DBF" w:rsidRPr="003231BD" w:rsidRDefault="00D21DBF" w:rsidP="00D46DC0">
      <w:pPr>
        <w:pStyle w:val="FootnoteText"/>
        <w:rPr>
          <w:lang w:val="sk-SK"/>
        </w:rPr>
      </w:pPr>
      <w:r>
        <w:rPr>
          <w:rStyle w:val="FootnoteReference"/>
        </w:rPr>
        <w:footnoteRef/>
      </w:r>
      <w:r>
        <w:t xml:space="preserve"> Приложение V към Регламент (ЕС) № 808/2014.</w:t>
      </w:r>
    </w:p>
  </w:footnote>
  <w:footnote w:id="20">
    <w:p w:rsidR="00D21DBF" w:rsidRPr="003231BD" w:rsidRDefault="00D21DBF" w:rsidP="00D46DC0">
      <w:pPr>
        <w:pStyle w:val="FootnoteText"/>
        <w:rPr>
          <w:lang w:val="sk-SK"/>
        </w:rPr>
      </w:pPr>
      <w:r>
        <w:rPr>
          <w:rStyle w:val="FootnoteReference"/>
        </w:rPr>
        <w:footnoteRef/>
      </w:r>
      <w:r>
        <w:t xml:space="preserve"> Членове 70 и 71 от Регламент (ЕС) № 1305/2013.</w:t>
      </w:r>
    </w:p>
  </w:footnote>
  <w:footnote w:id="21">
    <w:p w:rsidR="00D21DBF" w:rsidRPr="003231BD" w:rsidRDefault="00D21DBF" w:rsidP="00D46DC0">
      <w:pPr>
        <w:pStyle w:val="FootnoteText"/>
        <w:rPr>
          <w:lang w:val="sk-SK"/>
        </w:rPr>
      </w:pPr>
      <w:r>
        <w:rPr>
          <w:rStyle w:val="FootnoteReference"/>
        </w:rPr>
        <w:footnoteRef/>
      </w:r>
      <w:r>
        <w:t xml:space="preserve"> </w:t>
      </w:r>
      <w:hyperlink r:id="rId3">
        <w:r>
          <w:rPr>
            <w:rStyle w:val="Hyperlink"/>
          </w:rPr>
          <w:t>http://enrd.ec.europa.eu/evaluation/european-evaluation-helpdesk-rural-development/evaluation-helpdesks-publications_en?2nd-language=fr</w:t>
        </w:r>
      </w:hyperlink>
    </w:p>
  </w:footnote>
  <w:footnote w:id="22">
    <w:p w:rsidR="00D21DBF" w:rsidRPr="003231BD" w:rsidRDefault="00D21DBF" w:rsidP="00F107B3">
      <w:pPr>
        <w:pStyle w:val="FootnoteText"/>
        <w:rPr>
          <w:lang w:val="sk-SK"/>
        </w:rPr>
      </w:pPr>
      <w:r>
        <w:rPr>
          <w:rStyle w:val="FootnoteReference"/>
        </w:rPr>
        <w:footnoteRef/>
      </w:r>
      <w:r>
        <w:t xml:space="preserve"> ПРСР в Англия, Обединено кралство, е планирала LEADER/ВОМР във връзка с ОПА 6А.</w:t>
      </w:r>
    </w:p>
  </w:footnote>
  <w:footnote w:id="23">
    <w:p w:rsidR="00D21DBF" w:rsidRPr="003231BD" w:rsidRDefault="00D21DBF" w:rsidP="00F107B3">
      <w:pPr>
        <w:pStyle w:val="FootnoteText"/>
        <w:rPr>
          <w:lang w:val="sk-SK"/>
        </w:rPr>
      </w:pPr>
      <w:r>
        <w:rPr>
          <w:rStyle w:val="FootnoteReference"/>
        </w:rPr>
        <w:footnoteRef/>
      </w:r>
      <w:r>
        <w:t xml:space="preserve"> Член 35, параграф 1 от Регламент (ЕС) № 1303/2013.</w:t>
      </w:r>
    </w:p>
  </w:footnote>
  <w:footnote w:id="24">
    <w:p w:rsidR="00D21DBF" w:rsidRPr="003231BD" w:rsidRDefault="00D21DBF" w:rsidP="00D46DC0">
      <w:pPr>
        <w:pStyle w:val="FootnoteText"/>
        <w:jc w:val="both"/>
      </w:pPr>
      <w:r>
        <w:rPr>
          <w:rStyle w:val="FootnoteReference"/>
        </w:rPr>
        <w:footnoteRef/>
      </w:r>
      <w:r>
        <w:t xml:space="preserve"> Тази оценка е свързана с докладването за оценката в ГДИ съгласно точка 7 от приложение VII към Регламент (ЕС) № 808/2014, за ГДИ, подадени през 2017 г. и 2019 г. </w:t>
      </w:r>
    </w:p>
  </w:footnote>
  <w:footnote w:id="25">
    <w:p w:rsidR="00D21DBF" w:rsidRPr="008B3FC7" w:rsidRDefault="00D21DBF" w:rsidP="00D46DC0">
      <w:pPr>
        <w:pStyle w:val="FootnoteText"/>
        <w:rPr>
          <w:lang w:val="ru-RU"/>
        </w:rPr>
      </w:pPr>
      <w:r>
        <w:rPr>
          <w:rStyle w:val="FootnoteReference"/>
        </w:rPr>
        <w:footnoteRef/>
      </w:r>
      <w:r>
        <w:t xml:space="preserve"> В случай че в дадена ПРСР има много проекти за транснационално/трансрегионално (за регионалните програми) сътрудничество по LEADER/ВОМР, се препоръчва да се планира и извърши специфична оценка на сътрудничеството по LEADER/ВОМР на програмно равнище. </w:t>
      </w:r>
    </w:p>
  </w:footnote>
  <w:footnote w:id="26">
    <w:p w:rsidR="00D21DBF" w:rsidRPr="003231BD" w:rsidRDefault="00D21DBF">
      <w:pPr>
        <w:pStyle w:val="FootnoteText"/>
        <w:rPr>
          <w:lang w:val="sk-SK"/>
        </w:rPr>
      </w:pPr>
      <w:r>
        <w:rPr>
          <w:rStyle w:val="FootnoteReference"/>
        </w:rPr>
        <w:footnoteRef/>
      </w:r>
      <w:r>
        <w:t xml:space="preserve"> „Насоки за оценка на резултатите от ПРСР: как да се подготвите за докладване на оценката през 2017 г.“, http://enrd.ec.europa.eu/evaluation/publications/guidelines-assessment-rdp-results-how-prepare-reporting-evaluation-2017 </w:t>
      </w:r>
    </w:p>
  </w:footnote>
  <w:footnote w:id="27">
    <w:p w:rsidR="00D21DBF" w:rsidRPr="003231BD" w:rsidRDefault="00D21DBF" w:rsidP="00FB31E6">
      <w:pPr>
        <w:pStyle w:val="FootnoteText"/>
        <w:rPr>
          <w:lang w:val="sk-SK"/>
        </w:rPr>
      </w:pPr>
      <w:r>
        <w:rPr>
          <w:rStyle w:val="FootnoteReference"/>
        </w:rPr>
        <w:footnoteRef/>
      </w:r>
      <w:r>
        <w:t xml:space="preserve"> Членове 33—34 от Регламент (ЕС) № 1303/2013.</w:t>
      </w:r>
    </w:p>
  </w:footnote>
  <w:footnote w:id="28">
    <w:p w:rsidR="00D21DBF" w:rsidRPr="003231BD" w:rsidRDefault="00D21DBF" w:rsidP="00370643">
      <w:pPr>
        <w:pStyle w:val="FootnoteText"/>
        <w:jc w:val="both"/>
      </w:pPr>
      <w:r>
        <w:rPr>
          <w:rStyle w:val="FootnoteReference"/>
        </w:rPr>
        <w:footnoteRef/>
      </w:r>
      <w:r>
        <w:t xml:space="preserve"> ГД „Земеделие и развитие на селските райони“, Мониторинг на развитието на селските райони (2014—2020 г.), Работен документ, предназначен за Комитета за развитие на селските райони, август 2014 г. </w:t>
      </w:r>
      <w:hyperlink r:id="rId4">
        <w:r>
          <w:rPr>
            <w:rStyle w:val="Hyperlink"/>
          </w:rPr>
          <w:t>http://ec.europa.eu/agriculture/cap-indicators/output/working-document-rd-monitoring-implementation-report-tables_en.pdf</w:t>
        </w:r>
      </w:hyperlink>
      <w:r>
        <w:t xml:space="preserve"> </w:t>
      </w:r>
    </w:p>
  </w:footnote>
  <w:footnote w:id="29">
    <w:p w:rsidR="00D21DBF" w:rsidRPr="00C11551" w:rsidRDefault="00D21DBF">
      <w:pPr>
        <w:pStyle w:val="FootnoteText"/>
      </w:pPr>
      <w:r>
        <w:rPr>
          <w:rStyle w:val="FootnoteReference"/>
        </w:rPr>
        <w:footnoteRef/>
      </w:r>
      <w:r>
        <w:t xml:space="preserve"> Mintzberg, H. (2008 г.): Strategy Safari. The complete guide through the wilds of strategic management. [„Стратегия сафари. Подробен пътеводител в дебрите на стратегическото управление.“] Pearson Education, Канада.</w:t>
      </w:r>
    </w:p>
  </w:footnote>
  <w:footnote w:id="30">
    <w:p w:rsidR="00D21DBF" w:rsidRDefault="00D21DBF" w:rsidP="007866D4">
      <w:pPr>
        <w:pStyle w:val="FootnoteText"/>
        <w:rPr>
          <w:lang w:val="sk-SK"/>
        </w:rPr>
      </w:pPr>
      <w:r>
        <w:rPr>
          <w:rStyle w:val="FootnoteReference"/>
        </w:rPr>
        <w:footnoteRef/>
      </w:r>
      <w:r>
        <w:t xml:space="preserve"> Вж. „Насоки за оценката на резултатите от ПРСР“ </w:t>
      </w:r>
      <w:hyperlink r:id="rId5">
        <w:r>
          <w:rPr>
            <w:rStyle w:val="Hyperlink"/>
          </w:rPr>
          <w:t>https://enrd.ec.europa.eu/evaluation/publications/guidelines-assessment-rdp-results-how-prepare-reporting-evaluation-2017_en</w:t>
        </w:r>
      </w:hyperlink>
    </w:p>
    <w:p w:rsidR="00D21DBF" w:rsidRPr="003231BD" w:rsidRDefault="00D21DBF" w:rsidP="007866D4">
      <w:pPr>
        <w:pStyle w:val="FootnoteText"/>
        <w:rPr>
          <w:lang w:val="sk-SK"/>
        </w:rPr>
      </w:pPr>
    </w:p>
  </w:footnote>
  <w:footnote w:id="31">
    <w:p w:rsidR="00D21DBF" w:rsidRPr="008B3FC7" w:rsidRDefault="00D21DBF" w:rsidP="007866D4">
      <w:pPr>
        <w:pStyle w:val="FootnoteText"/>
        <w:rPr>
          <w:lang w:val="ru-RU"/>
        </w:rPr>
      </w:pPr>
      <w:r>
        <w:rPr>
          <w:rStyle w:val="FootnoteReference"/>
        </w:rPr>
        <w:footnoteRef/>
      </w:r>
      <w:r>
        <w:t xml:space="preserve"> Член 9 от Регламент (ЕС) № 1303/2013: ТЦ 1: З</w:t>
      </w:r>
      <w:r w:rsidRPr="0049142B">
        <w:t>асилване на</w:t>
      </w:r>
      <w:r>
        <w:t xml:space="preserve"> научноизследователската дейност, технологичното развитие и иновациите, ТЦ3: Повишаване на конкурентоспособността на МСП и на селскостопанския сектор (за ЕЗФРСР) и на сектора на рибарството и аквакултурите (за ЕФМДР), ТЦ8: Насърчаване на устойчивата и качествена заетост и подкрепа за мобилността на работната сила, ТЦ9: Насърчаване на социалното приобщаване, борба с бедността и всяка форма на дискриминация.</w:t>
      </w:r>
    </w:p>
  </w:footnote>
  <w:footnote w:id="32">
    <w:p w:rsidR="00D21DBF" w:rsidRPr="008B3FC7" w:rsidRDefault="00D21DBF" w:rsidP="007866D4">
      <w:pPr>
        <w:pStyle w:val="FootnoteText"/>
        <w:rPr>
          <w:lang w:val="ru-RU"/>
        </w:rPr>
      </w:pPr>
      <w:r>
        <w:rPr>
          <w:rStyle w:val="FootnoteReference"/>
        </w:rPr>
        <w:footnoteRef/>
      </w:r>
      <w:r>
        <w:t xml:space="preserve"> </w:t>
      </w:r>
      <w:hyperlink r:id="rId6">
        <w:r>
          <w:rPr>
            <w:rStyle w:val="Hyperlink"/>
          </w:rPr>
          <w:t>http://ec.europa.eu/europe2020/index_bg.htm</w:t>
        </w:r>
      </w:hyperlink>
    </w:p>
  </w:footnote>
  <w:footnote w:id="33">
    <w:p w:rsidR="00D21DBF" w:rsidRPr="003231BD" w:rsidRDefault="00D21DBF" w:rsidP="007866D4">
      <w:pPr>
        <w:pStyle w:val="FootnoteText"/>
        <w:rPr>
          <w:lang w:val="sk-SK"/>
        </w:rPr>
      </w:pPr>
      <w:r>
        <w:rPr>
          <w:rStyle w:val="FootnoteReference"/>
        </w:rPr>
        <w:footnoteRef/>
      </w:r>
      <w:r>
        <w:t xml:space="preserve"> </w:t>
      </w:r>
      <w:r>
        <w:rPr>
          <w:i/>
        </w:rPr>
        <w:t xml:space="preserve">Подробни указания относно проверката на съгласуваността ще намерите в предишни указания, например </w:t>
      </w:r>
      <w:r>
        <w:t>„Как да установите успеха на вашата ПРСР: Насоки за изготвянето на последващите оценки за периода 2007—2013 г“ и „</w:t>
      </w:r>
      <w:hyperlink r:id="rId7">
        <w:r>
          <w:rPr>
            <w:rStyle w:val="Hyperlink"/>
          </w:rPr>
          <w:t>Насоки за оценката на резултатите от ПРСР: как да се подготвите за докладване на оценката през 2017 г.“</w:t>
        </w:r>
      </w:hyperlink>
    </w:p>
  </w:footnote>
  <w:footnote w:id="34">
    <w:p w:rsidR="00D21DBF" w:rsidRPr="003231BD" w:rsidRDefault="00D21DBF" w:rsidP="007866D4">
      <w:pPr>
        <w:pStyle w:val="FootnoteText"/>
        <w:rPr>
          <w:rFonts w:cs="Arial"/>
          <w:szCs w:val="16"/>
        </w:rPr>
      </w:pPr>
      <w:r>
        <w:rPr>
          <w:rStyle w:val="FootnoteReference"/>
        </w:rPr>
        <w:footnoteRef/>
      </w:r>
      <w:r>
        <w:t xml:space="preserve"> РД: Общи въпроси за оценка за програмите за развитие на селските райони за периода 2014—2020 г. </w:t>
      </w:r>
      <w:hyperlink r:id="rId8">
        <w:r>
          <w:rPr>
            <w:rStyle w:val="Hyperlink"/>
          </w:rPr>
          <w:t>https://enrd.ec.europa.eu/evaluation/european-evaluation-helpdesk-rural-development/evaluation-helpdesks-publications/guidance_en</w:t>
        </w:r>
      </w:hyperlink>
      <w:r>
        <w:t xml:space="preserve"> </w:t>
      </w:r>
    </w:p>
  </w:footnote>
  <w:footnote w:id="35">
    <w:p w:rsidR="00D21DBF" w:rsidRPr="003231BD" w:rsidRDefault="00D21DBF" w:rsidP="007866D4">
      <w:pPr>
        <w:pStyle w:val="FootnoteText"/>
        <w:rPr>
          <w:lang w:val="sk-SK"/>
        </w:rPr>
      </w:pPr>
      <w:r>
        <w:rPr>
          <w:rStyle w:val="FootnoteReference"/>
        </w:rPr>
        <w:footnoteRef/>
      </w:r>
      <w:r>
        <w:t xml:space="preserve"> РД: Общи въпроси за оценка за програмите за развитие на селските райони за периода 2014—2020 г. </w:t>
      </w:r>
      <w:hyperlink r:id="rId9">
        <w:r>
          <w:rPr>
            <w:rStyle w:val="Hyperlink"/>
          </w:rPr>
          <w:t>https://enrd.ec.europa.eu/evaluation/european-evaluation-helpdesk-rural-development/evaluation-helpdesks-publications/guidance_en</w:t>
        </w:r>
      </w:hyperlink>
    </w:p>
  </w:footnote>
  <w:footnote w:id="36">
    <w:p w:rsidR="00D21DBF" w:rsidRPr="005216CE" w:rsidRDefault="00D21DBF" w:rsidP="007866D4">
      <w:pPr>
        <w:pStyle w:val="FootnoteText"/>
        <w:jc w:val="both"/>
        <w:rPr>
          <w:spacing w:val="-4"/>
          <w:szCs w:val="16"/>
          <w:lang w:val="ru-RU"/>
        </w:rPr>
      </w:pPr>
      <w:r w:rsidRPr="005216CE">
        <w:rPr>
          <w:rStyle w:val="FootnoteReference"/>
          <w:spacing w:val="-4"/>
        </w:rPr>
        <w:footnoteRef/>
      </w:r>
      <w:r w:rsidRPr="005216CE">
        <w:rPr>
          <w:spacing w:val="-4"/>
        </w:rPr>
        <w:t xml:space="preserve"> Подробна информация за разработването на специфични за програмата въпроси за оценка, критерии за преценка и показатели може да бъде намерена в съществуващите указания („Насоки за оценката на резултатите от ПРСР: как да се подготвите за докладване на оценката през 2017 г.“, </w:t>
      </w:r>
      <w:hyperlink r:id="rId10">
        <w:r w:rsidRPr="005216CE">
          <w:rPr>
            <w:rStyle w:val="Hyperlink"/>
            <w:spacing w:val="-4"/>
          </w:rPr>
          <w:t>http://enrd.ec.europa.eu/evaluation/publications/guidelines-assessment-rdp-results-how-prepare-reporting-evaluation-2017_en</w:t>
        </w:r>
      </w:hyperlink>
      <w:r w:rsidRPr="005216CE">
        <w:rPr>
          <w:spacing w:val="-4"/>
        </w:rPr>
        <w:t xml:space="preserve"> ).</w:t>
      </w:r>
    </w:p>
  </w:footnote>
  <w:footnote w:id="37">
    <w:p w:rsidR="00D21DBF" w:rsidRPr="00370643" w:rsidRDefault="00D21DBF" w:rsidP="000A7636">
      <w:pPr>
        <w:pStyle w:val="HStandard"/>
        <w:spacing w:after="0" w:line="240" w:lineRule="auto"/>
        <w:rPr>
          <w:rFonts w:cs="Arial"/>
          <w:i/>
          <w:sz w:val="16"/>
          <w:szCs w:val="16"/>
          <w:lang w:eastAsia="en-GB"/>
        </w:rPr>
      </w:pPr>
      <w:r>
        <w:rPr>
          <w:rStyle w:val="FootnoteReference"/>
          <w:sz w:val="16"/>
        </w:rPr>
        <w:footnoteRef/>
      </w:r>
      <w:r>
        <w:rPr>
          <w:sz w:val="16"/>
        </w:rPr>
        <w:t xml:space="preserve"> Допълнителна информация относно начините за разработване на специфични за програмата въпроси за оценка, критерии за преценка и показатели може да бъде намерена в „Насоки за оценката на резултатите от ПРСР: как да се подготвите за докладване на оценката през 2017 г.“, </w:t>
      </w:r>
      <w:hyperlink r:id="rId11">
        <w:r>
          <w:rPr>
            <w:rStyle w:val="Hyperlink"/>
            <w:sz w:val="16"/>
          </w:rPr>
          <w:t>http://enrd.ec.europa.eu/evaluation/publications/guidelines-assessment-rdp-results-how-prepare-reporting-evaluation-2017_en</w:t>
        </w:r>
      </w:hyperlink>
    </w:p>
    <w:p w:rsidR="00D21DBF" w:rsidRPr="003231BD" w:rsidRDefault="00D21DBF" w:rsidP="000A7636">
      <w:pPr>
        <w:pStyle w:val="FootnoteText"/>
        <w:rPr>
          <w:lang w:val="sk-SK"/>
        </w:rPr>
      </w:pPr>
    </w:p>
  </w:footnote>
  <w:footnote w:id="38">
    <w:p w:rsidR="00D21DBF" w:rsidRPr="003231BD" w:rsidRDefault="00D21DBF" w:rsidP="007866D4">
      <w:pPr>
        <w:pStyle w:val="FootnoteText"/>
        <w:rPr>
          <w:lang w:val="sk-SK"/>
        </w:rPr>
      </w:pPr>
      <w:r>
        <w:rPr>
          <w:rStyle w:val="FootnoteReference"/>
        </w:rPr>
        <w:footnoteRef/>
      </w:r>
      <w:r>
        <w:t xml:space="preserve"> </w:t>
      </w:r>
      <w:hyperlink r:id="rId12">
        <w:r>
          <w:rPr>
            <w:rStyle w:val="Hyperlink"/>
          </w:rPr>
          <w:t>http://ec.europa.eu/agriculture/evaluation/rural-development-reports/2015/ex_ante_rdp_synthesis_2014_2020/fulltext_en.pdf</w:t>
        </w:r>
      </w:hyperlink>
    </w:p>
  </w:footnote>
  <w:footnote w:id="39">
    <w:p w:rsidR="00D21DBF" w:rsidRPr="003231BD" w:rsidRDefault="00D21DBF" w:rsidP="007866D4">
      <w:pPr>
        <w:pStyle w:val="FootnoteText"/>
        <w:rPr>
          <w:lang w:val="sk-SK"/>
        </w:rPr>
      </w:pPr>
      <w:r>
        <w:rPr>
          <w:rStyle w:val="FootnoteReference"/>
        </w:rPr>
        <w:footnoteRef/>
      </w:r>
      <w:r>
        <w:t xml:space="preserve"> Работен документ „Списък на елементите, предназначени за базата данни за операциите по стълб II“.</w:t>
      </w:r>
    </w:p>
  </w:footnote>
  <w:footnote w:id="40">
    <w:p w:rsidR="00D21DBF" w:rsidRPr="008B3FC7" w:rsidRDefault="00D21DBF" w:rsidP="007866D4">
      <w:pPr>
        <w:pStyle w:val="FootnoteText"/>
        <w:rPr>
          <w:lang w:val="ru-RU"/>
        </w:rPr>
      </w:pPr>
      <w:r>
        <w:rPr>
          <w:rStyle w:val="FootnoteReference"/>
        </w:rPr>
        <w:footnoteRef/>
      </w:r>
      <w:r>
        <w:t xml:space="preserve"> „Насоки за оценката на резултатите от ПРСР: как да се подготвите за оценката през 2017 г.“, приложение 11 — Фишове за отговор на ОВО 1 — 21, </w:t>
      </w:r>
      <w:hyperlink r:id="rId13">
        <w:r>
          <w:rPr>
            <w:rStyle w:val="Hyperlink"/>
          </w:rPr>
          <w:t>http://enrd.ec.europa.eu/evaluation/publications/guidelines-assessment-rdp-results-how-prepare-reporting-evaluation-2017_en</w:t>
        </w:r>
      </w:hyperlink>
    </w:p>
  </w:footnote>
  <w:footnote w:id="41">
    <w:p w:rsidR="00D21DBF" w:rsidRPr="008B3FC7" w:rsidRDefault="00D21DBF" w:rsidP="007866D4">
      <w:pPr>
        <w:pStyle w:val="FootnoteText"/>
        <w:rPr>
          <w:lang w:val="ru-RU"/>
        </w:rPr>
      </w:pPr>
      <w:r>
        <w:rPr>
          <w:rStyle w:val="FootnoteReference"/>
        </w:rPr>
        <w:footnoteRef/>
      </w:r>
      <w:r>
        <w:t xml:space="preserve"> Вж. ЕМРСР (2011 г.): </w:t>
      </w:r>
      <w:hyperlink r:id="rId14">
        <w:r>
          <w:rPr>
            <w:rStyle w:val="Hyperlink"/>
          </w:rPr>
          <w:t>Тематична работна група 4 — Механизъм за изпълнение на политиката за развитие на селските райони. Окончателен доклад</w:t>
        </w:r>
      </w:hyperlink>
    </w:p>
    <w:p w:rsidR="00D21DBF" w:rsidRPr="008B3FC7" w:rsidRDefault="00D21DBF" w:rsidP="007866D4">
      <w:pPr>
        <w:pStyle w:val="FootnoteText"/>
        <w:rPr>
          <w:lang w:val="ru-RU"/>
        </w:rPr>
      </w:pPr>
    </w:p>
  </w:footnote>
  <w:footnote w:id="42">
    <w:p w:rsidR="00D21DBF" w:rsidRPr="003231BD" w:rsidRDefault="00D21DBF" w:rsidP="007866D4">
      <w:pPr>
        <w:pStyle w:val="FootnoteText"/>
        <w:jc w:val="both"/>
      </w:pPr>
      <w:r>
        <w:rPr>
          <w:rStyle w:val="FootnoteReference"/>
        </w:rPr>
        <w:footnoteRef/>
      </w:r>
      <w:r>
        <w:t xml:space="preserve"> Тези методи са добре описани и илюстрирани с примери в работния документ на Бюрото за оценка, озаглавен „Начини за установяване на въздействията на LEADER и на мерките за подобряване на качеството на живот в селските райони“, юли 2010 г., </w:t>
      </w:r>
      <w:hyperlink r:id="rId15">
        <w:r>
          <w:rPr>
            <w:rStyle w:val="Hyperlink"/>
          </w:rPr>
          <w:t>http://enrd.ec.europa.eu/enrd-static/fms/pdf/98275CF6-C4FD-1908-07DE-1F1EA065BC29.pdf</w:t>
        </w:r>
      </w:hyperlink>
    </w:p>
  </w:footnote>
  <w:footnote w:id="43">
    <w:p w:rsidR="00D21DBF" w:rsidRPr="00BA0A31" w:rsidRDefault="00D21DBF" w:rsidP="007866D4">
      <w:pPr>
        <w:pStyle w:val="FootnoteText"/>
      </w:pPr>
      <w:r>
        <w:rPr>
          <w:rStyle w:val="FootnoteReference"/>
        </w:rPr>
        <w:footnoteRef/>
      </w:r>
      <w:r>
        <w:t xml:space="preserve"> Пак там.</w:t>
      </w:r>
    </w:p>
  </w:footnote>
  <w:footnote w:id="44">
    <w:p w:rsidR="00D21DBF" w:rsidRPr="003231BD" w:rsidRDefault="00D21DBF" w:rsidP="007866D4">
      <w:pPr>
        <w:pStyle w:val="FootnoteText"/>
        <w:rPr>
          <w:lang w:val="sk-SK"/>
        </w:rPr>
      </w:pPr>
      <w:r>
        <w:rPr>
          <w:rStyle w:val="FootnoteReference"/>
        </w:rPr>
        <w:footnoteRef/>
      </w:r>
      <w:hyperlink r:id="rId16">
        <w:r>
          <w:rPr>
            <w:rStyle w:val="Hyperlink"/>
          </w:rPr>
          <w:t>http://cor.europa.eu/en/activities/governance/Pages/multilevel-governance1.aspx</w:t>
        </w:r>
      </w:hyperlink>
    </w:p>
  </w:footnote>
  <w:footnote w:id="45">
    <w:p w:rsidR="00D21DBF" w:rsidRPr="003231BD" w:rsidRDefault="00D21DBF" w:rsidP="007866D4">
      <w:pPr>
        <w:pStyle w:val="FootnoteText"/>
        <w:rPr>
          <w:lang w:val="sk-SK"/>
        </w:rPr>
      </w:pPr>
      <w:r>
        <w:rPr>
          <w:rStyle w:val="FootnoteReference"/>
        </w:rPr>
        <w:footnoteRef/>
      </w:r>
      <w:r>
        <w:t xml:space="preserve"> „Насоки за последваща оценка на ПРСР за периода 2007 – 2013 г.“ </w:t>
      </w:r>
      <w:hyperlink r:id="rId17">
        <w:r>
          <w:rPr>
            <w:rStyle w:val="Hyperlink"/>
          </w:rPr>
          <w:t>http://enrd.ec.europa.eu/enrd-static/evaluation/library/evaluation-helpdesk-publications/en/evaluation-helpdesk-publications_en.html</w:t>
        </w:r>
      </w:hyperlink>
      <w:r>
        <w:t xml:space="preserve">, и „Насоки за оценката на НМСР“ </w:t>
      </w:r>
      <w:hyperlink r:id="rId18">
        <w:r>
          <w:rPr>
            <w:rStyle w:val="Hyperlink"/>
          </w:rPr>
          <w:t>https://enrd.ec.europa.eu/evaluation/european-evaluation-helpdesk-rural-development/evaluation-helpdesks-publications/guidance_en</w:t>
        </w:r>
      </w:hyperlink>
    </w:p>
  </w:footnote>
  <w:footnote w:id="46">
    <w:p w:rsidR="00D21DBF" w:rsidRPr="003231BD" w:rsidRDefault="00D21DBF" w:rsidP="007866D4">
      <w:pPr>
        <w:pStyle w:val="FootnoteText"/>
        <w:rPr>
          <w:lang w:val="sk-SK"/>
        </w:rPr>
      </w:pPr>
      <w:r>
        <w:rPr>
          <w:rStyle w:val="FootnoteReference"/>
        </w:rPr>
        <w:footnoteRef/>
      </w:r>
      <w:r>
        <w:t xml:space="preserve"> „Насоки за оценката на резултатите от ПРСР: как да се подготвите за докладване на оценката през 2017 г.“, приложение 11, </w:t>
      </w:r>
      <w:hyperlink r:id="rId19">
        <w:r>
          <w:rPr>
            <w:rStyle w:val="Hyperlink"/>
          </w:rPr>
          <w:t>http://enrd.ec.europa.eu/evaluation/publications/guidelines-assessment-rdp-results-how-prepare-reporting-evaluation-2017_en</w:t>
        </w:r>
      </w:hyperlink>
      <w:r>
        <w:t xml:space="preserve"> </w:t>
      </w:r>
    </w:p>
  </w:footnote>
  <w:footnote w:id="47">
    <w:p w:rsidR="00D21DBF" w:rsidRPr="003231BD" w:rsidRDefault="00D21DBF" w:rsidP="007866D4">
      <w:pPr>
        <w:pStyle w:val="FootnoteText"/>
        <w:rPr>
          <w:lang w:val="sk-SK"/>
        </w:rPr>
      </w:pPr>
      <w:r>
        <w:rPr>
          <w:rStyle w:val="FootnoteReference"/>
        </w:rPr>
        <w:footnoteRef/>
      </w:r>
      <w:r>
        <w:t xml:space="preserve"> „Насоки за оценката на резултатите от ПРСР: как да се подготвите за докладване на оценката през 2017 г.“, приложение 10, </w:t>
      </w:r>
      <w:hyperlink r:id="rId20">
        <w:r>
          <w:rPr>
            <w:rStyle w:val="Hyperlink"/>
          </w:rPr>
          <w:t>http://enrd.ec.europa.eu/evaluation/publications/guidelines-assessment-rdp-results-how-prepare-reporting-evaluation-2017_en</w:t>
        </w:r>
      </w:hyperlink>
    </w:p>
  </w:footnote>
  <w:footnote w:id="48">
    <w:p w:rsidR="00D21DBF" w:rsidRPr="003231BD" w:rsidRDefault="00D21DBF" w:rsidP="007866D4">
      <w:pPr>
        <w:pStyle w:val="FootnoteText"/>
        <w:rPr>
          <w:lang w:val="sk-SK"/>
        </w:rPr>
      </w:pPr>
      <w:r>
        <w:rPr>
          <w:rStyle w:val="FootnoteReference"/>
        </w:rPr>
        <w:footnoteRef/>
      </w:r>
      <w:r>
        <w:t xml:space="preserve"> РД: Общи въпроси за оценка на ПРСР в периода 2014—2020 г., </w:t>
      </w:r>
      <w:hyperlink r:id="rId21">
        <w:r>
          <w:rPr>
            <w:rStyle w:val="Hyperlink"/>
          </w:rPr>
          <w:t>http://enrd.ec.europa.eu/evaluation/publications/working-document-common-evaluation-questions-rural-development-programmes_en</w:t>
        </w:r>
      </w:hyperlink>
    </w:p>
  </w:footnote>
  <w:footnote w:id="49">
    <w:p w:rsidR="00D21DBF" w:rsidRPr="003231BD" w:rsidRDefault="00D21DBF" w:rsidP="007866D4">
      <w:pPr>
        <w:pStyle w:val="FootnoteText"/>
        <w:rPr>
          <w:sz w:val="17"/>
          <w:szCs w:val="17"/>
        </w:rPr>
      </w:pPr>
      <w:r>
        <w:rPr>
          <w:rStyle w:val="FootnoteReference"/>
          <w:sz w:val="17"/>
        </w:rPr>
        <w:footnoteRef/>
      </w:r>
      <w:r>
        <w:rPr>
          <w:sz w:val="17"/>
        </w:rPr>
        <w:t xml:space="preserve"> Как да се избере каналът за предаване на информацията.</w:t>
      </w:r>
    </w:p>
  </w:footnote>
  <w:footnote w:id="50">
    <w:p w:rsidR="00D21DBF" w:rsidRPr="003231BD" w:rsidRDefault="00D21DBF" w:rsidP="007866D4">
      <w:pPr>
        <w:pStyle w:val="FootnoteText"/>
        <w:rPr>
          <w:sz w:val="17"/>
          <w:szCs w:val="17"/>
        </w:rPr>
      </w:pPr>
      <w:r>
        <w:rPr>
          <w:rStyle w:val="FootnoteReference"/>
          <w:sz w:val="17"/>
        </w:rPr>
        <w:footnoteRef/>
      </w:r>
      <w:r>
        <w:rPr>
          <w:sz w:val="17"/>
        </w:rPr>
        <w:t xml:space="preserve"> Каква е степента/обхватът на осъщественото разпространение.</w:t>
      </w:r>
    </w:p>
  </w:footnote>
  <w:footnote w:id="51">
    <w:p w:rsidR="00D21DBF" w:rsidRPr="003231BD" w:rsidRDefault="00D21DBF" w:rsidP="00DA4735">
      <w:pPr>
        <w:pStyle w:val="HStandard"/>
        <w:spacing w:after="0" w:line="240" w:lineRule="auto"/>
      </w:pPr>
      <w:r>
        <w:rPr>
          <w:rStyle w:val="FootnoteReference"/>
        </w:rPr>
        <w:footnoteRef/>
      </w:r>
      <w:r>
        <w:t xml:space="preserve"> </w:t>
      </w:r>
      <w:r>
        <w:rPr>
          <w:rStyle w:val="FootnoteTextChar2"/>
        </w:rPr>
        <w:t xml:space="preserve">В допълнение към горните дейности МГД може да изпълняват други дейности и проекти и да използват други фондове, например проекти за социално приобщаване, инфраструктурни проекти и т.н. </w:t>
      </w:r>
    </w:p>
  </w:footnote>
  <w:footnote w:id="52">
    <w:p w:rsidR="00D21DBF" w:rsidRPr="003231BD" w:rsidRDefault="00D21DBF" w:rsidP="00C5760E">
      <w:pPr>
        <w:pStyle w:val="FootnoteText"/>
        <w:jc w:val="both"/>
        <w:rPr>
          <w:lang w:val="sk-SK"/>
        </w:rPr>
      </w:pPr>
      <w:r>
        <w:rPr>
          <w:rStyle w:val="FootnoteReference"/>
        </w:rPr>
        <w:footnoteRef/>
      </w:r>
      <w:r>
        <w:t xml:space="preserve"> Фишовете за измерване на местното развитие по LEADER, глава 5.4 „Популяризиране: Разходи за популяризиране на стратегията за ВОМР, насочени към улесняване на обмена между заинтересованите страни, предоставяне на информация и насърчаване на стратегията, както и към подпомагане на потенциалните бенефициери при разработването на операциите и изготвянето на кандидатурите“.</w:t>
      </w:r>
    </w:p>
  </w:footnote>
  <w:footnote w:id="53">
    <w:p w:rsidR="00D21DBF" w:rsidRPr="003231BD" w:rsidRDefault="00D21DBF" w:rsidP="00C82478">
      <w:pPr>
        <w:pStyle w:val="FootnoteText"/>
        <w:rPr>
          <w:lang w:val="sk-SK"/>
        </w:rPr>
      </w:pPr>
      <w:r>
        <w:rPr>
          <w:rStyle w:val="FootnoteReference"/>
        </w:rPr>
        <w:footnoteRef/>
      </w:r>
      <w:r>
        <w:t xml:space="preserve"> Член 35, параграф 1, буква г) от Регламент (ЕС) № 1303/2013.</w:t>
      </w:r>
    </w:p>
  </w:footnote>
  <w:footnote w:id="54">
    <w:p w:rsidR="00D21DBF" w:rsidRPr="003231BD" w:rsidRDefault="00D21DBF" w:rsidP="00BB2B11">
      <w:pPr>
        <w:pStyle w:val="FootnoteText"/>
      </w:pPr>
      <w:r>
        <w:rPr>
          <w:rStyle w:val="FootnoteReference"/>
        </w:rPr>
        <w:footnoteRef/>
      </w:r>
      <w:r>
        <w:t xml:space="preserve"> Член 33, параграф 1, буква в) от Регламент (ЕС) № 1303/2013.</w:t>
      </w:r>
    </w:p>
  </w:footnote>
  <w:footnote w:id="55">
    <w:p w:rsidR="00D21DBF" w:rsidRPr="008B3FC7" w:rsidRDefault="00D21DBF" w:rsidP="00BB2B11">
      <w:pPr>
        <w:pStyle w:val="FootnoteText"/>
        <w:jc w:val="both"/>
        <w:rPr>
          <w:rFonts w:cs="Arial"/>
          <w:i/>
          <w:szCs w:val="16"/>
          <w:lang w:val="ru-RU"/>
        </w:rPr>
      </w:pPr>
      <w:r>
        <w:rPr>
          <w:rStyle w:val="FootnoteReference"/>
        </w:rPr>
        <w:footnoteRef/>
      </w:r>
      <w:r>
        <w:t xml:space="preserve"> Този подход е подобен на подхода за преразглеждане на интервенционната логика на ПРСР, който е описан в „Насоки за оценката на резултатите от ПРСР: </w:t>
      </w:r>
      <w:r>
        <w:rPr>
          <w:i/>
        </w:rPr>
        <w:t>как да се подготвите за докладване на оценката през 2017 г.“, Бюро за оценка, 2016 г.,</w:t>
      </w:r>
      <w:r>
        <w:t xml:space="preserve"> </w:t>
      </w:r>
      <w:r>
        <w:rPr>
          <w:i/>
        </w:rPr>
        <w:t>http://enrd.ec.europa.eu/evaluation/publications/guidelines-assessment-rdp-results-how-prepare-reporting-evaluation-2017_en</w:t>
      </w:r>
    </w:p>
  </w:footnote>
  <w:footnote w:id="56">
    <w:p w:rsidR="00D21DBF" w:rsidRPr="003231BD" w:rsidRDefault="00D21DBF" w:rsidP="00370643">
      <w:pPr>
        <w:pStyle w:val="FootnoteText"/>
        <w:jc w:val="both"/>
        <w:rPr>
          <w:lang w:val="sk-SK"/>
        </w:rPr>
      </w:pPr>
      <w:r>
        <w:rPr>
          <w:rStyle w:val="FootnoteReference"/>
        </w:rPr>
        <w:footnoteRef/>
      </w:r>
      <w:r>
        <w:t xml:space="preserve"> Управляващият орган също може да разработи специфични за програмата въпроси за оценка, свързани с LEADER/ВОМР. Отговорите на тези въпроси се дават от МГД, като за целта се предоставят специфични за програмата показатели в допълнение към общите показатели на ОСМО.</w:t>
      </w:r>
      <w:r>
        <w:rPr>
          <w:color w:val="161616" w:themeColor="background1" w:themeShade="1A"/>
          <w:sz w:val="20"/>
        </w:rPr>
        <w:t xml:space="preserve"> </w:t>
      </w:r>
    </w:p>
  </w:footnote>
  <w:footnote w:id="57">
    <w:p w:rsidR="00D21DBF" w:rsidRPr="003231BD" w:rsidRDefault="00D21DBF" w:rsidP="00370643">
      <w:pPr>
        <w:pStyle w:val="FootnoteText"/>
        <w:jc w:val="both"/>
        <w:rPr>
          <w:szCs w:val="16"/>
          <w:lang w:val="sk-SK"/>
        </w:rPr>
      </w:pPr>
      <w:r>
        <w:rPr>
          <w:rStyle w:val="FootnoteReference"/>
        </w:rPr>
        <w:footnoteRef/>
      </w:r>
      <w:r>
        <w:t xml:space="preserve"> Повече подробности относно проверката на съгласуваността между интервенционната логика и оценъчните елементи ще намерите в </w:t>
      </w:r>
      <w:r>
        <w:rPr>
          <w:i/>
        </w:rPr>
        <w:t>„Насоки за оценката на резултатите от ПРСР: как да се подготвите за докладване на оценката през 2017 г.“</w:t>
      </w:r>
      <w:r>
        <w:t xml:space="preserve">, ЧАСТ II, глава 5.2, </w:t>
      </w:r>
      <w:hyperlink r:id="rId22">
        <w:r>
          <w:rPr>
            <w:rStyle w:val="Hyperlink"/>
          </w:rPr>
          <w:t>http://enrd.ec.europa.eu/evaluation/publications/guidelines-assessment-rdp-results-how-prepare-reporting-evaluation-2017_en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DBF" w:rsidRDefault="00D21DBF">
    <w:pPr>
      <w:pStyle w:val="Header"/>
    </w:pPr>
    <w:r>
      <w:rPr>
        <w:noProof/>
        <w:lang w:val="en-GB" w:eastAsia="en-GB" w:bidi="ar-SA"/>
      </w:rPr>
      <mc:AlternateContent>
        <mc:Choice Requires="wps">
          <w:drawing>
            <wp:anchor distT="0" distB="0" distL="114300" distR="114300" simplePos="0" relativeHeight="251660288" behindDoc="1" locked="0" layoutInCell="0" allowOverlap="1" wp14:anchorId="7BBD719B" wp14:editId="2DBC3CDF">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21DBF" w:rsidRDefault="00D21DBF" w:rsidP="00D46DC0">
                          <w:pPr>
                            <w:pStyle w:val="NormalWeb"/>
                            <w:spacing w:before="0" w:beforeAutospacing="0" w:after="0" w:afterAutospacing="0"/>
                            <w:jc w:val="center"/>
                          </w:pPr>
                          <w:r>
                            <w:rPr>
                              <w:rFonts w:ascii="Arial" w:hAnsi="Arial"/>
                              <w:color w:val="D8D8D8"/>
                              <w:sz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BBD719B" id="_x0000_t202" coordsize="21600,21600" o:spt="202" path="m,l,21600r21600,l21600,xe">
              <v:stroke joinstyle="miter"/>
              <v:path gradientshapeok="t" o:connecttype="rect"/>
            </v:shapetype>
            <v:shape id="WordArt 2" o:spid="_x0000_s1053"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D21DBF" w:rsidRDefault="00D21DBF" w:rsidP="00D46DC0">
                    <w:pPr>
                      <w:pStyle w:val="NormalWeb"/>
                      <w:spacing w:before="0" w:beforeAutospacing="0" w:after="0" w:afterAutospacing="0"/>
                      <w:jc w:val="center"/>
                    </w:pPr>
                    <w:r>
                      <w:rPr>
                        <w:rFonts w:ascii="Arial" w:hAnsi="Arial"/>
                        <w:color w:val="D8D8D8"/>
                        <w:sz w:val="2"/>
                      </w:rPr>
                      <w:t>ПРОЕКТ</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DBF" w:rsidRPr="00292DA9" w:rsidRDefault="00D21DBF" w:rsidP="00D46DC0">
    <w:pPr>
      <w:pStyle w:val="H-Header"/>
      <w:rPr>
        <w:rFonts w:cs="Arial"/>
        <w:sz w:val="24"/>
      </w:rPr>
    </w:pPr>
    <w:r>
      <w:t>Насоки: Оценка на LEADER/ВОМР</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DBF" w:rsidRDefault="00D21DBF">
    <w:pPr>
      <w:pStyle w:val="Header"/>
    </w:pPr>
    <w:r>
      <w:rPr>
        <w:noProof/>
        <w:lang w:val="en-GB" w:eastAsia="en-GB" w:bidi="ar-SA"/>
      </w:rPr>
      <mc:AlternateContent>
        <mc:Choice Requires="wps">
          <w:drawing>
            <wp:anchor distT="0" distB="0" distL="114300" distR="114300" simplePos="0" relativeHeight="251659264" behindDoc="1" locked="0" layoutInCell="0" allowOverlap="1" wp14:anchorId="297810B4" wp14:editId="7E258D1F">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D21DBF" w:rsidRDefault="00D21DBF" w:rsidP="00D46DC0">
                          <w:pPr>
                            <w:pStyle w:val="NormalWeb"/>
                            <w:spacing w:before="0" w:beforeAutospacing="0" w:after="0" w:afterAutospacing="0"/>
                            <w:jc w:val="center"/>
                          </w:pPr>
                          <w:r>
                            <w:rPr>
                              <w:rFonts w:ascii="Arial" w:hAnsi="Arial"/>
                              <w:color w:val="D8D8D8"/>
                              <w:sz w:val="2"/>
                            </w:rPr>
                            <w:t>ПРОЕКТ</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7810B4" id="_x0000_t202" coordsize="21600,21600" o:spt="202" path="m,l,21600r21600,l21600,xe">
              <v:stroke joinstyle="miter"/>
              <v:path gradientshapeok="t" o:connecttype="rect"/>
            </v:shapetype>
            <v:shape id="WordArt 1" o:spid="_x0000_s1054"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D21DBF" w:rsidRDefault="00D21DBF" w:rsidP="00D46DC0">
                    <w:pPr>
                      <w:pStyle w:val="NormalWeb"/>
                      <w:spacing w:before="0" w:beforeAutospacing="0" w:after="0" w:afterAutospacing="0"/>
                      <w:jc w:val="center"/>
                    </w:pPr>
                    <w:r>
                      <w:rPr>
                        <w:rFonts w:ascii="Arial" w:hAnsi="Arial"/>
                        <w:color w:val="D8D8D8"/>
                        <w:sz w:val="2"/>
                      </w:rPr>
                      <w:t>ПРОЕКТ</w:t>
                    </w:r>
                  </w:p>
                </w:txbxContent>
              </v:textbox>
              <w10:wrap anchorx="margin"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DBF" w:rsidRPr="00292DA9" w:rsidRDefault="00D21DBF" w:rsidP="00D46DC0">
    <w:pPr>
      <w:pStyle w:val="H-Header"/>
      <w:rPr>
        <w:rFonts w:cs="Arial"/>
        <w:sz w:val="24"/>
      </w:rPr>
    </w:pPr>
    <w:r>
      <w:t>Насоки: Оценка на LEADER/ВОМР — Въведение</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DBF" w:rsidRPr="00292DA9" w:rsidRDefault="00D21DBF" w:rsidP="00D46DC0">
    <w:pPr>
      <w:pStyle w:val="H-Header"/>
      <w:rPr>
        <w:rFonts w:cs="Arial"/>
        <w:sz w:val="24"/>
      </w:rPr>
    </w:pPr>
    <w:r>
      <w:t>Насоки: Оценка на LEADER/ВОМР на равнището на ПРСР</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DBF" w:rsidRPr="00292DA9" w:rsidRDefault="00D21DBF" w:rsidP="00D46DC0">
    <w:pPr>
      <w:pStyle w:val="H-Header"/>
      <w:rPr>
        <w:rFonts w:cs="Arial"/>
        <w:sz w:val="24"/>
      </w:rPr>
    </w:pPr>
    <w:r>
      <w:t>Насоки: Оценка на LEADER/ВОМР на равнището на МГД</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1DBF" w:rsidRPr="00292DA9" w:rsidRDefault="00D21DBF" w:rsidP="00D46DC0">
    <w:pPr>
      <w:pStyle w:val="H-Header"/>
      <w:rPr>
        <w:rFonts w:cs="Arial"/>
        <w:sz w:val="24"/>
      </w:rPr>
    </w:pPr>
    <w:r>
      <w:t>Насоки: Оценка на LEADER/ВОМР — Приложение — Речник</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0pt;height:90pt" o:bullet="t">
        <v:imagedata r:id="rId1" o:title="120px-Japan_road_sign_302"/>
      </v:shape>
    </w:pict>
  </w:numPicBullet>
  <w:abstractNum w:abstractNumId="0" w15:restartNumberingAfterBreak="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807860"/>
    <w:multiLevelType w:val="hybridMultilevel"/>
    <w:tmpl w:val="2544F81C"/>
    <w:lvl w:ilvl="0" w:tplc="40883048">
      <w:start w:val="1"/>
      <w:numFmt w:val="decimal"/>
      <w:lvlText w:val="Figure %1."/>
      <w:lvlJc w:val="left"/>
      <w:pPr>
        <w:ind w:left="643" w:hanging="360"/>
      </w:pPr>
      <w:rPr>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15:restartNumberingAfterBreak="0">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Heading2"/>
      <w:lvlText w:val="%1.%2"/>
      <w:lvlJc w:val="left"/>
      <w:pPr>
        <w:ind w:left="718" w:hanging="576"/>
      </w:pPr>
      <w:rPr>
        <w:rFonts w:hint="default"/>
      </w:rPr>
    </w:lvl>
    <w:lvl w:ilvl="2">
      <w:start w:val="1"/>
      <w:numFmt w:val="decimal"/>
      <w:pStyle w:val="Heading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1482775B"/>
    <w:multiLevelType w:val="multilevel"/>
    <w:tmpl w:val="C34CF1F4"/>
    <w:lvl w:ilvl="0">
      <w:start w:val="1"/>
      <w:numFmt w:val="decimal"/>
      <w:pStyle w:val="Heading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6" w15:restartNumberingAfterBreak="0">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15:restartNumberingAfterBreak="0">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15:restartNumberingAfterBreak="0">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15:restartNumberingAfterBreak="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15:restartNumberingAfterBreak="0">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15:restartNumberingAfterBreak="0">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15:restartNumberingAfterBreak="0">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15:restartNumberingAfterBreak="0">
    <w:nsid w:val="54BD0BEC"/>
    <w:multiLevelType w:val="singleLevel"/>
    <w:tmpl w:val="72D6F376"/>
    <w:lvl w:ilvl="0">
      <w:numFmt w:val="decimal"/>
      <w:pStyle w:val="ListBullet"/>
      <w:lvlText w:val=""/>
      <w:lvlJc w:val="left"/>
    </w:lvl>
  </w:abstractNum>
  <w:abstractNum w:abstractNumId="21" w15:restartNumberingAfterBreak="0">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15:restartNumberingAfterBreak="0">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15:restartNumberingAfterBreak="0">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15:restartNumberingAfterBreak="0">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15:restartNumberingAfterBreak="0">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15:restartNumberingAfterBreak="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15:restartNumberingAfterBreak="0">
    <w:nsid w:val="666E61F9"/>
    <w:multiLevelType w:val="hybridMultilevel"/>
    <w:tmpl w:val="99166C24"/>
    <w:lvl w:ilvl="0" w:tplc="A69657C0">
      <w:start w:val="1"/>
      <w:numFmt w:val="decimal"/>
      <w:pStyle w:val="HHeadingFigure"/>
      <w:lvlText w:val="Фигура %1."/>
      <w:lvlJc w:val="left"/>
      <w:pPr>
        <w:ind w:left="643" w:hanging="360"/>
      </w:pPr>
      <w:rPr>
        <w:rFonts w:hint="default"/>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9081875"/>
    <w:multiLevelType w:val="hybridMultilevel"/>
    <w:tmpl w:val="D5DC13D4"/>
    <w:lvl w:ilvl="0" w:tplc="2AD0BAF4">
      <w:start w:val="1"/>
      <w:numFmt w:val="decimal"/>
      <w:pStyle w:val="H-Table"/>
      <w:lvlText w:val="Tаблица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4" w15:restartNumberingAfterBreak="0">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5" w15:restartNumberingAfterBreak="0">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15:restartNumberingAfterBreak="0">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8" w15:restartNumberingAfterBreak="0">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outline w:val="0"/>
        <w:shadow w:val="0"/>
        <w:emboss w:val="0"/>
        <w:imprint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3"/>
  </w:num>
  <w:num w:numId="4">
    <w:abstractNumId w:val="4"/>
  </w:num>
  <w:num w:numId="5">
    <w:abstractNumId w:val="21"/>
  </w:num>
  <w:num w:numId="6">
    <w:abstractNumId w:val="6"/>
  </w:num>
  <w:num w:numId="7">
    <w:abstractNumId w:val="26"/>
  </w:num>
  <w:num w:numId="8">
    <w:abstractNumId w:val="33"/>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9"/>
  </w:num>
  <w:num w:numId="19">
    <w:abstractNumId w:val="38"/>
  </w:num>
  <w:num w:numId="20">
    <w:abstractNumId w:val="17"/>
  </w:num>
  <w:num w:numId="21">
    <w:abstractNumId w:val="37"/>
  </w:num>
  <w:num w:numId="22">
    <w:abstractNumId w:val="9"/>
  </w:num>
  <w:num w:numId="23">
    <w:abstractNumId w:val="2"/>
  </w:num>
  <w:num w:numId="24">
    <w:abstractNumId w:val="32"/>
  </w:num>
  <w:num w:numId="25">
    <w:abstractNumId w:val="18"/>
  </w:num>
  <w:num w:numId="26">
    <w:abstractNumId w:val="23"/>
  </w:num>
  <w:num w:numId="27">
    <w:abstractNumId w:val="25"/>
  </w:num>
  <w:num w:numId="28">
    <w:abstractNumId w:val="22"/>
  </w:num>
  <w:num w:numId="29">
    <w:abstractNumId w:val="28"/>
  </w:num>
  <w:num w:numId="30">
    <w:abstractNumId w:val="34"/>
  </w:num>
  <w:num w:numId="31">
    <w:abstractNumId w:val="7"/>
  </w:num>
  <w:num w:numId="32">
    <w:abstractNumId w:val="35"/>
  </w:num>
  <w:num w:numId="33">
    <w:abstractNumId w:val="15"/>
  </w:num>
  <w:num w:numId="34">
    <w:abstractNumId w:val="16"/>
  </w:num>
  <w:num w:numId="35">
    <w:abstractNumId w:val="8"/>
  </w:num>
  <w:num w:numId="36">
    <w:abstractNumId w:val="1"/>
  </w:num>
  <w:num w:numId="37">
    <w:abstractNumId w:val="27"/>
  </w:num>
  <w:num w:numId="38">
    <w:abstractNumId w:val="36"/>
  </w:num>
  <w:num w:numId="39">
    <w:abstractNumId w:val="0"/>
  </w:num>
  <w:num w:numId="40">
    <w:abstractNumId w:val="13"/>
  </w:num>
  <w:num w:numId="41">
    <w:abstractNumId w:val="19"/>
  </w:num>
  <w:num w:numId="42">
    <w:abstractNumId w:val="37"/>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46DC0"/>
    <w:rsid w:val="00000A1D"/>
    <w:rsid w:val="00001C25"/>
    <w:rsid w:val="00003748"/>
    <w:rsid w:val="000041DE"/>
    <w:rsid w:val="000041F8"/>
    <w:rsid w:val="000046DB"/>
    <w:rsid w:val="00004DCC"/>
    <w:rsid w:val="00005918"/>
    <w:rsid w:val="00006258"/>
    <w:rsid w:val="00006AAC"/>
    <w:rsid w:val="00010C34"/>
    <w:rsid w:val="00010DE5"/>
    <w:rsid w:val="000122F6"/>
    <w:rsid w:val="00012386"/>
    <w:rsid w:val="000133B4"/>
    <w:rsid w:val="00013822"/>
    <w:rsid w:val="00015B02"/>
    <w:rsid w:val="00015C42"/>
    <w:rsid w:val="000171F2"/>
    <w:rsid w:val="00017848"/>
    <w:rsid w:val="00017AE3"/>
    <w:rsid w:val="00017FCE"/>
    <w:rsid w:val="00020248"/>
    <w:rsid w:val="00020BCA"/>
    <w:rsid w:val="0002152D"/>
    <w:rsid w:val="00022245"/>
    <w:rsid w:val="00024611"/>
    <w:rsid w:val="00026198"/>
    <w:rsid w:val="0002635B"/>
    <w:rsid w:val="0002650A"/>
    <w:rsid w:val="00026666"/>
    <w:rsid w:val="00027772"/>
    <w:rsid w:val="00027A38"/>
    <w:rsid w:val="00027C3E"/>
    <w:rsid w:val="000301E7"/>
    <w:rsid w:val="00030CB5"/>
    <w:rsid w:val="00030E3F"/>
    <w:rsid w:val="00030E94"/>
    <w:rsid w:val="00030EB2"/>
    <w:rsid w:val="00031C1F"/>
    <w:rsid w:val="0003517A"/>
    <w:rsid w:val="00036335"/>
    <w:rsid w:val="00036E4F"/>
    <w:rsid w:val="00037135"/>
    <w:rsid w:val="000372A6"/>
    <w:rsid w:val="00037C57"/>
    <w:rsid w:val="00040193"/>
    <w:rsid w:val="00043AD8"/>
    <w:rsid w:val="00043AFF"/>
    <w:rsid w:val="000440BA"/>
    <w:rsid w:val="000458AF"/>
    <w:rsid w:val="00045B3B"/>
    <w:rsid w:val="000461F8"/>
    <w:rsid w:val="00046275"/>
    <w:rsid w:val="00050217"/>
    <w:rsid w:val="00050CB4"/>
    <w:rsid w:val="000542FE"/>
    <w:rsid w:val="00054342"/>
    <w:rsid w:val="00055557"/>
    <w:rsid w:val="00055614"/>
    <w:rsid w:val="00055678"/>
    <w:rsid w:val="000558A4"/>
    <w:rsid w:val="00055BF7"/>
    <w:rsid w:val="000562DD"/>
    <w:rsid w:val="00056494"/>
    <w:rsid w:val="00056A0D"/>
    <w:rsid w:val="00056A32"/>
    <w:rsid w:val="0006018F"/>
    <w:rsid w:val="000618B0"/>
    <w:rsid w:val="00061BCA"/>
    <w:rsid w:val="00062B02"/>
    <w:rsid w:val="000639C0"/>
    <w:rsid w:val="000645B7"/>
    <w:rsid w:val="00065FB3"/>
    <w:rsid w:val="00066DE1"/>
    <w:rsid w:val="00067425"/>
    <w:rsid w:val="00067649"/>
    <w:rsid w:val="00070071"/>
    <w:rsid w:val="0007132D"/>
    <w:rsid w:val="00072AF0"/>
    <w:rsid w:val="00072AF9"/>
    <w:rsid w:val="00075F42"/>
    <w:rsid w:val="00076693"/>
    <w:rsid w:val="000779FB"/>
    <w:rsid w:val="0008055E"/>
    <w:rsid w:val="000806DD"/>
    <w:rsid w:val="00081256"/>
    <w:rsid w:val="0008146B"/>
    <w:rsid w:val="0008155B"/>
    <w:rsid w:val="00081AD9"/>
    <w:rsid w:val="00081EF7"/>
    <w:rsid w:val="000825A5"/>
    <w:rsid w:val="00083B41"/>
    <w:rsid w:val="000849C6"/>
    <w:rsid w:val="00084B11"/>
    <w:rsid w:val="00084ED5"/>
    <w:rsid w:val="00085084"/>
    <w:rsid w:val="000852A0"/>
    <w:rsid w:val="000857EC"/>
    <w:rsid w:val="000873F0"/>
    <w:rsid w:val="00090848"/>
    <w:rsid w:val="00090EF9"/>
    <w:rsid w:val="000914BB"/>
    <w:rsid w:val="00091981"/>
    <w:rsid w:val="00092D03"/>
    <w:rsid w:val="00093453"/>
    <w:rsid w:val="00093F4B"/>
    <w:rsid w:val="00093FBF"/>
    <w:rsid w:val="000940AE"/>
    <w:rsid w:val="000958BA"/>
    <w:rsid w:val="00095963"/>
    <w:rsid w:val="00096F13"/>
    <w:rsid w:val="000975BE"/>
    <w:rsid w:val="000A032E"/>
    <w:rsid w:val="000A1565"/>
    <w:rsid w:val="000A1CD2"/>
    <w:rsid w:val="000A3E06"/>
    <w:rsid w:val="000A4562"/>
    <w:rsid w:val="000A4F90"/>
    <w:rsid w:val="000A4FDD"/>
    <w:rsid w:val="000A5853"/>
    <w:rsid w:val="000A5A66"/>
    <w:rsid w:val="000A641E"/>
    <w:rsid w:val="000A64D4"/>
    <w:rsid w:val="000A6601"/>
    <w:rsid w:val="000A6D53"/>
    <w:rsid w:val="000A7348"/>
    <w:rsid w:val="000A7636"/>
    <w:rsid w:val="000A7895"/>
    <w:rsid w:val="000A7B25"/>
    <w:rsid w:val="000A7F37"/>
    <w:rsid w:val="000B0F48"/>
    <w:rsid w:val="000B1038"/>
    <w:rsid w:val="000B145C"/>
    <w:rsid w:val="000B1A5A"/>
    <w:rsid w:val="000B1A76"/>
    <w:rsid w:val="000B33DC"/>
    <w:rsid w:val="000B343C"/>
    <w:rsid w:val="000B3C23"/>
    <w:rsid w:val="000B5005"/>
    <w:rsid w:val="000B5635"/>
    <w:rsid w:val="000B5EB4"/>
    <w:rsid w:val="000B6101"/>
    <w:rsid w:val="000B7009"/>
    <w:rsid w:val="000C0184"/>
    <w:rsid w:val="000C0C39"/>
    <w:rsid w:val="000C1363"/>
    <w:rsid w:val="000C1A89"/>
    <w:rsid w:val="000C257B"/>
    <w:rsid w:val="000C2D12"/>
    <w:rsid w:val="000C3208"/>
    <w:rsid w:val="000C326B"/>
    <w:rsid w:val="000C3DB8"/>
    <w:rsid w:val="000C4284"/>
    <w:rsid w:val="000C47A9"/>
    <w:rsid w:val="000C5A09"/>
    <w:rsid w:val="000C5E98"/>
    <w:rsid w:val="000C60D3"/>
    <w:rsid w:val="000D1CC6"/>
    <w:rsid w:val="000D200A"/>
    <w:rsid w:val="000D23A2"/>
    <w:rsid w:val="000D2C7D"/>
    <w:rsid w:val="000D5D88"/>
    <w:rsid w:val="000D6816"/>
    <w:rsid w:val="000D7277"/>
    <w:rsid w:val="000D7A50"/>
    <w:rsid w:val="000E0F1F"/>
    <w:rsid w:val="000E122E"/>
    <w:rsid w:val="000E170E"/>
    <w:rsid w:val="000E1BE4"/>
    <w:rsid w:val="000E28A7"/>
    <w:rsid w:val="000E2A4A"/>
    <w:rsid w:val="000E389E"/>
    <w:rsid w:val="000E4301"/>
    <w:rsid w:val="000E47A6"/>
    <w:rsid w:val="000E4F39"/>
    <w:rsid w:val="000E6AD0"/>
    <w:rsid w:val="000E7C8B"/>
    <w:rsid w:val="000F05A6"/>
    <w:rsid w:val="000F16F8"/>
    <w:rsid w:val="000F1D86"/>
    <w:rsid w:val="000F2B0B"/>
    <w:rsid w:val="000F31AD"/>
    <w:rsid w:val="000F46F2"/>
    <w:rsid w:val="000F494E"/>
    <w:rsid w:val="000F5742"/>
    <w:rsid w:val="000F6E06"/>
    <w:rsid w:val="000F70B7"/>
    <w:rsid w:val="001000F7"/>
    <w:rsid w:val="00100790"/>
    <w:rsid w:val="00100AAC"/>
    <w:rsid w:val="00101EC0"/>
    <w:rsid w:val="0010244B"/>
    <w:rsid w:val="001058B8"/>
    <w:rsid w:val="00112124"/>
    <w:rsid w:val="00112D70"/>
    <w:rsid w:val="00114970"/>
    <w:rsid w:val="0011781B"/>
    <w:rsid w:val="00117BAD"/>
    <w:rsid w:val="00117F54"/>
    <w:rsid w:val="00120673"/>
    <w:rsid w:val="00120687"/>
    <w:rsid w:val="00120827"/>
    <w:rsid w:val="00120B30"/>
    <w:rsid w:val="00120FED"/>
    <w:rsid w:val="0012122D"/>
    <w:rsid w:val="001221D3"/>
    <w:rsid w:val="00122C2F"/>
    <w:rsid w:val="00126250"/>
    <w:rsid w:val="001266B8"/>
    <w:rsid w:val="00127824"/>
    <w:rsid w:val="001305AF"/>
    <w:rsid w:val="00131707"/>
    <w:rsid w:val="00131B3D"/>
    <w:rsid w:val="001337E9"/>
    <w:rsid w:val="00133BE1"/>
    <w:rsid w:val="001355D6"/>
    <w:rsid w:val="001400A3"/>
    <w:rsid w:val="001407B9"/>
    <w:rsid w:val="0014136E"/>
    <w:rsid w:val="00141C7E"/>
    <w:rsid w:val="00143BE4"/>
    <w:rsid w:val="00143E86"/>
    <w:rsid w:val="00143F2A"/>
    <w:rsid w:val="0014467C"/>
    <w:rsid w:val="00144C9B"/>
    <w:rsid w:val="00145D9F"/>
    <w:rsid w:val="00146045"/>
    <w:rsid w:val="00150133"/>
    <w:rsid w:val="0015018A"/>
    <w:rsid w:val="00150225"/>
    <w:rsid w:val="0015027F"/>
    <w:rsid w:val="0015048B"/>
    <w:rsid w:val="00150CD8"/>
    <w:rsid w:val="001540D7"/>
    <w:rsid w:val="001545ED"/>
    <w:rsid w:val="00154F5F"/>
    <w:rsid w:val="001551EB"/>
    <w:rsid w:val="001559A8"/>
    <w:rsid w:val="0015777B"/>
    <w:rsid w:val="00157ADA"/>
    <w:rsid w:val="00165297"/>
    <w:rsid w:val="00166003"/>
    <w:rsid w:val="00171ACD"/>
    <w:rsid w:val="001726ED"/>
    <w:rsid w:val="00172DF0"/>
    <w:rsid w:val="00172E5F"/>
    <w:rsid w:val="00173623"/>
    <w:rsid w:val="00174B5F"/>
    <w:rsid w:val="00175E4B"/>
    <w:rsid w:val="00176B01"/>
    <w:rsid w:val="00176E17"/>
    <w:rsid w:val="00176F79"/>
    <w:rsid w:val="001810EC"/>
    <w:rsid w:val="00181958"/>
    <w:rsid w:val="001819FD"/>
    <w:rsid w:val="00182527"/>
    <w:rsid w:val="00183A39"/>
    <w:rsid w:val="00183EBB"/>
    <w:rsid w:val="00187AFC"/>
    <w:rsid w:val="00187AFD"/>
    <w:rsid w:val="0019093F"/>
    <w:rsid w:val="00191309"/>
    <w:rsid w:val="00191C44"/>
    <w:rsid w:val="00191E85"/>
    <w:rsid w:val="00192E92"/>
    <w:rsid w:val="00195C39"/>
    <w:rsid w:val="00195FCB"/>
    <w:rsid w:val="001A11AD"/>
    <w:rsid w:val="001A1E27"/>
    <w:rsid w:val="001A2996"/>
    <w:rsid w:val="001A39F4"/>
    <w:rsid w:val="001A420F"/>
    <w:rsid w:val="001A4A32"/>
    <w:rsid w:val="001A577C"/>
    <w:rsid w:val="001A5F15"/>
    <w:rsid w:val="001A7439"/>
    <w:rsid w:val="001A76CF"/>
    <w:rsid w:val="001A7D6B"/>
    <w:rsid w:val="001B07DA"/>
    <w:rsid w:val="001B1425"/>
    <w:rsid w:val="001B1B1A"/>
    <w:rsid w:val="001B2B78"/>
    <w:rsid w:val="001B30E7"/>
    <w:rsid w:val="001B4DA2"/>
    <w:rsid w:val="001B50AC"/>
    <w:rsid w:val="001B5187"/>
    <w:rsid w:val="001B531A"/>
    <w:rsid w:val="001B68F7"/>
    <w:rsid w:val="001B6AA3"/>
    <w:rsid w:val="001B6D12"/>
    <w:rsid w:val="001B7521"/>
    <w:rsid w:val="001B7BFE"/>
    <w:rsid w:val="001C03DA"/>
    <w:rsid w:val="001C0A03"/>
    <w:rsid w:val="001C0A17"/>
    <w:rsid w:val="001C0CB8"/>
    <w:rsid w:val="001C15BE"/>
    <w:rsid w:val="001C214D"/>
    <w:rsid w:val="001C233C"/>
    <w:rsid w:val="001C2811"/>
    <w:rsid w:val="001C3F34"/>
    <w:rsid w:val="001C4F3F"/>
    <w:rsid w:val="001C6E16"/>
    <w:rsid w:val="001C72A8"/>
    <w:rsid w:val="001D15AE"/>
    <w:rsid w:val="001D2091"/>
    <w:rsid w:val="001D2462"/>
    <w:rsid w:val="001D26DD"/>
    <w:rsid w:val="001D2DAF"/>
    <w:rsid w:val="001D2E52"/>
    <w:rsid w:val="001D32B2"/>
    <w:rsid w:val="001D3882"/>
    <w:rsid w:val="001D4C98"/>
    <w:rsid w:val="001D5097"/>
    <w:rsid w:val="001D59BA"/>
    <w:rsid w:val="001D758E"/>
    <w:rsid w:val="001E00D8"/>
    <w:rsid w:val="001E0272"/>
    <w:rsid w:val="001E0BA8"/>
    <w:rsid w:val="001E1E33"/>
    <w:rsid w:val="001E2072"/>
    <w:rsid w:val="001E3FDE"/>
    <w:rsid w:val="001E66F8"/>
    <w:rsid w:val="001E6A25"/>
    <w:rsid w:val="001E70AF"/>
    <w:rsid w:val="001E74AA"/>
    <w:rsid w:val="001E7549"/>
    <w:rsid w:val="001E7E61"/>
    <w:rsid w:val="001F05E9"/>
    <w:rsid w:val="001F16FA"/>
    <w:rsid w:val="001F1B5B"/>
    <w:rsid w:val="001F2B5E"/>
    <w:rsid w:val="00200538"/>
    <w:rsid w:val="0020087E"/>
    <w:rsid w:val="00201AAF"/>
    <w:rsid w:val="002022EA"/>
    <w:rsid w:val="00202A8E"/>
    <w:rsid w:val="00202DEC"/>
    <w:rsid w:val="00203EC5"/>
    <w:rsid w:val="0020409F"/>
    <w:rsid w:val="0020430A"/>
    <w:rsid w:val="0020437B"/>
    <w:rsid w:val="002047C8"/>
    <w:rsid w:val="00204E90"/>
    <w:rsid w:val="00204FEA"/>
    <w:rsid w:val="002059D0"/>
    <w:rsid w:val="00206108"/>
    <w:rsid w:val="00206294"/>
    <w:rsid w:val="00206F2D"/>
    <w:rsid w:val="00207551"/>
    <w:rsid w:val="002105AC"/>
    <w:rsid w:val="00210827"/>
    <w:rsid w:val="00211137"/>
    <w:rsid w:val="002117CB"/>
    <w:rsid w:val="00212688"/>
    <w:rsid w:val="00212777"/>
    <w:rsid w:val="002139DB"/>
    <w:rsid w:val="0021513B"/>
    <w:rsid w:val="00215D5E"/>
    <w:rsid w:val="00217AE3"/>
    <w:rsid w:val="00220668"/>
    <w:rsid w:val="002206F1"/>
    <w:rsid w:val="00220F87"/>
    <w:rsid w:val="0022213F"/>
    <w:rsid w:val="0022421B"/>
    <w:rsid w:val="00224F44"/>
    <w:rsid w:val="00225158"/>
    <w:rsid w:val="00225479"/>
    <w:rsid w:val="00225E86"/>
    <w:rsid w:val="00225FB5"/>
    <w:rsid w:val="002267AE"/>
    <w:rsid w:val="002267F3"/>
    <w:rsid w:val="002270F5"/>
    <w:rsid w:val="0022768E"/>
    <w:rsid w:val="00230897"/>
    <w:rsid w:val="0023172E"/>
    <w:rsid w:val="00232465"/>
    <w:rsid w:val="002331CF"/>
    <w:rsid w:val="00233342"/>
    <w:rsid w:val="002334F6"/>
    <w:rsid w:val="00233810"/>
    <w:rsid w:val="00233C54"/>
    <w:rsid w:val="00233FFC"/>
    <w:rsid w:val="00236137"/>
    <w:rsid w:val="002400B7"/>
    <w:rsid w:val="00240E4D"/>
    <w:rsid w:val="00242C4C"/>
    <w:rsid w:val="00243874"/>
    <w:rsid w:val="002439BD"/>
    <w:rsid w:val="00243AD7"/>
    <w:rsid w:val="00243C65"/>
    <w:rsid w:val="00244C43"/>
    <w:rsid w:val="00244C7C"/>
    <w:rsid w:val="002467C4"/>
    <w:rsid w:val="00246A0A"/>
    <w:rsid w:val="00246F39"/>
    <w:rsid w:val="00250412"/>
    <w:rsid w:val="00250C75"/>
    <w:rsid w:val="002515F3"/>
    <w:rsid w:val="00251DF4"/>
    <w:rsid w:val="0025339E"/>
    <w:rsid w:val="00253A41"/>
    <w:rsid w:val="00254D7F"/>
    <w:rsid w:val="0025512B"/>
    <w:rsid w:val="002558A5"/>
    <w:rsid w:val="00255FA4"/>
    <w:rsid w:val="00256217"/>
    <w:rsid w:val="00256D70"/>
    <w:rsid w:val="00256E11"/>
    <w:rsid w:val="00260D26"/>
    <w:rsid w:val="00261CD9"/>
    <w:rsid w:val="00263147"/>
    <w:rsid w:val="00264A12"/>
    <w:rsid w:val="00264E09"/>
    <w:rsid w:val="0026525D"/>
    <w:rsid w:val="0026529E"/>
    <w:rsid w:val="00265FDD"/>
    <w:rsid w:val="002661F9"/>
    <w:rsid w:val="002664F4"/>
    <w:rsid w:val="0026695F"/>
    <w:rsid w:val="00271B66"/>
    <w:rsid w:val="0027271A"/>
    <w:rsid w:val="002737FC"/>
    <w:rsid w:val="00273975"/>
    <w:rsid w:val="00275461"/>
    <w:rsid w:val="00275888"/>
    <w:rsid w:val="00275AF5"/>
    <w:rsid w:val="00276237"/>
    <w:rsid w:val="00277648"/>
    <w:rsid w:val="00280ED0"/>
    <w:rsid w:val="00281136"/>
    <w:rsid w:val="0028233E"/>
    <w:rsid w:val="00282B84"/>
    <w:rsid w:val="002832A1"/>
    <w:rsid w:val="002839BE"/>
    <w:rsid w:val="00283BE4"/>
    <w:rsid w:val="00285F19"/>
    <w:rsid w:val="002879A2"/>
    <w:rsid w:val="00290472"/>
    <w:rsid w:val="00291418"/>
    <w:rsid w:val="0029298B"/>
    <w:rsid w:val="00292E54"/>
    <w:rsid w:val="002941F0"/>
    <w:rsid w:val="0029571D"/>
    <w:rsid w:val="00295C48"/>
    <w:rsid w:val="00296BCD"/>
    <w:rsid w:val="00296DCE"/>
    <w:rsid w:val="00297656"/>
    <w:rsid w:val="002A0AAE"/>
    <w:rsid w:val="002A1110"/>
    <w:rsid w:val="002A1485"/>
    <w:rsid w:val="002A15BA"/>
    <w:rsid w:val="002A2FD0"/>
    <w:rsid w:val="002A4793"/>
    <w:rsid w:val="002A543B"/>
    <w:rsid w:val="002A5F26"/>
    <w:rsid w:val="002A6B6A"/>
    <w:rsid w:val="002A6B89"/>
    <w:rsid w:val="002A6ED9"/>
    <w:rsid w:val="002B0CAB"/>
    <w:rsid w:val="002B1608"/>
    <w:rsid w:val="002B29DF"/>
    <w:rsid w:val="002B32ED"/>
    <w:rsid w:val="002B33AD"/>
    <w:rsid w:val="002B482A"/>
    <w:rsid w:val="002B55D7"/>
    <w:rsid w:val="002B57CF"/>
    <w:rsid w:val="002B58BD"/>
    <w:rsid w:val="002B7254"/>
    <w:rsid w:val="002B72F1"/>
    <w:rsid w:val="002B7BC4"/>
    <w:rsid w:val="002C0ADA"/>
    <w:rsid w:val="002C1281"/>
    <w:rsid w:val="002C2797"/>
    <w:rsid w:val="002C5BB1"/>
    <w:rsid w:val="002C6B30"/>
    <w:rsid w:val="002C7DF8"/>
    <w:rsid w:val="002D2197"/>
    <w:rsid w:val="002D28C2"/>
    <w:rsid w:val="002D5B4E"/>
    <w:rsid w:val="002D6BDD"/>
    <w:rsid w:val="002D70F3"/>
    <w:rsid w:val="002D7825"/>
    <w:rsid w:val="002E02E3"/>
    <w:rsid w:val="002E2144"/>
    <w:rsid w:val="002E29C6"/>
    <w:rsid w:val="002E3E71"/>
    <w:rsid w:val="002E4092"/>
    <w:rsid w:val="002E46A5"/>
    <w:rsid w:val="002E635E"/>
    <w:rsid w:val="002E6E02"/>
    <w:rsid w:val="002E7253"/>
    <w:rsid w:val="002F08A0"/>
    <w:rsid w:val="002F23FB"/>
    <w:rsid w:val="002F71BB"/>
    <w:rsid w:val="002F71EB"/>
    <w:rsid w:val="002F7757"/>
    <w:rsid w:val="003000F3"/>
    <w:rsid w:val="00300CE4"/>
    <w:rsid w:val="00302033"/>
    <w:rsid w:val="0030212B"/>
    <w:rsid w:val="003034BD"/>
    <w:rsid w:val="00304508"/>
    <w:rsid w:val="0030453C"/>
    <w:rsid w:val="00304D59"/>
    <w:rsid w:val="00310CC4"/>
    <w:rsid w:val="00310DCF"/>
    <w:rsid w:val="0031108B"/>
    <w:rsid w:val="003112E6"/>
    <w:rsid w:val="00312343"/>
    <w:rsid w:val="00315315"/>
    <w:rsid w:val="00315DB0"/>
    <w:rsid w:val="00317359"/>
    <w:rsid w:val="0031749B"/>
    <w:rsid w:val="00320F00"/>
    <w:rsid w:val="003216DB"/>
    <w:rsid w:val="003231BD"/>
    <w:rsid w:val="003238E9"/>
    <w:rsid w:val="00323D68"/>
    <w:rsid w:val="00324F31"/>
    <w:rsid w:val="00325795"/>
    <w:rsid w:val="00330D52"/>
    <w:rsid w:val="00333118"/>
    <w:rsid w:val="00333B20"/>
    <w:rsid w:val="003344A8"/>
    <w:rsid w:val="00334C8B"/>
    <w:rsid w:val="00335207"/>
    <w:rsid w:val="003356A5"/>
    <w:rsid w:val="00335BB3"/>
    <w:rsid w:val="00336FB8"/>
    <w:rsid w:val="00337B5B"/>
    <w:rsid w:val="00341A0C"/>
    <w:rsid w:val="00341A3E"/>
    <w:rsid w:val="003423E6"/>
    <w:rsid w:val="00342EA7"/>
    <w:rsid w:val="003436E4"/>
    <w:rsid w:val="003453EA"/>
    <w:rsid w:val="00346969"/>
    <w:rsid w:val="00346DE4"/>
    <w:rsid w:val="003470C8"/>
    <w:rsid w:val="003478AE"/>
    <w:rsid w:val="003478F2"/>
    <w:rsid w:val="003509A9"/>
    <w:rsid w:val="00350F50"/>
    <w:rsid w:val="00350FBA"/>
    <w:rsid w:val="00351C62"/>
    <w:rsid w:val="00351CCA"/>
    <w:rsid w:val="00352143"/>
    <w:rsid w:val="0035243A"/>
    <w:rsid w:val="00353C55"/>
    <w:rsid w:val="00354C25"/>
    <w:rsid w:val="00355497"/>
    <w:rsid w:val="00355859"/>
    <w:rsid w:val="003609B3"/>
    <w:rsid w:val="00362453"/>
    <w:rsid w:val="003637A4"/>
    <w:rsid w:val="00364213"/>
    <w:rsid w:val="00364BD3"/>
    <w:rsid w:val="003666EE"/>
    <w:rsid w:val="00366737"/>
    <w:rsid w:val="00370643"/>
    <w:rsid w:val="003711C9"/>
    <w:rsid w:val="0037238B"/>
    <w:rsid w:val="00373A54"/>
    <w:rsid w:val="00374FA4"/>
    <w:rsid w:val="00375F07"/>
    <w:rsid w:val="00376262"/>
    <w:rsid w:val="00376510"/>
    <w:rsid w:val="00376595"/>
    <w:rsid w:val="003773B9"/>
    <w:rsid w:val="00377CA5"/>
    <w:rsid w:val="003816D8"/>
    <w:rsid w:val="003822BB"/>
    <w:rsid w:val="00383366"/>
    <w:rsid w:val="0038369A"/>
    <w:rsid w:val="003845ED"/>
    <w:rsid w:val="003855E1"/>
    <w:rsid w:val="00385AAF"/>
    <w:rsid w:val="003861AC"/>
    <w:rsid w:val="0038736E"/>
    <w:rsid w:val="003876D5"/>
    <w:rsid w:val="003879A9"/>
    <w:rsid w:val="00390711"/>
    <w:rsid w:val="00392AAD"/>
    <w:rsid w:val="00392F42"/>
    <w:rsid w:val="0039352C"/>
    <w:rsid w:val="003947D1"/>
    <w:rsid w:val="00395BE3"/>
    <w:rsid w:val="0039635A"/>
    <w:rsid w:val="00396F86"/>
    <w:rsid w:val="003A1004"/>
    <w:rsid w:val="003A2D5F"/>
    <w:rsid w:val="003A3718"/>
    <w:rsid w:val="003A544C"/>
    <w:rsid w:val="003A55B1"/>
    <w:rsid w:val="003A5F5E"/>
    <w:rsid w:val="003A6998"/>
    <w:rsid w:val="003A6DF5"/>
    <w:rsid w:val="003B02AB"/>
    <w:rsid w:val="003B1B49"/>
    <w:rsid w:val="003B1DF6"/>
    <w:rsid w:val="003B2111"/>
    <w:rsid w:val="003B38DB"/>
    <w:rsid w:val="003B4466"/>
    <w:rsid w:val="003B4B9C"/>
    <w:rsid w:val="003B5168"/>
    <w:rsid w:val="003B6A1A"/>
    <w:rsid w:val="003B7707"/>
    <w:rsid w:val="003B77E5"/>
    <w:rsid w:val="003C0B01"/>
    <w:rsid w:val="003C0FED"/>
    <w:rsid w:val="003C0FF8"/>
    <w:rsid w:val="003C2F91"/>
    <w:rsid w:val="003C3D25"/>
    <w:rsid w:val="003C44AF"/>
    <w:rsid w:val="003C4750"/>
    <w:rsid w:val="003C4964"/>
    <w:rsid w:val="003C542E"/>
    <w:rsid w:val="003C7C8A"/>
    <w:rsid w:val="003D069E"/>
    <w:rsid w:val="003D0FEB"/>
    <w:rsid w:val="003D2182"/>
    <w:rsid w:val="003D68CE"/>
    <w:rsid w:val="003D76B9"/>
    <w:rsid w:val="003E0624"/>
    <w:rsid w:val="003E0769"/>
    <w:rsid w:val="003E07C4"/>
    <w:rsid w:val="003E30B9"/>
    <w:rsid w:val="003E4B8F"/>
    <w:rsid w:val="003E6CC1"/>
    <w:rsid w:val="003F0143"/>
    <w:rsid w:val="003F06A1"/>
    <w:rsid w:val="003F07DF"/>
    <w:rsid w:val="003F2A7E"/>
    <w:rsid w:val="003F302F"/>
    <w:rsid w:val="003F350D"/>
    <w:rsid w:val="003F3BD3"/>
    <w:rsid w:val="003F42FB"/>
    <w:rsid w:val="003F5AD2"/>
    <w:rsid w:val="003F6DEC"/>
    <w:rsid w:val="003F6F9F"/>
    <w:rsid w:val="00403299"/>
    <w:rsid w:val="00404633"/>
    <w:rsid w:val="00404939"/>
    <w:rsid w:val="0040493F"/>
    <w:rsid w:val="00405A89"/>
    <w:rsid w:val="004068FC"/>
    <w:rsid w:val="004072F8"/>
    <w:rsid w:val="0040753D"/>
    <w:rsid w:val="00412460"/>
    <w:rsid w:val="00412E5F"/>
    <w:rsid w:val="00413ECE"/>
    <w:rsid w:val="0041410D"/>
    <w:rsid w:val="00414777"/>
    <w:rsid w:val="00414DA8"/>
    <w:rsid w:val="004167CC"/>
    <w:rsid w:val="00416A64"/>
    <w:rsid w:val="00416D98"/>
    <w:rsid w:val="00420CC5"/>
    <w:rsid w:val="00421040"/>
    <w:rsid w:val="004210A8"/>
    <w:rsid w:val="00421605"/>
    <w:rsid w:val="00421A41"/>
    <w:rsid w:val="00422878"/>
    <w:rsid w:val="00423A0E"/>
    <w:rsid w:val="00424FFA"/>
    <w:rsid w:val="0042578F"/>
    <w:rsid w:val="004275AF"/>
    <w:rsid w:val="00427A1A"/>
    <w:rsid w:val="00432C32"/>
    <w:rsid w:val="004331C4"/>
    <w:rsid w:val="004333C2"/>
    <w:rsid w:val="00433DE8"/>
    <w:rsid w:val="004359F9"/>
    <w:rsid w:val="00435EBC"/>
    <w:rsid w:val="00436F75"/>
    <w:rsid w:val="0043715D"/>
    <w:rsid w:val="00437286"/>
    <w:rsid w:val="00437B52"/>
    <w:rsid w:val="00440207"/>
    <w:rsid w:val="00440AE1"/>
    <w:rsid w:val="00440BE4"/>
    <w:rsid w:val="00440FCA"/>
    <w:rsid w:val="00441306"/>
    <w:rsid w:val="0044150E"/>
    <w:rsid w:val="004415FE"/>
    <w:rsid w:val="004423BF"/>
    <w:rsid w:val="00442649"/>
    <w:rsid w:val="0044555E"/>
    <w:rsid w:val="0044614D"/>
    <w:rsid w:val="00446D90"/>
    <w:rsid w:val="00447781"/>
    <w:rsid w:val="00447BDA"/>
    <w:rsid w:val="004500D2"/>
    <w:rsid w:val="0045083E"/>
    <w:rsid w:val="00451C0D"/>
    <w:rsid w:val="00455F29"/>
    <w:rsid w:val="0045616F"/>
    <w:rsid w:val="00456B4C"/>
    <w:rsid w:val="004576FA"/>
    <w:rsid w:val="0046012A"/>
    <w:rsid w:val="00460CD5"/>
    <w:rsid w:val="00460E18"/>
    <w:rsid w:val="00461165"/>
    <w:rsid w:val="00462839"/>
    <w:rsid w:val="00462D5C"/>
    <w:rsid w:val="0046353F"/>
    <w:rsid w:val="00463D5A"/>
    <w:rsid w:val="0046461A"/>
    <w:rsid w:val="0046543A"/>
    <w:rsid w:val="00467BF4"/>
    <w:rsid w:val="0047027D"/>
    <w:rsid w:val="004710FF"/>
    <w:rsid w:val="00472878"/>
    <w:rsid w:val="004729C0"/>
    <w:rsid w:val="00472E9C"/>
    <w:rsid w:val="00473979"/>
    <w:rsid w:val="00474BF9"/>
    <w:rsid w:val="00474FB5"/>
    <w:rsid w:val="00475B3B"/>
    <w:rsid w:val="00476AFB"/>
    <w:rsid w:val="00476D8F"/>
    <w:rsid w:val="00477162"/>
    <w:rsid w:val="0047717F"/>
    <w:rsid w:val="00477505"/>
    <w:rsid w:val="004813A6"/>
    <w:rsid w:val="00481702"/>
    <w:rsid w:val="004818CA"/>
    <w:rsid w:val="00481ABF"/>
    <w:rsid w:val="00483F6E"/>
    <w:rsid w:val="00484901"/>
    <w:rsid w:val="00484A36"/>
    <w:rsid w:val="00485B2A"/>
    <w:rsid w:val="00487068"/>
    <w:rsid w:val="00487C2E"/>
    <w:rsid w:val="0049086A"/>
    <w:rsid w:val="0049095A"/>
    <w:rsid w:val="00490D8C"/>
    <w:rsid w:val="0049142B"/>
    <w:rsid w:val="0049182E"/>
    <w:rsid w:val="00491C93"/>
    <w:rsid w:val="00492FF9"/>
    <w:rsid w:val="00493310"/>
    <w:rsid w:val="0049375E"/>
    <w:rsid w:val="00494AD9"/>
    <w:rsid w:val="00497C92"/>
    <w:rsid w:val="004A0AD9"/>
    <w:rsid w:val="004A0BFF"/>
    <w:rsid w:val="004A1540"/>
    <w:rsid w:val="004A1A80"/>
    <w:rsid w:val="004A1DF9"/>
    <w:rsid w:val="004A2660"/>
    <w:rsid w:val="004A295F"/>
    <w:rsid w:val="004A2D15"/>
    <w:rsid w:val="004A4844"/>
    <w:rsid w:val="004A4E11"/>
    <w:rsid w:val="004A5FB8"/>
    <w:rsid w:val="004A7159"/>
    <w:rsid w:val="004A773A"/>
    <w:rsid w:val="004B0953"/>
    <w:rsid w:val="004B09D5"/>
    <w:rsid w:val="004B1221"/>
    <w:rsid w:val="004B1474"/>
    <w:rsid w:val="004B1A1B"/>
    <w:rsid w:val="004B1EDA"/>
    <w:rsid w:val="004B2010"/>
    <w:rsid w:val="004B2623"/>
    <w:rsid w:val="004B3177"/>
    <w:rsid w:val="004B50C9"/>
    <w:rsid w:val="004B5134"/>
    <w:rsid w:val="004B58B9"/>
    <w:rsid w:val="004B633E"/>
    <w:rsid w:val="004B6A27"/>
    <w:rsid w:val="004B6F0A"/>
    <w:rsid w:val="004B7125"/>
    <w:rsid w:val="004B731E"/>
    <w:rsid w:val="004B7354"/>
    <w:rsid w:val="004C166D"/>
    <w:rsid w:val="004C2FBA"/>
    <w:rsid w:val="004C4F30"/>
    <w:rsid w:val="004C55B0"/>
    <w:rsid w:val="004C5842"/>
    <w:rsid w:val="004C59D4"/>
    <w:rsid w:val="004C5ABE"/>
    <w:rsid w:val="004C6487"/>
    <w:rsid w:val="004C6543"/>
    <w:rsid w:val="004C7634"/>
    <w:rsid w:val="004D035D"/>
    <w:rsid w:val="004D0BC7"/>
    <w:rsid w:val="004D0DE2"/>
    <w:rsid w:val="004D1387"/>
    <w:rsid w:val="004D29C1"/>
    <w:rsid w:val="004D46E2"/>
    <w:rsid w:val="004D72D6"/>
    <w:rsid w:val="004E2AC4"/>
    <w:rsid w:val="004E2B81"/>
    <w:rsid w:val="004E2C7D"/>
    <w:rsid w:val="004E7230"/>
    <w:rsid w:val="004E7D55"/>
    <w:rsid w:val="004F031A"/>
    <w:rsid w:val="004F0778"/>
    <w:rsid w:val="004F0ECF"/>
    <w:rsid w:val="004F0F81"/>
    <w:rsid w:val="004F1130"/>
    <w:rsid w:val="004F1277"/>
    <w:rsid w:val="004F19D0"/>
    <w:rsid w:val="004F20C4"/>
    <w:rsid w:val="004F235E"/>
    <w:rsid w:val="004F25F3"/>
    <w:rsid w:val="004F2EFB"/>
    <w:rsid w:val="004F3677"/>
    <w:rsid w:val="004F376C"/>
    <w:rsid w:val="004F42EF"/>
    <w:rsid w:val="004F5B67"/>
    <w:rsid w:val="004F5C79"/>
    <w:rsid w:val="004F5CCA"/>
    <w:rsid w:val="004F6DAF"/>
    <w:rsid w:val="004F6EFA"/>
    <w:rsid w:val="00501AA6"/>
    <w:rsid w:val="00501E07"/>
    <w:rsid w:val="00501F94"/>
    <w:rsid w:val="0050245A"/>
    <w:rsid w:val="0050265D"/>
    <w:rsid w:val="005026B0"/>
    <w:rsid w:val="00502968"/>
    <w:rsid w:val="00502B3D"/>
    <w:rsid w:val="00502CA2"/>
    <w:rsid w:val="00503D7B"/>
    <w:rsid w:val="00504A3B"/>
    <w:rsid w:val="00504E86"/>
    <w:rsid w:val="005053B8"/>
    <w:rsid w:val="005060C1"/>
    <w:rsid w:val="005108C7"/>
    <w:rsid w:val="00513E4E"/>
    <w:rsid w:val="00513F26"/>
    <w:rsid w:val="00514D3C"/>
    <w:rsid w:val="00514FB1"/>
    <w:rsid w:val="005150DD"/>
    <w:rsid w:val="005161DD"/>
    <w:rsid w:val="0051784A"/>
    <w:rsid w:val="00517F05"/>
    <w:rsid w:val="005213FF"/>
    <w:rsid w:val="005216CE"/>
    <w:rsid w:val="00523968"/>
    <w:rsid w:val="00523C47"/>
    <w:rsid w:val="00523EBB"/>
    <w:rsid w:val="00524DA5"/>
    <w:rsid w:val="00526873"/>
    <w:rsid w:val="00526FB2"/>
    <w:rsid w:val="00527EB4"/>
    <w:rsid w:val="00530AC4"/>
    <w:rsid w:val="00531AC1"/>
    <w:rsid w:val="00531CF9"/>
    <w:rsid w:val="00533783"/>
    <w:rsid w:val="00533DC1"/>
    <w:rsid w:val="0053417B"/>
    <w:rsid w:val="0053460F"/>
    <w:rsid w:val="0053463F"/>
    <w:rsid w:val="0053537C"/>
    <w:rsid w:val="00537975"/>
    <w:rsid w:val="00537A1C"/>
    <w:rsid w:val="00537E07"/>
    <w:rsid w:val="005407C7"/>
    <w:rsid w:val="005416AE"/>
    <w:rsid w:val="00541E7B"/>
    <w:rsid w:val="00542290"/>
    <w:rsid w:val="00544DB7"/>
    <w:rsid w:val="005453B6"/>
    <w:rsid w:val="0054657B"/>
    <w:rsid w:val="00546ACC"/>
    <w:rsid w:val="0054788D"/>
    <w:rsid w:val="005479A4"/>
    <w:rsid w:val="00550F85"/>
    <w:rsid w:val="00550FF5"/>
    <w:rsid w:val="00552DC8"/>
    <w:rsid w:val="00554E3D"/>
    <w:rsid w:val="00555C47"/>
    <w:rsid w:val="005562A8"/>
    <w:rsid w:val="0055752A"/>
    <w:rsid w:val="005576FE"/>
    <w:rsid w:val="00557954"/>
    <w:rsid w:val="005607C4"/>
    <w:rsid w:val="00560E40"/>
    <w:rsid w:val="00561A5D"/>
    <w:rsid w:val="00561E9E"/>
    <w:rsid w:val="0056384E"/>
    <w:rsid w:val="0056388D"/>
    <w:rsid w:val="00563E1D"/>
    <w:rsid w:val="005649A0"/>
    <w:rsid w:val="00565AD4"/>
    <w:rsid w:val="00565AFF"/>
    <w:rsid w:val="005666E6"/>
    <w:rsid w:val="00566D0E"/>
    <w:rsid w:val="00570900"/>
    <w:rsid w:val="0057098D"/>
    <w:rsid w:val="00570CED"/>
    <w:rsid w:val="00571796"/>
    <w:rsid w:val="00571DBE"/>
    <w:rsid w:val="00572CD3"/>
    <w:rsid w:val="005735D9"/>
    <w:rsid w:val="00574DA3"/>
    <w:rsid w:val="00575FF6"/>
    <w:rsid w:val="00577EE8"/>
    <w:rsid w:val="0058022A"/>
    <w:rsid w:val="00582183"/>
    <w:rsid w:val="00583285"/>
    <w:rsid w:val="00584F72"/>
    <w:rsid w:val="00586193"/>
    <w:rsid w:val="00587DA0"/>
    <w:rsid w:val="0059067A"/>
    <w:rsid w:val="00590800"/>
    <w:rsid w:val="00591DB2"/>
    <w:rsid w:val="00592F6E"/>
    <w:rsid w:val="00593FCA"/>
    <w:rsid w:val="005943F6"/>
    <w:rsid w:val="00594843"/>
    <w:rsid w:val="0059577F"/>
    <w:rsid w:val="00596951"/>
    <w:rsid w:val="00597FAD"/>
    <w:rsid w:val="005A0084"/>
    <w:rsid w:val="005A070E"/>
    <w:rsid w:val="005A0F1A"/>
    <w:rsid w:val="005A1B7E"/>
    <w:rsid w:val="005A1C90"/>
    <w:rsid w:val="005A1FA9"/>
    <w:rsid w:val="005A2545"/>
    <w:rsid w:val="005A2837"/>
    <w:rsid w:val="005A2DE0"/>
    <w:rsid w:val="005A2E17"/>
    <w:rsid w:val="005A2F91"/>
    <w:rsid w:val="005A301D"/>
    <w:rsid w:val="005A35FB"/>
    <w:rsid w:val="005A3ABE"/>
    <w:rsid w:val="005A548B"/>
    <w:rsid w:val="005A5A14"/>
    <w:rsid w:val="005A5C1D"/>
    <w:rsid w:val="005A6909"/>
    <w:rsid w:val="005A6E6F"/>
    <w:rsid w:val="005B06E9"/>
    <w:rsid w:val="005B08CE"/>
    <w:rsid w:val="005B279A"/>
    <w:rsid w:val="005B5D6D"/>
    <w:rsid w:val="005B6555"/>
    <w:rsid w:val="005B66C3"/>
    <w:rsid w:val="005B7780"/>
    <w:rsid w:val="005B7B14"/>
    <w:rsid w:val="005C0582"/>
    <w:rsid w:val="005C16B4"/>
    <w:rsid w:val="005C16D3"/>
    <w:rsid w:val="005C23B5"/>
    <w:rsid w:val="005C249E"/>
    <w:rsid w:val="005C2C19"/>
    <w:rsid w:val="005C3274"/>
    <w:rsid w:val="005C3631"/>
    <w:rsid w:val="005C4EEE"/>
    <w:rsid w:val="005C641D"/>
    <w:rsid w:val="005C6AEB"/>
    <w:rsid w:val="005C6DF5"/>
    <w:rsid w:val="005C79EF"/>
    <w:rsid w:val="005D122B"/>
    <w:rsid w:val="005D15CA"/>
    <w:rsid w:val="005D1A03"/>
    <w:rsid w:val="005D2164"/>
    <w:rsid w:val="005D264A"/>
    <w:rsid w:val="005D2A53"/>
    <w:rsid w:val="005D3A6B"/>
    <w:rsid w:val="005D3BBD"/>
    <w:rsid w:val="005D4241"/>
    <w:rsid w:val="005D5A61"/>
    <w:rsid w:val="005D6CCC"/>
    <w:rsid w:val="005D7617"/>
    <w:rsid w:val="005E0CD5"/>
    <w:rsid w:val="005E0CD7"/>
    <w:rsid w:val="005E1906"/>
    <w:rsid w:val="005E3511"/>
    <w:rsid w:val="005E3D39"/>
    <w:rsid w:val="005E5123"/>
    <w:rsid w:val="005E562A"/>
    <w:rsid w:val="005E5916"/>
    <w:rsid w:val="005E7A2F"/>
    <w:rsid w:val="005F0B2B"/>
    <w:rsid w:val="005F29E7"/>
    <w:rsid w:val="005F3500"/>
    <w:rsid w:val="005F3E06"/>
    <w:rsid w:val="005F3F53"/>
    <w:rsid w:val="005F43A4"/>
    <w:rsid w:val="005F52EB"/>
    <w:rsid w:val="005F531A"/>
    <w:rsid w:val="005F5973"/>
    <w:rsid w:val="005F5D4E"/>
    <w:rsid w:val="005F61FD"/>
    <w:rsid w:val="005F626F"/>
    <w:rsid w:val="005F68EA"/>
    <w:rsid w:val="005F6CEC"/>
    <w:rsid w:val="005F7073"/>
    <w:rsid w:val="006004AC"/>
    <w:rsid w:val="006012B9"/>
    <w:rsid w:val="00601F52"/>
    <w:rsid w:val="00602521"/>
    <w:rsid w:val="00610BD3"/>
    <w:rsid w:val="0061134C"/>
    <w:rsid w:val="006133B9"/>
    <w:rsid w:val="00613E61"/>
    <w:rsid w:val="0061512C"/>
    <w:rsid w:val="006157FA"/>
    <w:rsid w:val="00616A78"/>
    <w:rsid w:val="00620383"/>
    <w:rsid w:val="00620449"/>
    <w:rsid w:val="00622585"/>
    <w:rsid w:val="00622690"/>
    <w:rsid w:val="006234FD"/>
    <w:rsid w:val="00624C23"/>
    <w:rsid w:val="006250CD"/>
    <w:rsid w:val="006252FD"/>
    <w:rsid w:val="00625737"/>
    <w:rsid w:val="00625C54"/>
    <w:rsid w:val="00626EFE"/>
    <w:rsid w:val="006279B2"/>
    <w:rsid w:val="00630032"/>
    <w:rsid w:val="00630BFD"/>
    <w:rsid w:val="006314EA"/>
    <w:rsid w:val="0063150E"/>
    <w:rsid w:val="00631C25"/>
    <w:rsid w:val="00631F90"/>
    <w:rsid w:val="00632933"/>
    <w:rsid w:val="00632B28"/>
    <w:rsid w:val="00632CC4"/>
    <w:rsid w:val="0063388E"/>
    <w:rsid w:val="00633B8E"/>
    <w:rsid w:val="0063499D"/>
    <w:rsid w:val="00634C0C"/>
    <w:rsid w:val="00635495"/>
    <w:rsid w:val="0063662C"/>
    <w:rsid w:val="00637259"/>
    <w:rsid w:val="00637AEA"/>
    <w:rsid w:val="00640288"/>
    <w:rsid w:val="006414FA"/>
    <w:rsid w:val="006423D1"/>
    <w:rsid w:val="00642BE7"/>
    <w:rsid w:val="00642E21"/>
    <w:rsid w:val="006436CA"/>
    <w:rsid w:val="00644770"/>
    <w:rsid w:val="006451F6"/>
    <w:rsid w:val="00645442"/>
    <w:rsid w:val="0064682C"/>
    <w:rsid w:val="00646CBD"/>
    <w:rsid w:val="0065166C"/>
    <w:rsid w:val="00651E7A"/>
    <w:rsid w:val="00651EB3"/>
    <w:rsid w:val="006528AF"/>
    <w:rsid w:val="006533EB"/>
    <w:rsid w:val="006537D1"/>
    <w:rsid w:val="00653D5D"/>
    <w:rsid w:val="006554C5"/>
    <w:rsid w:val="00655990"/>
    <w:rsid w:val="0065673C"/>
    <w:rsid w:val="00657830"/>
    <w:rsid w:val="006578EC"/>
    <w:rsid w:val="00660085"/>
    <w:rsid w:val="00663530"/>
    <w:rsid w:val="00665BFF"/>
    <w:rsid w:val="00667021"/>
    <w:rsid w:val="00667709"/>
    <w:rsid w:val="00672BDC"/>
    <w:rsid w:val="00674921"/>
    <w:rsid w:val="00674A1E"/>
    <w:rsid w:val="006750D1"/>
    <w:rsid w:val="0067598F"/>
    <w:rsid w:val="00675B05"/>
    <w:rsid w:val="00675EF5"/>
    <w:rsid w:val="0067680C"/>
    <w:rsid w:val="00681185"/>
    <w:rsid w:val="00681FD2"/>
    <w:rsid w:val="0068419D"/>
    <w:rsid w:val="00684474"/>
    <w:rsid w:val="006847A0"/>
    <w:rsid w:val="00686F88"/>
    <w:rsid w:val="006873BE"/>
    <w:rsid w:val="00687419"/>
    <w:rsid w:val="0069011E"/>
    <w:rsid w:val="006916AA"/>
    <w:rsid w:val="00693A32"/>
    <w:rsid w:val="00693B0E"/>
    <w:rsid w:val="00693C21"/>
    <w:rsid w:val="00693CCA"/>
    <w:rsid w:val="00693F95"/>
    <w:rsid w:val="00694121"/>
    <w:rsid w:val="006943AA"/>
    <w:rsid w:val="006943C8"/>
    <w:rsid w:val="0069578B"/>
    <w:rsid w:val="006964E6"/>
    <w:rsid w:val="00697D1B"/>
    <w:rsid w:val="006A02EB"/>
    <w:rsid w:val="006A13D9"/>
    <w:rsid w:val="006A1ED2"/>
    <w:rsid w:val="006A21C2"/>
    <w:rsid w:val="006A2E96"/>
    <w:rsid w:val="006A47E1"/>
    <w:rsid w:val="006A491C"/>
    <w:rsid w:val="006A49C5"/>
    <w:rsid w:val="006A4EC9"/>
    <w:rsid w:val="006A5A0C"/>
    <w:rsid w:val="006A5F4C"/>
    <w:rsid w:val="006A7A69"/>
    <w:rsid w:val="006A7E72"/>
    <w:rsid w:val="006B0983"/>
    <w:rsid w:val="006B0E9B"/>
    <w:rsid w:val="006B17CF"/>
    <w:rsid w:val="006B2B3E"/>
    <w:rsid w:val="006B2C11"/>
    <w:rsid w:val="006B3EE3"/>
    <w:rsid w:val="006B44BA"/>
    <w:rsid w:val="006B457D"/>
    <w:rsid w:val="006B469A"/>
    <w:rsid w:val="006B4CAC"/>
    <w:rsid w:val="006B4D41"/>
    <w:rsid w:val="006B5037"/>
    <w:rsid w:val="006B56BE"/>
    <w:rsid w:val="006B689D"/>
    <w:rsid w:val="006B738C"/>
    <w:rsid w:val="006B77CD"/>
    <w:rsid w:val="006C1485"/>
    <w:rsid w:val="006C1E2C"/>
    <w:rsid w:val="006C2303"/>
    <w:rsid w:val="006C2F74"/>
    <w:rsid w:val="006C4AA3"/>
    <w:rsid w:val="006C5F71"/>
    <w:rsid w:val="006C6161"/>
    <w:rsid w:val="006C699B"/>
    <w:rsid w:val="006D0135"/>
    <w:rsid w:val="006D0425"/>
    <w:rsid w:val="006D07C3"/>
    <w:rsid w:val="006D1199"/>
    <w:rsid w:val="006D1E12"/>
    <w:rsid w:val="006D1F61"/>
    <w:rsid w:val="006D2181"/>
    <w:rsid w:val="006D22FF"/>
    <w:rsid w:val="006D2702"/>
    <w:rsid w:val="006D31FD"/>
    <w:rsid w:val="006D38CE"/>
    <w:rsid w:val="006D45B1"/>
    <w:rsid w:val="006D4896"/>
    <w:rsid w:val="006D6F5E"/>
    <w:rsid w:val="006D776C"/>
    <w:rsid w:val="006D7A24"/>
    <w:rsid w:val="006D7C91"/>
    <w:rsid w:val="006E08A6"/>
    <w:rsid w:val="006E17B4"/>
    <w:rsid w:val="006E2098"/>
    <w:rsid w:val="006E4887"/>
    <w:rsid w:val="006E4BC4"/>
    <w:rsid w:val="006E5BE2"/>
    <w:rsid w:val="006E6C08"/>
    <w:rsid w:val="006E7FED"/>
    <w:rsid w:val="006F02F2"/>
    <w:rsid w:val="006F15AB"/>
    <w:rsid w:val="006F20B2"/>
    <w:rsid w:val="006F5210"/>
    <w:rsid w:val="006F6CE6"/>
    <w:rsid w:val="006F7424"/>
    <w:rsid w:val="007009A2"/>
    <w:rsid w:val="00700C66"/>
    <w:rsid w:val="00700E93"/>
    <w:rsid w:val="00702527"/>
    <w:rsid w:val="007038E1"/>
    <w:rsid w:val="007045B5"/>
    <w:rsid w:val="00705B72"/>
    <w:rsid w:val="00706B98"/>
    <w:rsid w:val="00710CDA"/>
    <w:rsid w:val="00710D62"/>
    <w:rsid w:val="00711A2F"/>
    <w:rsid w:val="00712259"/>
    <w:rsid w:val="00712707"/>
    <w:rsid w:val="00712BD9"/>
    <w:rsid w:val="007146B9"/>
    <w:rsid w:val="00715481"/>
    <w:rsid w:val="00715909"/>
    <w:rsid w:val="00715A1A"/>
    <w:rsid w:val="00717A1C"/>
    <w:rsid w:val="00717E46"/>
    <w:rsid w:val="007200C9"/>
    <w:rsid w:val="007201A4"/>
    <w:rsid w:val="007207A0"/>
    <w:rsid w:val="00720C02"/>
    <w:rsid w:val="007217FE"/>
    <w:rsid w:val="00721CED"/>
    <w:rsid w:val="00721F3E"/>
    <w:rsid w:val="00723682"/>
    <w:rsid w:val="00724434"/>
    <w:rsid w:val="00725B40"/>
    <w:rsid w:val="00725C09"/>
    <w:rsid w:val="0072713E"/>
    <w:rsid w:val="0073005B"/>
    <w:rsid w:val="007305D9"/>
    <w:rsid w:val="00730B94"/>
    <w:rsid w:val="00731323"/>
    <w:rsid w:val="00732274"/>
    <w:rsid w:val="00732B83"/>
    <w:rsid w:val="00732FFE"/>
    <w:rsid w:val="00733381"/>
    <w:rsid w:val="007343D0"/>
    <w:rsid w:val="007343E9"/>
    <w:rsid w:val="00734C9F"/>
    <w:rsid w:val="00735566"/>
    <w:rsid w:val="00735A24"/>
    <w:rsid w:val="00735ED8"/>
    <w:rsid w:val="007367DC"/>
    <w:rsid w:val="0073726B"/>
    <w:rsid w:val="007402E3"/>
    <w:rsid w:val="0074042C"/>
    <w:rsid w:val="007421B1"/>
    <w:rsid w:val="00742CE8"/>
    <w:rsid w:val="00744F7C"/>
    <w:rsid w:val="00746324"/>
    <w:rsid w:val="00746B09"/>
    <w:rsid w:val="00746F4D"/>
    <w:rsid w:val="007501C0"/>
    <w:rsid w:val="0075040D"/>
    <w:rsid w:val="00752B64"/>
    <w:rsid w:val="00753FED"/>
    <w:rsid w:val="00756543"/>
    <w:rsid w:val="00756585"/>
    <w:rsid w:val="00756663"/>
    <w:rsid w:val="007578B9"/>
    <w:rsid w:val="0076082B"/>
    <w:rsid w:val="00760956"/>
    <w:rsid w:val="007631E3"/>
    <w:rsid w:val="00763A21"/>
    <w:rsid w:val="00763A60"/>
    <w:rsid w:val="00763A82"/>
    <w:rsid w:val="00764D19"/>
    <w:rsid w:val="00765751"/>
    <w:rsid w:val="00766525"/>
    <w:rsid w:val="007669B0"/>
    <w:rsid w:val="0077011F"/>
    <w:rsid w:val="00770EA2"/>
    <w:rsid w:val="0077142B"/>
    <w:rsid w:val="00771978"/>
    <w:rsid w:val="00771990"/>
    <w:rsid w:val="007720DB"/>
    <w:rsid w:val="007737D0"/>
    <w:rsid w:val="00773C34"/>
    <w:rsid w:val="00773D49"/>
    <w:rsid w:val="00774BD4"/>
    <w:rsid w:val="00775E96"/>
    <w:rsid w:val="00776F8B"/>
    <w:rsid w:val="0077729E"/>
    <w:rsid w:val="00777410"/>
    <w:rsid w:val="007816D8"/>
    <w:rsid w:val="007830C7"/>
    <w:rsid w:val="007834D6"/>
    <w:rsid w:val="007866D4"/>
    <w:rsid w:val="0078747B"/>
    <w:rsid w:val="00787840"/>
    <w:rsid w:val="00787F5E"/>
    <w:rsid w:val="007902AA"/>
    <w:rsid w:val="00792F35"/>
    <w:rsid w:val="00793CE1"/>
    <w:rsid w:val="00794736"/>
    <w:rsid w:val="007952DB"/>
    <w:rsid w:val="007954F9"/>
    <w:rsid w:val="00796CBF"/>
    <w:rsid w:val="00797FCB"/>
    <w:rsid w:val="007A01B9"/>
    <w:rsid w:val="007A084A"/>
    <w:rsid w:val="007A14A1"/>
    <w:rsid w:val="007A34C8"/>
    <w:rsid w:val="007A47E7"/>
    <w:rsid w:val="007A48FD"/>
    <w:rsid w:val="007A4D12"/>
    <w:rsid w:val="007A6B15"/>
    <w:rsid w:val="007A7803"/>
    <w:rsid w:val="007A7AB7"/>
    <w:rsid w:val="007A7CB0"/>
    <w:rsid w:val="007B40E5"/>
    <w:rsid w:val="007B56F6"/>
    <w:rsid w:val="007B5BB0"/>
    <w:rsid w:val="007B5D58"/>
    <w:rsid w:val="007B65BB"/>
    <w:rsid w:val="007B761D"/>
    <w:rsid w:val="007C058B"/>
    <w:rsid w:val="007C07F9"/>
    <w:rsid w:val="007C2C86"/>
    <w:rsid w:val="007C37D0"/>
    <w:rsid w:val="007C48C0"/>
    <w:rsid w:val="007C4E8D"/>
    <w:rsid w:val="007C5FBE"/>
    <w:rsid w:val="007C663D"/>
    <w:rsid w:val="007C7146"/>
    <w:rsid w:val="007C73F2"/>
    <w:rsid w:val="007C7FAF"/>
    <w:rsid w:val="007D0BCE"/>
    <w:rsid w:val="007D0EF4"/>
    <w:rsid w:val="007D0F18"/>
    <w:rsid w:val="007D1B33"/>
    <w:rsid w:val="007D1D65"/>
    <w:rsid w:val="007D1F21"/>
    <w:rsid w:val="007D32AB"/>
    <w:rsid w:val="007D3344"/>
    <w:rsid w:val="007D4535"/>
    <w:rsid w:val="007D4AFE"/>
    <w:rsid w:val="007D668D"/>
    <w:rsid w:val="007D7868"/>
    <w:rsid w:val="007D7B25"/>
    <w:rsid w:val="007E06A1"/>
    <w:rsid w:val="007E1014"/>
    <w:rsid w:val="007E46BA"/>
    <w:rsid w:val="007E4A8E"/>
    <w:rsid w:val="007E5612"/>
    <w:rsid w:val="007F05AE"/>
    <w:rsid w:val="007F0866"/>
    <w:rsid w:val="007F09C4"/>
    <w:rsid w:val="007F43D0"/>
    <w:rsid w:val="007F5738"/>
    <w:rsid w:val="007F7B40"/>
    <w:rsid w:val="00800C9F"/>
    <w:rsid w:val="008022C3"/>
    <w:rsid w:val="00803E6F"/>
    <w:rsid w:val="00804018"/>
    <w:rsid w:val="0080413C"/>
    <w:rsid w:val="008044B3"/>
    <w:rsid w:val="008044B5"/>
    <w:rsid w:val="0080453D"/>
    <w:rsid w:val="00804704"/>
    <w:rsid w:val="0080487A"/>
    <w:rsid w:val="008048B1"/>
    <w:rsid w:val="00804F96"/>
    <w:rsid w:val="00805307"/>
    <w:rsid w:val="00806631"/>
    <w:rsid w:val="00806C08"/>
    <w:rsid w:val="0080704E"/>
    <w:rsid w:val="00807E23"/>
    <w:rsid w:val="0081056D"/>
    <w:rsid w:val="00810F81"/>
    <w:rsid w:val="0081219D"/>
    <w:rsid w:val="00812649"/>
    <w:rsid w:val="00812826"/>
    <w:rsid w:val="008133B9"/>
    <w:rsid w:val="00813863"/>
    <w:rsid w:val="00814F2D"/>
    <w:rsid w:val="00817A1F"/>
    <w:rsid w:val="00820B03"/>
    <w:rsid w:val="00820B11"/>
    <w:rsid w:val="00821857"/>
    <w:rsid w:val="0082260D"/>
    <w:rsid w:val="00822C9C"/>
    <w:rsid w:val="00823EB3"/>
    <w:rsid w:val="00825335"/>
    <w:rsid w:val="0082545D"/>
    <w:rsid w:val="008270FA"/>
    <w:rsid w:val="00827682"/>
    <w:rsid w:val="0083050A"/>
    <w:rsid w:val="0083067A"/>
    <w:rsid w:val="008309B1"/>
    <w:rsid w:val="00832F23"/>
    <w:rsid w:val="00833AD5"/>
    <w:rsid w:val="00835896"/>
    <w:rsid w:val="00840A0F"/>
    <w:rsid w:val="00841235"/>
    <w:rsid w:val="0084206D"/>
    <w:rsid w:val="008422E2"/>
    <w:rsid w:val="00842740"/>
    <w:rsid w:val="00842E11"/>
    <w:rsid w:val="0084329E"/>
    <w:rsid w:val="008434CB"/>
    <w:rsid w:val="00844F81"/>
    <w:rsid w:val="00846062"/>
    <w:rsid w:val="00846C9D"/>
    <w:rsid w:val="0084712E"/>
    <w:rsid w:val="00847AC6"/>
    <w:rsid w:val="008501A9"/>
    <w:rsid w:val="008501C9"/>
    <w:rsid w:val="00850721"/>
    <w:rsid w:val="00850EB1"/>
    <w:rsid w:val="00852691"/>
    <w:rsid w:val="008534CA"/>
    <w:rsid w:val="00853F28"/>
    <w:rsid w:val="00854608"/>
    <w:rsid w:val="00856542"/>
    <w:rsid w:val="00856D2F"/>
    <w:rsid w:val="0085758D"/>
    <w:rsid w:val="008606C0"/>
    <w:rsid w:val="0086088D"/>
    <w:rsid w:val="00861084"/>
    <w:rsid w:val="0086219F"/>
    <w:rsid w:val="0086223D"/>
    <w:rsid w:val="0086377D"/>
    <w:rsid w:val="00863FDC"/>
    <w:rsid w:val="00864EEF"/>
    <w:rsid w:val="0086534D"/>
    <w:rsid w:val="008662AF"/>
    <w:rsid w:val="008671C9"/>
    <w:rsid w:val="0087231E"/>
    <w:rsid w:val="00872586"/>
    <w:rsid w:val="0088029E"/>
    <w:rsid w:val="0088095F"/>
    <w:rsid w:val="00881940"/>
    <w:rsid w:val="008824CF"/>
    <w:rsid w:val="00882EC2"/>
    <w:rsid w:val="00882EE2"/>
    <w:rsid w:val="00883A1B"/>
    <w:rsid w:val="00883EF2"/>
    <w:rsid w:val="0088440D"/>
    <w:rsid w:val="00885BEC"/>
    <w:rsid w:val="00886911"/>
    <w:rsid w:val="00890CE2"/>
    <w:rsid w:val="00891ABF"/>
    <w:rsid w:val="00892DF5"/>
    <w:rsid w:val="008939AC"/>
    <w:rsid w:val="00895470"/>
    <w:rsid w:val="0089565F"/>
    <w:rsid w:val="00897135"/>
    <w:rsid w:val="00897169"/>
    <w:rsid w:val="008973EF"/>
    <w:rsid w:val="00897ABE"/>
    <w:rsid w:val="008A0DB9"/>
    <w:rsid w:val="008A316C"/>
    <w:rsid w:val="008A5254"/>
    <w:rsid w:val="008B0E89"/>
    <w:rsid w:val="008B2848"/>
    <w:rsid w:val="008B3597"/>
    <w:rsid w:val="008B3D96"/>
    <w:rsid w:val="008B3FC7"/>
    <w:rsid w:val="008C1BAD"/>
    <w:rsid w:val="008C2FD8"/>
    <w:rsid w:val="008C49F7"/>
    <w:rsid w:val="008C51AC"/>
    <w:rsid w:val="008C58F0"/>
    <w:rsid w:val="008C59E3"/>
    <w:rsid w:val="008C5B74"/>
    <w:rsid w:val="008C6168"/>
    <w:rsid w:val="008C76DD"/>
    <w:rsid w:val="008D0A81"/>
    <w:rsid w:val="008D11C3"/>
    <w:rsid w:val="008D2D76"/>
    <w:rsid w:val="008D3585"/>
    <w:rsid w:val="008D3DB7"/>
    <w:rsid w:val="008D6FFA"/>
    <w:rsid w:val="008D7612"/>
    <w:rsid w:val="008E06CC"/>
    <w:rsid w:val="008E0725"/>
    <w:rsid w:val="008E1515"/>
    <w:rsid w:val="008E22DA"/>
    <w:rsid w:val="008E348E"/>
    <w:rsid w:val="008E34D2"/>
    <w:rsid w:val="008E38ED"/>
    <w:rsid w:val="008E39D9"/>
    <w:rsid w:val="008E4218"/>
    <w:rsid w:val="008E4428"/>
    <w:rsid w:val="008E45AA"/>
    <w:rsid w:val="008E4E9C"/>
    <w:rsid w:val="008E5DAD"/>
    <w:rsid w:val="008E6012"/>
    <w:rsid w:val="008E69B7"/>
    <w:rsid w:val="008E6FE8"/>
    <w:rsid w:val="008F11B8"/>
    <w:rsid w:val="008F294F"/>
    <w:rsid w:val="008F3C4F"/>
    <w:rsid w:val="008F4194"/>
    <w:rsid w:val="008F5026"/>
    <w:rsid w:val="008F58D5"/>
    <w:rsid w:val="008F5E9F"/>
    <w:rsid w:val="008F5EF2"/>
    <w:rsid w:val="008F604F"/>
    <w:rsid w:val="008F674C"/>
    <w:rsid w:val="008F7E77"/>
    <w:rsid w:val="00904238"/>
    <w:rsid w:val="009047DA"/>
    <w:rsid w:val="00904D10"/>
    <w:rsid w:val="00910A15"/>
    <w:rsid w:val="00910D6F"/>
    <w:rsid w:val="00912CA1"/>
    <w:rsid w:val="00912EA9"/>
    <w:rsid w:val="00913163"/>
    <w:rsid w:val="009142D4"/>
    <w:rsid w:val="009157C0"/>
    <w:rsid w:val="0091594C"/>
    <w:rsid w:val="009163CA"/>
    <w:rsid w:val="00917E94"/>
    <w:rsid w:val="00920679"/>
    <w:rsid w:val="00921C6A"/>
    <w:rsid w:val="00921D7B"/>
    <w:rsid w:val="009220FD"/>
    <w:rsid w:val="00922BFA"/>
    <w:rsid w:val="00923585"/>
    <w:rsid w:val="00923659"/>
    <w:rsid w:val="00923BA4"/>
    <w:rsid w:val="00923EFC"/>
    <w:rsid w:val="009243AF"/>
    <w:rsid w:val="00924F79"/>
    <w:rsid w:val="009258D1"/>
    <w:rsid w:val="00925D23"/>
    <w:rsid w:val="00925D72"/>
    <w:rsid w:val="00927DF5"/>
    <w:rsid w:val="00927F8B"/>
    <w:rsid w:val="00934089"/>
    <w:rsid w:val="00934A39"/>
    <w:rsid w:val="009400D2"/>
    <w:rsid w:val="00940813"/>
    <w:rsid w:val="00940A95"/>
    <w:rsid w:val="00940D89"/>
    <w:rsid w:val="00941440"/>
    <w:rsid w:val="009415A0"/>
    <w:rsid w:val="00941BF9"/>
    <w:rsid w:val="00941D3D"/>
    <w:rsid w:val="00942A4F"/>
    <w:rsid w:val="00942E69"/>
    <w:rsid w:val="00943C21"/>
    <w:rsid w:val="00944241"/>
    <w:rsid w:val="00945118"/>
    <w:rsid w:val="00950464"/>
    <w:rsid w:val="00952B5C"/>
    <w:rsid w:val="00952E8E"/>
    <w:rsid w:val="009531A4"/>
    <w:rsid w:val="00953794"/>
    <w:rsid w:val="00954F0C"/>
    <w:rsid w:val="00955164"/>
    <w:rsid w:val="00955881"/>
    <w:rsid w:val="0095593B"/>
    <w:rsid w:val="009570E9"/>
    <w:rsid w:val="009573BA"/>
    <w:rsid w:val="00957B0F"/>
    <w:rsid w:val="00961190"/>
    <w:rsid w:val="00961FAF"/>
    <w:rsid w:val="00962902"/>
    <w:rsid w:val="00963FBA"/>
    <w:rsid w:val="009717AB"/>
    <w:rsid w:val="00971BD0"/>
    <w:rsid w:val="00971CC6"/>
    <w:rsid w:val="009728FE"/>
    <w:rsid w:val="00972A29"/>
    <w:rsid w:val="00972D4B"/>
    <w:rsid w:val="00975560"/>
    <w:rsid w:val="00975F56"/>
    <w:rsid w:val="009763F3"/>
    <w:rsid w:val="009807C1"/>
    <w:rsid w:val="0098090B"/>
    <w:rsid w:val="00980B6D"/>
    <w:rsid w:val="0098119C"/>
    <w:rsid w:val="00981B31"/>
    <w:rsid w:val="00982BE6"/>
    <w:rsid w:val="00982C4B"/>
    <w:rsid w:val="009842F5"/>
    <w:rsid w:val="009845D5"/>
    <w:rsid w:val="00986587"/>
    <w:rsid w:val="00986E7D"/>
    <w:rsid w:val="00986FFE"/>
    <w:rsid w:val="0098764B"/>
    <w:rsid w:val="0098792C"/>
    <w:rsid w:val="00987E57"/>
    <w:rsid w:val="0099122F"/>
    <w:rsid w:val="00992EF5"/>
    <w:rsid w:val="0099319D"/>
    <w:rsid w:val="00993558"/>
    <w:rsid w:val="00994721"/>
    <w:rsid w:val="00995A63"/>
    <w:rsid w:val="009A039D"/>
    <w:rsid w:val="009A043E"/>
    <w:rsid w:val="009A1654"/>
    <w:rsid w:val="009A1C07"/>
    <w:rsid w:val="009A1DBE"/>
    <w:rsid w:val="009A1EE3"/>
    <w:rsid w:val="009A2064"/>
    <w:rsid w:val="009A2725"/>
    <w:rsid w:val="009A2BF7"/>
    <w:rsid w:val="009A2C99"/>
    <w:rsid w:val="009A3772"/>
    <w:rsid w:val="009A3F44"/>
    <w:rsid w:val="009A4AF8"/>
    <w:rsid w:val="009A4F2E"/>
    <w:rsid w:val="009A7130"/>
    <w:rsid w:val="009A7329"/>
    <w:rsid w:val="009A7AA9"/>
    <w:rsid w:val="009A7E8E"/>
    <w:rsid w:val="009B0AA8"/>
    <w:rsid w:val="009B1121"/>
    <w:rsid w:val="009B2335"/>
    <w:rsid w:val="009B243B"/>
    <w:rsid w:val="009B3A6A"/>
    <w:rsid w:val="009B4783"/>
    <w:rsid w:val="009B4AE6"/>
    <w:rsid w:val="009B7BF8"/>
    <w:rsid w:val="009C09A7"/>
    <w:rsid w:val="009C21B4"/>
    <w:rsid w:val="009C3587"/>
    <w:rsid w:val="009C3C38"/>
    <w:rsid w:val="009C5675"/>
    <w:rsid w:val="009C5A30"/>
    <w:rsid w:val="009C5C4F"/>
    <w:rsid w:val="009D2172"/>
    <w:rsid w:val="009D25E7"/>
    <w:rsid w:val="009D32CD"/>
    <w:rsid w:val="009D3458"/>
    <w:rsid w:val="009D6138"/>
    <w:rsid w:val="009D7530"/>
    <w:rsid w:val="009D78E6"/>
    <w:rsid w:val="009E0D63"/>
    <w:rsid w:val="009E1438"/>
    <w:rsid w:val="009E186F"/>
    <w:rsid w:val="009E1AD2"/>
    <w:rsid w:val="009E1FD7"/>
    <w:rsid w:val="009E2F1B"/>
    <w:rsid w:val="009E2F43"/>
    <w:rsid w:val="009E386B"/>
    <w:rsid w:val="009E3A56"/>
    <w:rsid w:val="009E3A69"/>
    <w:rsid w:val="009E3D70"/>
    <w:rsid w:val="009E4433"/>
    <w:rsid w:val="009E5BA0"/>
    <w:rsid w:val="009E6562"/>
    <w:rsid w:val="009E6E6C"/>
    <w:rsid w:val="009F0877"/>
    <w:rsid w:val="009F15D6"/>
    <w:rsid w:val="009F28C7"/>
    <w:rsid w:val="009F2FCD"/>
    <w:rsid w:val="009F4226"/>
    <w:rsid w:val="009F4A70"/>
    <w:rsid w:val="009F4C56"/>
    <w:rsid w:val="009F591C"/>
    <w:rsid w:val="009F6101"/>
    <w:rsid w:val="009F66F0"/>
    <w:rsid w:val="009F6794"/>
    <w:rsid w:val="009F6833"/>
    <w:rsid w:val="009F6E40"/>
    <w:rsid w:val="009F72E0"/>
    <w:rsid w:val="009F7FAE"/>
    <w:rsid w:val="00A0008C"/>
    <w:rsid w:val="00A02AA4"/>
    <w:rsid w:val="00A03D35"/>
    <w:rsid w:val="00A04CFA"/>
    <w:rsid w:val="00A05EDD"/>
    <w:rsid w:val="00A066FE"/>
    <w:rsid w:val="00A0714D"/>
    <w:rsid w:val="00A12687"/>
    <w:rsid w:val="00A12C0F"/>
    <w:rsid w:val="00A12FEC"/>
    <w:rsid w:val="00A13029"/>
    <w:rsid w:val="00A137DB"/>
    <w:rsid w:val="00A15A08"/>
    <w:rsid w:val="00A17D20"/>
    <w:rsid w:val="00A20C3A"/>
    <w:rsid w:val="00A2254A"/>
    <w:rsid w:val="00A22FF6"/>
    <w:rsid w:val="00A24D31"/>
    <w:rsid w:val="00A25412"/>
    <w:rsid w:val="00A25489"/>
    <w:rsid w:val="00A25773"/>
    <w:rsid w:val="00A2624A"/>
    <w:rsid w:val="00A26B7D"/>
    <w:rsid w:val="00A26E1E"/>
    <w:rsid w:val="00A270A8"/>
    <w:rsid w:val="00A335DD"/>
    <w:rsid w:val="00A3369A"/>
    <w:rsid w:val="00A34CCD"/>
    <w:rsid w:val="00A36462"/>
    <w:rsid w:val="00A36F57"/>
    <w:rsid w:val="00A37181"/>
    <w:rsid w:val="00A37744"/>
    <w:rsid w:val="00A37756"/>
    <w:rsid w:val="00A379E0"/>
    <w:rsid w:val="00A37CB6"/>
    <w:rsid w:val="00A37D77"/>
    <w:rsid w:val="00A409FF"/>
    <w:rsid w:val="00A40A74"/>
    <w:rsid w:val="00A40E2B"/>
    <w:rsid w:val="00A419A6"/>
    <w:rsid w:val="00A42A45"/>
    <w:rsid w:val="00A43E63"/>
    <w:rsid w:val="00A43E72"/>
    <w:rsid w:val="00A450C3"/>
    <w:rsid w:val="00A46575"/>
    <w:rsid w:val="00A46C84"/>
    <w:rsid w:val="00A46ECB"/>
    <w:rsid w:val="00A46F0E"/>
    <w:rsid w:val="00A46F86"/>
    <w:rsid w:val="00A501E0"/>
    <w:rsid w:val="00A51050"/>
    <w:rsid w:val="00A5109D"/>
    <w:rsid w:val="00A53431"/>
    <w:rsid w:val="00A53516"/>
    <w:rsid w:val="00A53D4E"/>
    <w:rsid w:val="00A54264"/>
    <w:rsid w:val="00A543B4"/>
    <w:rsid w:val="00A543F5"/>
    <w:rsid w:val="00A54C6B"/>
    <w:rsid w:val="00A55208"/>
    <w:rsid w:val="00A55588"/>
    <w:rsid w:val="00A55DED"/>
    <w:rsid w:val="00A5610F"/>
    <w:rsid w:val="00A563A3"/>
    <w:rsid w:val="00A564CC"/>
    <w:rsid w:val="00A57998"/>
    <w:rsid w:val="00A603D4"/>
    <w:rsid w:val="00A60496"/>
    <w:rsid w:val="00A62136"/>
    <w:rsid w:val="00A63243"/>
    <w:rsid w:val="00A632AD"/>
    <w:rsid w:val="00A63CEA"/>
    <w:rsid w:val="00A64028"/>
    <w:rsid w:val="00A64330"/>
    <w:rsid w:val="00A646BE"/>
    <w:rsid w:val="00A64ACA"/>
    <w:rsid w:val="00A65438"/>
    <w:rsid w:val="00A65CF0"/>
    <w:rsid w:val="00A6688C"/>
    <w:rsid w:val="00A668F1"/>
    <w:rsid w:val="00A6701B"/>
    <w:rsid w:val="00A677D8"/>
    <w:rsid w:val="00A7081E"/>
    <w:rsid w:val="00A7176E"/>
    <w:rsid w:val="00A71DB9"/>
    <w:rsid w:val="00A721D6"/>
    <w:rsid w:val="00A7273B"/>
    <w:rsid w:val="00A72911"/>
    <w:rsid w:val="00A72F21"/>
    <w:rsid w:val="00A74802"/>
    <w:rsid w:val="00A74DFD"/>
    <w:rsid w:val="00A7592E"/>
    <w:rsid w:val="00A759EF"/>
    <w:rsid w:val="00A76820"/>
    <w:rsid w:val="00A769B7"/>
    <w:rsid w:val="00A76A72"/>
    <w:rsid w:val="00A77898"/>
    <w:rsid w:val="00A77BA3"/>
    <w:rsid w:val="00A80C8E"/>
    <w:rsid w:val="00A80D53"/>
    <w:rsid w:val="00A82722"/>
    <w:rsid w:val="00A82920"/>
    <w:rsid w:val="00A87409"/>
    <w:rsid w:val="00A90666"/>
    <w:rsid w:val="00A90BC5"/>
    <w:rsid w:val="00A93619"/>
    <w:rsid w:val="00A9504B"/>
    <w:rsid w:val="00A9562F"/>
    <w:rsid w:val="00A958DA"/>
    <w:rsid w:val="00A95EDC"/>
    <w:rsid w:val="00A9737D"/>
    <w:rsid w:val="00AA00AF"/>
    <w:rsid w:val="00AA02F3"/>
    <w:rsid w:val="00AA1257"/>
    <w:rsid w:val="00AA2519"/>
    <w:rsid w:val="00AA2AA4"/>
    <w:rsid w:val="00AA5497"/>
    <w:rsid w:val="00AA64A5"/>
    <w:rsid w:val="00AA7C62"/>
    <w:rsid w:val="00AB12BC"/>
    <w:rsid w:val="00AB1865"/>
    <w:rsid w:val="00AB360F"/>
    <w:rsid w:val="00AB399D"/>
    <w:rsid w:val="00AB3DEE"/>
    <w:rsid w:val="00AB6193"/>
    <w:rsid w:val="00AB720E"/>
    <w:rsid w:val="00AB79E3"/>
    <w:rsid w:val="00AC049F"/>
    <w:rsid w:val="00AC09C1"/>
    <w:rsid w:val="00AC14F3"/>
    <w:rsid w:val="00AC2480"/>
    <w:rsid w:val="00AC2659"/>
    <w:rsid w:val="00AC2894"/>
    <w:rsid w:val="00AC2E47"/>
    <w:rsid w:val="00AC3CC8"/>
    <w:rsid w:val="00AC3E5A"/>
    <w:rsid w:val="00AC4F20"/>
    <w:rsid w:val="00AD069B"/>
    <w:rsid w:val="00AD2066"/>
    <w:rsid w:val="00AD2535"/>
    <w:rsid w:val="00AD27F6"/>
    <w:rsid w:val="00AD386F"/>
    <w:rsid w:val="00AD3F0D"/>
    <w:rsid w:val="00AD412D"/>
    <w:rsid w:val="00AD4B3A"/>
    <w:rsid w:val="00AD561A"/>
    <w:rsid w:val="00AD5B4A"/>
    <w:rsid w:val="00AD5C82"/>
    <w:rsid w:val="00AD5E1A"/>
    <w:rsid w:val="00AD648F"/>
    <w:rsid w:val="00AD6B01"/>
    <w:rsid w:val="00AE07AC"/>
    <w:rsid w:val="00AE13EF"/>
    <w:rsid w:val="00AE230A"/>
    <w:rsid w:val="00AE2F8C"/>
    <w:rsid w:val="00AE378C"/>
    <w:rsid w:val="00AE39F4"/>
    <w:rsid w:val="00AE45BC"/>
    <w:rsid w:val="00AE51B1"/>
    <w:rsid w:val="00AE60BB"/>
    <w:rsid w:val="00AF0593"/>
    <w:rsid w:val="00AF0FE8"/>
    <w:rsid w:val="00AF1361"/>
    <w:rsid w:val="00AF1738"/>
    <w:rsid w:val="00AF24A9"/>
    <w:rsid w:val="00AF3B4D"/>
    <w:rsid w:val="00AF43BC"/>
    <w:rsid w:val="00AF5AA9"/>
    <w:rsid w:val="00AF5F67"/>
    <w:rsid w:val="00AF6AEA"/>
    <w:rsid w:val="00AF79EC"/>
    <w:rsid w:val="00AF7A48"/>
    <w:rsid w:val="00AF7C3B"/>
    <w:rsid w:val="00B02F5A"/>
    <w:rsid w:val="00B02F8C"/>
    <w:rsid w:val="00B03D0D"/>
    <w:rsid w:val="00B04431"/>
    <w:rsid w:val="00B05155"/>
    <w:rsid w:val="00B055C0"/>
    <w:rsid w:val="00B07694"/>
    <w:rsid w:val="00B10495"/>
    <w:rsid w:val="00B1104A"/>
    <w:rsid w:val="00B11054"/>
    <w:rsid w:val="00B11495"/>
    <w:rsid w:val="00B11784"/>
    <w:rsid w:val="00B12192"/>
    <w:rsid w:val="00B12CAE"/>
    <w:rsid w:val="00B12EBE"/>
    <w:rsid w:val="00B13AA4"/>
    <w:rsid w:val="00B15CDB"/>
    <w:rsid w:val="00B1647E"/>
    <w:rsid w:val="00B17168"/>
    <w:rsid w:val="00B17A30"/>
    <w:rsid w:val="00B17A60"/>
    <w:rsid w:val="00B20432"/>
    <w:rsid w:val="00B21206"/>
    <w:rsid w:val="00B212A0"/>
    <w:rsid w:val="00B219E8"/>
    <w:rsid w:val="00B21BE4"/>
    <w:rsid w:val="00B23CB8"/>
    <w:rsid w:val="00B23D2C"/>
    <w:rsid w:val="00B23D80"/>
    <w:rsid w:val="00B23E11"/>
    <w:rsid w:val="00B243BA"/>
    <w:rsid w:val="00B247DF"/>
    <w:rsid w:val="00B25BD7"/>
    <w:rsid w:val="00B262F6"/>
    <w:rsid w:val="00B30708"/>
    <w:rsid w:val="00B32F35"/>
    <w:rsid w:val="00B3397E"/>
    <w:rsid w:val="00B339B2"/>
    <w:rsid w:val="00B340A8"/>
    <w:rsid w:val="00B34448"/>
    <w:rsid w:val="00B34ECC"/>
    <w:rsid w:val="00B3500A"/>
    <w:rsid w:val="00B35F4C"/>
    <w:rsid w:val="00B4044B"/>
    <w:rsid w:val="00B40D7F"/>
    <w:rsid w:val="00B4201E"/>
    <w:rsid w:val="00B435DC"/>
    <w:rsid w:val="00B44233"/>
    <w:rsid w:val="00B4515E"/>
    <w:rsid w:val="00B454A3"/>
    <w:rsid w:val="00B45C72"/>
    <w:rsid w:val="00B47CE8"/>
    <w:rsid w:val="00B506C5"/>
    <w:rsid w:val="00B51174"/>
    <w:rsid w:val="00B5214F"/>
    <w:rsid w:val="00B52AA7"/>
    <w:rsid w:val="00B536F7"/>
    <w:rsid w:val="00B545D5"/>
    <w:rsid w:val="00B54712"/>
    <w:rsid w:val="00B554B8"/>
    <w:rsid w:val="00B5693A"/>
    <w:rsid w:val="00B6243A"/>
    <w:rsid w:val="00B6246E"/>
    <w:rsid w:val="00B64EFF"/>
    <w:rsid w:val="00B657F9"/>
    <w:rsid w:val="00B6585C"/>
    <w:rsid w:val="00B65CDC"/>
    <w:rsid w:val="00B65D3D"/>
    <w:rsid w:val="00B666BE"/>
    <w:rsid w:val="00B6694F"/>
    <w:rsid w:val="00B701C0"/>
    <w:rsid w:val="00B70546"/>
    <w:rsid w:val="00B70974"/>
    <w:rsid w:val="00B70A49"/>
    <w:rsid w:val="00B70FAE"/>
    <w:rsid w:val="00B72BA1"/>
    <w:rsid w:val="00B74277"/>
    <w:rsid w:val="00B75859"/>
    <w:rsid w:val="00B75892"/>
    <w:rsid w:val="00B75F57"/>
    <w:rsid w:val="00B82793"/>
    <w:rsid w:val="00B82C57"/>
    <w:rsid w:val="00B8390B"/>
    <w:rsid w:val="00B84318"/>
    <w:rsid w:val="00B84BBD"/>
    <w:rsid w:val="00B87C04"/>
    <w:rsid w:val="00B90EF0"/>
    <w:rsid w:val="00B91070"/>
    <w:rsid w:val="00B91659"/>
    <w:rsid w:val="00B91C6B"/>
    <w:rsid w:val="00B93003"/>
    <w:rsid w:val="00B9408B"/>
    <w:rsid w:val="00B96F87"/>
    <w:rsid w:val="00B977AE"/>
    <w:rsid w:val="00BA00A9"/>
    <w:rsid w:val="00BA0177"/>
    <w:rsid w:val="00BA0A31"/>
    <w:rsid w:val="00BA16C9"/>
    <w:rsid w:val="00BA1A79"/>
    <w:rsid w:val="00BA351B"/>
    <w:rsid w:val="00BA3D2E"/>
    <w:rsid w:val="00BA5589"/>
    <w:rsid w:val="00BA62A1"/>
    <w:rsid w:val="00BA6DED"/>
    <w:rsid w:val="00BA73A1"/>
    <w:rsid w:val="00BA7CBD"/>
    <w:rsid w:val="00BA7DF6"/>
    <w:rsid w:val="00BA7EAD"/>
    <w:rsid w:val="00BA7F0B"/>
    <w:rsid w:val="00BA7F5C"/>
    <w:rsid w:val="00BB0B58"/>
    <w:rsid w:val="00BB2B11"/>
    <w:rsid w:val="00BB474F"/>
    <w:rsid w:val="00BB612D"/>
    <w:rsid w:val="00BB7630"/>
    <w:rsid w:val="00BB78BC"/>
    <w:rsid w:val="00BC098D"/>
    <w:rsid w:val="00BC0C85"/>
    <w:rsid w:val="00BC0D15"/>
    <w:rsid w:val="00BC2843"/>
    <w:rsid w:val="00BC2F8E"/>
    <w:rsid w:val="00BC3932"/>
    <w:rsid w:val="00BC50CA"/>
    <w:rsid w:val="00BC57EC"/>
    <w:rsid w:val="00BC5864"/>
    <w:rsid w:val="00BC7632"/>
    <w:rsid w:val="00BD0415"/>
    <w:rsid w:val="00BD0D14"/>
    <w:rsid w:val="00BD1011"/>
    <w:rsid w:val="00BD17B1"/>
    <w:rsid w:val="00BD2500"/>
    <w:rsid w:val="00BD2F5C"/>
    <w:rsid w:val="00BD36A0"/>
    <w:rsid w:val="00BD3FF3"/>
    <w:rsid w:val="00BD4642"/>
    <w:rsid w:val="00BD4DE9"/>
    <w:rsid w:val="00BD6E3A"/>
    <w:rsid w:val="00BD7598"/>
    <w:rsid w:val="00BE05AA"/>
    <w:rsid w:val="00BE130C"/>
    <w:rsid w:val="00BE14DA"/>
    <w:rsid w:val="00BE301E"/>
    <w:rsid w:val="00BE395E"/>
    <w:rsid w:val="00BE461C"/>
    <w:rsid w:val="00BE47AC"/>
    <w:rsid w:val="00BE517F"/>
    <w:rsid w:val="00BE5921"/>
    <w:rsid w:val="00BE5976"/>
    <w:rsid w:val="00BE6396"/>
    <w:rsid w:val="00BE78A9"/>
    <w:rsid w:val="00BE7BC2"/>
    <w:rsid w:val="00BE7CBE"/>
    <w:rsid w:val="00BF120F"/>
    <w:rsid w:val="00BF2773"/>
    <w:rsid w:val="00BF29DB"/>
    <w:rsid w:val="00BF3C24"/>
    <w:rsid w:val="00BF4C7E"/>
    <w:rsid w:val="00BF5CC3"/>
    <w:rsid w:val="00BF74F0"/>
    <w:rsid w:val="00C01740"/>
    <w:rsid w:val="00C01EDE"/>
    <w:rsid w:val="00C020F5"/>
    <w:rsid w:val="00C02963"/>
    <w:rsid w:val="00C02B83"/>
    <w:rsid w:val="00C055BD"/>
    <w:rsid w:val="00C05CA6"/>
    <w:rsid w:val="00C05FCF"/>
    <w:rsid w:val="00C06415"/>
    <w:rsid w:val="00C0654A"/>
    <w:rsid w:val="00C06709"/>
    <w:rsid w:val="00C06A1D"/>
    <w:rsid w:val="00C06D53"/>
    <w:rsid w:val="00C070AD"/>
    <w:rsid w:val="00C110AB"/>
    <w:rsid w:val="00C11551"/>
    <w:rsid w:val="00C11AA2"/>
    <w:rsid w:val="00C12BD9"/>
    <w:rsid w:val="00C136E1"/>
    <w:rsid w:val="00C138FC"/>
    <w:rsid w:val="00C13BD8"/>
    <w:rsid w:val="00C142DF"/>
    <w:rsid w:val="00C17139"/>
    <w:rsid w:val="00C175BF"/>
    <w:rsid w:val="00C207A1"/>
    <w:rsid w:val="00C208E8"/>
    <w:rsid w:val="00C22B0E"/>
    <w:rsid w:val="00C23782"/>
    <w:rsid w:val="00C23FBD"/>
    <w:rsid w:val="00C24372"/>
    <w:rsid w:val="00C2604E"/>
    <w:rsid w:val="00C268EA"/>
    <w:rsid w:val="00C27327"/>
    <w:rsid w:val="00C303D6"/>
    <w:rsid w:val="00C33531"/>
    <w:rsid w:val="00C33F0A"/>
    <w:rsid w:val="00C37066"/>
    <w:rsid w:val="00C376A4"/>
    <w:rsid w:val="00C41F0A"/>
    <w:rsid w:val="00C42D2F"/>
    <w:rsid w:val="00C44304"/>
    <w:rsid w:val="00C446C7"/>
    <w:rsid w:val="00C45A96"/>
    <w:rsid w:val="00C46167"/>
    <w:rsid w:val="00C466DF"/>
    <w:rsid w:val="00C46D9D"/>
    <w:rsid w:val="00C511A8"/>
    <w:rsid w:val="00C535D2"/>
    <w:rsid w:val="00C5760E"/>
    <w:rsid w:val="00C57735"/>
    <w:rsid w:val="00C6113D"/>
    <w:rsid w:val="00C61662"/>
    <w:rsid w:val="00C65009"/>
    <w:rsid w:val="00C65455"/>
    <w:rsid w:val="00C668D2"/>
    <w:rsid w:val="00C67E8E"/>
    <w:rsid w:val="00C7071A"/>
    <w:rsid w:val="00C715AB"/>
    <w:rsid w:val="00C71636"/>
    <w:rsid w:val="00C724C7"/>
    <w:rsid w:val="00C72B5A"/>
    <w:rsid w:val="00C72E8D"/>
    <w:rsid w:val="00C75878"/>
    <w:rsid w:val="00C75DB4"/>
    <w:rsid w:val="00C76EA0"/>
    <w:rsid w:val="00C77D0D"/>
    <w:rsid w:val="00C8063D"/>
    <w:rsid w:val="00C819B3"/>
    <w:rsid w:val="00C82478"/>
    <w:rsid w:val="00C82878"/>
    <w:rsid w:val="00C82A55"/>
    <w:rsid w:val="00C83C7A"/>
    <w:rsid w:val="00C84491"/>
    <w:rsid w:val="00C85221"/>
    <w:rsid w:val="00C85909"/>
    <w:rsid w:val="00C859B3"/>
    <w:rsid w:val="00C86016"/>
    <w:rsid w:val="00C86461"/>
    <w:rsid w:val="00C86ECA"/>
    <w:rsid w:val="00C87F5E"/>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5456"/>
    <w:rsid w:val="00CA617B"/>
    <w:rsid w:val="00CA751D"/>
    <w:rsid w:val="00CA7648"/>
    <w:rsid w:val="00CB0C81"/>
    <w:rsid w:val="00CB1F74"/>
    <w:rsid w:val="00CB1FBB"/>
    <w:rsid w:val="00CB22C2"/>
    <w:rsid w:val="00CB2EAD"/>
    <w:rsid w:val="00CB348C"/>
    <w:rsid w:val="00CB38C9"/>
    <w:rsid w:val="00CB4069"/>
    <w:rsid w:val="00CB5FC3"/>
    <w:rsid w:val="00CB6DC7"/>
    <w:rsid w:val="00CB73DD"/>
    <w:rsid w:val="00CC0332"/>
    <w:rsid w:val="00CC035F"/>
    <w:rsid w:val="00CC30CB"/>
    <w:rsid w:val="00CC409D"/>
    <w:rsid w:val="00CC43E8"/>
    <w:rsid w:val="00CC6F51"/>
    <w:rsid w:val="00CC780E"/>
    <w:rsid w:val="00CD1976"/>
    <w:rsid w:val="00CD28BF"/>
    <w:rsid w:val="00CD2A9E"/>
    <w:rsid w:val="00CD41DB"/>
    <w:rsid w:val="00CD4D20"/>
    <w:rsid w:val="00CD5AB9"/>
    <w:rsid w:val="00CD5C1B"/>
    <w:rsid w:val="00CE0CEA"/>
    <w:rsid w:val="00CE0D85"/>
    <w:rsid w:val="00CE1AF3"/>
    <w:rsid w:val="00CE1CD7"/>
    <w:rsid w:val="00CE2611"/>
    <w:rsid w:val="00CE2DB9"/>
    <w:rsid w:val="00CE5179"/>
    <w:rsid w:val="00CF02CE"/>
    <w:rsid w:val="00CF1B3C"/>
    <w:rsid w:val="00CF1B5F"/>
    <w:rsid w:val="00CF2A9D"/>
    <w:rsid w:val="00CF308A"/>
    <w:rsid w:val="00CF3734"/>
    <w:rsid w:val="00CF3D3C"/>
    <w:rsid w:val="00CF5D39"/>
    <w:rsid w:val="00CF63A0"/>
    <w:rsid w:val="00CF74F3"/>
    <w:rsid w:val="00CF788D"/>
    <w:rsid w:val="00CF7C6E"/>
    <w:rsid w:val="00D00E6A"/>
    <w:rsid w:val="00D02DDA"/>
    <w:rsid w:val="00D0499E"/>
    <w:rsid w:val="00D04FD7"/>
    <w:rsid w:val="00D0508A"/>
    <w:rsid w:val="00D106A4"/>
    <w:rsid w:val="00D11356"/>
    <w:rsid w:val="00D1240C"/>
    <w:rsid w:val="00D13D9E"/>
    <w:rsid w:val="00D15041"/>
    <w:rsid w:val="00D15852"/>
    <w:rsid w:val="00D16A14"/>
    <w:rsid w:val="00D16B8B"/>
    <w:rsid w:val="00D16E69"/>
    <w:rsid w:val="00D174B2"/>
    <w:rsid w:val="00D17EDA"/>
    <w:rsid w:val="00D202DA"/>
    <w:rsid w:val="00D204BF"/>
    <w:rsid w:val="00D21DBF"/>
    <w:rsid w:val="00D23049"/>
    <w:rsid w:val="00D24688"/>
    <w:rsid w:val="00D24882"/>
    <w:rsid w:val="00D2554B"/>
    <w:rsid w:val="00D25C30"/>
    <w:rsid w:val="00D25C48"/>
    <w:rsid w:val="00D262AF"/>
    <w:rsid w:val="00D26F16"/>
    <w:rsid w:val="00D26FB9"/>
    <w:rsid w:val="00D27E7D"/>
    <w:rsid w:val="00D31132"/>
    <w:rsid w:val="00D3250D"/>
    <w:rsid w:val="00D3289B"/>
    <w:rsid w:val="00D3341A"/>
    <w:rsid w:val="00D33DED"/>
    <w:rsid w:val="00D34080"/>
    <w:rsid w:val="00D35F49"/>
    <w:rsid w:val="00D36069"/>
    <w:rsid w:val="00D37580"/>
    <w:rsid w:val="00D37F7C"/>
    <w:rsid w:val="00D408DF"/>
    <w:rsid w:val="00D43FCF"/>
    <w:rsid w:val="00D448ED"/>
    <w:rsid w:val="00D46DC0"/>
    <w:rsid w:val="00D47343"/>
    <w:rsid w:val="00D47514"/>
    <w:rsid w:val="00D47F9C"/>
    <w:rsid w:val="00D50D2A"/>
    <w:rsid w:val="00D50DB1"/>
    <w:rsid w:val="00D50E7F"/>
    <w:rsid w:val="00D539B6"/>
    <w:rsid w:val="00D54E00"/>
    <w:rsid w:val="00D557D1"/>
    <w:rsid w:val="00D55896"/>
    <w:rsid w:val="00D55CBB"/>
    <w:rsid w:val="00D62322"/>
    <w:rsid w:val="00D63072"/>
    <w:rsid w:val="00D63E24"/>
    <w:rsid w:val="00D63FE0"/>
    <w:rsid w:val="00D64C06"/>
    <w:rsid w:val="00D67A3C"/>
    <w:rsid w:val="00D67B3E"/>
    <w:rsid w:val="00D70832"/>
    <w:rsid w:val="00D70961"/>
    <w:rsid w:val="00D70981"/>
    <w:rsid w:val="00D71952"/>
    <w:rsid w:val="00D7199A"/>
    <w:rsid w:val="00D7298A"/>
    <w:rsid w:val="00D72AE6"/>
    <w:rsid w:val="00D743AE"/>
    <w:rsid w:val="00D745C3"/>
    <w:rsid w:val="00D74B43"/>
    <w:rsid w:val="00D76C31"/>
    <w:rsid w:val="00D77AF2"/>
    <w:rsid w:val="00D82DE9"/>
    <w:rsid w:val="00D83349"/>
    <w:rsid w:val="00D84B6A"/>
    <w:rsid w:val="00D86E63"/>
    <w:rsid w:val="00D90163"/>
    <w:rsid w:val="00D903F7"/>
    <w:rsid w:val="00D9275B"/>
    <w:rsid w:val="00D92814"/>
    <w:rsid w:val="00D931BF"/>
    <w:rsid w:val="00D951AC"/>
    <w:rsid w:val="00D955CB"/>
    <w:rsid w:val="00D97724"/>
    <w:rsid w:val="00D97D17"/>
    <w:rsid w:val="00D97D66"/>
    <w:rsid w:val="00DA0D49"/>
    <w:rsid w:val="00DA0FD7"/>
    <w:rsid w:val="00DA316A"/>
    <w:rsid w:val="00DA328F"/>
    <w:rsid w:val="00DA4735"/>
    <w:rsid w:val="00DA5977"/>
    <w:rsid w:val="00DA5F3F"/>
    <w:rsid w:val="00DA657B"/>
    <w:rsid w:val="00DA6A07"/>
    <w:rsid w:val="00DA6ABA"/>
    <w:rsid w:val="00DA71E6"/>
    <w:rsid w:val="00DA7330"/>
    <w:rsid w:val="00DA75D9"/>
    <w:rsid w:val="00DA7F11"/>
    <w:rsid w:val="00DB0A43"/>
    <w:rsid w:val="00DB178B"/>
    <w:rsid w:val="00DB17AB"/>
    <w:rsid w:val="00DB29FD"/>
    <w:rsid w:val="00DB370B"/>
    <w:rsid w:val="00DB37AF"/>
    <w:rsid w:val="00DB3C5C"/>
    <w:rsid w:val="00DB4733"/>
    <w:rsid w:val="00DB5A82"/>
    <w:rsid w:val="00DB6CE1"/>
    <w:rsid w:val="00DB7AB1"/>
    <w:rsid w:val="00DC10A3"/>
    <w:rsid w:val="00DC1509"/>
    <w:rsid w:val="00DC1CB0"/>
    <w:rsid w:val="00DC2388"/>
    <w:rsid w:val="00DC24C7"/>
    <w:rsid w:val="00DC4575"/>
    <w:rsid w:val="00DC57AF"/>
    <w:rsid w:val="00DD1D7B"/>
    <w:rsid w:val="00DD23FC"/>
    <w:rsid w:val="00DD24B3"/>
    <w:rsid w:val="00DD2CE7"/>
    <w:rsid w:val="00DD4856"/>
    <w:rsid w:val="00DD6B76"/>
    <w:rsid w:val="00DE2128"/>
    <w:rsid w:val="00DE2A79"/>
    <w:rsid w:val="00DE33A4"/>
    <w:rsid w:val="00DE4668"/>
    <w:rsid w:val="00DE482F"/>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512"/>
    <w:rsid w:val="00DF36A8"/>
    <w:rsid w:val="00DF49C3"/>
    <w:rsid w:val="00DF4C2C"/>
    <w:rsid w:val="00DF5225"/>
    <w:rsid w:val="00DF6174"/>
    <w:rsid w:val="00DF61CF"/>
    <w:rsid w:val="00DF6947"/>
    <w:rsid w:val="00DF7A1E"/>
    <w:rsid w:val="00E011C1"/>
    <w:rsid w:val="00E01305"/>
    <w:rsid w:val="00E031A3"/>
    <w:rsid w:val="00E0361B"/>
    <w:rsid w:val="00E04052"/>
    <w:rsid w:val="00E05F18"/>
    <w:rsid w:val="00E0665F"/>
    <w:rsid w:val="00E06AE2"/>
    <w:rsid w:val="00E06E9C"/>
    <w:rsid w:val="00E07362"/>
    <w:rsid w:val="00E07991"/>
    <w:rsid w:val="00E07A91"/>
    <w:rsid w:val="00E10883"/>
    <w:rsid w:val="00E118EF"/>
    <w:rsid w:val="00E13D4A"/>
    <w:rsid w:val="00E15A83"/>
    <w:rsid w:val="00E20791"/>
    <w:rsid w:val="00E211DE"/>
    <w:rsid w:val="00E21286"/>
    <w:rsid w:val="00E231E3"/>
    <w:rsid w:val="00E24FC9"/>
    <w:rsid w:val="00E25BD6"/>
    <w:rsid w:val="00E305AF"/>
    <w:rsid w:val="00E309BC"/>
    <w:rsid w:val="00E3134B"/>
    <w:rsid w:val="00E31A3D"/>
    <w:rsid w:val="00E32457"/>
    <w:rsid w:val="00E34052"/>
    <w:rsid w:val="00E34AD0"/>
    <w:rsid w:val="00E35027"/>
    <w:rsid w:val="00E36309"/>
    <w:rsid w:val="00E36DC4"/>
    <w:rsid w:val="00E3794D"/>
    <w:rsid w:val="00E37D8F"/>
    <w:rsid w:val="00E41061"/>
    <w:rsid w:val="00E42B7C"/>
    <w:rsid w:val="00E437D5"/>
    <w:rsid w:val="00E43EE2"/>
    <w:rsid w:val="00E44206"/>
    <w:rsid w:val="00E4438B"/>
    <w:rsid w:val="00E44F21"/>
    <w:rsid w:val="00E45C9C"/>
    <w:rsid w:val="00E45CCA"/>
    <w:rsid w:val="00E47691"/>
    <w:rsid w:val="00E47BA8"/>
    <w:rsid w:val="00E506C2"/>
    <w:rsid w:val="00E50743"/>
    <w:rsid w:val="00E50FE4"/>
    <w:rsid w:val="00E51885"/>
    <w:rsid w:val="00E54410"/>
    <w:rsid w:val="00E61647"/>
    <w:rsid w:val="00E616AF"/>
    <w:rsid w:val="00E638C5"/>
    <w:rsid w:val="00E63FAE"/>
    <w:rsid w:val="00E66582"/>
    <w:rsid w:val="00E66F14"/>
    <w:rsid w:val="00E67456"/>
    <w:rsid w:val="00E7007B"/>
    <w:rsid w:val="00E70CCA"/>
    <w:rsid w:val="00E71437"/>
    <w:rsid w:val="00E771A1"/>
    <w:rsid w:val="00E77561"/>
    <w:rsid w:val="00E77587"/>
    <w:rsid w:val="00E779CA"/>
    <w:rsid w:val="00E77D00"/>
    <w:rsid w:val="00E8116C"/>
    <w:rsid w:val="00E811F2"/>
    <w:rsid w:val="00E81512"/>
    <w:rsid w:val="00E83C0E"/>
    <w:rsid w:val="00E84963"/>
    <w:rsid w:val="00E85213"/>
    <w:rsid w:val="00E8553B"/>
    <w:rsid w:val="00E86388"/>
    <w:rsid w:val="00E9217D"/>
    <w:rsid w:val="00E93614"/>
    <w:rsid w:val="00E93AB8"/>
    <w:rsid w:val="00E94798"/>
    <w:rsid w:val="00E95B98"/>
    <w:rsid w:val="00E9670F"/>
    <w:rsid w:val="00E97096"/>
    <w:rsid w:val="00EA20F8"/>
    <w:rsid w:val="00EA2907"/>
    <w:rsid w:val="00EA3F56"/>
    <w:rsid w:val="00EA59D0"/>
    <w:rsid w:val="00EA5D22"/>
    <w:rsid w:val="00EA64A5"/>
    <w:rsid w:val="00EA652E"/>
    <w:rsid w:val="00EA7503"/>
    <w:rsid w:val="00EB0D26"/>
    <w:rsid w:val="00EB1984"/>
    <w:rsid w:val="00EB4BC3"/>
    <w:rsid w:val="00EB54CF"/>
    <w:rsid w:val="00EB701E"/>
    <w:rsid w:val="00EB712B"/>
    <w:rsid w:val="00EB7281"/>
    <w:rsid w:val="00EB75F6"/>
    <w:rsid w:val="00EB7638"/>
    <w:rsid w:val="00EC00BB"/>
    <w:rsid w:val="00EC0E1E"/>
    <w:rsid w:val="00EC1937"/>
    <w:rsid w:val="00EC280E"/>
    <w:rsid w:val="00EC3EA3"/>
    <w:rsid w:val="00EC436F"/>
    <w:rsid w:val="00EC45AB"/>
    <w:rsid w:val="00EC47BB"/>
    <w:rsid w:val="00EC69F7"/>
    <w:rsid w:val="00EC7281"/>
    <w:rsid w:val="00EC7878"/>
    <w:rsid w:val="00ED10DA"/>
    <w:rsid w:val="00ED37CC"/>
    <w:rsid w:val="00ED4DD2"/>
    <w:rsid w:val="00ED58ED"/>
    <w:rsid w:val="00ED5F72"/>
    <w:rsid w:val="00ED61EB"/>
    <w:rsid w:val="00ED6640"/>
    <w:rsid w:val="00ED68E2"/>
    <w:rsid w:val="00ED6AE9"/>
    <w:rsid w:val="00ED6ED3"/>
    <w:rsid w:val="00ED6FAD"/>
    <w:rsid w:val="00ED7411"/>
    <w:rsid w:val="00ED74A0"/>
    <w:rsid w:val="00EE0889"/>
    <w:rsid w:val="00EE0BB6"/>
    <w:rsid w:val="00EE0FDE"/>
    <w:rsid w:val="00EE1BCD"/>
    <w:rsid w:val="00EE1E62"/>
    <w:rsid w:val="00EE2B2F"/>
    <w:rsid w:val="00EE3EF4"/>
    <w:rsid w:val="00EE4380"/>
    <w:rsid w:val="00EE54B4"/>
    <w:rsid w:val="00EE7035"/>
    <w:rsid w:val="00EE7A99"/>
    <w:rsid w:val="00EE7EF6"/>
    <w:rsid w:val="00EF0313"/>
    <w:rsid w:val="00EF050A"/>
    <w:rsid w:val="00EF15D7"/>
    <w:rsid w:val="00EF1964"/>
    <w:rsid w:val="00EF1CB9"/>
    <w:rsid w:val="00EF217A"/>
    <w:rsid w:val="00EF3281"/>
    <w:rsid w:val="00EF3BC5"/>
    <w:rsid w:val="00EF41F5"/>
    <w:rsid w:val="00EF42B9"/>
    <w:rsid w:val="00EF495C"/>
    <w:rsid w:val="00EF5599"/>
    <w:rsid w:val="00EF62BC"/>
    <w:rsid w:val="00EF7793"/>
    <w:rsid w:val="00EF7D06"/>
    <w:rsid w:val="00F01AC7"/>
    <w:rsid w:val="00F02440"/>
    <w:rsid w:val="00F04250"/>
    <w:rsid w:val="00F06A13"/>
    <w:rsid w:val="00F06A67"/>
    <w:rsid w:val="00F07993"/>
    <w:rsid w:val="00F107B3"/>
    <w:rsid w:val="00F10F36"/>
    <w:rsid w:val="00F1354D"/>
    <w:rsid w:val="00F143D5"/>
    <w:rsid w:val="00F14F2A"/>
    <w:rsid w:val="00F15413"/>
    <w:rsid w:val="00F15674"/>
    <w:rsid w:val="00F15A6A"/>
    <w:rsid w:val="00F15AF0"/>
    <w:rsid w:val="00F15BD4"/>
    <w:rsid w:val="00F16ADD"/>
    <w:rsid w:val="00F16D8C"/>
    <w:rsid w:val="00F16FAA"/>
    <w:rsid w:val="00F17982"/>
    <w:rsid w:val="00F17B56"/>
    <w:rsid w:val="00F21B88"/>
    <w:rsid w:val="00F21DA3"/>
    <w:rsid w:val="00F22281"/>
    <w:rsid w:val="00F2272A"/>
    <w:rsid w:val="00F22CE4"/>
    <w:rsid w:val="00F23108"/>
    <w:rsid w:val="00F23E30"/>
    <w:rsid w:val="00F242B5"/>
    <w:rsid w:val="00F25B07"/>
    <w:rsid w:val="00F26CF7"/>
    <w:rsid w:val="00F3048F"/>
    <w:rsid w:val="00F30808"/>
    <w:rsid w:val="00F31341"/>
    <w:rsid w:val="00F31C46"/>
    <w:rsid w:val="00F31FA3"/>
    <w:rsid w:val="00F32D36"/>
    <w:rsid w:val="00F34D3D"/>
    <w:rsid w:val="00F36198"/>
    <w:rsid w:val="00F365BE"/>
    <w:rsid w:val="00F37F59"/>
    <w:rsid w:val="00F416E5"/>
    <w:rsid w:val="00F41D31"/>
    <w:rsid w:val="00F431A6"/>
    <w:rsid w:val="00F43354"/>
    <w:rsid w:val="00F5197C"/>
    <w:rsid w:val="00F52F95"/>
    <w:rsid w:val="00F548A6"/>
    <w:rsid w:val="00F55E3B"/>
    <w:rsid w:val="00F567E5"/>
    <w:rsid w:val="00F602B4"/>
    <w:rsid w:val="00F6040D"/>
    <w:rsid w:val="00F60E49"/>
    <w:rsid w:val="00F613D4"/>
    <w:rsid w:val="00F61BE8"/>
    <w:rsid w:val="00F61BF0"/>
    <w:rsid w:val="00F62319"/>
    <w:rsid w:val="00F62B74"/>
    <w:rsid w:val="00F632BD"/>
    <w:rsid w:val="00F6456A"/>
    <w:rsid w:val="00F715BA"/>
    <w:rsid w:val="00F72D07"/>
    <w:rsid w:val="00F746ED"/>
    <w:rsid w:val="00F74734"/>
    <w:rsid w:val="00F7498A"/>
    <w:rsid w:val="00F74E38"/>
    <w:rsid w:val="00F74E7B"/>
    <w:rsid w:val="00F7635B"/>
    <w:rsid w:val="00F76AB0"/>
    <w:rsid w:val="00F76C90"/>
    <w:rsid w:val="00F77A49"/>
    <w:rsid w:val="00F81315"/>
    <w:rsid w:val="00F816C5"/>
    <w:rsid w:val="00F83725"/>
    <w:rsid w:val="00F83A28"/>
    <w:rsid w:val="00F85D47"/>
    <w:rsid w:val="00F862B0"/>
    <w:rsid w:val="00F87288"/>
    <w:rsid w:val="00F8729A"/>
    <w:rsid w:val="00F90BA9"/>
    <w:rsid w:val="00F90BB3"/>
    <w:rsid w:val="00F923F4"/>
    <w:rsid w:val="00F92654"/>
    <w:rsid w:val="00F92B96"/>
    <w:rsid w:val="00F93C52"/>
    <w:rsid w:val="00F93F82"/>
    <w:rsid w:val="00F950CF"/>
    <w:rsid w:val="00F95E06"/>
    <w:rsid w:val="00F96AE2"/>
    <w:rsid w:val="00FA0B5F"/>
    <w:rsid w:val="00FA0E13"/>
    <w:rsid w:val="00FA423D"/>
    <w:rsid w:val="00FA451A"/>
    <w:rsid w:val="00FA46D7"/>
    <w:rsid w:val="00FA72BA"/>
    <w:rsid w:val="00FB01AA"/>
    <w:rsid w:val="00FB0A9F"/>
    <w:rsid w:val="00FB28B9"/>
    <w:rsid w:val="00FB31E6"/>
    <w:rsid w:val="00FB34A7"/>
    <w:rsid w:val="00FB35A3"/>
    <w:rsid w:val="00FB458E"/>
    <w:rsid w:val="00FB45B0"/>
    <w:rsid w:val="00FB52A1"/>
    <w:rsid w:val="00FB532C"/>
    <w:rsid w:val="00FB5617"/>
    <w:rsid w:val="00FB7164"/>
    <w:rsid w:val="00FB7578"/>
    <w:rsid w:val="00FB7946"/>
    <w:rsid w:val="00FC05D6"/>
    <w:rsid w:val="00FC1CFC"/>
    <w:rsid w:val="00FC1E3B"/>
    <w:rsid w:val="00FC215A"/>
    <w:rsid w:val="00FC24FD"/>
    <w:rsid w:val="00FC277F"/>
    <w:rsid w:val="00FC28DA"/>
    <w:rsid w:val="00FC2DEE"/>
    <w:rsid w:val="00FC3448"/>
    <w:rsid w:val="00FC47C6"/>
    <w:rsid w:val="00FC5D73"/>
    <w:rsid w:val="00FD13A0"/>
    <w:rsid w:val="00FD1AE9"/>
    <w:rsid w:val="00FD41F3"/>
    <w:rsid w:val="00FD4E89"/>
    <w:rsid w:val="00FD4F98"/>
    <w:rsid w:val="00FD6D2E"/>
    <w:rsid w:val="00FD7168"/>
    <w:rsid w:val="00FD7383"/>
    <w:rsid w:val="00FD773F"/>
    <w:rsid w:val="00FE0FFD"/>
    <w:rsid w:val="00FE242A"/>
    <w:rsid w:val="00FE542E"/>
    <w:rsid w:val="00FE60E1"/>
    <w:rsid w:val="00FE637E"/>
    <w:rsid w:val="00FE64FD"/>
    <w:rsid w:val="00FE6669"/>
    <w:rsid w:val="00FE66D3"/>
    <w:rsid w:val="00FE7EA3"/>
    <w:rsid w:val="00FF1049"/>
    <w:rsid w:val="00FF29D7"/>
    <w:rsid w:val="00FF33C7"/>
    <w:rsid w:val="00FF35FD"/>
    <w:rsid w:val="00FF38A3"/>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91EED76"/>
  <w15:docId w15:val="{DE04F348-83C9-4721-8BC2-33F4BB95C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bg-BG" w:eastAsia="bg-BG" w:bidi="bg-BG"/>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6695F"/>
    <w:pPr>
      <w:spacing w:after="120" w:line="280" w:lineRule="atLeast"/>
    </w:pPr>
    <w:rPr>
      <w:rFonts w:ascii="Helvetica" w:hAnsi="Helvetica"/>
      <w:sz w:val="32"/>
      <w:szCs w:val="22"/>
    </w:rPr>
  </w:style>
  <w:style w:type="paragraph" w:styleId="Heading1">
    <w:name w:val="heading 1"/>
    <w:basedOn w:val="Normal"/>
    <w:next w:val="Normal"/>
    <w:link w:val="Heading1Char"/>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Heading2">
    <w:name w:val="heading 2"/>
    <w:aliases w:val="Titre B,no vale,Heading 2 Char1,Heading 2 Char Char"/>
    <w:basedOn w:val="Normal"/>
    <w:next w:val="Normal"/>
    <w:link w:val="Heading2Char"/>
    <w:uiPriority w:val="9"/>
    <w:qFormat/>
    <w:rsid w:val="000B3C23"/>
    <w:pPr>
      <w:keepNext/>
      <w:numPr>
        <w:ilvl w:val="1"/>
        <w:numId w:val="4"/>
      </w:numPr>
      <w:outlineLvl w:val="1"/>
    </w:pPr>
    <w:rPr>
      <w:rFonts w:eastAsiaTheme="majorEastAsia" w:cstheme="majorBidi"/>
      <w:b/>
      <w:bCs/>
      <w:iCs/>
      <w:sz w:val="24"/>
      <w:szCs w:val="28"/>
    </w:rPr>
  </w:style>
  <w:style w:type="paragraph" w:styleId="Heading3">
    <w:name w:val="heading 3"/>
    <w:aliases w:val="H3,no vale1,no vale1 Car"/>
    <w:basedOn w:val="Normal"/>
    <w:next w:val="Normal"/>
    <w:link w:val="Heading3Char"/>
    <w:qFormat/>
    <w:rsid w:val="000B3C23"/>
    <w:pPr>
      <w:keepNext/>
      <w:numPr>
        <w:ilvl w:val="2"/>
        <w:numId w:val="4"/>
      </w:numPr>
      <w:tabs>
        <w:tab w:val="left" w:pos="709"/>
      </w:tabs>
      <w:outlineLvl w:val="2"/>
    </w:pPr>
    <w:rPr>
      <w:rFonts w:eastAsiaTheme="majorEastAsia" w:cstheme="majorBidi"/>
      <w:b/>
      <w:bCs/>
      <w:szCs w:val="26"/>
    </w:rPr>
  </w:style>
  <w:style w:type="paragraph" w:styleId="Heading4">
    <w:name w:val="heading 4"/>
    <w:aliases w:val="Heading 4 Char1,Título 4 Car,Heading 4 Char1 Car,no vale 2,no vale 2 Car"/>
    <w:basedOn w:val="Normal"/>
    <w:next w:val="Normal"/>
    <w:link w:val="Heading4Char2"/>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Heading5">
    <w:name w:val="heading 5"/>
    <w:basedOn w:val="Normal"/>
    <w:next w:val="Normal"/>
    <w:link w:val="Heading5Char"/>
    <w:uiPriority w:val="99"/>
    <w:qFormat/>
    <w:rsid w:val="000B3C23"/>
    <w:pPr>
      <w:keepLines/>
      <w:spacing w:after="60" w:line="240" w:lineRule="auto"/>
      <w:outlineLvl w:val="4"/>
    </w:pPr>
    <w:rPr>
      <w:rFonts w:eastAsiaTheme="majorEastAsia" w:cstheme="majorBidi"/>
      <w:bCs/>
      <w:iCs/>
      <w:color w:val="709364"/>
      <w:szCs w:val="26"/>
    </w:rPr>
  </w:style>
  <w:style w:type="paragraph" w:styleId="Heading6">
    <w:name w:val="heading 6"/>
    <w:basedOn w:val="Normal"/>
    <w:next w:val="Normal"/>
    <w:link w:val="Heading6Char"/>
    <w:uiPriority w:val="99"/>
    <w:qFormat/>
    <w:rsid w:val="000B3C23"/>
    <w:pPr>
      <w:spacing w:line="240" w:lineRule="atLeast"/>
      <w:outlineLvl w:val="5"/>
    </w:pPr>
    <w:rPr>
      <w:rFonts w:eastAsiaTheme="majorEastAsia" w:cstheme="majorBidi"/>
      <w:b/>
      <w:bCs/>
    </w:rPr>
  </w:style>
  <w:style w:type="paragraph" w:styleId="Heading7">
    <w:name w:val="heading 7"/>
    <w:basedOn w:val="Normal"/>
    <w:next w:val="Normal"/>
    <w:link w:val="Heading7Char"/>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Heading8">
    <w:name w:val="heading 8"/>
    <w:basedOn w:val="Normal"/>
    <w:next w:val="Normal"/>
    <w:link w:val="Heading8Char"/>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Heading9">
    <w:name w:val="heading 9"/>
    <w:basedOn w:val="Normal"/>
    <w:next w:val="Normal"/>
    <w:link w:val="Heading9Char"/>
    <w:qFormat/>
    <w:rsid w:val="000B3C23"/>
    <w:pPr>
      <w:numPr>
        <w:ilvl w:val="8"/>
        <w:numId w:val="1"/>
      </w:numPr>
      <w:spacing w:before="240" w:after="60" w:line="240" w:lineRule="auto"/>
      <w:outlineLvl w:val="8"/>
    </w:pPr>
    <w:rPr>
      <w:rFonts w:eastAsiaTheme="majorEastAsia"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0B3C23"/>
    <w:rPr>
      <w:rFonts w:ascii="Helvetica" w:eastAsiaTheme="majorEastAsia" w:hAnsi="Helvetica" w:cstheme="majorBidi"/>
      <w:b/>
      <w:bCs/>
      <w:caps/>
      <w:color w:val="DF6532"/>
      <w:kern w:val="32"/>
      <w:sz w:val="60"/>
      <w:szCs w:val="32"/>
      <w:lang w:val="bg-BG" w:eastAsia="bg-BG"/>
    </w:rPr>
  </w:style>
  <w:style w:type="character" w:customStyle="1" w:styleId="Heading2Char">
    <w:name w:val="Heading 2 Char"/>
    <w:aliases w:val="Titre B Char,no vale Char,Heading 2 Char1 Char,Heading 2 Char Char Char"/>
    <w:link w:val="Heading2"/>
    <w:uiPriority w:val="9"/>
    <w:rsid w:val="000B3C23"/>
    <w:rPr>
      <w:rFonts w:ascii="Helvetica" w:eastAsiaTheme="majorEastAsia" w:hAnsi="Helvetica" w:cstheme="majorBidi"/>
      <w:b/>
      <w:bCs/>
      <w:iCs/>
      <w:sz w:val="24"/>
      <w:szCs w:val="28"/>
      <w:lang w:val="bg-BG" w:eastAsia="bg-BG"/>
    </w:rPr>
  </w:style>
  <w:style w:type="character" w:customStyle="1" w:styleId="Heading3Char">
    <w:name w:val="Heading 3 Char"/>
    <w:aliases w:val="H3 Char,no vale1 Char,no vale1 Car Char"/>
    <w:link w:val="Heading3"/>
    <w:rsid w:val="000B3C23"/>
    <w:rPr>
      <w:rFonts w:ascii="Helvetica" w:eastAsiaTheme="majorEastAsia" w:hAnsi="Helvetica" w:cstheme="majorBidi"/>
      <w:b/>
      <w:bCs/>
      <w:sz w:val="32"/>
      <w:szCs w:val="26"/>
      <w:lang w:val="bg-BG" w:eastAsia="bg-BG"/>
    </w:rPr>
  </w:style>
  <w:style w:type="character" w:customStyle="1" w:styleId="Heading4Char">
    <w:name w:val="Heading 4 Char"/>
    <w:basedOn w:val="DefaultParagraphFont"/>
    <w:uiPriority w:val="99"/>
    <w:rsid w:val="00F62319"/>
    <w:rPr>
      <w:rFonts w:asciiTheme="majorHAnsi" w:eastAsiaTheme="majorEastAsia" w:hAnsiTheme="majorHAnsi" w:cstheme="majorBidi"/>
      <w:b/>
      <w:bCs/>
      <w:i/>
      <w:iCs/>
      <w:color w:val="6F6F6F" w:themeColor="text1"/>
    </w:rPr>
  </w:style>
  <w:style w:type="character" w:customStyle="1" w:styleId="Heading5Char">
    <w:name w:val="Heading 5 Char"/>
    <w:link w:val="Heading5"/>
    <w:uiPriority w:val="99"/>
    <w:rsid w:val="000B3C23"/>
    <w:rPr>
      <w:rFonts w:ascii="Helvetica" w:eastAsiaTheme="majorEastAsia" w:hAnsi="Helvetica" w:cstheme="majorBidi"/>
      <w:bCs/>
      <w:iCs/>
      <w:color w:val="709364"/>
      <w:sz w:val="32"/>
      <w:szCs w:val="26"/>
      <w:lang w:val="bg-BG" w:eastAsia="bg-BG"/>
    </w:rPr>
  </w:style>
  <w:style w:type="character" w:customStyle="1" w:styleId="Heading6Char">
    <w:name w:val="Heading 6 Char"/>
    <w:link w:val="Heading6"/>
    <w:uiPriority w:val="99"/>
    <w:rsid w:val="000B3C23"/>
    <w:rPr>
      <w:rFonts w:ascii="Arial" w:eastAsiaTheme="majorEastAsia" w:hAnsi="Arial" w:cstheme="majorBidi"/>
      <w:b/>
      <w:bCs/>
      <w:szCs w:val="22"/>
      <w:lang w:val="bg-BG" w:eastAsia="bg-BG"/>
    </w:rPr>
  </w:style>
  <w:style w:type="character" w:customStyle="1" w:styleId="Heading7Char">
    <w:name w:val="Heading 7 Char"/>
    <w:link w:val="Heading7"/>
    <w:rsid w:val="000B3C23"/>
    <w:rPr>
      <w:rFonts w:ascii="Arial Black" w:eastAsiaTheme="majorEastAsia" w:hAnsi="Arial Black" w:cstheme="majorBidi"/>
      <w:sz w:val="28"/>
      <w:szCs w:val="24"/>
      <w:lang w:val="bg-BG" w:eastAsia="bg-BG"/>
    </w:rPr>
  </w:style>
  <w:style w:type="character" w:customStyle="1" w:styleId="Heading8Char">
    <w:name w:val="Heading 8 Char"/>
    <w:link w:val="Heading8"/>
    <w:rsid w:val="000B3C23"/>
    <w:rPr>
      <w:rFonts w:ascii="Arial Black" w:eastAsiaTheme="majorEastAsia" w:hAnsi="Arial Black" w:cstheme="majorBidi"/>
      <w:i/>
      <w:iCs/>
      <w:sz w:val="28"/>
      <w:szCs w:val="24"/>
      <w:lang w:val="bg-BG" w:eastAsia="bg-BG"/>
    </w:rPr>
  </w:style>
  <w:style w:type="character" w:customStyle="1" w:styleId="Heading9Char">
    <w:name w:val="Heading 9 Char"/>
    <w:link w:val="Heading9"/>
    <w:rsid w:val="000B3C23"/>
    <w:rPr>
      <w:rFonts w:ascii="Helvetica" w:eastAsiaTheme="majorEastAsia" w:hAnsi="Helvetica" w:cstheme="majorBidi"/>
      <w:sz w:val="32"/>
      <w:szCs w:val="22"/>
      <w:lang w:val="bg-BG" w:eastAsia="bg-BG"/>
    </w:rPr>
  </w:style>
  <w:style w:type="paragraph" w:styleId="Caption">
    <w:name w:val="caption"/>
    <w:aliases w:val="Table"/>
    <w:basedOn w:val="Normal"/>
    <w:next w:val="Normal"/>
    <w:link w:val="CaptionChar"/>
    <w:qFormat/>
    <w:rsid w:val="000B3C23"/>
    <w:pPr>
      <w:keepNext/>
      <w:keepLines/>
      <w:spacing w:line="240" w:lineRule="auto"/>
    </w:pPr>
    <w:rPr>
      <w:b/>
      <w:bCs/>
      <w:color w:val="6F6F6F"/>
      <w:sz w:val="16"/>
    </w:rPr>
  </w:style>
  <w:style w:type="paragraph" w:styleId="Title">
    <w:name w:val="Title"/>
    <w:basedOn w:val="Normal"/>
    <w:link w:val="TitleChar"/>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TitleChar">
    <w:name w:val="Title Char"/>
    <w:link w:val="Title"/>
    <w:uiPriority w:val="10"/>
    <w:rsid w:val="000B3C23"/>
    <w:rPr>
      <w:rFonts w:ascii="Helvetica" w:eastAsiaTheme="majorEastAsia" w:hAnsi="Helvetica" w:cstheme="majorBidi"/>
      <w:b/>
      <w:i/>
      <w:snapToGrid w:val="0"/>
      <w:color w:val="DF6532"/>
      <w:kern w:val="28"/>
      <w:sz w:val="32"/>
      <w:lang w:val="bg-BG" w:eastAsia="bg-BG"/>
    </w:rPr>
  </w:style>
  <w:style w:type="paragraph" w:styleId="Subtitle">
    <w:name w:val="Subtitle"/>
    <w:basedOn w:val="Normal"/>
    <w:link w:val="SubtitleChar"/>
    <w:uiPriority w:val="99"/>
    <w:qFormat/>
    <w:rsid w:val="000B3C23"/>
    <w:pPr>
      <w:spacing w:before="60" w:after="60" w:line="240" w:lineRule="auto"/>
      <w:ind w:left="4897" w:hanging="360"/>
      <w:outlineLvl w:val="1"/>
    </w:pPr>
    <w:rPr>
      <w:b/>
      <w:snapToGrid w:val="0"/>
      <w:color w:val="9B3930"/>
      <w:sz w:val="16"/>
      <w:szCs w:val="16"/>
    </w:rPr>
  </w:style>
  <w:style w:type="character" w:customStyle="1" w:styleId="SubtitleChar">
    <w:name w:val="Subtitle Char"/>
    <w:link w:val="Subtitle"/>
    <w:uiPriority w:val="99"/>
    <w:rsid w:val="000B3C23"/>
    <w:rPr>
      <w:rFonts w:ascii="Helvetica" w:hAnsi="Helvetica"/>
      <w:b/>
      <w:snapToGrid w:val="0"/>
      <w:color w:val="9B3930"/>
      <w:sz w:val="16"/>
      <w:szCs w:val="16"/>
      <w:lang w:val="bg-BG" w:eastAsia="bg-BG"/>
    </w:rPr>
  </w:style>
  <w:style w:type="character" w:styleId="Strong">
    <w:name w:val="Strong"/>
    <w:aliases w:val="Body Text 2 Char"/>
    <w:uiPriority w:val="22"/>
    <w:qFormat/>
    <w:rsid w:val="000B3C23"/>
    <w:rPr>
      <w:rFonts w:ascii="Arial" w:hAnsi="Arial"/>
      <w:b/>
      <w:sz w:val="16"/>
    </w:rPr>
  </w:style>
  <w:style w:type="character" w:styleId="Emphasis">
    <w:name w:val="Emphasis"/>
    <w:uiPriority w:val="20"/>
    <w:qFormat/>
    <w:rsid w:val="000B3C23"/>
    <w:rPr>
      <w:i/>
    </w:rPr>
  </w:style>
  <w:style w:type="paragraph" w:styleId="NoSpacing">
    <w:name w:val="No Spacing"/>
    <w:link w:val="NoSpacingChar"/>
    <w:uiPriority w:val="1"/>
    <w:qFormat/>
    <w:rsid w:val="000B3C23"/>
    <w:rPr>
      <w:rFonts w:asciiTheme="minorHAnsi" w:eastAsiaTheme="minorEastAsia" w:hAnsiTheme="minorHAnsi" w:cstheme="minorBidi"/>
      <w:sz w:val="22"/>
      <w:szCs w:val="22"/>
    </w:rPr>
  </w:style>
  <w:style w:type="paragraph" w:styleId="ListParagraph">
    <w:name w:val="List Paragraph"/>
    <w:basedOn w:val="Normal"/>
    <w:uiPriority w:val="34"/>
    <w:qFormat/>
    <w:rsid w:val="000B3C23"/>
    <w:pPr>
      <w:tabs>
        <w:tab w:val="left" w:pos="709"/>
      </w:tabs>
      <w:ind w:left="709" w:hanging="709"/>
      <w:outlineLvl w:val="1"/>
    </w:pPr>
    <w:rPr>
      <w:snapToGrid w:val="0"/>
      <w:szCs w:val="24"/>
    </w:rPr>
  </w:style>
  <w:style w:type="paragraph" w:styleId="Quote">
    <w:name w:val="Quote"/>
    <w:basedOn w:val="Normal"/>
    <w:next w:val="Normal"/>
    <w:link w:val="QuoteChar"/>
    <w:uiPriority w:val="29"/>
    <w:qFormat/>
    <w:rsid w:val="00F62319"/>
    <w:pPr>
      <w:spacing w:before="200" w:after="160"/>
      <w:ind w:left="864" w:right="864"/>
      <w:jc w:val="center"/>
    </w:pPr>
    <w:rPr>
      <w:i/>
      <w:iCs/>
      <w:color w:val="939393" w:themeColor="text1" w:themeTint="BF"/>
    </w:rPr>
  </w:style>
  <w:style w:type="character" w:customStyle="1" w:styleId="QuoteChar">
    <w:name w:val="Quote Char"/>
    <w:basedOn w:val="DefaultParagraphFont"/>
    <w:link w:val="Quote"/>
    <w:uiPriority w:val="99"/>
    <w:rsid w:val="00F62319"/>
    <w:rPr>
      <w:rFonts w:ascii="Helvetica" w:hAnsi="Helvetica"/>
      <w:i/>
      <w:iCs/>
      <w:color w:val="939393" w:themeColor="text1" w:themeTint="BF"/>
      <w:sz w:val="32"/>
      <w:szCs w:val="22"/>
      <w:lang w:val="bg-BG" w:eastAsia="bg-BG"/>
    </w:rPr>
  </w:style>
  <w:style w:type="paragraph" w:styleId="IntenseQuote">
    <w:name w:val="Intense Quote"/>
    <w:basedOn w:val="Normal"/>
    <w:next w:val="Normal"/>
    <w:link w:val="IntenseQuoteChar1"/>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DefaultParagraphFont"/>
    <w:link w:val="IntenseQuote1"/>
    <w:uiPriority w:val="99"/>
    <w:rsid w:val="00F62319"/>
    <w:rPr>
      <w:color w:val="6F6F6F" w:themeColor="text1"/>
      <w:shd w:val="clear" w:color="auto" w:fill="D1D1D1" w:themeFill="background1" w:themeFillShade="F2"/>
    </w:rPr>
  </w:style>
  <w:style w:type="character" w:styleId="SubtleEmphasis">
    <w:name w:val="Subtle Emphasis"/>
    <w:basedOn w:val="DefaultParagraphFont"/>
    <w:uiPriority w:val="19"/>
    <w:qFormat/>
    <w:rsid w:val="00F62319"/>
    <w:rPr>
      <w:i/>
      <w:iCs/>
      <w:color w:val="939393" w:themeColor="text1" w:themeTint="BF"/>
    </w:rPr>
  </w:style>
  <w:style w:type="character" w:styleId="IntenseEmphasis">
    <w:name w:val="Intense Emphasis"/>
    <w:uiPriority w:val="99"/>
    <w:qFormat/>
    <w:rsid w:val="000B3C23"/>
    <w:rPr>
      <w:b/>
      <w:bCs/>
      <w:i/>
      <w:iCs/>
      <w:color w:val="4F81BD"/>
    </w:rPr>
  </w:style>
  <w:style w:type="character" w:styleId="SubtleReference">
    <w:name w:val="Subtle Reference"/>
    <w:basedOn w:val="DefaultParagraphFont"/>
    <w:uiPriority w:val="31"/>
    <w:qFormat/>
    <w:rsid w:val="000B3C23"/>
    <w:rPr>
      <w:rFonts w:ascii="Helvetica" w:hAnsi="Helvetica"/>
      <w:b/>
      <w:i w:val="0"/>
      <w:smallCaps/>
      <w:color w:val="E7B837"/>
      <w:sz w:val="24"/>
      <w:u w:val="single"/>
    </w:rPr>
  </w:style>
  <w:style w:type="character" w:styleId="IntenseReference">
    <w:name w:val="Intense Reference"/>
    <w:basedOn w:val="DefaultParagraphFont"/>
    <w:uiPriority w:val="32"/>
    <w:qFormat/>
    <w:rsid w:val="000B3C23"/>
    <w:rPr>
      <w:rFonts w:ascii="Helvetica" w:hAnsi="Helvetica"/>
      <w:b/>
      <w:bCs/>
      <w:i w:val="0"/>
      <w:smallCaps/>
      <w:color w:val="9B3930"/>
      <w:spacing w:val="5"/>
      <w:sz w:val="28"/>
      <w:u w:val="single"/>
    </w:rPr>
  </w:style>
  <w:style w:type="character" w:styleId="BookTitle">
    <w:name w:val="Book Title"/>
    <w:basedOn w:val="DefaultParagraphFont"/>
    <w:uiPriority w:val="99"/>
    <w:qFormat/>
    <w:rsid w:val="00F62319"/>
    <w:rPr>
      <w:b/>
      <w:bCs/>
      <w:i/>
      <w:iCs/>
      <w:spacing w:val="5"/>
    </w:rPr>
  </w:style>
  <w:style w:type="paragraph" w:styleId="TOCHeading">
    <w:name w:val="TOC Heading"/>
    <w:basedOn w:val="Heading1"/>
    <w:next w:val="Normal"/>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ormal"/>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Heading1"/>
    <w:next w:val="Normal"/>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ormal"/>
    <w:link w:val="Red2RedCar"/>
    <w:uiPriority w:val="99"/>
    <w:qFormat/>
    <w:rsid w:val="000B3C23"/>
    <w:pPr>
      <w:spacing w:before="60" w:after="60" w:line="288" w:lineRule="auto"/>
    </w:pPr>
    <w:rPr>
      <w:szCs w:val="24"/>
    </w:rPr>
  </w:style>
  <w:style w:type="character" w:customStyle="1" w:styleId="Red2RedCar">
    <w:name w:val="Red2Red Car"/>
    <w:basedOn w:val="DefaultParagraphFont"/>
    <w:link w:val="Red2Red"/>
    <w:uiPriority w:val="99"/>
    <w:rsid w:val="000B3C23"/>
    <w:rPr>
      <w:rFonts w:ascii="Arial" w:hAnsi="Arial"/>
      <w:szCs w:val="24"/>
      <w:lang w:val="bg-BG" w:eastAsia="bg-BG"/>
    </w:rPr>
  </w:style>
  <w:style w:type="paragraph" w:customStyle="1" w:styleId="Normlnysozarkami1">
    <w:name w:val="Normálny so zarážkami1"/>
    <w:basedOn w:val="Normal"/>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DefaultParagraphFont"/>
    <w:link w:val="Normlnysozarkami1"/>
    <w:uiPriority w:val="99"/>
    <w:locked/>
    <w:rsid w:val="000B3C23"/>
    <w:rPr>
      <w:sz w:val="22"/>
      <w:szCs w:val="24"/>
      <w:lang w:val="bg-BG" w:eastAsia="bg-BG"/>
    </w:rPr>
  </w:style>
  <w:style w:type="paragraph" w:customStyle="1" w:styleId="Normlnysozarkami12">
    <w:name w:val="Normálny so zarážkami12"/>
    <w:basedOn w:val="Normal"/>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ormal"/>
    <w:qFormat/>
    <w:rsid w:val="000B3C23"/>
    <w:rPr>
      <w:rFonts w:cs="Arial"/>
      <w:smallCaps/>
      <w:color w:val="DF6532"/>
      <w:sz w:val="44"/>
      <w:szCs w:val="44"/>
    </w:rPr>
  </w:style>
  <w:style w:type="paragraph" w:customStyle="1" w:styleId="Normal22PT">
    <w:name w:val="Normal + 22PT"/>
    <w:aliases w:val="couleur Orange"/>
    <w:basedOn w:val="Normal"/>
    <w:qFormat/>
    <w:rsid w:val="009F15D6"/>
    <w:rPr>
      <w:rFonts w:ascii="Arial" w:hAnsi="Arial" w:cs="Arial"/>
      <w:b/>
      <w:bCs/>
      <w:smallCaps/>
      <w:color w:val="DF6532"/>
      <w:sz w:val="40"/>
      <w:szCs w:val="44"/>
    </w:rPr>
  </w:style>
  <w:style w:type="paragraph" w:customStyle="1" w:styleId="Normal12PTcouleurgris">
    <w:name w:val="Normal + 12PT couleur gris"/>
    <w:basedOn w:val="Normal"/>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ormal"/>
    <w:qFormat/>
    <w:rsid w:val="000B3C23"/>
    <w:rPr>
      <w:rFonts w:cs="Arial"/>
      <w:smallCaps/>
      <w:color w:val="656998"/>
      <w:sz w:val="60"/>
      <w:szCs w:val="60"/>
    </w:rPr>
  </w:style>
  <w:style w:type="paragraph" w:customStyle="1" w:styleId="H-Titre3">
    <w:name w:val="H-Titre 3"/>
    <w:basedOn w:val="Normal"/>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Header"/>
    <w:qFormat/>
    <w:rsid w:val="00D46DC0"/>
    <w:pPr>
      <w:spacing w:after="0" w:line="240" w:lineRule="auto"/>
      <w:jc w:val="right"/>
    </w:pPr>
    <w:rPr>
      <w:rFonts w:ascii="Arial" w:hAnsi="Arial"/>
      <w:snapToGrid w:val="0"/>
      <w:color w:val="F07E31" w:themeColor="background2"/>
      <w:sz w:val="18"/>
      <w:szCs w:val="18"/>
    </w:rPr>
  </w:style>
  <w:style w:type="paragraph" w:styleId="Header">
    <w:name w:val="header"/>
    <w:basedOn w:val="Normal"/>
    <w:link w:val="HeaderChar"/>
    <w:uiPriority w:val="99"/>
    <w:unhideWhenUsed/>
    <w:rsid w:val="000B3C23"/>
    <w:pPr>
      <w:tabs>
        <w:tab w:val="center" w:pos="4536"/>
        <w:tab w:val="right" w:pos="9072"/>
      </w:tabs>
    </w:pPr>
  </w:style>
  <w:style w:type="character" w:customStyle="1" w:styleId="HeaderChar">
    <w:name w:val="Header Char"/>
    <w:basedOn w:val="DefaultParagraphFont"/>
    <w:link w:val="Header"/>
    <w:uiPriority w:val="99"/>
    <w:rsid w:val="000B3C23"/>
    <w:rPr>
      <w:lang w:val="bg-BG"/>
    </w:rPr>
  </w:style>
  <w:style w:type="paragraph" w:customStyle="1" w:styleId="H-Content">
    <w:name w:val="H-Content"/>
    <w:basedOn w:val="Normal12PTcouleurgris"/>
    <w:qFormat/>
    <w:rsid w:val="000B3C23"/>
    <w:rPr>
      <w:b/>
      <w:bCs/>
    </w:rPr>
  </w:style>
  <w:style w:type="paragraph" w:customStyle="1" w:styleId="H-Heading1">
    <w:name w:val="H-Heading 1"/>
    <w:basedOn w:val="Heading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ListParagraph"/>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3"/>
      </w:numPr>
    </w:pPr>
    <w:rPr>
      <w:b/>
      <w:bCs/>
      <w:color w:val="373737" w:themeColor="background1" w:themeShade="40"/>
      <w:sz w:val="16"/>
    </w:rPr>
  </w:style>
  <w:style w:type="paragraph" w:customStyle="1" w:styleId="H-Heading4">
    <w:name w:val="H-Heading 4"/>
    <w:basedOn w:val="Normal"/>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Heading4Char2">
    <w:name w:val="Heading 4 Char2"/>
    <w:aliases w:val="Heading 4 Char1 Char,Título 4 Car Char,Heading 4 Char1 Car Char,no vale 2 Char,no vale 2 Car Char"/>
    <w:link w:val="Heading4"/>
    <w:uiPriority w:val="99"/>
    <w:locked/>
    <w:rsid w:val="000B3C23"/>
    <w:rPr>
      <w:rFonts w:ascii="Helvetica" w:eastAsiaTheme="majorEastAsia" w:hAnsi="Helvetica" w:cstheme="majorBidi"/>
      <w:b/>
      <w:bCs/>
      <w:iCs/>
      <w:caps/>
      <w:color w:val="43694A"/>
      <w:sz w:val="32"/>
      <w:szCs w:val="22"/>
      <w:lang w:val="bg-BG" w:eastAsia="bg-BG"/>
    </w:rPr>
  </w:style>
  <w:style w:type="paragraph" w:styleId="TOC1">
    <w:name w:val="toc 1"/>
    <w:basedOn w:val="Normal"/>
    <w:next w:val="Normal"/>
    <w:autoRedefine/>
    <w:uiPriority w:val="39"/>
    <w:qFormat/>
    <w:rsid w:val="006157FA"/>
    <w:pPr>
      <w:tabs>
        <w:tab w:val="left" w:pos="400"/>
        <w:tab w:val="right" w:leader="dot" w:pos="9072"/>
      </w:tabs>
      <w:spacing w:before="240" w:after="0"/>
      <w:ind w:left="425" w:hanging="425"/>
    </w:pPr>
    <w:rPr>
      <w:rFonts w:ascii="Arial" w:hAnsi="Arial"/>
      <w:b/>
      <w:bCs/>
      <w:noProof/>
      <w:color w:val="373737" w:themeColor="background1" w:themeShade="40"/>
      <w:sz w:val="20"/>
      <w:szCs w:val="24"/>
    </w:rPr>
  </w:style>
  <w:style w:type="paragraph" w:styleId="TOC2">
    <w:name w:val="toc 2"/>
    <w:basedOn w:val="Normal"/>
    <w:next w:val="Normal"/>
    <w:autoRedefine/>
    <w:uiPriority w:val="39"/>
    <w:qFormat/>
    <w:rsid w:val="006157FA"/>
    <w:pPr>
      <w:tabs>
        <w:tab w:val="right" w:leader="dot" w:pos="9072"/>
      </w:tabs>
      <w:spacing w:before="120" w:after="0" w:line="240" w:lineRule="auto"/>
      <w:ind w:left="1134" w:hanging="1134"/>
    </w:pPr>
    <w:rPr>
      <w:rFonts w:ascii="Arial" w:hAnsi="Arial" w:cs="Arial"/>
      <w:bCs/>
      <w:noProof/>
      <w:color w:val="373737" w:themeColor="background1" w:themeShade="40"/>
      <w:sz w:val="20"/>
    </w:rPr>
  </w:style>
  <w:style w:type="paragraph" w:styleId="TOC3">
    <w:name w:val="toc 3"/>
    <w:basedOn w:val="Normal"/>
    <w:next w:val="Normal"/>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CaptionChar">
    <w:name w:val="Caption Char"/>
    <w:aliases w:val="Table Char"/>
    <w:link w:val="Caption"/>
    <w:locked/>
    <w:rsid w:val="000B3C23"/>
    <w:rPr>
      <w:rFonts w:ascii="Helvetica" w:hAnsi="Helvetica"/>
      <w:b/>
      <w:bCs/>
      <w:color w:val="6F6F6F"/>
      <w:sz w:val="16"/>
      <w:lang w:val="bg-BG" w:eastAsia="bg-BG"/>
    </w:rPr>
  </w:style>
  <w:style w:type="character" w:customStyle="1" w:styleId="IntenseQuoteChar1">
    <w:name w:val="Intense Quote Char1"/>
    <w:basedOn w:val="DefaultParagraphFont"/>
    <w:link w:val="IntenseQuote"/>
    <w:uiPriority w:val="99"/>
    <w:rsid w:val="000B3C23"/>
    <w:rPr>
      <w:rFonts w:asciiTheme="minorHAnsi" w:eastAsiaTheme="minorHAnsi" w:hAnsiTheme="minorHAnsi" w:cstheme="minorBidi"/>
      <w:b/>
      <w:bCs/>
      <w:i/>
      <w:iCs/>
      <w:color w:val="FFFFFF" w:themeColor="accent1"/>
      <w:sz w:val="22"/>
      <w:szCs w:val="22"/>
      <w:lang w:val="bg-BG"/>
    </w:rPr>
  </w:style>
  <w:style w:type="paragraph" w:customStyle="1" w:styleId="Chapter">
    <w:name w:val="Chapter"/>
    <w:basedOn w:val="Normal"/>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bg-BG" w:eastAsia="bg-BG"/>
    </w:rPr>
  </w:style>
  <w:style w:type="paragraph" w:styleId="TableofFigures">
    <w:name w:val="table of figures"/>
    <w:basedOn w:val="Normal"/>
    <w:next w:val="Normal"/>
    <w:autoRedefine/>
    <w:uiPriority w:val="99"/>
    <w:rsid w:val="00D46DC0"/>
    <w:pPr>
      <w:tabs>
        <w:tab w:val="right" w:pos="9214"/>
      </w:tabs>
      <w:spacing w:after="0" w:line="320" w:lineRule="exact"/>
      <w:ind w:left="1134" w:right="-58" w:hanging="1134"/>
    </w:pPr>
    <w:rPr>
      <w:rFonts w:ascii="Arial" w:hAnsi="Arial"/>
      <w:noProof/>
      <w:color w:val="373737" w:themeColor="background1" w:themeShade="40"/>
      <w:sz w:val="20"/>
      <w:szCs w:val="24"/>
    </w:rPr>
  </w:style>
  <w:style w:type="paragraph" w:customStyle="1" w:styleId="ListParagraph2">
    <w:name w:val="List Paragraph2"/>
    <w:basedOn w:val="Normal"/>
    <w:rsid w:val="00D46DC0"/>
    <w:pPr>
      <w:tabs>
        <w:tab w:val="left" w:pos="709"/>
      </w:tabs>
      <w:ind w:left="709" w:hanging="709"/>
      <w:outlineLvl w:val="1"/>
    </w:pPr>
    <w:rPr>
      <w:szCs w:val="24"/>
    </w:rPr>
  </w:style>
  <w:style w:type="paragraph" w:customStyle="1" w:styleId="TOCHeading1">
    <w:name w:val="TOC Heading1"/>
    <w:basedOn w:val="Heading1"/>
    <w:next w:val="Normal"/>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FootnoteReference">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BalloonText">
    <w:name w:val="Balloon Text"/>
    <w:basedOn w:val="Normal"/>
    <w:link w:val="BalloonTextChar"/>
    <w:uiPriority w:val="99"/>
    <w:semiHidden/>
    <w:rsid w:val="00D46DC0"/>
    <w:pPr>
      <w:spacing w:after="0" w:line="240" w:lineRule="auto"/>
    </w:pPr>
    <w:rPr>
      <w:rFonts w:ascii="Tahoma" w:hAnsi="Tahoma"/>
      <w:snapToGrid w:val="0"/>
      <w:sz w:val="16"/>
      <w:szCs w:val="20"/>
    </w:rPr>
  </w:style>
  <w:style w:type="character" w:customStyle="1" w:styleId="BalloonTextChar">
    <w:name w:val="Balloon Text Char"/>
    <w:basedOn w:val="DefaultParagraphFont"/>
    <w:link w:val="BalloonText"/>
    <w:uiPriority w:val="99"/>
    <w:semiHidden/>
    <w:rsid w:val="00D46DC0"/>
    <w:rPr>
      <w:rFonts w:ascii="Tahoma" w:hAnsi="Tahoma"/>
      <w:snapToGrid w:val="0"/>
      <w:sz w:val="16"/>
      <w:lang w:val="bg-BG" w:eastAsia="bg-BG"/>
    </w:rPr>
  </w:style>
  <w:style w:type="character" w:styleId="Hyperlink">
    <w:name w:val="Hyperlink"/>
    <w:uiPriority w:val="99"/>
    <w:rsid w:val="00D46DC0"/>
    <w:rPr>
      <w:color w:val="F07E31" w:themeColor="background2"/>
      <w:u w:val="single"/>
    </w:rPr>
  </w:style>
  <w:style w:type="paragraph" w:customStyle="1" w:styleId="Normal1">
    <w:name w:val="Normal1"/>
    <w:next w:val="Normal"/>
    <w:rsid w:val="00D46DC0"/>
    <w:pPr>
      <w:numPr>
        <w:numId w:val="14"/>
      </w:numPr>
      <w:spacing w:after="120" w:line="280" w:lineRule="atLeast"/>
      <w:jc w:val="both"/>
    </w:pPr>
    <w:rPr>
      <w:szCs w:val="22"/>
    </w:rPr>
  </w:style>
  <w:style w:type="paragraph" w:styleId="TOC4">
    <w:name w:val="toc 4"/>
    <w:basedOn w:val="Normal"/>
    <w:next w:val="Normal"/>
    <w:autoRedefine/>
    <w:uiPriority w:val="39"/>
    <w:rsid w:val="00D46DC0"/>
    <w:pPr>
      <w:spacing w:after="0"/>
      <w:ind w:left="400"/>
    </w:pPr>
    <w:rPr>
      <w:rFonts w:asciiTheme="minorHAnsi" w:hAnsiTheme="minorHAnsi"/>
      <w:szCs w:val="20"/>
    </w:rPr>
  </w:style>
  <w:style w:type="paragraph" w:styleId="TOC5">
    <w:name w:val="toc 5"/>
    <w:basedOn w:val="Normal"/>
    <w:next w:val="Normal"/>
    <w:autoRedefine/>
    <w:uiPriority w:val="39"/>
    <w:rsid w:val="00D46DC0"/>
    <w:pPr>
      <w:spacing w:after="0"/>
      <w:ind w:left="600"/>
    </w:pPr>
    <w:rPr>
      <w:rFonts w:asciiTheme="minorHAnsi" w:hAnsiTheme="minorHAnsi"/>
      <w:szCs w:val="20"/>
    </w:rPr>
  </w:style>
  <w:style w:type="paragraph" w:styleId="TOC6">
    <w:name w:val="toc 6"/>
    <w:basedOn w:val="Normal"/>
    <w:next w:val="Normal"/>
    <w:autoRedefine/>
    <w:uiPriority w:val="39"/>
    <w:rsid w:val="00D46DC0"/>
    <w:pPr>
      <w:spacing w:after="0"/>
      <w:ind w:left="800"/>
    </w:pPr>
    <w:rPr>
      <w:rFonts w:asciiTheme="minorHAnsi" w:hAnsiTheme="minorHAnsi"/>
      <w:szCs w:val="20"/>
    </w:rPr>
  </w:style>
  <w:style w:type="paragraph" w:styleId="TOC7">
    <w:name w:val="toc 7"/>
    <w:basedOn w:val="Normal"/>
    <w:next w:val="Normal"/>
    <w:autoRedefine/>
    <w:uiPriority w:val="39"/>
    <w:rsid w:val="00D46DC0"/>
    <w:pPr>
      <w:spacing w:after="0"/>
      <w:ind w:left="1000"/>
    </w:pPr>
    <w:rPr>
      <w:rFonts w:asciiTheme="minorHAnsi" w:hAnsiTheme="minorHAnsi"/>
      <w:szCs w:val="20"/>
    </w:rPr>
  </w:style>
  <w:style w:type="paragraph" w:styleId="TOC8">
    <w:name w:val="toc 8"/>
    <w:basedOn w:val="Normal"/>
    <w:next w:val="Normal"/>
    <w:autoRedefine/>
    <w:uiPriority w:val="39"/>
    <w:rsid w:val="00D46DC0"/>
    <w:pPr>
      <w:spacing w:after="0"/>
      <w:ind w:left="1200"/>
    </w:pPr>
    <w:rPr>
      <w:rFonts w:asciiTheme="minorHAnsi" w:hAnsiTheme="minorHAnsi"/>
      <w:szCs w:val="20"/>
    </w:rPr>
  </w:style>
  <w:style w:type="paragraph" w:styleId="TOC9">
    <w:name w:val="toc 9"/>
    <w:basedOn w:val="Normal"/>
    <w:next w:val="Normal"/>
    <w:autoRedefine/>
    <w:uiPriority w:val="39"/>
    <w:rsid w:val="00D46DC0"/>
    <w:pPr>
      <w:spacing w:after="0"/>
      <w:ind w:left="1400"/>
    </w:pPr>
    <w:rPr>
      <w:rFonts w:asciiTheme="minorHAnsi" w:hAnsiTheme="minorHAnsi"/>
      <w:szCs w:val="20"/>
    </w:rPr>
  </w:style>
  <w:style w:type="paragraph" w:styleId="FootnoteText">
    <w:name w:val="footnote text"/>
    <w:aliases w:val="Fußnote,Geneva 9,Font: Geneva 9,Boston 10,f,ft,Footnote Text Char Char Char Char Char Char Char Char Char Char,Footnote Text Char Char,Footnote Text Char Char Char Char Char Char Char Char Char Char Char Char,Footnote Text2,ft2"/>
    <w:basedOn w:val="Normal"/>
    <w:link w:val="FootnoteTextChar2"/>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DefaultParagraphFont"/>
    <w:uiPriority w:val="99"/>
    <w:rsid w:val="00D46DC0"/>
    <w:rPr>
      <w:rFonts w:ascii="Helvetica" w:hAnsi="Helvetica"/>
      <w:lang w:val="bg-BG" w:eastAsia="bg-BG"/>
    </w:rPr>
  </w:style>
  <w:style w:type="character" w:customStyle="1" w:styleId="FootnoteTextChar2">
    <w:name w:val="Footnote Text Char2"/>
    <w:aliases w:val="Fußnote Char1,Geneva 9 Char1,Font: Geneva 9 Char1,Boston 10 Char1,f Char1,ft Char1,Footnote Text Char Char Char Char Char Char Char Char Char Char Char1,Footnote Text Char Char Char1,Footnote Text2 Char1,ft2 Char"/>
    <w:link w:val="FootnoteText"/>
    <w:uiPriority w:val="99"/>
    <w:locked/>
    <w:rsid w:val="00D46DC0"/>
    <w:rPr>
      <w:color w:val="808080"/>
      <w:sz w:val="16"/>
      <w:lang w:val="bg-BG"/>
    </w:rPr>
  </w:style>
  <w:style w:type="character" w:styleId="CommentReference">
    <w:name w:val="annotation reference"/>
    <w:uiPriority w:val="99"/>
    <w:rsid w:val="00D46DC0"/>
    <w:rPr>
      <w:rFonts w:cs="Times New Roman"/>
      <w:sz w:val="16"/>
      <w:szCs w:val="16"/>
    </w:rPr>
  </w:style>
  <w:style w:type="paragraph" w:styleId="CommentText">
    <w:name w:val="annotation text"/>
    <w:basedOn w:val="Normal"/>
    <w:link w:val="CommentTextChar"/>
    <w:uiPriority w:val="99"/>
    <w:rsid w:val="00D46DC0"/>
    <w:pPr>
      <w:spacing w:after="0" w:line="240" w:lineRule="auto"/>
    </w:pPr>
    <w:rPr>
      <w:rFonts w:ascii="Calibri" w:hAnsi="Calibri"/>
      <w:szCs w:val="20"/>
    </w:rPr>
  </w:style>
  <w:style w:type="character" w:customStyle="1" w:styleId="CommentTextChar">
    <w:name w:val="Comment Text Char"/>
    <w:basedOn w:val="DefaultParagraphFont"/>
    <w:link w:val="CommentText"/>
    <w:uiPriority w:val="99"/>
    <w:rsid w:val="00D46DC0"/>
    <w:rPr>
      <w:rFonts w:ascii="Calibri" w:hAnsi="Calibri"/>
      <w:sz w:val="32"/>
      <w:lang w:val="bg-BG" w:eastAsia="bg-BG"/>
    </w:rPr>
  </w:style>
  <w:style w:type="table" w:styleId="TableGrid">
    <w:name w:val="Table Grid"/>
    <w:basedOn w:val="TableNormal"/>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ormalWeb">
    <w:name w:val="Normal (Web)"/>
    <w:basedOn w:val="Normal"/>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ormal"/>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Footer">
    <w:name w:val="footer"/>
    <w:basedOn w:val="Normal"/>
    <w:link w:val="FooterChar"/>
    <w:uiPriority w:val="99"/>
    <w:rsid w:val="00D46DC0"/>
    <w:pPr>
      <w:tabs>
        <w:tab w:val="center" w:pos="4536"/>
        <w:tab w:val="right" w:pos="9072"/>
      </w:tabs>
      <w:spacing w:after="0" w:line="240" w:lineRule="auto"/>
    </w:pPr>
    <w:rPr>
      <w:snapToGrid w:val="0"/>
      <w:sz w:val="22"/>
    </w:rPr>
  </w:style>
  <w:style w:type="character" w:customStyle="1" w:styleId="FooterChar">
    <w:name w:val="Footer Char"/>
    <w:basedOn w:val="DefaultParagraphFont"/>
    <w:link w:val="Footer"/>
    <w:uiPriority w:val="99"/>
    <w:rsid w:val="00D46DC0"/>
    <w:rPr>
      <w:rFonts w:ascii="Helvetica" w:hAnsi="Helvetica"/>
      <w:snapToGrid w:val="0"/>
      <w:sz w:val="22"/>
      <w:szCs w:val="22"/>
      <w:lang w:val="bg-BG" w:eastAsia="bg-BG"/>
    </w:rPr>
  </w:style>
  <w:style w:type="paragraph" w:customStyle="1" w:styleId="text">
    <w:name w:val="text"/>
    <w:basedOn w:val="Normal"/>
    <w:uiPriority w:val="99"/>
    <w:rsid w:val="00D46DC0"/>
    <w:pPr>
      <w:spacing w:before="100" w:beforeAutospacing="1" w:after="30" w:line="240" w:lineRule="atLeast"/>
    </w:pPr>
    <w:rPr>
      <w:rFonts w:cs="Arial"/>
      <w:color w:val="000000"/>
      <w:sz w:val="18"/>
      <w:szCs w:val="18"/>
    </w:rPr>
  </w:style>
  <w:style w:type="character" w:styleId="FollowedHyperlink">
    <w:name w:val="FollowedHyperlink"/>
    <w:uiPriority w:val="99"/>
    <w:semiHidden/>
    <w:rsid w:val="00D46DC0"/>
    <w:rPr>
      <w:rFonts w:cs="Times New Roman"/>
      <w:color w:val="800080"/>
      <w:u w:val="single"/>
    </w:rPr>
  </w:style>
  <w:style w:type="character" w:styleId="HTMLCite">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ormal"/>
    <w:next w:val="Normal"/>
    <w:uiPriority w:val="99"/>
    <w:rsid w:val="00D46DC0"/>
    <w:rPr>
      <w:i/>
      <w:iCs/>
      <w:snapToGrid w:val="0"/>
      <w:color w:val="000000"/>
      <w:sz w:val="22"/>
    </w:rPr>
  </w:style>
  <w:style w:type="paragraph" w:styleId="ListBullet">
    <w:name w:val="List Bullet"/>
    <w:basedOn w:val="Normal"/>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ormal"/>
    <w:next w:val="Normal"/>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CommentSubject">
    <w:name w:val="annotation subject"/>
    <w:basedOn w:val="CommentText"/>
    <w:next w:val="CommentText"/>
    <w:link w:val="CommentSubjectChar"/>
    <w:uiPriority w:val="99"/>
    <w:semiHidden/>
    <w:rsid w:val="00D46DC0"/>
    <w:pPr>
      <w:spacing w:after="240"/>
      <w:jc w:val="both"/>
    </w:pPr>
    <w:rPr>
      <w:rFonts w:ascii="Arial" w:hAnsi="Arial"/>
      <w:b/>
      <w:bCs/>
      <w:snapToGrid w:val="0"/>
    </w:rPr>
  </w:style>
  <w:style w:type="character" w:customStyle="1" w:styleId="CommentSubjectChar">
    <w:name w:val="Comment Subject Char"/>
    <w:basedOn w:val="CommentTextChar"/>
    <w:link w:val="CommentSubject"/>
    <w:uiPriority w:val="99"/>
    <w:semiHidden/>
    <w:rsid w:val="00D46DC0"/>
    <w:rPr>
      <w:rFonts w:ascii="Calibri" w:hAnsi="Calibri"/>
      <w:b/>
      <w:bCs/>
      <w:snapToGrid w:val="0"/>
      <w:sz w:val="32"/>
      <w:lang w:val="bg-BG" w:eastAsia="bg-BG"/>
    </w:rPr>
  </w:style>
  <w:style w:type="numbering" w:styleId="111111">
    <w:name w:val="Outline List 2"/>
    <w:basedOn w:val="NoList"/>
    <w:uiPriority w:val="99"/>
    <w:rsid w:val="00D46DC0"/>
  </w:style>
  <w:style w:type="paragraph" w:styleId="BodyText2">
    <w:name w:val="Body Text 2"/>
    <w:basedOn w:val="Normal"/>
    <w:link w:val="BodyText2Char1"/>
    <w:uiPriority w:val="99"/>
    <w:rsid w:val="00D46DC0"/>
    <w:pPr>
      <w:spacing w:after="0" w:line="240" w:lineRule="auto"/>
    </w:pPr>
    <w:rPr>
      <w:rFonts w:ascii="Times New Roman" w:hAnsi="Times New Roman"/>
      <w:sz w:val="24"/>
      <w:szCs w:val="24"/>
    </w:rPr>
  </w:style>
  <w:style w:type="character" w:customStyle="1" w:styleId="BodyText2Char1">
    <w:name w:val="Body Text 2 Char1"/>
    <w:basedOn w:val="DefaultParagraphFont"/>
    <w:link w:val="BodyText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ormal"/>
    <w:uiPriority w:val="99"/>
    <w:rsid w:val="00D46DC0"/>
    <w:rPr>
      <w:rFonts w:ascii="Calibri" w:hAnsi="Calibri"/>
      <w:sz w:val="24"/>
      <w:szCs w:val="24"/>
    </w:rPr>
  </w:style>
  <w:style w:type="paragraph" w:styleId="Revision">
    <w:name w:val="Revision"/>
    <w:hidden/>
    <w:uiPriority w:val="99"/>
    <w:semiHidden/>
    <w:rsid w:val="00D46DC0"/>
    <w:rPr>
      <w:szCs w:val="22"/>
    </w:rPr>
  </w:style>
  <w:style w:type="paragraph" w:styleId="BodyText">
    <w:name w:val="Body Text"/>
    <w:basedOn w:val="Normal"/>
    <w:link w:val="BodyTextChar"/>
    <w:uiPriority w:val="99"/>
    <w:rsid w:val="00D46DC0"/>
    <w:pPr>
      <w:spacing w:line="240" w:lineRule="auto"/>
    </w:pPr>
    <w:rPr>
      <w:sz w:val="18"/>
      <w:szCs w:val="18"/>
    </w:rPr>
  </w:style>
  <w:style w:type="character" w:customStyle="1" w:styleId="BodyTextChar">
    <w:name w:val="Body Text Char"/>
    <w:basedOn w:val="DefaultParagraphFont"/>
    <w:link w:val="BodyText"/>
    <w:uiPriority w:val="99"/>
    <w:rsid w:val="00D46DC0"/>
    <w:rPr>
      <w:rFonts w:ascii="Helvetica" w:hAnsi="Helvetica"/>
      <w:sz w:val="18"/>
      <w:szCs w:val="18"/>
      <w:lang w:val="bg-BG" w:eastAsia="bg-BG"/>
    </w:rPr>
  </w:style>
  <w:style w:type="paragraph" w:styleId="BodyText3">
    <w:name w:val="Body Text 3"/>
    <w:basedOn w:val="Normal"/>
    <w:link w:val="BodyText3Char"/>
    <w:uiPriority w:val="99"/>
    <w:rsid w:val="00D46DC0"/>
    <w:pPr>
      <w:spacing w:line="240" w:lineRule="auto"/>
    </w:pPr>
    <w:rPr>
      <w:color w:val="000000"/>
    </w:rPr>
  </w:style>
  <w:style w:type="character" w:customStyle="1" w:styleId="BodyText3Char">
    <w:name w:val="Body Text 3 Char"/>
    <w:basedOn w:val="DefaultParagraphFont"/>
    <w:link w:val="BodyText3"/>
    <w:uiPriority w:val="99"/>
    <w:rsid w:val="00D46DC0"/>
    <w:rPr>
      <w:rFonts w:ascii="Helvetica" w:hAnsi="Helvetica"/>
      <w:color w:val="000000"/>
      <w:sz w:val="32"/>
      <w:szCs w:val="22"/>
      <w:lang w:val="bg-BG" w:eastAsia="bg-BG"/>
    </w:rPr>
  </w:style>
  <w:style w:type="paragraph" w:styleId="BodyTextIndent">
    <w:name w:val="Body Text Indent"/>
    <w:basedOn w:val="Normal"/>
    <w:link w:val="BodyTextIndentChar"/>
    <w:uiPriority w:val="99"/>
    <w:rsid w:val="00D46DC0"/>
    <w:pPr>
      <w:ind w:left="851" w:hanging="284"/>
    </w:pPr>
    <w:rPr>
      <w:rFonts w:cs="Arial"/>
      <w:i/>
    </w:rPr>
  </w:style>
  <w:style w:type="character" w:customStyle="1" w:styleId="BodyTextIndentChar">
    <w:name w:val="Body Text Indent Char"/>
    <w:basedOn w:val="DefaultParagraphFont"/>
    <w:link w:val="BodyTextIndent"/>
    <w:uiPriority w:val="99"/>
    <w:rsid w:val="00D46DC0"/>
    <w:rPr>
      <w:rFonts w:ascii="Helvetica" w:hAnsi="Helvetica" w:cs="Arial"/>
      <w:i/>
      <w:sz w:val="32"/>
      <w:szCs w:val="22"/>
      <w:lang w:val="bg-BG" w:eastAsia="bg-BG"/>
    </w:rPr>
  </w:style>
  <w:style w:type="paragraph" w:styleId="BlockText">
    <w:name w:val="Block Text"/>
    <w:basedOn w:val="Normal"/>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BodyTextIndent2">
    <w:name w:val="Body Text Indent 2"/>
    <w:basedOn w:val="Normal"/>
    <w:link w:val="BodyTextIndent2Char"/>
    <w:uiPriority w:val="99"/>
    <w:rsid w:val="00D46DC0"/>
    <w:pPr>
      <w:spacing w:line="480" w:lineRule="auto"/>
      <w:ind w:left="283"/>
    </w:pPr>
  </w:style>
  <w:style w:type="character" w:customStyle="1" w:styleId="BodyTextIndent2Char">
    <w:name w:val="Body Text Indent 2 Char"/>
    <w:basedOn w:val="DefaultParagraphFont"/>
    <w:link w:val="BodyTextIndent2"/>
    <w:uiPriority w:val="99"/>
    <w:rsid w:val="00D46DC0"/>
    <w:rPr>
      <w:rFonts w:ascii="Helvetica" w:hAnsi="Helvetica"/>
      <w:sz w:val="32"/>
      <w:szCs w:val="22"/>
      <w:lang w:val="bg-BG" w:eastAsia="bg-BG"/>
    </w:rPr>
  </w:style>
  <w:style w:type="paragraph" w:styleId="BodyTextIndent3">
    <w:name w:val="Body Text Indent 3"/>
    <w:basedOn w:val="Normal"/>
    <w:link w:val="BodyTextIndent3Char"/>
    <w:uiPriority w:val="99"/>
    <w:rsid w:val="00D46DC0"/>
    <w:pPr>
      <w:ind w:left="283"/>
    </w:pPr>
    <w:rPr>
      <w:sz w:val="16"/>
      <w:szCs w:val="16"/>
    </w:rPr>
  </w:style>
  <w:style w:type="character" w:customStyle="1" w:styleId="BodyTextIndent3Char">
    <w:name w:val="Body Text Indent 3 Char"/>
    <w:basedOn w:val="DefaultParagraphFont"/>
    <w:link w:val="BodyTextIndent3"/>
    <w:uiPriority w:val="99"/>
    <w:rsid w:val="00D46DC0"/>
    <w:rPr>
      <w:rFonts w:ascii="Helvetica" w:hAnsi="Helvetica"/>
      <w:sz w:val="16"/>
      <w:szCs w:val="16"/>
      <w:lang w:val="bg-BG" w:eastAsia="bg-BG"/>
    </w:rPr>
  </w:style>
  <w:style w:type="paragraph" w:styleId="DocumentMap">
    <w:name w:val="Document Map"/>
    <w:basedOn w:val="Normal"/>
    <w:link w:val="DocumentMapChar"/>
    <w:uiPriority w:val="99"/>
    <w:rsid w:val="00D46DC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rsid w:val="00D46DC0"/>
    <w:rPr>
      <w:rFonts w:ascii="Lucida Grande" w:hAnsi="Lucida Grande" w:cs="Lucida Grande"/>
      <w:sz w:val="24"/>
      <w:szCs w:val="24"/>
      <w:lang w:val="bg-BG" w:eastAsia="bg-BG"/>
    </w:rPr>
  </w:style>
  <w:style w:type="paragraph" w:styleId="List">
    <w:name w:val="List"/>
    <w:basedOn w:val="Normal"/>
    <w:uiPriority w:val="99"/>
    <w:rsid w:val="00D46DC0"/>
    <w:pPr>
      <w:ind w:left="283" w:hanging="283"/>
      <w:contextualSpacing/>
    </w:pPr>
  </w:style>
  <w:style w:type="paragraph" w:styleId="List2">
    <w:name w:val="List 2"/>
    <w:basedOn w:val="Normal"/>
    <w:uiPriority w:val="99"/>
    <w:rsid w:val="00D46DC0"/>
    <w:pPr>
      <w:ind w:left="566" w:hanging="283"/>
      <w:contextualSpacing/>
    </w:pPr>
  </w:style>
  <w:style w:type="paragraph" w:customStyle="1" w:styleId="Paragrafoelenco1">
    <w:name w:val="Paragrafo elenco1"/>
    <w:basedOn w:val="Normal"/>
    <w:uiPriority w:val="99"/>
    <w:rsid w:val="00D46DC0"/>
    <w:pPr>
      <w:tabs>
        <w:tab w:val="left" w:pos="709"/>
      </w:tabs>
      <w:spacing w:before="480"/>
      <w:ind w:left="709" w:hanging="709"/>
      <w:outlineLvl w:val="1"/>
    </w:pPr>
    <w:rPr>
      <w:rFonts w:cs="Arial"/>
      <w:szCs w:val="20"/>
    </w:rPr>
  </w:style>
  <w:style w:type="paragraph" w:styleId="ListBullet2">
    <w:name w:val="List Bullet 2"/>
    <w:basedOn w:val="Normal"/>
    <w:uiPriority w:val="99"/>
    <w:rsid w:val="00D46DC0"/>
    <w:pPr>
      <w:tabs>
        <w:tab w:val="num" w:pos="643"/>
      </w:tabs>
      <w:ind w:left="643" w:hanging="360"/>
      <w:contextualSpacing/>
    </w:pPr>
  </w:style>
  <w:style w:type="paragraph" w:customStyle="1" w:styleId="NoteHead">
    <w:name w:val="NoteHead"/>
    <w:basedOn w:val="Normal"/>
    <w:next w:val="Normal"/>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ormal"/>
    <w:rsid w:val="00D46DC0"/>
    <w:pPr>
      <w:spacing w:line="240" w:lineRule="auto"/>
      <w:ind w:left="482"/>
    </w:pPr>
    <w:rPr>
      <w:rFonts w:ascii="Times New Roman" w:hAnsi="Times New Roman"/>
      <w:sz w:val="24"/>
      <w:szCs w:val="20"/>
    </w:rPr>
  </w:style>
  <w:style w:type="paragraph" w:customStyle="1" w:styleId="Tiret1">
    <w:name w:val="Tiret 1"/>
    <w:basedOn w:val="Normal"/>
    <w:uiPriority w:val="99"/>
    <w:rsid w:val="00D46DC0"/>
    <w:pPr>
      <w:numPr>
        <w:numId w:val="13"/>
      </w:numPr>
      <w:suppressAutoHyphens/>
      <w:spacing w:line="240" w:lineRule="auto"/>
    </w:pPr>
    <w:rPr>
      <w:rFonts w:ascii="Times New Roman" w:eastAsia="Calibri" w:hAnsi="Times New Roman"/>
      <w:sz w:val="24"/>
      <w:szCs w:val="20"/>
    </w:rPr>
  </w:style>
  <w:style w:type="paragraph" w:styleId="NormalIndent">
    <w:name w:val="Normal Indent"/>
    <w:basedOn w:val="Normal"/>
    <w:uiPriority w:val="99"/>
    <w:rsid w:val="00D46DC0"/>
    <w:pPr>
      <w:ind w:left="708"/>
    </w:pPr>
  </w:style>
  <w:style w:type="paragraph" w:styleId="NoteHeading">
    <w:name w:val="Note Heading"/>
    <w:basedOn w:val="Normal"/>
    <w:next w:val="Normal"/>
    <w:link w:val="NoteHeadingChar"/>
    <w:uiPriority w:val="99"/>
    <w:rsid w:val="00D46DC0"/>
    <w:pPr>
      <w:spacing w:after="0" w:line="240" w:lineRule="auto"/>
    </w:pPr>
  </w:style>
  <w:style w:type="character" w:customStyle="1" w:styleId="NoteHeadingChar">
    <w:name w:val="Note Heading Char"/>
    <w:basedOn w:val="DefaultParagraphFont"/>
    <w:link w:val="NoteHeading"/>
    <w:uiPriority w:val="99"/>
    <w:rsid w:val="00D46DC0"/>
    <w:rPr>
      <w:rFonts w:ascii="Helvetica" w:hAnsi="Helvetica"/>
      <w:sz w:val="32"/>
      <w:szCs w:val="22"/>
      <w:lang w:val="bg-BG" w:eastAsia="bg-BG"/>
    </w:rPr>
  </w:style>
  <w:style w:type="paragraph" w:styleId="EndnoteText">
    <w:name w:val="endnote text"/>
    <w:basedOn w:val="Normal"/>
    <w:link w:val="EndnoteTextChar"/>
    <w:rsid w:val="00D46DC0"/>
    <w:pPr>
      <w:spacing w:after="0" w:line="240" w:lineRule="auto"/>
    </w:pPr>
    <w:rPr>
      <w:szCs w:val="20"/>
    </w:rPr>
  </w:style>
  <w:style w:type="character" w:customStyle="1" w:styleId="EndnoteTextChar">
    <w:name w:val="Endnote Text Char"/>
    <w:basedOn w:val="DefaultParagraphFont"/>
    <w:link w:val="EndnoteText"/>
    <w:rsid w:val="00D46DC0"/>
    <w:rPr>
      <w:rFonts w:ascii="Helvetica" w:hAnsi="Helvetica"/>
      <w:sz w:val="32"/>
      <w:lang w:val="bg-BG" w:eastAsia="bg-BG"/>
    </w:rPr>
  </w:style>
  <w:style w:type="character" w:styleId="EndnoteReference">
    <w:name w:val="endnote reference"/>
    <w:basedOn w:val="DefaultParagraphFont"/>
    <w:rsid w:val="00D46DC0"/>
    <w:rPr>
      <w:vertAlign w:val="superscript"/>
    </w:rPr>
  </w:style>
  <w:style w:type="character" w:customStyle="1" w:styleId="at31">
    <w:name w:val="a__t31"/>
    <w:basedOn w:val="DefaultParagraphFont"/>
    <w:rsid w:val="00D46DC0"/>
    <w:rPr>
      <w:i/>
      <w:iCs/>
    </w:rPr>
  </w:style>
  <w:style w:type="paragraph" w:customStyle="1" w:styleId="Char23">
    <w:name w:val="Char23"/>
    <w:basedOn w:val="Normal"/>
    <w:rsid w:val="00D46DC0"/>
    <w:pPr>
      <w:spacing w:after="160" w:line="240" w:lineRule="exact"/>
    </w:pPr>
    <w:rPr>
      <w:rFonts w:ascii="Tahoma" w:hAnsi="Tahoma"/>
      <w:szCs w:val="20"/>
    </w:rPr>
  </w:style>
  <w:style w:type="character" w:customStyle="1" w:styleId="st">
    <w:name w:val="st"/>
    <w:basedOn w:val="DefaultParagraphFont"/>
    <w:rsid w:val="00D46DC0"/>
  </w:style>
  <w:style w:type="paragraph" w:customStyle="1" w:styleId="text-close">
    <w:name w:val="text-close"/>
    <w:basedOn w:val="Normal"/>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ormal"/>
    <w:rsid w:val="00D46DC0"/>
    <w:pPr>
      <w:numPr>
        <w:numId w:val="15"/>
      </w:numPr>
      <w:spacing w:after="200" w:line="276" w:lineRule="auto"/>
    </w:pPr>
    <w:rPr>
      <w:rFonts w:ascii="Calibri" w:eastAsia="Calibri" w:hAnsi="Calibri"/>
      <w:sz w:val="22"/>
    </w:rPr>
  </w:style>
  <w:style w:type="table" w:styleId="MediumShading2-Accent3">
    <w:name w:val="Medium Shading 2 Accent 3"/>
    <w:basedOn w:val="TableNormal"/>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DefaultParagraphFont"/>
    <w:rsid w:val="00D46DC0"/>
  </w:style>
  <w:style w:type="table" w:styleId="MediumShading1-Accent3">
    <w:name w:val="Medium Shading 1 Accent 3"/>
    <w:basedOn w:val="TableNormal"/>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eNormal"/>
    <w:next w:val="MediumShading1-Accent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PageNumber">
    <w:name w:val="page number"/>
    <w:basedOn w:val="DefaultParagraphFont"/>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Preformatted">
    <w:name w:val="HTML Preformatted"/>
    <w:basedOn w:val="Normal"/>
    <w:link w:val="HTMLPreformattedChar"/>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D46DC0"/>
    <w:rPr>
      <w:rFonts w:ascii="Courier New" w:hAnsi="Courier New" w:cs="Courier New"/>
      <w:lang w:val="bg-BG" w:eastAsia="bg-BG"/>
    </w:rPr>
  </w:style>
  <w:style w:type="paragraph" w:customStyle="1" w:styleId="Htablebullet">
    <w:name w:val="H_table_bullet"/>
    <w:basedOn w:val="Normal"/>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TableNormal"/>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List4">
    <w:name w:val="List 4"/>
    <w:basedOn w:val="Normal"/>
    <w:rsid w:val="00D46DC0"/>
    <w:pPr>
      <w:ind w:left="1132" w:hanging="283"/>
      <w:contextualSpacing/>
    </w:pPr>
  </w:style>
  <w:style w:type="character" w:customStyle="1" w:styleId="H-Heading1Char">
    <w:name w:val="H-Heading 1 Char"/>
    <w:basedOn w:val="Heading1Char"/>
    <w:link w:val="H-Heading1"/>
    <w:rsid w:val="00D46DC0"/>
    <w:rPr>
      <w:rFonts w:ascii="Helvetica" w:eastAsiaTheme="majorEastAsia" w:hAnsi="Helvetica" w:cstheme="majorBidi"/>
      <w:b/>
      <w:bCs/>
      <w:caps/>
      <w:color w:val="546393"/>
      <w:kern w:val="32"/>
      <w:sz w:val="24"/>
      <w:szCs w:val="24"/>
      <w:lang w:val="bg-BG" w:eastAsia="bg-BG"/>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bg-BG" w:eastAsia="bg-BG"/>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bg-BG" w:eastAsia="bg-BG"/>
    </w:rPr>
  </w:style>
  <w:style w:type="paragraph" w:customStyle="1" w:styleId="Thirdlevelheading">
    <w:name w:val="Third level heading"/>
    <w:basedOn w:val="Normal"/>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DefaultParagraphFont"/>
    <w:link w:val="Thirdlevelheading"/>
    <w:rsid w:val="00D46DC0"/>
    <w:rPr>
      <w:rFonts w:ascii="Helvetica" w:hAnsi="Helvetica"/>
      <w:b/>
      <w:bCs/>
      <w:sz w:val="24"/>
      <w:szCs w:val="26"/>
      <w:lang w:val="bg-BG" w:eastAsia="bg-BG"/>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bg-BG" w:eastAsia="bg-BG"/>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bg-BG" w:eastAsia="bg-BG"/>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bg-BG" w:eastAsia="bg-BG"/>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bg-BG" w:eastAsia="bg-BG"/>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ormal"/>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43"/>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NoList"/>
    <w:next w:val="111111"/>
    <w:uiPriority w:val="99"/>
    <w:rsid w:val="00D46DC0"/>
    <w:pPr>
      <w:numPr>
        <w:numId w:val="11"/>
      </w:numPr>
    </w:pPr>
  </w:style>
  <w:style w:type="character" w:customStyle="1" w:styleId="NoSpacingChar">
    <w:name w:val="No Spacing Char"/>
    <w:basedOn w:val="DefaultParagraphFont"/>
    <w:link w:val="NoSpacing"/>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DefaultParagraphFont"/>
    <w:uiPriority w:val="99"/>
    <w:semiHidden/>
    <w:rsid w:val="00D46DC0"/>
    <w:rPr>
      <w:color w:val="808080"/>
    </w:rPr>
  </w:style>
  <w:style w:type="paragraph" w:customStyle="1" w:styleId="Releasable">
    <w:name w:val="Releasable"/>
    <w:basedOn w:val="Normal"/>
    <w:qFormat/>
    <w:rsid w:val="00D46DC0"/>
    <w:pPr>
      <w:spacing w:after="0" w:line="240" w:lineRule="auto"/>
      <w:jc w:val="center"/>
    </w:pPr>
    <w:rPr>
      <w:rFonts w:ascii="Times New Roman" w:hAnsi="Times New Roman"/>
      <w:b/>
      <w:caps/>
      <w:szCs w:val="20"/>
    </w:rPr>
  </w:style>
  <w:style w:type="paragraph" w:customStyle="1" w:styleId="xmsonormal">
    <w:name w:val="x_msonormal"/>
    <w:basedOn w:val="Normal"/>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ormal"/>
    <w:rsid w:val="00264A12"/>
    <w:pPr>
      <w:spacing w:before="150" w:after="150" w:line="240" w:lineRule="auto"/>
      <w:jc w:val="center"/>
    </w:pPr>
    <w:rPr>
      <w:rFonts w:ascii="Times" w:hAnsi="Times"/>
      <w:sz w:val="18"/>
      <w:szCs w:val="18"/>
    </w:rPr>
  </w:style>
  <w:style w:type="paragraph" w:customStyle="1" w:styleId="p2">
    <w:name w:val="p2"/>
    <w:basedOn w:val="Normal"/>
    <w:rsid w:val="00264A12"/>
    <w:pPr>
      <w:spacing w:before="45" w:after="45" w:line="240" w:lineRule="auto"/>
    </w:pPr>
    <w:rPr>
      <w:rFonts w:ascii="Times" w:hAnsi="Times"/>
      <w:sz w:val="18"/>
      <w:szCs w:val="18"/>
    </w:rPr>
  </w:style>
  <w:style w:type="paragraph" w:customStyle="1" w:styleId="p3">
    <w:name w:val="p3"/>
    <w:basedOn w:val="Normal"/>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DefaultParagraphFont"/>
    <w:rsid w:val="000B1038"/>
    <w:rPr>
      <w:rFonts w:ascii="Helvetica" w:hAnsi="Helvetica" w:hint="default"/>
      <w:sz w:val="14"/>
      <w:szCs w:val="14"/>
    </w:rPr>
  </w:style>
  <w:style w:type="character" w:customStyle="1" w:styleId="Erwhnung1">
    <w:name w:val="Erwähnung1"/>
    <w:basedOn w:val="DefaultParagraphFont"/>
    <w:uiPriority w:val="99"/>
    <w:semiHidden/>
    <w:unhideWhenUsed/>
    <w:rsid w:val="00EF3BC5"/>
    <w:rPr>
      <w:color w:val="2B579A"/>
      <w:shd w:val="clear" w:color="auto" w:fill="E6E6E6"/>
    </w:rPr>
  </w:style>
  <w:style w:type="character" w:customStyle="1" w:styleId="Erwhnung2">
    <w:name w:val="Erwähnung2"/>
    <w:basedOn w:val="DefaultParagraphFont"/>
    <w:uiPriority w:val="99"/>
    <w:semiHidden/>
    <w:unhideWhenUsed/>
    <w:rsid w:val="00E01305"/>
    <w:rPr>
      <w:color w:val="2B579A"/>
      <w:shd w:val="clear" w:color="auto" w:fill="E6E6E6"/>
    </w:rPr>
  </w:style>
  <w:style w:type="character" w:customStyle="1" w:styleId="Mention1">
    <w:name w:val="Mention1"/>
    <w:basedOn w:val="DefaultParagraphFont"/>
    <w:uiPriority w:val="99"/>
    <w:semiHidden/>
    <w:unhideWhenUsed/>
    <w:rsid w:val="001545ED"/>
    <w:rPr>
      <w:color w:val="2B579A"/>
      <w:shd w:val="clear" w:color="auto" w:fill="E6E6E6"/>
    </w:rPr>
  </w:style>
  <w:style w:type="character" w:customStyle="1" w:styleId="hvr">
    <w:name w:val="hvr"/>
    <w:basedOn w:val="DefaultParagraphFont"/>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2.xml"/><Relationship Id="rId26" Type="http://schemas.openxmlformats.org/officeDocument/2006/relationships/hyperlink" Target="http://enrd.ec.europa.eu/evaluation/publications/guidelines-assessment-rdp-results-how-prepare-reporting-evaluation-2017_en" TargetMode="External"/><Relationship Id="rId39" Type="http://schemas.openxmlformats.org/officeDocument/2006/relationships/image" Target="media/image18.emf"/><Relationship Id="rId21" Type="http://schemas.openxmlformats.org/officeDocument/2006/relationships/header" Target="header4.xml"/><Relationship Id="rId34" Type="http://schemas.openxmlformats.org/officeDocument/2006/relationships/image" Target="media/image14.emf"/><Relationship Id="rId42" Type="http://schemas.openxmlformats.org/officeDocument/2006/relationships/hyperlink" Target="https://enrd.ec.europa.eu/evaluation/publications/working-document-common-evaluation-questions-rural-development-programmes_en" TargetMode="External"/><Relationship Id="rId47" Type="http://schemas.openxmlformats.org/officeDocument/2006/relationships/hyperlink" Target="https://enrd.ec.europa.eu/evaluation/publications/danish-case-study-lag-operations-database-monitoring-and-evaluation_en" TargetMode="External"/><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image" Target="media/image34.png"/><Relationship Id="rId68" Type="http://schemas.openxmlformats.org/officeDocument/2006/relationships/image" Target="media/image39.PNG"/><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40.png"/><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image" Target="media/image9.png"/><Relationship Id="rId11" Type="http://schemas.openxmlformats.org/officeDocument/2006/relationships/hyperlink" Target="https://enrd.ec.europa.eu/evaluation/publications/evaluation-leaderclld_en?pk_campaign=TWG3&amp;pk_kwd=LEADER,%20CLLD" TargetMode="External"/><Relationship Id="rId24" Type="http://schemas.openxmlformats.org/officeDocument/2006/relationships/image" Target="media/image6.emf"/><Relationship Id="rId32" Type="http://schemas.openxmlformats.org/officeDocument/2006/relationships/image" Target="media/image12.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hyperlink" Target="http://enrd.ec.europa.eu/evaluation/publications/guidelines-assessment-rdp-results-how-prepare-reporting-evaluation-2017_en" TargetMode="External"/><Relationship Id="rId53" Type="http://schemas.openxmlformats.org/officeDocument/2006/relationships/hyperlink" Target="http://enrd.ec.europa.eu/evaluation/publications/guidelines-assessment-rdp-results-how-prepare-reporting-evaluation-2017_en" TargetMode="External"/><Relationship Id="rId58" Type="http://schemas.openxmlformats.org/officeDocument/2006/relationships/image" Target="media/image29.wmf"/><Relationship Id="rId66" Type="http://schemas.openxmlformats.org/officeDocument/2006/relationships/image" Target="media/image37.png"/><Relationship Id="rId74" Type="http://schemas.openxmlformats.org/officeDocument/2006/relationships/image" Target="media/image43.png"/><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image" Target="media/image5.png"/><Relationship Id="rId28" Type="http://schemas.openxmlformats.org/officeDocument/2006/relationships/image" Target="media/image8.jpeg"/><Relationship Id="rId36" Type="http://schemas.openxmlformats.org/officeDocument/2006/relationships/image" Target="media/image15.png"/><Relationship Id="rId49" Type="http://schemas.openxmlformats.org/officeDocument/2006/relationships/image" Target="media/image22.png"/><Relationship Id="rId57" Type="http://schemas.openxmlformats.org/officeDocument/2006/relationships/image" Target="media/image28.wmf"/><Relationship Id="rId61" Type="http://schemas.openxmlformats.org/officeDocument/2006/relationships/image" Target="media/image32.png"/><Relationship Id="rId10" Type="http://schemas.openxmlformats.org/officeDocument/2006/relationships/endnotes" Target="endnotes.xml"/><Relationship Id="rId19" Type="http://schemas.openxmlformats.org/officeDocument/2006/relationships/header" Target="header3.xml"/><Relationship Id="rId31" Type="http://schemas.openxmlformats.org/officeDocument/2006/relationships/image" Target="media/image11.PNG"/><Relationship Id="rId44" Type="http://schemas.openxmlformats.org/officeDocument/2006/relationships/hyperlink" Target="http://enrd.ec.europa.eu/evaluation/publications/guidelines-assessment-rdp-results-how-prepare-reporting-evaluation-2017_en" TargetMode="External"/><Relationship Id="rId52" Type="http://schemas.openxmlformats.org/officeDocument/2006/relationships/image" Target="media/image25.png"/><Relationship Id="rId60" Type="http://schemas.openxmlformats.org/officeDocument/2006/relationships/image" Target="media/image31.png"/><Relationship Id="rId65" Type="http://schemas.openxmlformats.org/officeDocument/2006/relationships/image" Target="media/image36.png"/><Relationship Id="rId73" Type="http://schemas.openxmlformats.org/officeDocument/2006/relationships/image" Target="media/image4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image" Target="media/image4.emf"/><Relationship Id="rId27" Type="http://schemas.openxmlformats.org/officeDocument/2006/relationships/hyperlink" Target="https://enrd.ec.europa.eu/evaluation/publications/guidelines-establishing-and-implementing-evaluation-plan-2014-2020-rdps_en" TargetMode="External"/><Relationship Id="rId30" Type="http://schemas.openxmlformats.org/officeDocument/2006/relationships/image" Target="media/image10.jpeg"/><Relationship Id="rId35" Type="http://schemas.openxmlformats.org/officeDocument/2006/relationships/header" Target="header5.xml"/><Relationship Id="rId43" Type="http://schemas.openxmlformats.org/officeDocument/2006/relationships/image" Target="media/image20.emf"/><Relationship Id="rId48" Type="http://schemas.openxmlformats.org/officeDocument/2006/relationships/image" Target="media/image21.png"/><Relationship Id="rId56" Type="http://schemas.openxmlformats.org/officeDocument/2006/relationships/image" Target="media/image27.wmf"/><Relationship Id="rId64" Type="http://schemas.openxmlformats.org/officeDocument/2006/relationships/image" Target="media/image35.png"/><Relationship Id="rId69" Type="http://schemas.openxmlformats.org/officeDocument/2006/relationships/hyperlink" Target="https://enrd.ec.europa.eu/evaluation/publications/danish-case-study-lag-operations-database-monitoring-and-evaluation_en"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24.png"/><Relationship Id="rId72" Type="http://schemas.openxmlformats.org/officeDocument/2006/relationships/image" Target="media/image41.png"/><Relationship Id="rId3" Type="http://schemas.openxmlformats.org/officeDocument/2006/relationships/customXml" Target="../customXml/item3.xml"/><Relationship Id="rId12" Type="http://schemas.openxmlformats.org/officeDocument/2006/relationships/hyperlink" Target="https://enrd.ec.europa.eu/evaluation/publications/evaluation-leaderclld_en?pk_campaign=TWG3&amp;pk_kwd=LEADER,%20CLLD" TargetMode="External"/><Relationship Id="rId17" Type="http://schemas.openxmlformats.org/officeDocument/2006/relationships/header" Target="header2.xml"/><Relationship Id="rId25" Type="http://schemas.openxmlformats.org/officeDocument/2006/relationships/image" Target="media/image7.png"/><Relationship Id="rId33" Type="http://schemas.openxmlformats.org/officeDocument/2006/relationships/image" Target="media/image13.emf"/><Relationship Id="rId38" Type="http://schemas.openxmlformats.org/officeDocument/2006/relationships/image" Target="media/image17.wmf"/><Relationship Id="rId46" Type="http://schemas.openxmlformats.org/officeDocument/2006/relationships/hyperlink" Target="http://enrd.ec.europa.eu/evaluation/publications/guidelines-assessment-rdp-results-how-prepare-reporting-evaluation-2017_en" TargetMode="External"/><Relationship Id="rId59" Type="http://schemas.openxmlformats.org/officeDocument/2006/relationships/image" Target="media/image30.png"/><Relationship Id="rId67" Type="http://schemas.openxmlformats.org/officeDocument/2006/relationships/image" Target="media/image38.png"/><Relationship Id="rId20" Type="http://schemas.openxmlformats.org/officeDocument/2006/relationships/footer" Target="footer3.xml"/><Relationship Id="rId41" Type="http://schemas.openxmlformats.org/officeDocument/2006/relationships/hyperlink" Target="https://enrd.ec.europa.eu/evaluation/publications/working-document-common-evaluation-questions-rural-development-programmes_en" TargetMode="External"/><Relationship Id="rId54" Type="http://schemas.openxmlformats.org/officeDocument/2006/relationships/header" Target="header6.xml"/><Relationship Id="rId62" Type="http://schemas.openxmlformats.org/officeDocument/2006/relationships/image" Target="media/image33.png"/><Relationship Id="rId70" Type="http://schemas.openxmlformats.org/officeDocument/2006/relationships/hyperlink" Target="https://enrd.ec.europa.eu/evaluation/publications/danish-case-study-lag-operations-database-monitoring-and-evaluation_en" TargetMode="External"/><Relationship Id="rId75"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enrd.ec.europa.eu/evaluation/european-evaluation-helpdesk-rural-development/evaluation-helpdesks-publications/guidance_en" TargetMode="External"/><Relationship Id="rId13" Type="http://schemas.openxmlformats.org/officeDocument/2006/relationships/hyperlink" Target="http://enrd.ec.europa.eu/evaluation/publications/guidelines-assessment-rdp-results-how-prepare-reporting-evaluation-2017_en" TargetMode="External"/><Relationship Id="rId18" Type="http://schemas.openxmlformats.org/officeDocument/2006/relationships/hyperlink" Target="https://enrd.ec.europa.eu/evaluation/european-evaluation-helpdesk-rural-development/evaluation-helpdesks-publications/guidance_en"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working-document-common-evaluation-questions-rural-development-programmes_en" TargetMode="External"/><Relationship Id="rId7" Type="http://schemas.openxmlformats.org/officeDocument/2006/relationships/hyperlink" Target="http://enrd.ec.europa.eu/evaluation/publications/guidelines-assessment-rdp-results-how-prepare-reporting-evaluation-2017_en" TargetMode="External"/><Relationship Id="rId12" Type="http://schemas.openxmlformats.org/officeDocument/2006/relationships/hyperlink" Target="http://ec.europa.eu/agriculture/evaluation/rural-development-reports/2015/ex_ante_rdp_synthesis_2014_2020/fulltext_en.pdf" TargetMode="External"/><Relationship Id="rId17" Type="http://schemas.openxmlformats.org/officeDocument/2006/relationships/hyperlink" Target="http://enrd.ec.europa.eu/enrd-static/evaluation/library/evaluation-helpdesk-publications/en/evaluation-helpdesk-publications_en.html"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cor.europa.eu/en/activities/governance/Pages/multilevel-governance1.aspx" TargetMode="External"/><Relationship Id="rId20" Type="http://schemas.openxmlformats.org/officeDocument/2006/relationships/hyperlink" Target="http://enrd.ec.europa.eu/evaluation/publications/guidelines-assessment-rdp-results-how-prepare-reporting-evaluation-2017_en" TargetMode="External"/><Relationship Id="rId1" Type="http://schemas.openxmlformats.org/officeDocument/2006/relationships/hyperlink" Target="http://ec.europa.eu/agriculture/cap-post-2013/monitoring-evaluation/index_en.htm" TargetMode="External"/><Relationship Id="rId6" Type="http://schemas.openxmlformats.org/officeDocument/2006/relationships/hyperlink" Target="http://ec.europa.eu/europe2020/index_bg.htm" TargetMode="External"/><Relationship Id="rId11"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98275CF6-C4FD-1908-07DE-1F1EA065BC29.pdf" TargetMode="External"/><Relationship Id="rId10" Type="http://schemas.openxmlformats.org/officeDocument/2006/relationships/hyperlink" Target="http://enrd.ec.europa.eu/evaluation/publications/guidelines-assessment-rdp-results-how-prepare-reporting-evaluation-2017_en" TargetMode="External"/><Relationship Id="rId19" Type="http://schemas.openxmlformats.org/officeDocument/2006/relationships/hyperlink" Target="http://enrd.ec.europa.eu/evaluation/publications/guidelines-assessment-rdp-results-how-prepare-reporting-evaluation-2017_en"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nrd-static/fms/pdf/D44FCDEB-C1DC-3F8B-8EDE-B5C89302360C.pdf" TargetMode="External"/><Relationship Id="rId22" Type="http://schemas.openxmlformats.org/officeDocument/2006/relationships/hyperlink" Target="http://enrd.ec.europa.eu/evaluation/publications/guidelines-assessment-rdp-results-how-prepare-reporting-evaluation-2017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8" ma:contentTypeDescription="Create a new document." ma:contentTypeScope="" ma:versionID="c4724b19592aeddb3b9aa81f65bb4ae2">
  <xsd:schema xmlns:xsd="http://www.w3.org/2001/XMLSchema" xmlns:xs="http://www.w3.org/2001/XMLSchema" xmlns:p="http://schemas.microsoft.com/office/2006/metadata/properties" xmlns:ns2="294d1de4-3ac5-42cb-af17-fa7f1cfff024" xmlns:ns3="a682ccd6-8e05-4613-ac9a-f7bada7b125c" targetNamespace="http://schemas.microsoft.com/office/2006/metadata/properties" ma:root="true" ma:fieldsID="1908d994bfab6f61bb157e3ab318cab7" ns2:_="" ns3:_="">
    <xsd:import namespace="294d1de4-3ac5-42cb-af17-fa7f1cfff024"/>
    <xsd:import namespace="a682ccd6-8e05-4613-ac9a-f7bada7b125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682ccd6-8e05-4613-ac9a-f7bada7b12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F3374-8D0C-4D1C-BD84-DCDA0DC73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a682ccd6-8e05-4613-ac9a-f7bada7b1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FAB8AE-3ACE-4796-9062-565063BFE789}">
  <ds:schemaRefs>
    <ds:schemaRef ds:uri="http://schemas.microsoft.com/sharepoint/v3/contenttype/forms"/>
  </ds:schemaRefs>
</ds:datastoreItem>
</file>

<file path=customXml/itemProps3.xml><?xml version="1.0" encoding="utf-8"?>
<ds:datastoreItem xmlns:ds="http://schemas.openxmlformats.org/officeDocument/2006/customXml" ds:itemID="{6F3F386B-112C-47E8-A495-5245A1A05E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3927844-0985-43A4-9F17-2578E4705F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91</Pages>
  <Words>23328</Words>
  <Characters>132973</Characters>
  <Application>Microsoft Office Word</Application>
  <DocSecurity>0</DocSecurity>
  <Lines>1108</Lines>
  <Paragraphs>311</Paragraphs>
  <ScaleCrop>false</ScaleCrop>
  <HeadingPairs>
    <vt:vector size="6" baseType="variant">
      <vt:variant>
        <vt:lpstr>Title</vt:lpstr>
      </vt:variant>
      <vt:variant>
        <vt:i4>1</vt:i4>
      </vt:variant>
      <vt:variant>
        <vt:lpstr>Titel</vt:lpstr>
      </vt:variant>
      <vt:variant>
        <vt:i4>1</vt:i4>
      </vt:variant>
      <vt:variant>
        <vt:lpstr>Título</vt:lpstr>
      </vt:variant>
      <vt:variant>
        <vt:i4>1</vt:i4>
      </vt:variant>
    </vt:vector>
  </HeadingPairs>
  <TitlesOfParts>
    <vt:vector size="3" baseType="lpstr">
      <vt:lpstr/>
      <vt:lpstr/>
      <vt:lpstr/>
    </vt:vector>
  </TitlesOfParts>
  <Company>European Commission</Company>
  <LinksUpToDate>false</LinksUpToDate>
  <CharactersWithSpaces>155990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 Wimmer</dc:creator>
  <cp:lastModifiedBy>Valerie Dumont</cp:lastModifiedBy>
  <cp:revision>7</cp:revision>
  <cp:lastPrinted>2017-11-15T10:53:00Z</cp:lastPrinted>
  <dcterms:created xsi:type="dcterms:W3CDTF">2017-12-05T08:06:00Z</dcterms:created>
  <dcterms:modified xsi:type="dcterms:W3CDTF">2017-12-15T11:42:00Z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