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5.xml" ContentType="application/vnd.openxmlformats-officedocument.wordprocessingml.footer+xml"/>
  <Override PartName="/word/header8.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24CD" w:rsidRPr="006D6B59" w:rsidRDefault="001924CD" w:rsidP="00923616">
      <w:pPr>
        <w:pStyle w:val="HStandard"/>
        <w:rPr>
          <w:lang w:val="en-GB"/>
        </w:rPr>
      </w:pPr>
      <w:r w:rsidRPr="008A4203">
        <w:rPr>
          <w:noProof/>
          <w:lang w:val="en-GB" w:eastAsia="en-GB" w:bidi="ar-SA"/>
        </w:rPr>
        <w:drawing>
          <wp:anchor distT="0" distB="0" distL="114300" distR="114300" simplePos="0" relativeHeight="251659264" behindDoc="1" locked="0" layoutInCell="1" allowOverlap="1" wp14:anchorId="2B250B9B" wp14:editId="473B0895">
            <wp:simplePos x="0" y="0"/>
            <wp:positionH relativeFrom="margin">
              <wp:posOffset>-1064260</wp:posOffset>
            </wp:positionH>
            <wp:positionV relativeFrom="margin">
              <wp:posOffset>-749300</wp:posOffset>
            </wp:positionV>
            <wp:extent cx="7561580" cy="10683240"/>
            <wp:effectExtent l="19050" t="0" r="127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mne-templat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1580" cy="10683240"/>
                    </a:xfrm>
                    <a:prstGeom prst="rect">
                      <a:avLst/>
                    </a:prstGeom>
                  </pic:spPr>
                </pic:pic>
              </a:graphicData>
            </a:graphic>
          </wp:anchor>
        </w:drawing>
      </w:r>
      <w:r w:rsidRPr="008A4203">
        <w:rPr>
          <w:noProof/>
          <w:szCs w:val="24"/>
          <w:lang w:val="en-GB" w:eastAsia="en-GB" w:bidi="ar-SA"/>
        </w:rPr>
        <mc:AlternateContent>
          <mc:Choice Requires="wps">
            <w:drawing>
              <wp:anchor distT="0" distB="0" distL="114300" distR="114300" simplePos="0" relativeHeight="251661312" behindDoc="1" locked="0" layoutInCell="1" allowOverlap="1" wp14:anchorId="3EC51CB6" wp14:editId="2AEB5121">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24CD" w:rsidRPr="00AA72F9" w:rsidRDefault="001924CD" w:rsidP="00185B1D">
                            <w:pPr>
                              <w:pStyle w:val="HTitle1"/>
                              <w:rPr>
                                <w:rFonts w:ascii="Arial" w:hAnsi="Arial" w:cs="Arial"/>
                                <w:lang w:val="en-US"/>
                              </w:rPr>
                            </w:pPr>
                            <w:r w:rsidRPr="00AA72F9">
                              <w:rPr>
                                <w:rFonts w:ascii="Arial" w:hAnsi="Arial"/>
                                <w:lang w:val="en-US"/>
                              </w:rPr>
                              <w:t>GUIDELINES</w:t>
                            </w:r>
                          </w:p>
                          <w:p w:rsidR="001924CD" w:rsidRPr="00AA72F9" w:rsidRDefault="001924CD" w:rsidP="00185B1D">
                            <w:pPr>
                              <w:pStyle w:val="HTitle2"/>
                              <w:rPr>
                                <w:rFonts w:ascii="Arial" w:hAnsi="Arial" w:cs="Arial"/>
                                <w:color w:val="262626" w:themeColor="text1" w:themeTint="D9"/>
                                <w:lang w:val="en-US"/>
                              </w:rPr>
                            </w:pPr>
                            <w:r w:rsidRPr="00AA72F9">
                              <w:rPr>
                                <w:rFonts w:ascii="Arial" w:hAnsi="Arial"/>
                                <w:color w:val="262626" w:themeColor="text1" w:themeTint="D9"/>
                                <w:lang w:val="en-US"/>
                              </w:rPr>
                              <w:t>EVALUATION OF NATIONAL RURAL NETWORKS 2014-2020</w:t>
                            </w:r>
                          </w:p>
                          <w:p w:rsidR="001924CD" w:rsidRPr="00AA72F9" w:rsidRDefault="001924CD" w:rsidP="00185B1D">
                            <w:pPr>
                              <w:pStyle w:val="HTitle2"/>
                              <w:rPr>
                                <w:rFonts w:ascii="Arial" w:hAnsi="Arial" w:cs="Arial"/>
                                <w:color w:val="262626" w:themeColor="text1" w:themeTint="D9"/>
                                <w:szCs w:val="40"/>
                                <w:lang w:val="en-US"/>
                              </w:rPr>
                            </w:pPr>
                          </w:p>
                          <w:p w:rsidR="001924CD" w:rsidRPr="00712034" w:rsidRDefault="001924CD" w:rsidP="00185B1D">
                            <w:pPr>
                              <w:pStyle w:val="HTitle3"/>
                              <w:rPr>
                                <w:color w:val="262626" w:themeColor="text1" w:themeTint="D9"/>
                              </w:rPr>
                            </w:pPr>
                            <w:r>
                              <w:rPr>
                                <w:color w:val="262626" w:themeColor="text1" w:themeTint="D9"/>
                              </w:rPr>
                              <w:t>JULY 2016</w:t>
                            </w:r>
                          </w:p>
                          <w:p w:rsidR="001924CD" w:rsidRPr="00DE5388" w:rsidRDefault="001924CD" w:rsidP="00185B1D">
                            <w:pPr>
                              <w:pStyle w:val="HTitl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C51CB6" id="_x0000_t202" coordsize="21600,21600" o:spt="202" path="m,l,21600r21600,l21600,xe">
                <v:stroke joinstyle="miter"/>
                <v:path gradientshapeok="t" o:connecttype="rect"/>
              </v:shapetype>
              <v:shape id="Text Box 5" o:spid="_x0000_s1026" type="#_x0000_t202" style="position:absolute;left:0;text-align:left;margin-left:161.6pt;margin-top:395.5pt;width:341.85pt;height:303.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" filled="f" stroked="f">
                <v:textbox inset="0,0,0,0">
                  <w:txbxContent>
                    <w:p w:rsidR="001924CD" w:rsidRPr="00AA72F9" w:rsidRDefault="001924CD" w:rsidP="00185B1D">
                      <w:pPr>
                        <w:pStyle w:val="HTitle1"/>
                        <w:rPr>
                          <w:rFonts w:ascii="Arial" w:hAnsi="Arial" w:cs="Arial"/>
                          <w:lang w:val="en-US"/>
                        </w:rPr>
                      </w:pPr>
                      <w:r w:rsidRPr="00AA72F9">
                        <w:rPr>
                          <w:rFonts w:ascii="Arial" w:hAnsi="Arial"/>
                          <w:lang w:val="en-US"/>
                        </w:rPr>
                        <w:t>GUIDELINES</w:t>
                      </w:r>
                    </w:p>
                    <w:p w:rsidR="001924CD" w:rsidRPr="00AA72F9" w:rsidRDefault="001924CD" w:rsidP="00185B1D">
                      <w:pPr>
                        <w:pStyle w:val="HTitle2"/>
                        <w:rPr>
                          <w:rFonts w:ascii="Arial" w:hAnsi="Arial" w:cs="Arial"/>
                          <w:color w:val="262626" w:themeColor="text1" w:themeTint="D9"/>
                          <w:lang w:val="en-US"/>
                        </w:rPr>
                      </w:pPr>
                      <w:r w:rsidRPr="00AA72F9">
                        <w:rPr>
                          <w:rFonts w:ascii="Arial" w:hAnsi="Arial"/>
                          <w:color w:val="262626" w:themeColor="text1" w:themeTint="D9"/>
                          <w:lang w:val="en-US"/>
                        </w:rPr>
                        <w:t>EVALUATION OF NATIONAL RURAL NETWORKS 2014-2020</w:t>
                      </w:r>
                    </w:p>
                    <w:p w:rsidR="001924CD" w:rsidRPr="00AA72F9" w:rsidRDefault="001924CD" w:rsidP="00185B1D">
                      <w:pPr>
                        <w:pStyle w:val="HTitle2"/>
                        <w:rPr>
                          <w:rFonts w:ascii="Arial" w:hAnsi="Arial" w:cs="Arial"/>
                          <w:color w:val="262626" w:themeColor="text1" w:themeTint="D9"/>
                          <w:szCs w:val="40"/>
                          <w:lang w:val="en-US"/>
                        </w:rPr>
                      </w:pPr>
                    </w:p>
                    <w:p w:rsidR="001924CD" w:rsidRPr="00712034" w:rsidRDefault="001924CD" w:rsidP="00185B1D">
                      <w:pPr>
                        <w:pStyle w:val="HTitle3"/>
                        <w:rPr>
                          <w:color w:val="262626" w:themeColor="text1" w:themeTint="D9"/>
                        </w:rPr>
                      </w:pPr>
                      <w:r>
                        <w:rPr>
                          <w:color w:val="262626" w:themeColor="text1" w:themeTint="D9"/>
                        </w:rPr>
                        <w:t>JULY 2016</w:t>
                      </w:r>
                    </w:p>
                    <w:p w:rsidR="001924CD" w:rsidRPr="00DE5388" w:rsidRDefault="001924CD" w:rsidP="00185B1D">
                      <w:pPr>
                        <w:pStyle w:val="HTitle3"/>
                      </w:pPr>
                    </w:p>
                  </w:txbxContent>
                </v:textbox>
                <w10:wrap type="tight" anchorx="page" anchory="page"/>
              </v:shape>
            </w:pict>
          </mc:Fallback>
        </mc:AlternateContent>
      </w:r>
      <w:r w:rsidRPr="006D6B59">
        <w:rPr>
          <w:lang w:val="en-GB"/>
        </w:rPr>
        <w:t>Lapinew</w:t>
      </w:r>
      <w:r w:rsidRPr="006D6B59">
        <w:rPr>
          <w:lang w:val="en-GB"/>
        </w:rPr>
        <w:tab/>
        <w:t>l</w:t>
      </w:r>
      <w:r w:rsidRPr="006D6B59">
        <w:rPr>
          <w:lang w:val="en-GB"/>
        </w:rPr>
        <w:br w:type="page"/>
      </w:r>
    </w:p>
    <w:p w:rsidR="001924CD" w:rsidRPr="006D6B59" w:rsidRDefault="001924CD" w:rsidP="00923616">
      <w:pPr>
        <w:pStyle w:val="HStandard"/>
        <w:rPr>
          <w:lang w:val="en-GB"/>
        </w:rPr>
      </w:pPr>
    </w:p>
    <w:p w:rsidR="001924CD" w:rsidRPr="006D6B59" w:rsidRDefault="001924CD" w:rsidP="00923616">
      <w:pPr>
        <w:pStyle w:val="HStandard"/>
        <w:rPr>
          <w:lang w:val="en-GB"/>
        </w:rPr>
      </w:pPr>
    </w:p>
    <w:p w:rsidR="001924CD" w:rsidRPr="006D6B59" w:rsidRDefault="001924CD" w:rsidP="00923616">
      <w:pPr>
        <w:pStyle w:val="HStandard"/>
        <w:rPr>
          <w:lang w:val="en-GB"/>
        </w:rPr>
      </w:pPr>
    </w:p>
    <w:p w:rsidR="001924CD" w:rsidRPr="006D6B59" w:rsidRDefault="001924CD" w:rsidP="00923616">
      <w:pPr>
        <w:pStyle w:val="HStandard"/>
        <w:rPr>
          <w:lang w:val="en-GB"/>
        </w:rPr>
      </w:pPr>
    </w:p>
    <w:p w:rsidR="001924CD" w:rsidRPr="006D6B59" w:rsidRDefault="001924CD">
      <w:pPr>
        <w:spacing w:after="0" w:line="240" w:lineRule="auto"/>
        <w:rPr>
          <w:rFonts w:cs="Arial"/>
          <w:color w:val="576C88" w:themeColor="text2" w:themeTint="D9"/>
          <w:sz w:val="20"/>
          <w:szCs w:val="20"/>
        </w:rPr>
      </w:pPr>
      <w:r w:rsidRPr="008A4203">
        <w:rPr>
          <w:noProof/>
          <w:lang w:eastAsia="en-GB"/>
        </w:rPr>
        <mc:AlternateContent>
          <mc:Choice Requires="wps">
            <w:drawing>
              <wp:anchor distT="0" distB="0" distL="114300" distR="114300" simplePos="0" relativeHeight="251660288" behindDoc="0" locked="0" layoutInCell="1" allowOverlap="1" wp14:anchorId="20941EC1" wp14:editId="6D6C9BB1">
                <wp:simplePos x="0" y="0"/>
                <wp:positionH relativeFrom="margin">
                  <wp:posOffset>-387985</wp:posOffset>
                </wp:positionH>
                <wp:positionV relativeFrom="paragraph">
                  <wp:posOffset>2812415</wp:posOffset>
                </wp:positionV>
                <wp:extent cx="6583680" cy="5161915"/>
                <wp:effectExtent l="0" t="0" r="0" b="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5161915"/>
                        </a:xfrm>
                        <a:prstGeom prst="rect">
                          <a:avLst/>
                        </a:prstGeom>
                        <a:solidFill>
                          <a:srgbClr val="FFFFFF">
                            <a:alpha val="0"/>
                          </a:srgbClr>
                        </a:solidFill>
                        <a:ln>
                          <a:noFill/>
                        </a:ln>
                        <a:extLst/>
                      </wps:spPr>
                      <wps:txbx>
                        <w:txbxContent>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Copyright notice</w:t>
                            </w:r>
                          </w:p>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 European Union, 2016</w:t>
                            </w:r>
                          </w:p>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Reproduction is authorised provided the source is acknowledged.</w:t>
                            </w:r>
                          </w:p>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 xml:space="preserve">Recommended citation: </w:t>
                            </w:r>
                          </w:p>
                          <w:p w:rsidR="001924CD" w:rsidRPr="00AA72F9" w:rsidRDefault="001924CD" w:rsidP="00707EDB">
                            <w:pPr>
                              <w:pStyle w:val="Hdisclaimer"/>
                              <w:rPr>
                                <w:rFonts w:ascii="Arial" w:hAnsi="Arial"/>
                                <w:color w:val="262626" w:themeColor="text1" w:themeTint="D9"/>
                                <w:lang w:val="en-US"/>
                              </w:rPr>
                            </w:pPr>
                            <w:r w:rsidRPr="00AA72F9">
                              <w:rPr>
                                <w:rFonts w:ascii="Arial" w:hAnsi="Arial"/>
                                <w:color w:val="262626" w:themeColor="text1" w:themeTint="D9"/>
                                <w:lang w:val="en-US"/>
                              </w:rPr>
                              <w:t>EUROPEAN COMMISSION – Directorate-General for Agriculture and Rural Development – Unit E.4 (2016): Guidelines Evaluation of National Rural Networks 2014-2020. Brussels.</w:t>
                            </w:r>
                          </w:p>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Disclaimer:</w:t>
                            </w:r>
                          </w:p>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1924CD" w:rsidRPr="002B46F3" w:rsidRDefault="001924CD"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79B89179" wp14:editId="38B1D8E7">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19DAD8D5" wp14:editId="7BBD1EB8">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Additional information about the activities of European Evaluation Helpdesk for Rural Development is available on the Internet through the Europa server (http://enrd.ec.europa.eu).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41EC1" id="Text Box 7" o:spid="_x0000_s1027" type="#_x0000_t202" style="position:absolute;margin-left:-30.55pt;margin-top:221.45pt;width:518.4pt;height:406.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" stroked="f">
                <v:fill opacity="0"/>
                <v:textbox>
                  <w:txbxContent>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Copyright notice</w:t>
                      </w:r>
                    </w:p>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 European Union, 2016</w:t>
                      </w:r>
                    </w:p>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Reproduction is authorised provided the source is acknowledged.</w:t>
                      </w:r>
                    </w:p>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 xml:space="preserve">Recommended citation: </w:t>
                      </w:r>
                    </w:p>
                    <w:p w:rsidR="001924CD" w:rsidRPr="00AA72F9" w:rsidRDefault="001924CD" w:rsidP="00707EDB">
                      <w:pPr>
                        <w:pStyle w:val="Hdisclaimer"/>
                        <w:rPr>
                          <w:rFonts w:ascii="Arial" w:hAnsi="Arial"/>
                          <w:color w:val="262626" w:themeColor="text1" w:themeTint="D9"/>
                          <w:lang w:val="en-US"/>
                        </w:rPr>
                      </w:pPr>
                      <w:r w:rsidRPr="00AA72F9">
                        <w:rPr>
                          <w:rFonts w:ascii="Arial" w:hAnsi="Arial"/>
                          <w:color w:val="262626" w:themeColor="text1" w:themeTint="D9"/>
                          <w:lang w:val="en-US"/>
                        </w:rPr>
                        <w:t>EUROPEAN COMMISSION – Directorate-General for Agriculture and Rural Development – Unit E.4 (2016): Guidelines Evaluation of National Rural Networks 2014-2020. Brussels.</w:t>
                      </w:r>
                    </w:p>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Disclaimer:</w:t>
                      </w:r>
                    </w:p>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1924CD" w:rsidRPr="002B46F3" w:rsidRDefault="001924CD"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79B89179" wp14:editId="38B1D8E7">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19DAD8D5" wp14:editId="7BBD1EB8">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1924CD" w:rsidRPr="00AA72F9" w:rsidRDefault="001924CD" w:rsidP="005B24FC">
                      <w:pPr>
                        <w:pStyle w:val="Hdisclaimer"/>
                        <w:rPr>
                          <w:rFonts w:ascii="Arial" w:hAnsi="Arial"/>
                          <w:color w:val="262626" w:themeColor="text1" w:themeTint="D9"/>
                          <w:lang w:val="en-US"/>
                        </w:rPr>
                      </w:pPr>
                      <w:r w:rsidRPr="00AA72F9">
                        <w:rPr>
                          <w:rFonts w:ascii="Arial" w:hAnsi="Arial"/>
                          <w:color w:val="262626" w:themeColor="text1" w:themeTint="D9"/>
                          <w:lang w:val="en-US"/>
                        </w:rPr>
                        <w:t>Additional information about the activities of European Evaluation Helpdesk for Rural Development is available on the Internet through the Europa server (http://enrd.ec.europa.eu).</w:t>
                      </w:r>
                    </w:p>
                  </w:txbxContent>
                </v:textbox>
                <w10:wrap anchorx="margin"/>
              </v:shape>
            </w:pict>
          </mc:Fallback>
        </mc:AlternateContent>
      </w:r>
      <w:r w:rsidRPr="006D6B59">
        <w:br w:type="page"/>
      </w:r>
    </w:p>
    <w:p w:rsidR="001924CD" w:rsidRPr="006D6B59" w:rsidRDefault="001924CD" w:rsidP="00923616">
      <w:pPr>
        <w:pStyle w:val="HStandard"/>
        <w:rPr>
          <w:lang w:val="en-GB"/>
        </w:rPr>
        <w:sectPr w:rsidR="001924CD" w:rsidRPr="006D6B59" w:rsidSect="00696CEC">
          <w:pgSz w:w="11906" w:h="16838"/>
          <w:pgMar w:top="1440" w:right="1440" w:bottom="1440" w:left="1440" w:header="708" w:footer="708" w:gutter="0"/>
          <w:cols w:space="708"/>
          <w:docGrid w:linePitch="360"/>
        </w:sectPr>
      </w:pPr>
      <w:r w:rsidRPr="008A4203">
        <w:rPr>
          <w:noProof/>
          <w:lang w:val="en-GB" w:eastAsia="en-GB" w:bidi="ar-SA"/>
        </w:rPr>
        <w:lastRenderedPageBreak/>
        <mc:AlternateContent>
          <mc:Choice Requires="wps">
            <w:drawing>
              <wp:anchor distT="0" distB="0" distL="114300" distR="114300" simplePos="0" relativeHeight="251662336" behindDoc="1" locked="0" layoutInCell="1" allowOverlap="1" wp14:anchorId="7A9DBD5F" wp14:editId="1076F142">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924CD" w:rsidRPr="00AA72F9" w:rsidRDefault="001924CD" w:rsidP="00F10C08">
                            <w:pPr>
                              <w:pStyle w:val="HTitle1"/>
                              <w:rPr>
                                <w:rFonts w:ascii="Arial" w:hAnsi="Arial" w:cs="Arial"/>
                                <w:lang w:val="en-US"/>
                              </w:rPr>
                            </w:pPr>
                            <w:r w:rsidRPr="00AA72F9">
                              <w:rPr>
                                <w:rFonts w:ascii="Arial" w:hAnsi="Arial"/>
                                <w:lang w:val="en-US"/>
                              </w:rPr>
                              <w:t>GUIDELINES</w:t>
                            </w:r>
                          </w:p>
                          <w:p w:rsidR="001924CD" w:rsidRPr="00AA72F9" w:rsidRDefault="001924CD" w:rsidP="00F10C08">
                            <w:pPr>
                              <w:pStyle w:val="HTitle2"/>
                              <w:rPr>
                                <w:rFonts w:ascii="Arial" w:hAnsi="Arial" w:cs="Arial"/>
                                <w:color w:val="262626" w:themeColor="text1" w:themeTint="D9"/>
                                <w:lang w:val="en-US"/>
                              </w:rPr>
                            </w:pPr>
                            <w:r w:rsidRPr="00AA72F9">
                              <w:rPr>
                                <w:rFonts w:ascii="Arial" w:hAnsi="Arial"/>
                                <w:color w:val="262626" w:themeColor="text1" w:themeTint="D9"/>
                                <w:lang w:val="en-US"/>
                              </w:rPr>
                              <w:t>EVALUATION OF NATIONAL RURAL NETWORKS 2014-2020</w:t>
                            </w:r>
                          </w:p>
                          <w:p w:rsidR="001924CD" w:rsidRPr="00AA72F9" w:rsidRDefault="001924CD" w:rsidP="00F10C08">
                            <w:pPr>
                              <w:pStyle w:val="HTitle2"/>
                              <w:rPr>
                                <w:rFonts w:ascii="Arial" w:hAnsi="Arial" w:cs="Arial"/>
                                <w:color w:val="262626" w:themeColor="text1" w:themeTint="D9"/>
                                <w:szCs w:val="40"/>
                                <w:lang w:val="en-US"/>
                              </w:rPr>
                            </w:pPr>
                          </w:p>
                          <w:p w:rsidR="001924CD" w:rsidRPr="00DE5388" w:rsidRDefault="001924CD" w:rsidP="00F10C08">
                            <w:pPr>
                              <w:pStyle w:val="HTitle3"/>
                            </w:pPr>
                            <w:r>
                              <w:t>JULY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DBD5F" id="_x0000_s1028" type="#_x0000_t202" style="position:absolute;left:0;text-align:left;margin-left:161.6pt;margin-top:395.5pt;width:341.85pt;height:303.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AtAIAALE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" filled="f" stroked="f">
                <v:textbox inset="0,0,0,0">
                  <w:txbxContent>
                    <w:p w:rsidR="001924CD" w:rsidRPr="00AA72F9" w:rsidRDefault="001924CD" w:rsidP="00F10C08">
                      <w:pPr>
                        <w:pStyle w:val="HTitle1"/>
                        <w:rPr>
                          <w:rFonts w:ascii="Arial" w:hAnsi="Arial" w:cs="Arial"/>
                          <w:lang w:val="en-US"/>
                        </w:rPr>
                      </w:pPr>
                      <w:r w:rsidRPr="00AA72F9">
                        <w:rPr>
                          <w:rFonts w:ascii="Arial" w:hAnsi="Arial"/>
                          <w:lang w:val="en-US"/>
                        </w:rPr>
                        <w:t>GUIDELINES</w:t>
                      </w:r>
                    </w:p>
                    <w:p w:rsidR="001924CD" w:rsidRPr="00AA72F9" w:rsidRDefault="001924CD" w:rsidP="00F10C08">
                      <w:pPr>
                        <w:pStyle w:val="HTitle2"/>
                        <w:rPr>
                          <w:rFonts w:ascii="Arial" w:hAnsi="Arial" w:cs="Arial"/>
                          <w:color w:val="262626" w:themeColor="text1" w:themeTint="D9"/>
                          <w:lang w:val="en-US"/>
                        </w:rPr>
                      </w:pPr>
                      <w:r w:rsidRPr="00AA72F9">
                        <w:rPr>
                          <w:rFonts w:ascii="Arial" w:hAnsi="Arial"/>
                          <w:color w:val="262626" w:themeColor="text1" w:themeTint="D9"/>
                          <w:lang w:val="en-US"/>
                        </w:rPr>
                        <w:t>EVALUATION OF NATIONAL RURAL NETWORKS 2014-2020</w:t>
                      </w:r>
                    </w:p>
                    <w:p w:rsidR="001924CD" w:rsidRPr="00AA72F9" w:rsidRDefault="001924CD" w:rsidP="00F10C08">
                      <w:pPr>
                        <w:pStyle w:val="HTitle2"/>
                        <w:rPr>
                          <w:rFonts w:ascii="Arial" w:hAnsi="Arial" w:cs="Arial"/>
                          <w:color w:val="262626" w:themeColor="text1" w:themeTint="D9"/>
                          <w:szCs w:val="40"/>
                          <w:lang w:val="en-US"/>
                        </w:rPr>
                      </w:pPr>
                    </w:p>
                    <w:p w:rsidR="001924CD" w:rsidRPr="00DE5388" w:rsidRDefault="001924CD" w:rsidP="00F10C08">
                      <w:pPr>
                        <w:pStyle w:val="HTitle3"/>
                      </w:pPr>
                      <w:r>
                        <w:t>JULY 2016</w:t>
                      </w:r>
                    </w:p>
                  </w:txbxContent>
                </v:textbox>
                <w10:wrap type="tight" anchorx="page" anchory="page"/>
              </v:shape>
            </w:pict>
          </mc:Fallback>
        </mc:AlternateContent>
      </w:r>
    </w:p>
    <w:p w:rsidR="001924CD" w:rsidRPr="006D6B59" w:rsidRDefault="001924CD">
      <w:pPr>
        <w:spacing w:after="0" w:line="240" w:lineRule="auto"/>
        <w:rPr>
          <w:rFonts w:cs="Arial"/>
          <w:b/>
          <w:bCs/>
          <w:caps/>
          <w:color w:val="F07E31"/>
          <w:kern w:val="32"/>
          <w:sz w:val="20"/>
          <w:szCs w:val="32"/>
        </w:rPr>
      </w:pPr>
      <w:r w:rsidRPr="006D6B59">
        <w:lastRenderedPageBreak/>
        <w:br w:type="page"/>
      </w:r>
    </w:p>
    <w:p w:rsidR="001924CD" w:rsidRPr="008A4203" w:rsidRDefault="001924CD" w:rsidP="000B62C2">
      <w:pPr>
        <w:pStyle w:val="HContent"/>
        <w:rPr>
          <w:rFonts w:ascii="Arial" w:hAnsi="Arial"/>
          <w:lang w:val="en-US"/>
        </w:rPr>
      </w:pPr>
      <w:r w:rsidRPr="008A4203">
        <w:rPr>
          <w:rFonts w:ascii="Arial" w:hAnsi="Arial"/>
          <w:lang w:val="en-US"/>
        </w:rPr>
        <w:lastRenderedPageBreak/>
        <w:t>Content</w:t>
      </w:r>
    </w:p>
    <w:p w:rsidR="001924CD" w:rsidRPr="008A4203" w:rsidRDefault="001924CD">
      <w:pPr>
        <w:pStyle w:val="TOC1"/>
        <w:rPr>
          <w:rFonts w:asciiTheme="minorHAnsi" w:eastAsiaTheme="minorEastAsia" w:hAnsiTheme="minorHAnsi" w:cstheme="minorBidi"/>
          <w:color w:val="auto"/>
          <w:sz w:val="22"/>
          <w:szCs w:val="22"/>
          <w:lang w:bidi="ar-SA"/>
        </w:rPr>
      </w:pPr>
      <w:r w:rsidRPr="008A4203">
        <w:rPr>
          <w:noProof w:val="0"/>
          <w:color w:val="576C88" w:themeColor="text2" w:themeTint="D9"/>
        </w:rPr>
        <w:fldChar w:fldCharType="begin"/>
      </w:r>
      <w:r w:rsidRPr="008A4203">
        <w:rPr>
          <w:noProof w:val="0"/>
          <w:color w:val="576C88" w:themeColor="text2" w:themeTint="D9"/>
          <w:lang w:val="en-US"/>
        </w:rPr>
        <w:instrText xml:space="preserve"> TOC \h \z \t "H_Heading 1;1;H_Heading 2;2;H_Heading 3;3;H_Heading 9;1" </w:instrText>
      </w:r>
      <w:r w:rsidRPr="008A4203">
        <w:rPr>
          <w:noProof w:val="0"/>
          <w:color w:val="576C88" w:themeColor="text2" w:themeTint="D9"/>
        </w:rPr>
        <w:fldChar w:fldCharType="separate"/>
      </w:r>
      <w:hyperlink w:anchor="_Toc461807106" w:history="1">
        <w:r w:rsidRPr="008A4203">
          <w:rPr>
            <w:rStyle w:val="Hyperlink"/>
            <w:rFonts w:cs="Arial"/>
          </w:rPr>
          <w:t>1</w:t>
        </w:r>
        <w:r w:rsidRPr="008A4203">
          <w:rPr>
            <w:rFonts w:asciiTheme="minorHAnsi" w:eastAsiaTheme="minorEastAsia" w:hAnsiTheme="minorHAnsi" w:cstheme="minorBidi"/>
            <w:color w:val="auto"/>
            <w:sz w:val="22"/>
            <w:szCs w:val="22"/>
            <w:lang w:bidi="ar-SA"/>
          </w:rPr>
          <w:tab/>
        </w:r>
        <w:r w:rsidRPr="008A4203">
          <w:rPr>
            <w:rStyle w:val="Hyperlink"/>
          </w:rPr>
          <w:t>WPROWADZENIE</w:t>
        </w:r>
        <w:r w:rsidRPr="008A4203">
          <w:rPr>
            <w:webHidden/>
          </w:rPr>
          <w:tab/>
        </w:r>
        <w:r w:rsidRPr="008A4203">
          <w:rPr>
            <w:webHidden/>
          </w:rPr>
          <w:fldChar w:fldCharType="begin"/>
        </w:r>
        <w:r w:rsidRPr="008A4203">
          <w:rPr>
            <w:webHidden/>
          </w:rPr>
          <w:instrText xml:space="preserve"> PAGEREF _Toc461807106 \h </w:instrText>
        </w:r>
        <w:r w:rsidRPr="008A4203">
          <w:rPr>
            <w:webHidden/>
          </w:rPr>
        </w:r>
        <w:r w:rsidRPr="008A4203">
          <w:rPr>
            <w:webHidden/>
          </w:rPr>
          <w:fldChar w:fldCharType="separate"/>
        </w:r>
        <w:r w:rsidRPr="008A4203">
          <w:rPr>
            <w:webHidden/>
          </w:rPr>
          <w:t>11</w:t>
        </w:r>
        <w:r w:rsidRPr="008A4203">
          <w:rPr>
            <w:webHidden/>
          </w:rPr>
          <w:fldChar w:fldCharType="end"/>
        </w:r>
      </w:hyperlink>
    </w:p>
    <w:p w:rsidR="001924CD" w:rsidRPr="008A4203" w:rsidRDefault="001924CD">
      <w:pPr>
        <w:pStyle w:val="TOC2"/>
        <w:rPr>
          <w:rFonts w:asciiTheme="minorHAnsi" w:eastAsiaTheme="minorEastAsia" w:hAnsiTheme="minorHAnsi" w:cstheme="minorBidi"/>
          <w:color w:val="auto"/>
          <w:sz w:val="22"/>
          <w:lang w:bidi="ar-SA"/>
        </w:rPr>
      </w:pPr>
      <w:hyperlink w:anchor="_Toc461807107" w:history="1">
        <w:r w:rsidRPr="008A4203">
          <w:rPr>
            <w:rStyle w:val="Hyperlink"/>
          </w:rPr>
          <w:t>1.1</w:t>
        </w:r>
        <w:r w:rsidRPr="008A4203">
          <w:rPr>
            <w:rFonts w:asciiTheme="minorHAnsi" w:eastAsiaTheme="minorEastAsia" w:hAnsiTheme="minorHAnsi" w:cstheme="minorBidi"/>
            <w:color w:val="auto"/>
            <w:sz w:val="22"/>
            <w:lang w:bidi="ar-SA"/>
          </w:rPr>
          <w:tab/>
        </w:r>
        <w:r w:rsidRPr="008A4203">
          <w:rPr>
            <w:rStyle w:val="Hyperlink"/>
          </w:rPr>
          <w:t>Wytyczne dotyczące ewaluacji krajowych sieci obszarów wiejskich</w:t>
        </w:r>
        <w:r w:rsidRPr="008A4203">
          <w:rPr>
            <w:webHidden/>
          </w:rPr>
          <w:tab/>
        </w:r>
        <w:r w:rsidRPr="008A4203">
          <w:rPr>
            <w:webHidden/>
          </w:rPr>
          <w:fldChar w:fldCharType="begin"/>
        </w:r>
        <w:r w:rsidRPr="008A4203">
          <w:rPr>
            <w:webHidden/>
          </w:rPr>
          <w:instrText xml:space="preserve"> PAGEREF _Toc461807107 \h </w:instrText>
        </w:r>
        <w:r w:rsidRPr="008A4203">
          <w:rPr>
            <w:webHidden/>
          </w:rPr>
        </w:r>
        <w:r w:rsidRPr="008A4203">
          <w:rPr>
            <w:webHidden/>
          </w:rPr>
          <w:fldChar w:fldCharType="separate"/>
        </w:r>
        <w:r w:rsidRPr="008A4203">
          <w:rPr>
            <w:webHidden/>
          </w:rPr>
          <w:t>11</w:t>
        </w:r>
        <w:r w:rsidRPr="008A4203">
          <w:rPr>
            <w:webHidden/>
          </w:rPr>
          <w:fldChar w:fldCharType="end"/>
        </w:r>
      </w:hyperlink>
    </w:p>
    <w:p w:rsidR="001924CD" w:rsidRPr="008A4203" w:rsidRDefault="001924CD">
      <w:pPr>
        <w:pStyle w:val="TOC2"/>
        <w:rPr>
          <w:rFonts w:asciiTheme="minorHAnsi" w:eastAsiaTheme="minorEastAsia" w:hAnsiTheme="minorHAnsi" w:cstheme="minorBidi"/>
          <w:color w:val="auto"/>
          <w:sz w:val="22"/>
          <w:lang w:bidi="ar-SA"/>
        </w:rPr>
      </w:pPr>
      <w:hyperlink w:anchor="_Toc461807108" w:history="1">
        <w:r w:rsidRPr="008A4203">
          <w:rPr>
            <w:rStyle w:val="Hyperlink"/>
          </w:rPr>
          <w:t>1.2</w:t>
        </w:r>
        <w:r w:rsidRPr="008A4203">
          <w:rPr>
            <w:rFonts w:asciiTheme="minorHAnsi" w:eastAsiaTheme="minorEastAsia" w:hAnsiTheme="minorHAnsi" w:cstheme="minorBidi"/>
            <w:color w:val="auto"/>
            <w:sz w:val="22"/>
            <w:lang w:bidi="ar-SA"/>
          </w:rPr>
          <w:tab/>
        </w:r>
        <w:r w:rsidRPr="008A4203">
          <w:rPr>
            <w:rStyle w:val="Hyperlink"/>
          </w:rPr>
          <w:t>Sieci i współpraca sieciowa (networking) w unijnej polityce rozwoju obszarów wiejskich</w:t>
        </w:r>
        <w:r w:rsidRPr="008A4203">
          <w:rPr>
            <w:webHidden/>
          </w:rPr>
          <w:tab/>
        </w:r>
        <w:r w:rsidRPr="008A4203">
          <w:rPr>
            <w:webHidden/>
          </w:rPr>
          <w:fldChar w:fldCharType="begin"/>
        </w:r>
        <w:r w:rsidRPr="008A4203">
          <w:rPr>
            <w:webHidden/>
          </w:rPr>
          <w:instrText xml:space="preserve"> PAGEREF _Toc461807108 \h </w:instrText>
        </w:r>
        <w:r w:rsidRPr="008A4203">
          <w:rPr>
            <w:webHidden/>
          </w:rPr>
        </w:r>
        <w:r w:rsidRPr="008A4203">
          <w:rPr>
            <w:webHidden/>
          </w:rPr>
          <w:fldChar w:fldCharType="separate"/>
        </w:r>
        <w:r w:rsidRPr="008A4203">
          <w:rPr>
            <w:webHidden/>
          </w:rPr>
          <w:t>13</w:t>
        </w:r>
        <w:r w:rsidRPr="008A4203">
          <w:rPr>
            <w:webHidden/>
          </w:rPr>
          <w:fldChar w:fldCharType="end"/>
        </w:r>
      </w:hyperlink>
    </w:p>
    <w:p w:rsidR="001924CD" w:rsidRPr="008A4203" w:rsidRDefault="001924CD">
      <w:pPr>
        <w:pStyle w:val="TOC2"/>
        <w:rPr>
          <w:rFonts w:asciiTheme="minorHAnsi" w:eastAsiaTheme="minorEastAsia" w:hAnsiTheme="minorHAnsi" w:cstheme="minorBidi"/>
          <w:color w:val="auto"/>
          <w:sz w:val="22"/>
          <w:lang w:bidi="ar-SA"/>
        </w:rPr>
      </w:pPr>
      <w:hyperlink w:anchor="_Toc461807109" w:history="1">
        <w:r w:rsidRPr="008A4203">
          <w:rPr>
            <w:rStyle w:val="Hyperlink"/>
          </w:rPr>
          <w:t>1.3</w:t>
        </w:r>
        <w:r w:rsidRPr="008A4203">
          <w:rPr>
            <w:rFonts w:asciiTheme="minorHAnsi" w:eastAsiaTheme="minorEastAsia" w:hAnsiTheme="minorHAnsi" w:cstheme="minorBidi"/>
            <w:color w:val="auto"/>
            <w:sz w:val="22"/>
            <w:lang w:bidi="ar-SA"/>
          </w:rPr>
          <w:tab/>
        </w:r>
        <w:r w:rsidRPr="008A4203">
          <w:rPr>
            <w:rStyle w:val="Hyperlink"/>
          </w:rPr>
          <w:t>Po co i jak oceniać KSOW?</w:t>
        </w:r>
        <w:r w:rsidRPr="008A4203">
          <w:rPr>
            <w:webHidden/>
          </w:rPr>
          <w:tab/>
        </w:r>
        <w:r w:rsidRPr="008A4203">
          <w:rPr>
            <w:webHidden/>
          </w:rPr>
          <w:fldChar w:fldCharType="begin"/>
        </w:r>
        <w:r w:rsidRPr="008A4203">
          <w:rPr>
            <w:webHidden/>
          </w:rPr>
          <w:instrText xml:space="preserve"> PAGEREF _Toc461807109 \h </w:instrText>
        </w:r>
        <w:r w:rsidRPr="008A4203">
          <w:rPr>
            <w:webHidden/>
          </w:rPr>
        </w:r>
        <w:r w:rsidRPr="008A4203">
          <w:rPr>
            <w:webHidden/>
          </w:rPr>
          <w:fldChar w:fldCharType="separate"/>
        </w:r>
        <w:r w:rsidRPr="008A4203">
          <w:rPr>
            <w:webHidden/>
          </w:rPr>
          <w:t>18</w:t>
        </w:r>
        <w:r w:rsidRPr="008A4203">
          <w:rPr>
            <w:webHidden/>
          </w:rPr>
          <w:fldChar w:fldCharType="end"/>
        </w:r>
      </w:hyperlink>
    </w:p>
    <w:p w:rsidR="001924CD" w:rsidRPr="008A4203" w:rsidRDefault="001924CD">
      <w:pPr>
        <w:pStyle w:val="TOC2"/>
        <w:rPr>
          <w:rFonts w:asciiTheme="minorHAnsi" w:eastAsiaTheme="minorEastAsia" w:hAnsiTheme="minorHAnsi" w:cstheme="minorBidi"/>
          <w:color w:val="auto"/>
          <w:sz w:val="22"/>
          <w:lang w:bidi="ar-SA"/>
        </w:rPr>
      </w:pPr>
      <w:hyperlink w:anchor="_Toc461807110" w:history="1">
        <w:r w:rsidRPr="008A4203">
          <w:rPr>
            <w:rStyle w:val="Hyperlink"/>
          </w:rPr>
          <w:t>1.4</w:t>
        </w:r>
        <w:r w:rsidRPr="008A4203">
          <w:rPr>
            <w:rFonts w:asciiTheme="minorHAnsi" w:eastAsiaTheme="minorEastAsia" w:hAnsiTheme="minorHAnsi" w:cstheme="minorBidi"/>
            <w:color w:val="auto"/>
            <w:sz w:val="22"/>
            <w:lang w:bidi="ar-SA"/>
          </w:rPr>
          <w:tab/>
        </w:r>
        <w:r w:rsidRPr="008A4203">
          <w:rPr>
            <w:rStyle w:val="Hyperlink"/>
          </w:rPr>
          <w:t>Wymagania dotyczące ewaluacji KSOW w polityce rozwoju obszarów wiejskich UE</w:t>
        </w:r>
        <w:r w:rsidRPr="008A4203">
          <w:rPr>
            <w:webHidden/>
          </w:rPr>
          <w:tab/>
        </w:r>
        <w:r w:rsidRPr="008A4203">
          <w:rPr>
            <w:webHidden/>
          </w:rPr>
          <w:fldChar w:fldCharType="begin"/>
        </w:r>
        <w:r w:rsidRPr="008A4203">
          <w:rPr>
            <w:webHidden/>
          </w:rPr>
          <w:instrText xml:space="preserve"> PAGEREF _Toc461807110 \h </w:instrText>
        </w:r>
        <w:r w:rsidRPr="008A4203">
          <w:rPr>
            <w:webHidden/>
          </w:rPr>
        </w:r>
        <w:r w:rsidRPr="008A4203">
          <w:rPr>
            <w:webHidden/>
          </w:rPr>
          <w:fldChar w:fldCharType="separate"/>
        </w:r>
        <w:r w:rsidRPr="008A4203">
          <w:rPr>
            <w:webHidden/>
          </w:rPr>
          <w:t>21</w:t>
        </w:r>
        <w:r w:rsidRPr="008A4203">
          <w:rPr>
            <w:webHidden/>
          </w:rPr>
          <w:fldChar w:fldCharType="end"/>
        </w:r>
      </w:hyperlink>
    </w:p>
    <w:p w:rsidR="001924CD" w:rsidRPr="008A4203" w:rsidRDefault="001924CD">
      <w:pPr>
        <w:pStyle w:val="TOC3"/>
        <w:rPr>
          <w:rFonts w:asciiTheme="minorHAnsi" w:eastAsiaTheme="minorEastAsia" w:hAnsiTheme="minorHAnsi" w:cstheme="minorBidi"/>
          <w:color w:val="auto"/>
          <w:sz w:val="22"/>
          <w:szCs w:val="22"/>
          <w:lang w:bidi="ar-SA"/>
        </w:rPr>
      </w:pPr>
      <w:hyperlink w:anchor="_Toc461807111" w:history="1">
        <w:r w:rsidRPr="008A4203">
          <w:rPr>
            <w:rStyle w:val="Hyperlink"/>
          </w:rPr>
          <w:t>1.4.1</w:t>
        </w:r>
        <w:r w:rsidRPr="008A4203">
          <w:rPr>
            <w:rFonts w:asciiTheme="minorHAnsi" w:eastAsiaTheme="minorEastAsia" w:hAnsiTheme="minorHAnsi" w:cstheme="minorBidi"/>
            <w:color w:val="auto"/>
            <w:sz w:val="22"/>
            <w:szCs w:val="22"/>
            <w:lang w:bidi="ar-SA"/>
          </w:rPr>
          <w:tab/>
        </w:r>
        <w:r w:rsidRPr="008A4203">
          <w:rPr>
            <w:rStyle w:val="Hyperlink"/>
          </w:rPr>
          <w:t>Harmonogram ewaluacji i sprawozdawczości</w:t>
        </w:r>
        <w:r w:rsidRPr="008A4203">
          <w:rPr>
            <w:webHidden/>
          </w:rPr>
          <w:tab/>
        </w:r>
        <w:r w:rsidRPr="008A4203">
          <w:rPr>
            <w:webHidden/>
          </w:rPr>
          <w:fldChar w:fldCharType="begin"/>
        </w:r>
        <w:r w:rsidRPr="008A4203">
          <w:rPr>
            <w:webHidden/>
          </w:rPr>
          <w:instrText xml:space="preserve"> PAGEREF _Toc461807111 \h </w:instrText>
        </w:r>
        <w:r w:rsidRPr="008A4203">
          <w:rPr>
            <w:webHidden/>
          </w:rPr>
        </w:r>
        <w:r w:rsidRPr="008A4203">
          <w:rPr>
            <w:webHidden/>
          </w:rPr>
          <w:fldChar w:fldCharType="separate"/>
        </w:r>
        <w:r w:rsidRPr="008A4203">
          <w:rPr>
            <w:webHidden/>
          </w:rPr>
          <w:t>21</w:t>
        </w:r>
        <w:r w:rsidRPr="008A4203">
          <w:rPr>
            <w:webHidden/>
          </w:rPr>
          <w:fldChar w:fldCharType="end"/>
        </w:r>
      </w:hyperlink>
    </w:p>
    <w:p w:rsidR="001924CD" w:rsidRPr="008A4203" w:rsidRDefault="001924CD">
      <w:pPr>
        <w:pStyle w:val="TOC3"/>
        <w:rPr>
          <w:rFonts w:asciiTheme="minorHAnsi" w:eastAsiaTheme="minorEastAsia" w:hAnsiTheme="minorHAnsi" w:cstheme="minorBidi"/>
          <w:color w:val="auto"/>
          <w:sz w:val="22"/>
          <w:szCs w:val="22"/>
          <w:lang w:bidi="ar-SA"/>
        </w:rPr>
      </w:pPr>
      <w:hyperlink w:anchor="_Toc461807112" w:history="1">
        <w:r w:rsidRPr="008A4203">
          <w:rPr>
            <w:rStyle w:val="Hyperlink"/>
          </w:rPr>
          <w:t>1.4.2</w:t>
        </w:r>
        <w:r w:rsidRPr="008A4203">
          <w:rPr>
            <w:rFonts w:asciiTheme="minorHAnsi" w:eastAsiaTheme="minorEastAsia" w:hAnsiTheme="minorHAnsi" w:cstheme="minorBidi"/>
            <w:color w:val="auto"/>
            <w:sz w:val="22"/>
            <w:szCs w:val="22"/>
            <w:lang w:bidi="ar-SA"/>
          </w:rPr>
          <w:tab/>
        </w:r>
        <w:r w:rsidRPr="008A4203">
          <w:rPr>
            <w:rStyle w:val="Hyperlink"/>
          </w:rPr>
          <w:t>Przedmiot ewaluacji KSOW: co należy ocenić?</w:t>
        </w:r>
        <w:r w:rsidRPr="008A4203">
          <w:rPr>
            <w:webHidden/>
          </w:rPr>
          <w:tab/>
        </w:r>
        <w:r w:rsidRPr="008A4203">
          <w:rPr>
            <w:webHidden/>
          </w:rPr>
          <w:fldChar w:fldCharType="begin"/>
        </w:r>
        <w:r w:rsidRPr="008A4203">
          <w:rPr>
            <w:webHidden/>
          </w:rPr>
          <w:instrText xml:space="preserve"> PAGEREF _Toc461807112 \h </w:instrText>
        </w:r>
        <w:r w:rsidRPr="008A4203">
          <w:rPr>
            <w:webHidden/>
          </w:rPr>
        </w:r>
        <w:r w:rsidRPr="008A4203">
          <w:rPr>
            <w:webHidden/>
          </w:rPr>
          <w:fldChar w:fldCharType="separate"/>
        </w:r>
        <w:r w:rsidRPr="008A4203">
          <w:rPr>
            <w:webHidden/>
          </w:rPr>
          <w:t>22</w:t>
        </w:r>
        <w:r w:rsidRPr="008A4203">
          <w:rPr>
            <w:webHidden/>
          </w:rPr>
          <w:fldChar w:fldCharType="end"/>
        </w:r>
      </w:hyperlink>
    </w:p>
    <w:p w:rsidR="001924CD" w:rsidRPr="008A4203" w:rsidRDefault="001924CD">
      <w:pPr>
        <w:pStyle w:val="TOC3"/>
        <w:rPr>
          <w:rFonts w:asciiTheme="minorHAnsi" w:eastAsiaTheme="minorEastAsia" w:hAnsiTheme="minorHAnsi" w:cstheme="minorBidi"/>
          <w:color w:val="auto"/>
          <w:sz w:val="22"/>
          <w:szCs w:val="22"/>
          <w:lang w:bidi="ar-SA"/>
        </w:rPr>
      </w:pPr>
      <w:hyperlink w:anchor="_Toc461807113" w:history="1">
        <w:r w:rsidRPr="008A4203">
          <w:rPr>
            <w:rStyle w:val="Hyperlink"/>
          </w:rPr>
          <w:t>1.4.3</w:t>
        </w:r>
        <w:r w:rsidRPr="008A4203">
          <w:rPr>
            <w:rFonts w:asciiTheme="minorHAnsi" w:eastAsiaTheme="minorEastAsia" w:hAnsiTheme="minorHAnsi" w:cstheme="minorBidi"/>
            <w:color w:val="auto"/>
            <w:sz w:val="22"/>
            <w:szCs w:val="22"/>
            <w:lang w:bidi="ar-SA"/>
          </w:rPr>
          <w:tab/>
        </w:r>
        <w:r w:rsidRPr="008A4203">
          <w:rPr>
            <w:rStyle w:val="Hyperlink"/>
          </w:rPr>
          <w:t>Elementy ewaluacji KSOW</w:t>
        </w:r>
        <w:r w:rsidRPr="008A4203">
          <w:rPr>
            <w:webHidden/>
          </w:rPr>
          <w:tab/>
        </w:r>
        <w:r w:rsidRPr="008A4203">
          <w:rPr>
            <w:webHidden/>
          </w:rPr>
          <w:fldChar w:fldCharType="begin"/>
        </w:r>
        <w:r w:rsidRPr="008A4203">
          <w:rPr>
            <w:webHidden/>
          </w:rPr>
          <w:instrText xml:space="preserve"> PAGEREF _Toc461807113 \h </w:instrText>
        </w:r>
        <w:r w:rsidRPr="008A4203">
          <w:rPr>
            <w:webHidden/>
          </w:rPr>
        </w:r>
        <w:r w:rsidRPr="008A4203">
          <w:rPr>
            <w:webHidden/>
          </w:rPr>
          <w:fldChar w:fldCharType="separate"/>
        </w:r>
        <w:r w:rsidRPr="008A4203">
          <w:rPr>
            <w:webHidden/>
          </w:rPr>
          <w:t>29</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14" w:history="1">
        <w:r w:rsidRPr="008A4203">
          <w:rPr>
            <w:rStyle w:val="Hyperlink"/>
            <w:rFonts w:cs="Arial"/>
          </w:rPr>
          <w:t>2</w:t>
        </w:r>
        <w:r w:rsidRPr="008A4203">
          <w:rPr>
            <w:rFonts w:asciiTheme="minorHAnsi" w:eastAsiaTheme="minorEastAsia" w:hAnsiTheme="minorHAnsi" w:cstheme="minorBidi"/>
            <w:color w:val="auto"/>
            <w:sz w:val="22"/>
            <w:szCs w:val="22"/>
            <w:lang w:bidi="ar-SA"/>
          </w:rPr>
          <w:tab/>
        </w:r>
        <w:r w:rsidRPr="008A4203">
          <w:rPr>
            <w:rStyle w:val="Hyperlink"/>
          </w:rPr>
          <w:t>CZĘŚĆ I – ZARZĄDZANIE EWALUACJĄ KSOW</w:t>
        </w:r>
        <w:r w:rsidRPr="008A4203">
          <w:rPr>
            <w:webHidden/>
          </w:rPr>
          <w:tab/>
        </w:r>
        <w:r w:rsidRPr="008A4203">
          <w:rPr>
            <w:webHidden/>
          </w:rPr>
          <w:fldChar w:fldCharType="begin"/>
        </w:r>
        <w:r w:rsidRPr="008A4203">
          <w:rPr>
            <w:webHidden/>
          </w:rPr>
          <w:instrText xml:space="preserve"> PAGEREF _Toc461807114 \h </w:instrText>
        </w:r>
        <w:r w:rsidRPr="008A4203">
          <w:rPr>
            <w:webHidden/>
          </w:rPr>
        </w:r>
        <w:r w:rsidRPr="008A4203">
          <w:rPr>
            <w:webHidden/>
          </w:rPr>
          <w:fldChar w:fldCharType="separate"/>
        </w:r>
        <w:r w:rsidRPr="008A4203">
          <w:rPr>
            <w:webHidden/>
          </w:rPr>
          <w:t>34</w:t>
        </w:r>
        <w:r w:rsidRPr="008A4203">
          <w:rPr>
            <w:webHidden/>
          </w:rPr>
          <w:fldChar w:fldCharType="end"/>
        </w:r>
      </w:hyperlink>
    </w:p>
    <w:p w:rsidR="001924CD" w:rsidRPr="008A4203" w:rsidRDefault="001924CD">
      <w:pPr>
        <w:pStyle w:val="TOC2"/>
        <w:rPr>
          <w:rFonts w:asciiTheme="minorHAnsi" w:eastAsiaTheme="minorEastAsia" w:hAnsiTheme="minorHAnsi" w:cstheme="minorBidi"/>
          <w:color w:val="auto"/>
          <w:sz w:val="22"/>
          <w:lang w:bidi="ar-SA"/>
        </w:rPr>
      </w:pPr>
      <w:hyperlink w:anchor="_Toc461807115" w:history="1">
        <w:r w:rsidRPr="008A4203">
          <w:rPr>
            <w:rStyle w:val="Hyperlink"/>
          </w:rPr>
          <w:t>2.1</w:t>
        </w:r>
        <w:r w:rsidRPr="008A4203">
          <w:rPr>
            <w:rFonts w:asciiTheme="minorHAnsi" w:eastAsiaTheme="minorEastAsia" w:hAnsiTheme="minorHAnsi" w:cstheme="minorBidi"/>
            <w:color w:val="auto"/>
            <w:sz w:val="22"/>
            <w:lang w:bidi="ar-SA"/>
          </w:rPr>
          <w:tab/>
        </w:r>
        <w:r w:rsidRPr="008A4203">
          <w:rPr>
            <w:rStyle w:val="Hyperlink"/>
          </w:rPr>
          <w:t>Kto i w jakim charakterze bierze udział w ewaluacji KSOW?</w:t>
        </w:r>
        <w:r w:rsidRPr="008A4203">
          <w:rPr>
            <w:webHidden/>
          </w:rPr>
          <w:tab/>
        </w:r>
        <w:r w:rsidRPr="008A4203">
          <w:rPr>
            <w:webHidden/>
          </w:rPr>
          <w:fldChar w:fldCharType="begin"/>
        </w:r>
        <w:r w:rsidRPr="008A4203">
          <w:rPr>
            <w:webHidden/>
          </w:rPr>
          <w:instrText xml:space="preserve"> PAGEREF _Toc461807115 \h </w:instrText>
        </w:r>
        <w:r w:rsidRPr="008A4203">
          <w:rPr>
            <w:webHidden/>
          </w:rPr>
        </w:r>
        <w:r w:rsidRPr="008A4203">
          <w:rPr>
            <w:webHidden/>
          </w:rPr>
          <w:fldChar w:fldCharType="separate"/>
        </w:r>
        <w:r w:rsidRPr="008A4203">
          <w:rPr>
            <w:webHidden/>
          </w:rPr>
          <w:t>34</w:t>
        </w:r>
        <w:r w:rsidRPr="008A4203">
          <w:rPr>
            <w:webHidden/>
          </w:rPr>
          <w:fldChar w:fldCharType="end"/>
        </w:r>
      </w:hyperlink>
    </w:p>
    <w:p w:rsidR="001924CD" w:rsidRPr="008A4203" w:rsidRDefault="001924CD">
      <w:pPr>
        <w:pStyle w:val="TOC3"/>
        <w:rPr>
          <w:rFonts w:asciiTheme="minorHAnsi" w:eastAsiaTheme="minorEastAsia" w:hAnsiTheme="minorHAnsi" w:cstheme="minorBidi"/>
          <w:color w:val="auto"/>
          <w:sz w:val="22"/>
          <w:szCs w:val="22"/>
          <w:lang w:bidi="ar-SA"/>
        </w:rPr>
      </w:pPr>
      <w:hyperlink w:anchor="_Toc461807116" w:history="1">
        <w:r w:rsidRPr="008A4203">
          <w:rPr>
            <w:rStyle w:val="Hyperlink"/>
          </w:rPr>
          <w:t>2.1.1</w:t>
        </w:r>
        <w:r w:rsidRPr="008A4203">
          <w:rPr>
            <w:rFonts w:asciiTheme="minorHAnsi" w:eastAsiaTheme="minorEastAsia" w:hAnsiTheme="minorHAnsi" w:cstheme="minorBidi"/>
            <w:color w:val="auto"/>
            <w:sz w:val="22"/>
            <w:szCs w:val="22"/>
            <w:lang w:bidi="ar-SA"/>
          </w:rPr>
          <w:tab/>
        </w:r>
        <w:r w:rsidRPr="008A4203">
          <w:rPr>
            <w:rStyle w:val="Hyperlink"/>
          </w:rPr>
          <w:t>Podmioty zaangażowane w działalność sieci</w:t>
        </w:r>
        <w:r w:rsidRPr="008A4203">
          <w:rPr>
            <w:webHidden/>
          </w:rPr>
          <w:tab/>
        </w:r>
        <w:r w:rsidRPr="008A4203">
          <w:rPr>
            <w:webHidden/>
          </w:rPr>
          <w:fldChar w:fldCharType="begin"/>
        </w:r>
        <w:r w:rsidRPr="008A4203">
          <w:rPr>
            <w:webHidden/>
          </w:rPr>
          <w:instrText xml:space="preserve"> PAGEREF _Toc461807116 \h </w:instrText>
        </w:r>
        <w:r w:rsidRPr="008A4203">
          <w:rPr>
            <w:webHidden/>
          </w:rPr>
        </w:r>
        <w:r w:rsidRPr="008A4203">
          <w:rPr>
            <w:webHidden/>
          </w:rPr>
          <w:fldChar w:fldCharType="separate"/>
        </w:r>
        <w:r w:rsidRPr="008A4203">
          <w:rPr>
            <w:webHidden/>
          </w:rPr>
          <w:t>34</w:t>
        </w:r>
        <w:r w:rsidRPr="008A4203">
          <w:rPr>
            <w:webHidden/>
          </w:rPr>
          <w:fldChar w:fldCharType="end"/>
        </w:r>
      </w:hyperlink>
    </w:p>
    <w:p w:rsidR="001924CD" w:rsidRPr="008A4203" w:rsidRDefault="001924CD">
      <w:pPr>
        <w:pStyle w:val="TOC3"/>
        <w:rPr>
          <w:rFonts w:asciiTheme="minorHAnsi" w:eastAsiaTheme="minorEastAsia" w:hAnsiTheme="minorHAnsi" w:cstheme="minorBidi"/>
          <w:color w:val="auto"/>
          <w:sz w:val="22"/>
          <w:szCs w:val="22"/>
          <w:lang w:bidi="ar-SA"/>
        </w:rPr>
      </w:pPr>
      <w:hyperlink w:anchor="_Toc461807117" w:history="1">
        <w:r w:rsidRPr="008A4203">
          <w:rPr>
            <w:rStyle w:val="Hyperlink"/>
          </w:rPr>
          <w:t>2.1.2</w:t>
        </w:r>
        <w:r w:rsidRPr="008A4203">
          <w:rPr>
            <w:rFonts w:asciiTheme="minorHAnsi" w:eastAsiaTheme="minorEastAsia" w:hAnsiTheme="minorHAnsi" w:cstheme="minorBidi"/>
            <w:color w:val="auto"/>
            <w:sz w:val="22"/>
            <w:szCs w:val="22"/>
            <w:lang w:bidi="ar-SA"/>
          </w:rPr>
          <w:tab/>
        </w:r>
        <w:r w:rsidRPr="008A4203">
          <w:rPr>
            <w:rStyle w:val="Hyperlink"/>
          </w:rPr>
          <w:t>Członkowie sieci</w:t>
        </w:r>
        <w:r w:rsidRPr="008A4203">
          <w:rPr>
            <w:webHidden/>
          </w:rPr>
          <w:tab/>
        </w:r>
        <w:r w:rsidRPr="008A4203">
          <w:rPr>
            <w:webHidden/>
          </w:rPr>
          <w:fldChar w:fldCharType="begin"/>
        </w:r>
        <w:r w:rsidRPr="008A4203">
          <w:rPr>
            <w:webHidden/>
          </w:rPr>
          <w:instrText xml:space="preserve"> PAGEREF _Toc461807117 \h </w:instrText>
        </w:r>
        <w:r w:rsidRPr="008A4203">
          <w:rPr>
            <w:webHidden/>
          </w:rPr>
        </w:r>
        <w:r w:rsidRPr="008A4203">
          <w:rPr>
            <w:webHidden/>
          </w:rPr>
          <w:fldChar w:fldCharType="separate"/>
        </w:r>
        <w:r w:rsidRPr="008A4203">
          <w:rPr>
            <w:webHidden/>
          </w:rPr>
          <w:t>36</w:t>
        </w:r>
        <w:r w:rsidRPr="008A4203">
          <w:rPr>
            <w:webHidden/>
          </w:rPr>
          <w:fldChar w:fldCharType="end"/>
        </w:r>
      </w:hyperlink>
    </w:p>
    <w:p w:rsidR="001924CD" w:rsidRPr="008A4203" w:rsidRDefault="001924CD">
      <w:pPr>
        <w:pStyle w:val="TOC3"/>
        <w:rPr>
          <w:rFonts w:asciiTheme="minorHAnsi" w:eastAsiaTheme="minorEastAsia" w:hAnsiTheme="minorHAnsi" w:cstheme="minorBidi"/>
          <w:color w:val="auto"/>
          <w:sz w:val="22"/>
          <w:szCs w:val="22"/>
          <w:lang w:bidi="ar-SA"/>
        </w:rPr>
      </w:pPr>
      <w:hyperlink w:anchor="_Toc461807118" w:history="1">
        <w:r w:rsidRPr="008A4203">
          <w:rPr>
            <w:rStyle w:val="Hyperlink"/>
          </w:rPr>
          <w:t>2.1.3</w:t>
        </w:r>
        <w:r w:rsidRPr="008A4203">
          <w:rPr>
            <w:rFonts w:asciiTheme="minorHAnsi" w:eastAsiaTheme="minorEastAsia" w:hAnsiTheme="minorHAnsi" w:cstheme="minorBidi"/>
            <w:color w:val="auto"/>
            <w:sz w:val="22"/>
            <w:szCs w:val="22"/>
            <w:lang w:bidi="ar-SA"/>
          </w:rPr>
          <w:tab/>
        </w:r>
        <w:r w:rsidRPr="008A4203">
          <w:rPr>
            <w:rStyle w:val="Hyperlink"/>
          </w:rPr>
          <w:t>Podmioty dokonujące ewaluacji sieci</w:t>
        </w:r>
        <w:r w:rsidRPr="008A4203">
          <w:rPr>
            <w:webHidden/>
          </w:rPr>
          <w:tab/>
        </w:r>
        <w:r w:rsidRPr="008A4203">
          <w:rPr>
            <w:webHidden/>
          </w:rPr>
          <w:fldChar w:fldCharType="begin"/>
        </w:r>
        <w:r w:rsidRPr="008A4203">
          <w:rPr>
            <w:webHidden/>
          </w:rPr>
          <w:instrText xml:space="preserve"> PAGEREF _Toc461807118 \h </w:instrText>
        </w:r>
        <w:r w:rsidRPr="008A4203">
          <w:rPr>
            <w:webHidden/>
          </w:rPr>
        </w:r>
        <w:r w:rsidRPr="008A4203">
          <w:rPr>
            <w:webHidden/>
          </w:rPr>
          <w:fldChar w:fldCharType="separate"/>
        </w:r>
        <w:r w:rsidRPr="008A4203">
          <w:rPr>
            <w:webHidden/>
          </w:rPr>
          <w:t>37</w:t>
        </w:r>
        <w:r w:rsidRPr="008A4203">
          <w:rPr>
            <w:webHidden/>
          </w:rPr>
          <w:fldChar w:fldCharType="end"/>
        </w:r>
      </w:hyperlink>
    </w:p>
    <w:p w:rsidR="001924CD" w:rsidRPr="008A4203" w:rsidRDefault="001924CD">
      <w:pPr>
        <w:pStyle w:val="TOC2"/>
        <w:rPr>
          <w:rFonts w:asciiTheme="minorHAnsi" w:eastAsiaTheme="minorEastAsia" w:hAnsiTheme="minorHAnsi" w:cstheme="minorBidi"/>
          <w:color w:val="auto"/>
          <w:sz w:val="22"/>
          <w:lang w:bidi="ar-SA"/>
        </w:rPr>
      </w:pPr>
      <w:hyperlink w:anchor="_Toc461807119" w:history="1">
        <w:r w:rsidRPr="008A4203">
          <w:rPr>
            <w:rStyle w:val="Hyperlink"/>
          </w:rPr>
          <w:t>2.2</w:t>
        </w:r>
        <w:r w:rsidRPr="008A4203">
          <w:rPr>
            <w:rFonts w:asciiTheme="minorHAnsi" w:eastAsiaTheme="minorEastAsia" w:hAnsiTheme="minorHAnsi" w:cstheme="minorBidi"/>
            <w:color w:val="auto"/>
            <w:sz w:val="22"/>
            <w:lang w:bidi="ar-SA"/>
          </w:rPr>
          <w:tab/>
        </w:r>
        <w:r w:rsidRPr="008A4203">
          <w:rPr>
            <w:rStyle w:val="Hyperlink"/>
          </w:rPr>
          <w:t>Główne etapy oceny KSOW</w:t>
        </w:r>
        <w:r w:rsidRPr="008A4203">
          <w:rPr>
            <w:webHidden/>
          </w:rPr>
          <w:tab/>
        </w:r>
        <w:r w:rsidRPr="008A4203">
          <w:rPr>
            <w:webHidden/>
          </w:rPr>
          <w:fldChar w:fldCharType="begin"/>
        </w:r>
        <w:r w:rsidRPr="008A4203">
          <w:rPr>
            <w:webHidden/>
          </w:rPr>
          <w:instrText xml:space="preserve"> PAGEREF _Toc461807119 \h </w:instrText>
        </w:r>
        <w:r w:rsidRPr="008A4203">
          <w:rPr>
            <w:webHidden/>
          </w:rPr>
        </w:r>
        <w:r w:rsidRPr="008A4203">
          <w:rPr>
            <w:webHidden/>
          </w:rPr>
          <w:fldChar w:fldCharType="separate"/>
        </w:r>
        <w:r w:rsidRPr="008A4203">
          <w:rPr>
            <w:webHidden/>
          </w:rPr>
          <w:t>37</w:t>
        </w:r>
        <w:r w:rsidRPr="008A4203">
          <w:rPr>
            <w:webHidden/>
          </w:rPr>
          <w:fldChar w:fldCharType="end"/>
        </w:r>
      </w:hyperlink>
    </w:p>
    <w:p w:rsidR="001924CD" w:rsidRPr="008A4203" w:rsidRDefault="001924CD">
      <w:pPr>
        <w:pStyle w:val="TOC3"/>
        <w:rPr>
          <w:rFonts w:asciiTheme="minorHAnsi" w:eastAsiaTheme="minorEastAsia" w:hAnsiTheme="minorHAnsi" w:cstheme="minorBidi"/>
          <w:color w:val="auto"/>
          <w:sz w:val="22"/>
          <w:szCs w:val="22"/>
          <w:lang w:bidi="ar-SA"/>
        </w:rPr>
      </w:pPr>
      <w:hyperlink w:anchor="_Toc461807120" w:history="1">
        <w:r w:rsidRPr="008A4203">
          <w:rPr>
            <w:rStyle w:val="Hyperlink"/>
          </w:rPr>
          <w:t>2.2.1</w:t>
        </w:r>
        <w:r w:rsidRPr="008A4203">
          <w:rPr>
            <w:rFonts w:asciiTheme="minorHAnsi" w:eastAsiaTheme="minorEastAsia" w:hAnsiTheme="minorHAnsi" w:cstheme="minorBidi"/>
            <w:color w:val="auto"/>
            <w:sz w:val="22"/>
            <w:szCs w:val="22"/>
            <w:lang w:bidi="ar-SA"/>
          </w:rPr>
          <w:tab/>
        </w:r>
        <w:r w:rsidRPr="008A4203">
          <w:rPr>
            <w:rStyle w:val="Hyperlink"/>
          </w:rPr>
          <w:t>Planowanie ewaluacji KSOW</w:t>
        </w:r>
        <w:r w:rsidRPr="008A4203">
          <w:rPr>
            <w:webHidden/>
          </w:rPr>
          <w:tab/>
        </w:r>
        <w:r w:rsidRPr="008A4203">
          <w:rPr>
            <w:webHidden/>
          </w:rPr>
          <w:fldChar w:fldCharType="begin"/>
        </w:r>
        <w:r w:rsidRPr="008A4203">
          <w:rPr>
            <w:webHidden/>
          </w:rPr>
          <w:instrText xml:space="preserve"> PAGEREF _Toc461807120 \h </w:instrText>
        </w:r>
        <w:r w:rsidRPr="008A4203">
          <w:rPr>
            <w:webHidden/>
          </w:rPr>
        </w:r>
        <w:r w:rsidRPr="008A4203">
          <w:rPr>
            <w:webHidden/>
          </w:rPr>
          <w:fldChar w:fldCharType="separate"/>
        </w:r>
        <w:r w:rsidRPr="008A4203">
          <w:rPr>
            <w:webHidden/>
          </w:rPr>
          <w:t>38</w:t>
        </w:r>
        <w:r w:rsidRPr="008A4203">
          <w:rPr>
            <w:webHidden/>
          </w:rPr>
          <w:fldChar w:fldCharType="end"/>
        </w:r>
      </w:hyperlink>
    </w:p>
    <w:p w:rsidR="001924CD" w:rsidRPr="008A4203" w:rsidRDefault="001924CD">
      <w:pPr>
        <w:pStyle w:val="TOC3"/>
        <w:rPr>
          <w:rFonts w:asciiTheme="minorHAnsi" w:eastAsiaTheme="minorEastAsia" w:hAnsiTheme="minorHAnsi" w:cstheme="minorBidi"/>
          <w:color w:val="auto"/>
          <w:sz w:val="22"/>
          <w:szCs w:val="22"/>
          <w:lang w:bidi="ar-SA"/>
        </w:rPr>
      </w:pPr>
      <w:hyperlink w:anchor="_Toc461807121" w:history="1">
        <w:r w:rsidRPr="008A4203">
          <w:rPr>
            <w:rStyle w:val="Hyperlink"/>
          </w:rPr>
          <w:t>2.2.2</w:t>
        </w:r>
        <w:r w:rsidRPr="008A4203">
          <w:rPr>
            <w:rFonts w:asciiTheme="minorHAnsi" w:eastAsiaTheme="minorEastAsia" w:hAnsiTheme="minorHAnsi" w:cstheme="minorBidi"/>
            <w:color w:val="auto"/>
            <w:sz w:val="22"/>
            <w:szCs w:val="22"/>
            <w:lang w:bidi="ar-SA"/>
          </w:rPr>
          <w:tab/>
        </w:r>
        <w:r w:rsidRPr="008A4203">
          <w:rPr>
            <w:rStyle w:val="Hyperlink"/>
          </w:rPr>
          <w:t>Przygotowanie ewaluacji KSOW</w:t>
        </w:r>
        <w:r w:rsidRPr="008A4203">
          <w:rPr>
            <w:webHidden/>
          </w:rPr>
          <w:tab/>
        </w:r>
        <w:r w:rsidRPr="008A4203">
          <w:rPr>
            <w:webHidden/>
          </w:rPr>
          <w:fldChar w:fldCharType="begin"/>
        </w:r>
        <w:r w:rsidRPr="008A4203">
          <w:rPr>
            <w:webHidden/>
          </w:rPr>
          <w:instrText xml:space="preserve"> PAGEREF _Toc461807121 \h </w:instrText>
        </w:r>
        <w:r w:rsidRPr="008A4203">
          <w:rPr>
            <w:webHidden/>
          </w:rPr>
        </w:r>
        <w:r w:rsidRPr="008A4203">
          <w:rPr>
            <w:webHidden/>
          </w:rPr>
          <w:fldChar w:fldCharType="separate"/>
        </w:r>
        <w:r w:rsidRPr="008A4203">
          <w:rPr>
            <w:webHidden/>
          </w:rPr>
          <w:t>44</w:t>
        </w:r>
        <w:r w:rsidRPr="008A4203">
          <w:rPr>
            <w:webHidden/>
          </w:rPr>
          <w:fldChar w:fldCharType="end"/>
        </w:r>
      </w:hyperlink>
    </w:p>
    <w:p w:rsidR="001924CD" w:rsidRPr="008A4203" w:rsidRDefault="001924CD">
      <w:pPr>
        <w:pStyle w:val="TOC3"/>
        <w:rPr>
          <w:rFonts w:asciiTheme="minorHAnsi" w:eastAsiaTheme="minorEastAsia" w:hAnsiTheme="minorHAnsi" w:cstheme="minorBidi"/>
          <w:color w:val="auto"/>
          <w:sz w:val="22"/>
          <w:szCs w:val="22"/>
          <w:lang w:bidi="ar-SA"/>
        </w:rPr>
      </w:pPr>
      <w:hyperlink w:anchor="_Toc461807122" w:history="1">
        <w:r w:rsidRPr="008A4203">
          <w:rPr>
            <w:rStyle w:val="Hyperlink"/>
          </w:rPr>
          <w:t>2.2.3</w:t>
        </w:r>
        <w:r w:rsidRPr="008A4203">
          <w:rPr>
            <w:rFonts w:asciiTheme="minorHAnsi" w:eastAsiaTheme="minorEastAsia" w:hAnsiTheme="minorHAnsi" w:cstheme="minorBidi"/>
            <w:color w:val="auto"/>
            <w:sz w:val="22"/>
            <w:szCs w:val="22"/>
            <w:lang w:bidi="ar-SA"/>
          </w:rPr>
          <w:tab/>
        </w:r>
        <w:r w:rsidRPr="008A4203">
          <w:rPr>
            <w:rStyle w:val="Hyperlink"/>
          </w:rPr>
          <w:t>Wdrożenie ewaluacji</w:t>
        </w:r>
        <w:r w:rsidRPr="008A4203">
          <w:rPr>
            <w:webHidden/>
          </w:rPr>
          <w:tab/>
        </w:r>
        <w:r w:rsidRPr="008A4203">
          <w:rPr>
            <w:webHidden/>
          </w:rPr>
          <w:fldChar w:fldCharType="begin"/>
        </w:r>
        <w:r w:rsidRPr="008A4203">
          <w:rPr>
            <w:webHidden/>
          </w:rPr>
          <w:instrText xml:space="preserve"> PAGEREF _Toc461807122 \h </w:instrText>
        </w:r>
        <w:r w:rsidRPr="008A4203">
          <w:rPr>
            <w:webHidden/>
          </w:rPr>
        </w:r>
        <w:r w:rsidRPr="008A4203">
          <w:rPr>
            <w:webHidden/>
          </w:rPr>
          <w:fldChar w:fldCharType="separate"/>
        </w:r>
        <w:r w:rsidRPr="008A4203">
          <w:rPr>
            <w:webHidden/>
          </w:rPr>
          <w:t>63</w:t>
        </w:r>
        <w:r w:rsidRPr="008A4203">
          <w:rPr>
            <w:webHidden/>
          </w:rPr>
          <w:fldChar w:fldCharType="end"/>
        </w:r>
      </w:hyperlink>
    </w:p>
    <w:p w:rsidR="001924CD" w:rsidRPr="008A4203" w:rsidRDefault="001924CD">
      <w:pPr>
        <w:pStyle w:val="TOC3"/>
        <w:rPr>
          <w:rFonts w:asciiTheme="minorHAnsi" w:eastAsiaTheme="minorEastAsia" w:hAnsiTheme="minorHAnsi" w:cstheme="minorBidi"/>
          <w:color w:val="auto"/>
          <w:sz w:val="22"/>
          <w:szCs w:val="22"/>
          <w:lang w:bidi="ar-SA"/>
        </w:rPr>
      </w:pPr>
      <w:hyperlink w:anchor="_Toc461807123" w:history="1">
        <w:r w:rsidRPr="008A4203">
          <w:rPr>
            <w:rStyle w:val="Hyperlink"/>
          </w:rPr>
          <w:t>2.2.4</w:t>
        </w:r>
        <w:r w:rsidRPr="008A4203">
          <w:rPr>
            <w:rFonts w:asciiTheme="minorHAnsi" w:eastAsiaTheme="minorEastAsia" w:hAnsiTheme="minorHAnsi" w:cstheme="minorBidi"/>
            <w:color w:val="auto"/>
            <w:sz w:val="22"/>
            <w:szCs w:val="22"/>
            <w:lang w:bidi="ar-SA"/>
          </w:rPr>
          <w:tab/>
        </w:r>
        <w:r w:rsidRPr="008A4203">
          <w:rPr>
            <w:rStyle w:val="Hyperlink"/>
          </w:rPr>
          <w:t>Komunikacja i rozpowszechnianie ustaleń z ewaluacji</w:t>
        </w:r>
        <w:r w:rsidRPr="008A4203">
          <w:rPr>
            <w:webHidden/>
          </w:rPr>
          <w:tab/>
        </w:r>
        <w:r w:rsidRPr="008A4203">
          <w:rPr>
            <w:webHidden/>
          </w:rPr>
          <w:fldChar w:fldCharType="begin"/>
        </w:r>
        <w:r w:rsidRPr="008A4203">
          <w:rPr>
            <w:webHidden/>
          </w:rPr>
          <w:instrText xml:space="preserve"> PAGEREF _Toc461807123 \h </w:instrText>
        </w:r>
        <w:r w:rsidRPr="008A4203">
          <w:rPr>
            <w:webHidden/>
          </w:rPr>
        </w:r>
        <w:r w:rsidRPr="008A4203">
          <w:rPr>
            <w:webHidden/>
          </w:rPr>
          <w:fldChar w:fldCharType="separate"/>
        </w:r>
        <w:r w:rsidRPr="008A4203">
          <w:rPr>
            <w:webHidden/>
          </w:rPr>
          <w:t>66</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val="en-US"/>
        </w:rPr>
      </w:pPr>
      <w:r w:rsidRPr="008A4203">
        <w:rPr>
          <w:rFonts w:cs="Arial"/>
          <w:noProof w:val="0"/>
          <w:color w:val="576C88" w:themeColor="text2" w:themeTint="D9"/>
        </w:rPr>
        <w:fldChar w:fldCharType="end"/>
      </w:r>
    </w:p>
    <w:p w:rsidR="001924CD" w:rsidRPr="008A4203" w:rsidRDefault="001924CD" w:rsidP="00B67939">
      <w:pPr>
        <w:pStyle w:val="HContent"/>
        <w:tabs>
          <w:tab w:val="right" w:leader="dot" w:pos="8742"/>
        </w:tabs>
        <w:rPr>
          <w:rFonts w:ascii="Arial" w:hAnsi="Arial"/>
          <w:lang w:val="en-US"/>
        </w:rPr>
      </w:pPr>
      <w:r w:rsidRPr="008A4203">
        <w:rPr>
          <w:rFonts w:ascii="Arial" w:hAnsi="Arial"/>
          <w:lang w:val="en-US"/>
        </w:rPr>
        <w:lastRenderedPageBreak/>
        <w:t>Tables, Figures and BOXES</w:t>
      </w:r>
    </w:p>
    <w:p w:rsidR="001924CD" w:rsidRPr="008A4203" w:rsidRDefault="001924CD">
      <w:pPr>
        <w:pStyle w:val="TOC1"/>
        <w:rPr>
          <w:rFonts w:asciiTheme="minorHAnsi" w:eastAsiaTheme="minorEastAsia" w:hAnsiTheme="minorHAnsi" w:cstheme="minorBidi"/>
          <w:color w:val="auto"/>
          <w:sz w:val="22"/>
          <w:szCs w:val="22"/>
          <w:lang w:bidi="ar-SA"/>
        </w:rPr>
      </w:pPr>
      <w:r w:rsidRPr="008A4203">
        <w:rPr>
          <w:rFonts w:cs="Arial"/>
          <w:noProof w:val="0"/>
          <w:color w:val="576C88" w:themeColor="text2" w:themeTint="D9"/>
        </w:rPr>
        <w:fldChar w:fldCharType="begin"/>
      </w:r>
      <w:r w:rsidRPr="008A4203">
        <w:rPr>
          <w:rFonts w:cs="Arial"/>
          <w:noProof w:val="0"/>
          <w:color w:val="576C88" w:themeColor="text2" w:themeTint="D9"/>
          <w:lang w:val="en-US"/>
        </w:rPr>
        <w:instrText xml:space="preserve"> TOC \h \z \t "H_Heading_tables;1" </w:instrText>
      </w:r>
      <w:r w:rsidRPr="008A4203">
        <w:rPr>
          <w:rFonts w:cs="Arial"/>
          <w:noProof w:val="0"/>
          <w:color w:val="576C88" w:themeColor="text2" w:themeTint="D9"/>
        </w:rPr>
        <w:fldChar w:fldCharType="separate"/>
      </w:r>
      <w:hyperlink w:anchor="_Toc461807128" w:history="1">
        <w:r w:rsidRPr="008A4203">
          <w:rPr>
            <w:rStyle w:val="Hyperlink"/>
          </w:rPr>
          <w:t>Table 1. Wspólne ramy ewaluacyjne dla KSOW</w:t>
        </w:r>
        <w:r w:rsidRPr="008A4203">
          <w:rPr>
            <w:webHidden/>
          </w:rPr>
          <w:tab/>
        </w:r>
        <w:r w:rsidRPr="008A4203">
          <w:rPr>
            <w:webHidden/>
          </w:rPr>
          <w:fldChar w:fldCharType="begin"/>
        </w:r>
        <w:r w:rsidRPr="008A4203">
          <w:rPr>
            <w:webHidden/>
          </w:rPr>
          <w:instrText xml:space="preserve"> PAGEREF _Toc461807128 \h </w:instrText>
        </w:r>
        <w:r w:rsidRPr="008A4203">
          <w:rPr>
            <w:webHidden/>
          </w:rPr>
        </w:r>
        <w:r w:rsidRPr="008A4203">
          <w:rPr>
            <w:webHidden/>
          </w:rPr>
          <w:fldChar w:fldCharType="separate"/>
        </w:r>
        <w:r w:rsidRPr="008A4203">
          <w:rPr>
            <w:webHidden/>
          </w:rPr>
          <w:t>32</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29" w:history="1">
        <w:r w:rsidRPr="008A4203">
          <w:rPr>
            <w:rStyle w:val="Hyperlink"/>
          </w:rPr>
          <w:t>Table 2. Plan komunikacji dotyczący ewaluacji</w:t>
        </w:r>
        <w:r w:rsidRPr="008A4203">
          <w:rPr>
            <w:webHidden/>
          </w:rPr>
          <w:tab/>
        </w:r>
        <w:r w:rsidRPr="008A4203">
          <w:rPr>
            <w:webHidden/>
          </w:rPr>
          <w:fldChar w:fldCharType="begin"/>
        </w:r>
        <w:r w:rsidRPr="008A4203">
          <w:rPr>
            <w:webHidden/>
          </w:rPr>
          <w:instrText xml:space="preserve"> PAGEREF _Toc461807129 \h </w:instrText>
        </w:r>
        <w:r w:rsidRPr="008A4203">
          <w:rPr>
            <w:webHidden/>
          </w:rPr>
        </w:r>
        <w:r w:rsidRPr="008A4203">
          <w:rPr>
            <w:webHidden/>
          </w:rPr>
          <w:fldChar w:fldCharType="separate"/>
        </w:r>
        <w:r w:rsidRPr="008A4203">
          <w:rPr>
            <w:webHidden/>
          </w:rPr>
          <w:t>41</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30" w:history="1">
        <w:r w:rsidRPr="008A4203">
          <w:rPr>
            <w:rStyle w:val="Hyperlink"/>
          </w:rPr>
          <w:t>Table 3. Budowanie zdolności ewaluacyjnych: zasoby ludzkie</w:t>
        </w:r>
        <w:r w:rsidRPr="008A4203">
          <w:rPr>
            <w:webHidden/>
          </w:rPr>
          <w:tab/>
        </w:r>
        <w:r w:rsidRPr="008A4203">
          <w:rPr>
            <w:webHidden/>
          </w:rPr>
          <w:fldChar w:fldCharType="begin"/>
        </w:r>
        <w:r w:rsidRPr="008A4203">
          <w:rPr>
            <w:webHidden/>
          </w:rPr>
          <w:instrText xml:space="preserve"> PAGEREF _Toc461807130 \h </w:instrText>
        </w:r>
        <w:r w:rsidRPr="008A4203">
          <w:rPr>
            <w:webHidden/>
          </w:rPr>
        </w:r>
        <w:r w:rsidRPr="008A4203">
          <w:rPr>
            <w:webHidden/>
          </w:rPr>
          <w:fldChar w:fldCharType="separate"/>
        </w:r>
        <w:r w:rsidRPr="008A4203">
          <w:rPr>
            <w:webHidden/>
          </w:rPr>
          <w:t>42</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31" w:history="1">
        <w:r w:rsidRPr="008A4203">
          <w:rPr>
            <w:rStyle w:val="Hyperlink"/>
          </w:rPr>
          <w:t>Table 4. Obowiązki zainteresowanych podmiotów w zakresie planowania ewaluacji KSOW</w:t>
        </w:r>
        <w:r w:rsidRPr="008A4203">
          <w:rPr>
            <w:webHidden/>
          </w:rPr>
          <w:tab/>
        </w:r>
        <w:r w:rsidRPr="008A4203">
          <w:rPr>
            <w:webHidden/>
          </w:rPr>
          <w:fldChar w:fldCharType="begin"/>
        </w:r>
        <w:r w:rsidRPr="008A4203">
          <w:rPr>
            <w:webHidden/>
          </w:rPr>
          <w:instrText xml:space="preserve"> PAGEREF _Toc461807131 \h </w:instrText>
        </w:r>
        <w:r w:rsidRPr="008A4203">
          <w:rPr>
            <w:webHidden/>
          </w:rPr>
        </w:r>
        <w:r w:rsidRPr="008A4203">
          <w:rPr>
            <w:webHidden/>
          </w:rPr>
          <w:fldChar w:fldCharType="separate"/>
        </w:r>
        <w:r w:rsidRPr="008A4203">
          <w:rPr>
            <w:webHidden/>
          </w:rPr>
          <w:t>42</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32" w:history="1">
        <w:r w:rsidRPr="008A4203">
          <w:rPr>
            <w:rStyle w:val="Hyperlink"/>
          </w:rPr>
          <w:t>Table 5. Hierarchia celów KSOW i oczekiwanych efektów</w:t>
        </w:r>
        <w:r w:rsidRPr="008A4203">
          <w:rPr>
            <w:webHidden/>
          </w:rPr>
          <w:tab/>
        </w:r>
        <w:r w:rsidRPr="008A4203">
          <w:rPr>
            <w:webHidden/>
          </w:rPr>
          <w:fldChar w:fldCharType="begin"/>
        </w:r>
        <w:r w:rsidRPr="008A4203">
          <w:rPr>
            <w:webHidden/>
          </w:rPr>
          <w:instrText xml:space="preserve"> PAGEREF _Toc461807132 \h </w:instrText>
        </w:r>
        <w:r w:rsidRPr="008A4203">
          <w:rPr>
            <w:webHidden/>
          </w:rPr>
        </w:r>
        <w:r w:rsidRPr="008A4203">
          <w:rPr>
            <w:webHidden/>
          </w:rPr>
          <w:fldChar w:fldCharType="separate"/>
        </w:r>
        <w:r w:rsidRPr="008A4203">
          <w:rPr>
            <w:webHidden/>
          </w:rPr>
          <w:t>49</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33" w:history="1">
        <w:r w:rsidRPr="008A4203">
          <w:rPr>
            <w:rStyle w:val="Hyperlink"/>
          </w:rPr>
          <w:t>Table 6. Powiązania pomiędzy celami i pytaniami ewaluacyjnymi (przykład)</w:t>
        </w:r>
        <w:r w:rsidRPr="008A4203">
          <w:rPr>
            <w:webHidden/>
          </w:rPr>
          <w:tab/>
        </w:r>
        <w:r w:rsidRPr="008A4203">
          <w:rPr>
            <w:webHidden/>
          </w:rPr>
          <w:fldChar w:fldCharType="begin"/>
        </w:r>
        <w:r w:rsidRPr="008A4203">
          <w:rPr>
            <w:webHidden/>
          </w:rPr>
          <w:instrText xml:space="preserve"> PAGEREF _Toc461807133 \h </w:instrText>
        </w:r>
        <w:r w:rsidRPr="008A4203">
          <w:rPr>
            <w:webHidden/>
          </w:rPr>
        </w:r>
        <w:r w:rsidRPr="008A4203">
          <w:rPr>
            <w:webHidden/>
          </w:rPr>
          <w:fldChar w:fldCharType="separate"/>
        </w:r>
        <w:r w:rsidRPr="008A4203">
          <w:rPr>
            <w:webHidden/>
          </w:rPr>
          <w:t>54</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34" w:history="1">
        <w:r w:rsidRPr="008A4203">
          <w:rPr>
            <w:rStyle w:val="Hyperlink"/>
          </w:rPr>
          <w:t>Table 7. Przykład łączenia celów związanych z KSOW, pytań ewaluacyjnych i wskaźników</w:t>
        </w:r>
        <w:r w:rsidRPr="008A4203">
          <w:rPr>
            <w:webHidden/>
          </w:rPr>
          <w:tab/>
        </w:r>
        <w:r w:rsidRPr="008A4203">
          <w:rPr>
            <w:webHidden/>
          </w:rPr>
          <w:fldChar w:fldCharType="begin"/>
        </w:r>
        <w:r w:rsidRPr="008A4203">
          <w:rPr>
            <w:webHidden/>
          </w:rPr>
          <w:instrText xml:space="preserve"> PAGEREF _Toc461807134 \h </w:instrText>
        </w:r>
        <w:r w:rsidRPr="008A4203">
          <w:rPr>
            <w:webHidden/>
          </w:rPr>
        </w:r>
        <w:r w:rsidRPr="008A4203">
          <w:rPr>
            <w:webHidden/>
          </w:rPr>
          <w:fldChar w:fldCharType="separate"/>
        </w:r>
        <w:r w:rsidRPr="008A4203">
          <w:rPr>
            <w:webHidden/>
          </w:rPr>
          <w:t>57</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35" w:history="1">
        <w:r w:rsidRPr="008A4203">
          <w:rPr>
            <w:rStyle w:val="Hyperlink"/>
          </w:rPr>
          <w:t>Table 8. Przykłady elementów ewaluacji KSOW</w:t>
        </w:r>
        <w:r w:rsidRPr="008A4203">
          <w:rPr>
            <w:webHidden/>
          </w:rPr>
          <w:tab/>
        </w:r>
        <w:r w:rsidRPr="008A4203">
          <w:rPr>
            <w:webHidden/>
          </w:rPr>
          <w:fldChar w:fldCharType="begin"/>
        </w:r>
        <w:r w:rsidRPr="008A4203">
          <w:rPr>
            <w:webHidden/>
          </w:rPr>
          <w:instrText xml:space="preserve"> PAGEREF _Toc461807135 \h </w:instrText>
        </w:r>
        <w:r w:rsidRPr="008A4203">
          <w:rPr>
            <w:webHidden/>
          </w:rPr>
        </w:r>
        <w:r w:rsidRPr="008A4203">
          <w:rPr>
            <w:webHidden/>
          </w:rPr>
          <w:fldChar w:fldCharType="separate"/>
        </w:r>
        <w:r w:rsidRPr="008A4203">
          <w:rPr>
            <w:webHidden/>
          </w:rPr>
          <w:t>58</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36" w:history="1">
        <w:r w:rsidRPr="008A4203">
          <w:rPr>
            <w:rStyle w:val="Hyperlink"/>
          </w:rPr>
          <w:t>Table 9. Matryca monitorowania ewaluacji</w:t>
        </w:r>
        <w:r w:rsidRPr="008A4203">
          <w:rPr>
            <w:webHidden/>
          </w:rPr>
          <w:tab/>
        </w:r>
        <w:r w:rsidRPr="008A4203">
          <w:rPr>
            <w:webHidden/>
          </w:rPr>
          <w:fldChar w:fldCharType="begin"/>
        </w:r>
        <w:r w:rsidRPr="008A4203">
          <w:rPr>
            <w:webHidden/>
          </w:rPr>
          <w:instrText xml:space="preserve"> PAGEREF _Toc461807136 \h </w:instrText>
        </w:r>
        <w:r w:rsidRPr="008A4203">
          <w:rPr>
            <w:webHidden/>
          </w:rPr>
        </w:r>
        <w:r w:rsidRPr="008A4203">
          <w:rPr>
            <w:webHidden/>
          </w:rPr>
          <w:fldChar w:fldCharType="separate"/>
        </w:r>
        <w:r w:rsidRPr="008A4203">
          <w:rPr>
            <w:webHidden/>
          </w:rPr>
          <w:t>66</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37" w:history="1">
        <w:r w:rsidRPr="008A4203">
          <w:rPr>
            <w:rStyle w:val="Hyperlink"/>
          </w:rPr>
          <w:t>Table 10. Obowiązki zainteresowanych podmiotów w zakresie komunikowania i monitorowania wniosków z ewaluacji KSOW</w:t>
        </w:r>
        <w:r w:rsidRPr="008A4203">
          <w:rPr>
            <w:webHidden/>
          </w:rPr>
          <w:tab/>
        </w:r>
        <w:r w:rsidRPr="008A4203">
          <w:rPr>
            <w:webHidden/>
          </w:rPr>
          <w:fldChar w:fldCharType="begin"/>
        </w:r>
        <w:r w:rsidRPr="008A4203">
          <w:rPr>
            <w:webHidden/>
          </w:rPr>
          <w:instrText xml:space="preserve"> PAGEREF _Toc461807137 \h </w:instrText>
        </w:r>
        <w:r w:rsidRPr="008A4203">
          <w:rPr>
            <w:webHidden/>
          </w:rPr>
        </w:r>
        <w:r w:rsidRPr="008A4203">
          <w:rPr>
            <w:webHidden/>
          </w:rPr>
          <w:fldChar w:fldCharType="separate"/>
        </w:r>
        <w:r w:rsidRPr="008A4203">
          <w:rPr>
            <w:webHidden/>
          </w:rPr>
          <w:t>68</w:t>
        </w:r>
        <w:r w:rsidRPr="008A4203">
          <w:rPr>
            <w:webHidden/>
          </w:rPr>
          <w:fldChar w:fldCharType="end"/>
        </w:r>
      </w:hyperlink>
    </w:p>
    <w:p w:rsidR="001924CD" w:rsidRPr="008A4203" w:rsidRDefault="001924CD">
      <w:pPr>
        <w:pStyle w:val="TOC1"/>
      </w:pPr>
      <w:r w:rsidRPr="008A4203">
        <w:rPr>
          <w:rFonts w:cs="Arial"/>
          <w:noProof w:val="0"/>
          <w:color w:val="576C88" w:themeColor="text2" w:themeTint="D9"/>
          <w:szCs w:val="22"/>
        </w:rPr>
        <w:fldChar w:fldCharType="end"/>
      </w:r>
      <w:r w:rsidRPr="008A4203">
        <w:rPr>
          <w:rFonts w:cs="Arial"/>
          <w:noProof w:val="0"/>
          <w:color w:val="576C88" w:themeColor="text2" w:themeTint="D9"/>
          <w:szCs w:val="22"/>
        </w:rPr>
        <w:fldChar w:fldCharType="begin"/>
      </w:r>
      <w:r w:rsidRPr="008A4203">
        <w:rPr>
          <w:rFonts w:cs="Arial"/>
          <w:noProof w:val="0"/>
          <w:color w:val="576C88" w:themeColor="text2" w:themeTint="D9"/>
          <w:lang w:val="en-US"/>
        </w:rPr>
        <w:instrText xml:space="preserve"> TOC \h \z \t "H_Heading_figures;1" </w:instrText>
      </w:r>
      <w:r w:rsidRPr="008A4203">
        <w:rPr>
          <w:rFonts w:cs="Arial"/>
          <w:noProof w:val="0"/>
          <w:color w:val="576C88" w:themeColor="text2" w:themeTint="D9"/>
          <w:szCs w:val="22"/>
        </w:rPr>
        <w:fldChar w:fldCharType="separate"/>
      </w:r>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38" w:history="1">
        <w:r w:rsidRPr="008A4203">
          <w:rPr>
            <w:rStyle w:val="Hyperlink"/>
          </w:rPr>
          <w:t>Figure 1. Struktura zarządzania sieciami obszarów wiejskich w UE</w:t>
        </w:r>
        <w:r w:rsidRPr="008A4203">
          <w:rPr>
            <w:webHidden/>
          </w:rPr>
          <w:tab/>
        </w:r>
        <w:r w:rsidRPr="008A4203">
          <w:rPr>
            <w:webHidden/>
          </w:rPr>
          <w:fldChar w:fldCharType="begin"/>
        </w:r>
        <w:r w:rsidRPr="008A4203">
          <w:rPr>
            <w:webHidden/>
          </w:rPr>
          <w:instrText xml:space="preserve"> PAGEREF _Toc461807138 \h </w:instrText>
        </w:r>
        <w:r w:rsidRPr="008A4203">
          <w:rPr>
            <w:webHidden/>
          </w:rPr>
        </w:r>
        <w:r w:rsidRPr="008A4203">
          <w:rPr>
            <w:webHidden/>
          </w:rPr>
          <w:fldChar w:fldCharType="separate"/>
        </w:r>
        <w:r w:rsidRPr="008A4203">
          <w:rPr>
            <w:webHidden/>
          </w:rPr>
          <w:t>15</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39" w:history="1">
        <w:r w:rsidRPr="008A4203">
          <w:rPr>
            <w:rStyle w:val="Hyperlink"/>
          </w:rPr>
          <w:t>Figure 2. Architektura KSOW</w:t>
        </w:r>
        <w:r w:rsidRPr="008A4203">
          <w:rPr>
            <w:webHidden/>
          </w:rPr>
          <w:tab/>
        </w:r>
        <w:r w:rsidRPr="008A4203">
          <w:rPr>
            <w:webHidden/>
          </w:rPr>
          <w:fldChar w:fldCharType="begin"/>
        </w:r>
        <w:r w:rsidRPr="008A4203">
          <w:rPr>
            <w:webHidden/>
          </w:rPr>
          <w:instrText xml:space="preserve"> PAGEREF _Toc461807139 \h </w:instrText>
        </w:r>
        <w:r w:rsidRPr="008A4203">
          <w:rPr>
            <w:webHidden/>
          </w:rPr>
        </w:r>
        <w:r w:rsidRPr="008A4203">
          <w:rPr>
            <w:webHidden/>
          </w:rPr>
          <w:fldChar w:fldCharType="separate"/>
        </w:r>
        <w:r w:rsidRPr="008A4203">
          <w:rPr>
            <w:webHidden/>
          </w:rPr>
          <w:t>16</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40" w:history="1">
        <w:r w:rsidRPr="008A4203">
          <w:rPr>
            <w:rStyle w:val="Hyperlink"/>
          </w:rPr>
          <w:t>Figure 3. Porównanie samooceny i ewaluacji KSOW</w:t>
        </w:r>
        <w:r w:rsidRPr="008A4203">
          <w:rPr>
            <w:webHidden/>
          </w:rPr>
          <w:tab/>
        </w:r>
        <w:r w:rsidRPr="008A4203">
          <w:rPr>
            <w:webHidden/>
          </w:rPr>
          <w:fldChar w:fldCharType="begin"/>
        </w:r>
        <w:r w:rsidRPr="008A4203">
          <w:rPr>
            <w:webHidden/>
          </w:rPr>
          <w:instrText xml:space="preserve"> PAGEREF _Toc461807140 \h </w:instrText>
        </w:r>
        <w:r w:rsidRPr="008A4203">
          <w:rPr>
            <w:webHidden/>
          </w:rPr>
        </w:r>
        <w:r w:rsidRPr="008A4203">
          <w:rPr>
            <w:webHidden/>
          </w:rPr>
          <w:fldChar w:fldCharType="separate"/>
        </w:r>
        <w:r w:rsidRPr="008A4203">
          <w:rPr>
            <w:webHidden/>
          </w:rPr>
          <w:t>20</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41" w:history="1">
        <w:r w:rsidRPr="008A4203">
          <w:rPr>
            <w:rStyle w:val="Hyperlink"/>
          </w:rPr>
          <w:t>Figure 4. Harmonogram sprawozdawczości dotyczącej ewaluacji KSOW</w:t>
        </w:r>
        <w:r w:rsidRPr="008A4203">
          <w:rPr>
            <w:webHidden/>
          </w:rPr>
          <w:tab/>
        </w:r>
        <w:r w:rsidRPr="008A4203">
          <w:rPr>
            <w:webHidden/>
          </w:rPr>
          <w:fldChar w:fldCharType="begin"/>
        </w:r>
        <w:r w:rsidRPr="008A4203">
          <w:rPr>
            <w:webHidden/>
          </w:rPr>
          <w:instrText xml:space="preserve"> PAGEREF _Toc461807141 \h </w:instrText>
        </w:r>
        <w:r w:rsidRPr="008A4203">
          <w:rPr>
            <w:webHidden/>
          </w:rPr>
        </w:r>
        <w:r w:rsidRPr="008A4203">
          <w:rPr>
            <w:webHidden/>
          </w:rPr>
          <w:fldChar w:fldCharType="separate"/>
        </w:r>
        <w:r w:rsidRPr="008A4203">
          <w:rPr>
            <w:webHidden/>
          </w:rPr>
          <w:t>21</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42" w:history="1">
        <w:r w:rsidRPr="008A4203">
          <w:rPr>
            <w:rStyle w:val="Hyperlink"/>
          </w:rPr>
          <w:t>Figure 5. Przedmiot ewaluacji KSOW</w:t>
        </w:r>
        <w:r w:rsidRPr="008A4203">
          <w:rPr>
            <w:webHidden/>
          </w:rPr>
          <w:tab/>
        </w:r>
        <w:r w:rsidRPr="008A4203">
          <w:rPr>
            <w:webHidden/>
          </w:rPr>
          <w:fldChar w:fldCharType="begin"/>
        </w:r>
        <w:r w:rsidRPr="008A4203">
          <w:rPr>
            <w:webHidden/>
          </w:rPr>
          <w:instrText xml:space="preserve"> PAGEREF _Toc461807142 \h </w:instrText>
        </w:r>
        <w:r w:rsidRPr="008A4203">
          <w:rPr>
            <w:webHidden/>
          </w:rPr>
        </w:r>
        <w:r w:rsidRPr="008A4203">
          <w:rPr>
            <w:webHidden/>
          </w:rPr>
          <w:fldChar w:fldCharType="separate"/>
        </w:r>
        <w:r w:rsidRPr="008A4203">
          <w:rPr>
            <w:webHidden/>
          </w:rPr>
          <w:t>23</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43" w:history="1">
        <w:r w:rsidRPr="008A4203">
          <w:rPr>
            <w:rStyle w:val="Hyperlink"/>
          </w:rPr>
          <w:t>Figure 6. Wertykalna i horyzontalna spójność celów i efektów KSOW</w:t>
        </w:r>
        <w:r w:rsidRPr="008A4203">
          <w:rPr>
            <w:webHidden/>
          </w:rPr>
          <w:tab/>
        </w:r>
        <w:r w:rsidRPr="008A4203">
          <w:rPr>
            <w:webHidden/>
          </w:rPr>
          <w:fldChar w:fldCharType="begin"/>
        </w:r>
        <w:r w:rsidRPr="008A4203">
          <w:rPr>
            <w:webHidden/>
          </w:rPr>
          <w:instrText xml:space="preserve"> PAGEREF _Toc461807143 \h </w:instrText>
        </w:r>
        <w:r w:rsidRPr="008A4203">
          <w:rPr>
            <w:webHidden/>
          </w:rPr>
        </w:r>
        <w:r w:rsidRPr="008A4203">
          <w:rPr>
            <w:webHidden/>
          </w:rPr>
          <w:fldChar w:fldCharType="separate"/>
        </w:r>
        <w:r w:rsidRPr="008A4203">
          <w:rPr>
            <w:webHidden/>
          </w:rPr>
          <w:t>25</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44" w:history="1">
        <w:r w:rsidRPr="008A4203">
          <w:rPr>
            <w:rStyle w:val="Hyperlink"/>
          </w:rPr>
          <w:t>Figure 7. Efekty KSOW i ich wkład w produkty, rezultaty i oddziaływanie PROW</w:t>
        </w:r>
        <w:r w:rsidRPr="008A4203">
          <w:rPr>
            <w:webHidden/>
          </w:rPr>
          <w:tab/>
        </w:r>
        <w:r w:rsidRPr="008A4203">
          <w:rPr>
            <w:webHidden/>
          </w:rPr>
          <w:fldChar w:fldCharType="begin"/>
        </w:r>
        <w:r w:rsidRPr="008A4203">
          <w:rPr>
            <w:webHidden/>
          </w:rPr>
          <w:instrText xml:space="preserve"> PAGEREF _Toc461807144 \h </w:instrText>
        </w:r>
        <w:r w:rsidRPr="008A4203">
          <w:rPr>
            <w:webHidden/>
          </w:rPr>
        </w:r>
        <w:r w:rsidRPr="008A4203">
          <w:rPr>
            <w:webHidden/>
          </w:rPr>
          <w:fldChar w:fldCharType="separate"/>
        </w:r>
        <w:r w:rsidRPr="008A4203">
          <w:rPr>
            <w:webHidden/>
          </w:rPr>
          <w:t>28</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45" w:history="1">
        <w:r w:rsidRPr="008A4203">
          <w:rPr>
            <w:rStyle w:val="Hyperlink"/>
          </w:rPr>
          <w:t>Figure 8. Wkład KSOW w realizację celów krajowych, unijnych i PROW</w:t>
        </w:r>
        <w:r w:rsidRPr="008A4203">
          <w:rPr>
            <w:webHidden/>
          </w:rPr>
          <w:tab/>
        </w:r>
        <w:r w:rsidRPr="008A4203">
          <w:rPr>
            <w:webHidden/>
          </w:rPr>
          <w:fldChar w:fldCharType="begin"/>
        </w:r>
        <w:r w:rsidRPr="008A4203">
          <w:rPr>
            <w:webHidden/>
          </w:rPr>
          <w:instrText xml:space="preserve"> PAGEREF _Toc461807145 \h </w:instrText>
        </w:r>
        <w:r w:rsidRPr="008A4203">
          <w:rPr>
            <w:webHidden/>
          </w:rPr>
        </w:r>
        <w:r w:rsidRPr="008A4203">
          <w:rPr>
            <w:webHidden/>
          </w:rPr>
          <w:fldChar w:fldCharType="separate"/>
        </w:r>
        <w:r w:rsidRPr="008A4203">
          <w:rPr>
            <w:webHidden/>
          </w:rPr>
          <w:t>28</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46" w:history="1">
        <w:r w:rsidRPr="008A4203">
          <w:rPr>
            <w:rStyle w:val="Hyperlink"/>
          </w:rPr>
          <w:t>Figure 9. Przegląd elementów CMES dotyczących KSOW, które należy uzupełnić o elementy specyficzne dla programu</w:t>
        </w:r>
        <w:r w:rsidRPr="008A4203">
          <w:rPr>
            <w:webHidden/>
          </w:rPr>
          <w:tab/>
        </w:r>
        <w:r w:rsidRPr="008A4203">
          <w:rPr>
            <w:webHidden/>
          </w:rPr>
          <w:fldChar w:fldCharType="begin"/>
        </w:r>
        <w:r w:rsidRPr="008A4203">
          <w:rPr>
            <w:webHidden/>
          </w:rPr>
          <w:instrText xml:space="preserve"> PAGEREF _Toc461807146 \h </w:instrText>
        </w:r>
        <w:r w:rsidRPr="008A4203">
          <w:rPr>
            <w:webHidden/>
          </w:rPr>
        </w:r>
        <w:r w:rsidRPr="008A4203">
          <w:rPr>
            <w:webHidden/>
          </w:rPr>
          <w:fldChar w:fldCharType="separate"/>
        </w:r>
        <w:r w:rsidRPr="008A4203">
          <w:rPr>
            <w:webHidden/>
          </w:rPr>
          <w:t>31</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47" w:history="1">
        <w:r w:rsidRPr="008A4203">
          <w:rPr>
            <w:rStyle w:val="Hyperlink"/>
          </w:rPr>
          <w:t>Figure 10. Etapy ewaluacji KSOW</w:t>
        </w:r>
        <w:r w:rsidRPr="008A4203">
          <w:rPr>
            <w:webHidden/>
          </w:rPr>
          <w:tab/>
        </w:r>
        <w:r w:rsidRPr="008A4203">
          <w:rPr>
            <w:webHidden/>
          </w:rPr>
          <w:fldChar w:fldCharType="begin"/>
        </w:r>
        <w:r w:rsidRPr="008A4203">
          <w:rPr>
            <w:webHidden/>
          </w:rPr>
          <w:instrText xml:space="preserve"> PAGEREF _Toc461807147 \h </w:instrText>
        </w:r>
        <w:r w:rsidRPr="008A4203">
          <w:rPr>
            <w:webHidden/>
          </w:rPr>
        </w:r>
        <w:r w:rsidRPr="008A4203">
          <w:rPr>
            <w:webHidden/>
          </w:rPr>
          <w:fldChar w:fldCharType="separate"/>
        </w:r>
        <w:r w:rsidRPr="008A4203">
          <w:rPr>
            <w:webHidden/>
          </w:rPr>
          <w:t>38</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48" w:history="1">
        <w:r w:rsidRPr="008A4203">
          <w:rPr>
            <w:rStyle w:val="Hyperlink"/>
          </w:rPr>
          <w:t>Figure 11. Możliwe powiązania pomiędzy wspólnymi celami KSOW i grupami działań</w:t>
        </w:r>
        <w:r w:rsidRPr="008A4203">
          <w:rPr>
            <w:webHidden/>
          </w:rPr>
          <w:tab/>
        </w:r>
        <w:r w:rsidRPr="008A4203">
          <w:rPr>
            <w:webHidden/>
          </w:rPr>
          <w:fldChar w:fldCharType="begin"/>
        </w:r>
        <w:r w:rsidRPr="008A4203">
          <w:rPr>
            <w:webHidden/>
          </w:rPr>
          <w:instrText xml:space="preserve"> PAGEREF _Toc461807148 \h </w:instrText>
        </w:r>
        <w:r w:rsidRPr="008A4203">
          <w:rPr>
            <w:webHidden/>
          </w:rPr>
        </w:r>
        <w:r w:rsidRPr="008A4203">
          <w:rPr>
            <w:webHidden/>
          </w:rPr>
          <w:fldChar w:fldCharType="separate"/>
        </w:r>
        <w:r w:rsidRPr="008A4203">
          <w:rPr>
            <w:webHidden/>
          </w:rPr>
          <w:t>46</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49" w:history="1">
        <w:r w:rsidRPr="008A4203">
          <w:rPr>
            <w:rStyle w:val="Hyperlink"/>
          </w:rPr>
          <w:t>Figure 12. Ustalenie powiązań pomiędzy wspólnymi i specyficznymi dla programu celami, grupami działań i oczekiwanymi produktami, rezultatami i oddziaływaniem KSOW</w:t>
        </w:r>
        <w:r w:rsidRPr="008A4203">
          <w:rPr>
            <w:webHidden/>
          </w:rPr>
          <w:tab/>
        </w:r>
        <w:r w:rsidRPr="008A4203">
          <w:rPr>
            <w:webHidden/>
          </w:rPr>
          <w:fldChar w:fldCharType="begin"/>
        </w:r>
        <w:r w:rsidRPr="008A4203">
          <w:rPr>
            <w:webHidden/>
          </w:rPr>
          <w:instrText xml:space="preserve"> PAGEREF _Toc461807149 \h </w:instrText>
        </w:r>
        <w:r w:rsidRPr="008A4203">
          <w:rPr>
            <w:webHidden/>
          </w:rPr>
        </w:r>
        <w:r w:rsidRPr="008A4203">
          <w:rPr>
            <w:webHidden/>
          </w:rPr>
          <w:fldChar w:fldCharType="separate"/>
        </w:r>
        <w:r w:rsidRPr="008A4203">
          <w:rPr>
            <w:webHidden/>
          </w:rPr>
          <w:t>49</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50" w:history="1">
        <w:r w:rsidRPr="008A4203">
          <w:rPr>
            <w:rStyle w:val="Hyperlink"/>
          </w:rPr>
          <w:t>Figure 13. Spójność pytań ewaluacyjnych, kryteriów oceny i wskaźników</w:t>
        </w:r>
        <w:r w:rsidRPr="008A4203">
          <w:rPr>
            <w:webHidden/>
          </w:rPr>
          <w:tab/>
        </w:r>
        <w:r w:rsidRPr="008A4203">
          <w:rPr>
            <w:webHidden/>
          </w:rPr>
          <w:fldChar w:fldCharType="begin"/>
        </w:r>
        <w:r w:rsidRPr="008A4203">
          <w:rPr>
            <w:webHidden/>
          </w:rPr>
          <w:instrText xml:space="preserve"> PAGEREF _Toc461807150 \h </w:instrText>
        </w:r>
        <w:r w:rsidRPr="008A4203">
          <w:rPr>
            <w:webHidden/>
          </w:rPr>
        </w:r>
        <w:r w:rsidRPr="008A4203">
          <w:rPr>
            <w:webHidden/>
          </w:rPr>
          <w:fldChar w:fldCharType="separate"/>
        </w:r>
        <w:r w:rsidRPr="008A4203">
          <w:rPr>
            <w:webHidden/>
          </w:rPr>
          <w:t>55</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51" w:history="1">
        <w:r w:rsidRPr="008A4203">
          <w:rPr>
            <w:rStyle w:val="Hyperlink"/>
          </w:rPr>
          <w:t>Figure 14. Spójność elementów ewaluacyjnych z logiką interwencji KSOW</w:t>
        </w:r>
        <w:r w:rsidRPr="008A4203">
          <w:rPr>
            <w:webHidden/>
          </w:rPr>
          <w:tab/>
        </w:r>
        <w:r w:rsidRPr="008A4203">
          <w:rPr>
            <w:webHidden/>
          </w:rPr>
          <w:fldChar w:fldCharType="begin"/>
        </w:r>
        <w:r w:rsidRPr="008A4203">
          <w:rPr>
            <w:webHidden/>
          </w:rPr>
          <w:instrText xml:space="preserve"> PAGEREF _Toc461807151 \h </w:instrText>
        </w:r>
        <w:r w:rsidRPr="008A4203">
          <w:rPr>
            <w:webHidden/>
          </w:rPr>
        </w:r>
        <w:r w:rsidRPr="008A4203">
          <w:rPr>
            <w:webHidden/>
          </w:rPr>
          <w:fldChar w:fldCharType="separate"/>
        </w:r>
        <w:r w:rsidRPr="008A4203">
          <w:rPr>
            <w:webHidden/>
          </w:rPr>
          <w:t>59</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52" w:history="1">
        <w:r w:rsidRPr="008A4203">
          <w:rPr>
            <w:rStyle w:val="Hyperlink"/>
          </w:rPr>
          <w:t>Figure 15. Obowiązki zainteresowanych podmiotów w zakresie przygotowania ewaluacji KSOW</w:t>
        </w:r>
        <w:r w:rsidRPr="008A4203">
          <w:rPr>
            <w:webHidden/>
          </w:rPr>
          <w:tab/>
        </w:r>
        <w:r w:rsidRPr="008A4203">
          <w:rPr>
            <w:webHidden/>
          </w:rPr>
          <w:fldChar w:fldCharType="begin"/>
        </w:r>
        <w:r w:rsidRPr="008A4203">
          <w:rPr>
            <w:webHidden/>
          </w:rPr>
          <w:instrText xml:space="preserve"> PAGEREF _Toc461807152 \h </w:instrText>
        </w:r>
        <w:r w:rsidRPr="008A4203">
          <w:rPr>
            <w:webHidden/>
          </w:rPr>
        </w:r>
        <w:r w:rsidRPr="008A4203">
          <w:rPr>
            <w:webHidden/>
          </w:rPr>
          <w:fldChar w:fldCharType="separate"/>
        </w:r>
        <w:r w:rsidRPr="008A4203">
          <w:rPr>
            <w:webHidden/>
          </w:rPr>
          <w:t>63</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auto"/>
          <w:sz w:val="22"/>
          <w:szCs w:val="22"/>
          <w:lang w:bidi="ar-SA"/>
        </w:rPr>
      </w:pPr>
      <w:hyperlink w:anchor="_Toc461807153" w:history="1">
        <w:r w:rsidRPr="008A4203">
          <w:rPr>
            <w:rStyle w:val="Hyperlink"/>
          </w:rPr>
          <w:t>Figure 16. Obowiązki zainteresowanych podmiotów w zakresie wdrożenia ewaluacji KSOW</w:t>
        </w:r>
        <w:r w:rsidRPr="008A4203">
          <w:rPr>
            <w:webHidden/>
          </w:rPr>
          <w:tab/>
        </w:r>
        <w:r w:rsidRPr="008A4203">
          <w:rPr>
            <w:webHidden/>
          </w:rPr>
          <w:fldChar w:fldCharType="begin"/>
        </w:r>
        <w:r w:rsidRPr="008A4203">
          <w:rPr>
            <w:webHidden/>
          </w:rPr>
          <w:instrText xml:space="preserve"> PAGEREF _Toc461807153 \h </w:instrText>
        </w:r>
        <w:r w:rsidRPr="008A4203">
          <w:rPr>
            <w:webHidden/>
          </w:rPr>
        </w:r>
        <w:r w:rsidRPr="008A4203">
          <w:rPr>
            <w:webHidden/>
          </w:rPr>
          <w:fldChar w:fldCharType="separate"/>
        </w:r>
        <w:r w:rsidRPr="008A4203">
          <w:rPr>
            <w:webHidden/>
          </w:rPr>
          <w:t>65</w:t>
        </w:r>
        <w:r w:rsidRPr="008A4203">
          <w:rPr>
            <w:webHidden/>
          </w:rPr>
          <w:fldChar w:fldCharType="end"/>
        </w:r>
      </w:hyperlink>
    </w:p>
    <w:p w:rsidR="001924CD" w:rsidRPr="008A4203" w:rsidRDefault="001924CD">
      <w:pPr>
        <w:pStyle w:val="TOC1"/>
        <w:rPr>
          <w:rFonts w:asciiTheme="minorHAnsi" w:eastAsiaTheme="minorEastAsia" w:hAnsiTheme="minorHAnsi" w:cstheme="minorBidi"/>
          <w:color w:val="576C88" w:themeColor="text2" w:themeTint="D9"/>
          <w:sz w:val="22"/>
          <w:szCs w:val="22"/>
          <w:lang w:val="en-US"/>
        </w:rPr>
      </w:pPr>
      <w:r w:rsidRPr="008A4203">
        <w:rPr>
          <w:rFonts w:cs="Arial"/>
          <w:noProof w:val="0"/>
          <w:color w:val="576C88" w:themeColor="text2" w:themeTint="D9"/>
          <w:szCs w:val="22"/>
        </w:rPr>
        <w:fldChar w:fldCharType="end"/>
      </w:r>
    </w:p>
    <w:p w:rsidR="001924CD" w:rsidRPr="008A4203" w:rsidRDefault="001924CD">
      <w:pPr>
        <w:pStyle w:val="TOC2"/>
        <w:rPr>
          <w:rFonts w:asciiTheme="minorHAnsi" w:eastAsiaTheme="minorEastAsia" w:hAnsiTheme="minorHAnsi" w:cstheme="minorBidi"/>
          <w:color w:val="auto"/>
          <w:sz w:val="22"/>
          <w:lang w:bidi="ar-SA"/>
        </w:rPr>
      </w:pPr>
      <w:r w:rsidRPr="008A4203">
        <w:rPr>
          <w:rFonts w:cs="Arial"/>
          <w:color w:val="576C88" w:themeColor="text2" w:themeTint="D9"/>
        </w:rPr>
        <w:fldChar w:fldCharType="begin"/>
      </w:r>
      <w:r w:rsidRPr="008A4203">
        <w:rPr>
          <w:rFonts w:cs="Arial"/>
          <w:color w:val="576C88" w:themeColor="text2" w:themeTint="D9"/>
          <w:lang w:val="en-US"/>
        </w:rPr>
        <w:instrText xml:space="preserve"> TOC \h \z \t "Überschrift 1;1;Überschrift 2;2;Überschrift 3;3;H_Heading_boxes;2" </w:instrText>
      </w:r>
      <w:r w:rsidRPr="008A4203">
        <w:rPr>
          <w:rFonts w:cs="Arial"/>
          <w:color w:val="576C88" w:themeColor="text2" w:themeTint="D9"/>
        </w:rPr>
        <w:fldChar w:fldCharType="separate"/>
      </w:r>
      <w:hyperlink w:anchor="_Toc461807154" w:history="1">
        <w:r w:rsidRPr="008A4203">
          <w:rPr>
            <w:rStyle w:val="Hyperlink"/>
          </w:rPr>
          <w:t>Box 1. Grupa sterująca ds. ewaluacji jako narzędzie zarządzania procesem ewaluacji</w:t>
        </w:r>
        <w:r w:rsidRPr="008A4203">
          <w:rPr>
            <w:webHidden/>
          </w:rPr>
          <w:tab/>
        </w:r>
        <w:r w:rsidRPr="008A4203">
          <w:rPr>
            <w:webHidden/>
          </w:rPr>
          <w:fldChar w:fldCharType="begin"/>
        </w:r>
        <w:r w:rsidRPr="008A4203">
          <w:rPr>
            <w:webHidden/>
          </w:rPr>
          <w:instrText xml:space="preserve"> PAGEREF _Toc461807154 \h </w:instrText>
        </w:r>
        <w:r w:rsidRPr="008A4203">
          <w:rPr>
            <w:webHidden/>
          </w:rPr>
        </w:r>
        <w:r w:rsidRPr="008A4203">
          <w:rPr>
            <w:webHidden/>
          </w:rPr>
          <w:fldChar w:fldCharType="separate"/>
        </w:r>
        <w:r w:rsidRPr="008A4203">
          <w:rPr>
            <w:webHidden/>
          </w:rPr>
          <w:t>36</w:t>
        </w:r>
        <w:r w:rsidRPr="008A4203">
          <w:rPr>
            <w:webHidden/>
          </w:rPr>
          <w:fldChar w:fldCharType="end"/>
        </w:r>
      </w:hyperlink>
    </w:p>
    <w:p w:rsidR="001924CD" w:rsidRPr="008A4203" w:rsidRDefault="001924CD">
      <w:pPr>
        <w:pStyle w:val="TOC2"/>
        <w:rPr>
          <w:rFonts w:asciiTheme="minorHAnsi" w:eastAsiaTheme="minorEastAsia" w:hAnsiTheme="minorHAnsi" w:cstheme="minorBidi"/>
          <w:color w:val="auto"/>
          <w:sz w:val="22"/>
          <w:lang w:bidi="ar-SA"/>
        </w:rPr>
      </w:pPr>
      <w:hyperlink w:anchor="_Toc461807155" w:history="1">
        <w:r w:rsidRPr="008A4203">
          <w:rPr>
            <w:rStyle w:val="Hyperlink"/>
          </w:rPr>
          <w:t>Box 2. Mandat ewaluacyjny</w:t>
        </w:r>
        <w:r w:rsidRPr="008A4203">
          <w:rPr>
            <w:webHidden/>
          </w:rPr>
          <w:tab/>
        </w:r>
        <w:r w:rsidRPr="008A4203">
          <w:rPr>
            <w:webHidden/>
          </w:rPr>
          <w:fldChar w:fldCharType="begin"/>
        </w:r>
        <w:r w:rsidRPr="008A4203">
          <w:rPr>
            <w:webHidden/>
          </w:rPr>
          <w:instrText xml:space="preserve"> PAGEREF _Toc461807155 \h </w:instrText>
        </w:r>
        <w:r w:rsidRPr="008A4203">
          <w:rPr>
            <w:webHidden/>
          </w:rPr>
        </w:r>
        <w:r w:rsidRPr="008A4203">
          <w:rPr>
            <w:webHidden/>
          </w:rPr>
          <w:fldChar w:fldCharType="separate"/>
        </w:r>
        <w:r w:rsidRPr="008A4203">
          <w:rPr>
            <w:webHidden/>
          </w:rPr>
          <w:t>61</w:t>
        </w:r>
        <w:r w:rsidRPr="008A4203">
          <w:rPr>
            <w:webHidden/>
          </w:rPr>
          <w:fldChar w:fldCharType="end"/>
        </w:r>
      </w:hyperlink>
    </w:p>
    <w:p w:rsidR="001924CD" w:rsidRPr="008A4203" w:rsidRDefault="001924CD">
      <w:pPr>
        <w:pStyle w:val="HStandard"/>
        <w:tabs>
          <w:tab w:val="right" w:leader="dot" w:pos="8742"/>
        </w:tabs>
        <w:rPr>
          <w:rFonts w:asciiTheme="minorHAnsi" w:eastAsiaTheme="minorEastAsia" w:hAnsiTheme="minorHAnsi" w:cstheme="minorBidi"/>
          <w:sz w:val="22"/>
          <w:lang w:val="en-US"/>
        </w:rPr>
        <w:sectPr w:rsidR="001924CD" w:rsidRPr="008A4203" w:rsidSect="00085973">
          <w:headerReference w:type="even" r:id="rId10"/>
          <w:headerReference w:type="default" r:id="rId11"/>
          <w:footerReference w:type="even" r:id="rId12"/>
          <w:footerReference w:type="default" r:id="rId13"/>
          <w:headerReference w:type="first" r:id="rId14"/>
          <w:footerReference w:type="first" r:id="rId15"/>
          <w:pgSz w:w="11906" w:h="16838" w:code="9"/>
          <w:pgMar w:top="1440" w:right="1440" w:bottom="1440" w:left="1440" w:header="1134" w:footer="1021" w:gutter="0"/>
          <w:cols w:space="708"/>
          <w:titlePg/>
          <w:docGrid w:linePitch="360"/>
        </w:sectPr>
      </w:pPr>
      <w:r w:rsidRPr="008A4203">
        <w:fldChar w:fldCharType="end"/>
      </w:r>
    </w:p>
    <w:p w:rsidR="001924CD" w:rsidRPr="008A4203" w:rsidRDefault="001924CD" w:rsidP="005A6A10">
      <w:pPr>
        <w:pStyle w:val="HStandard"/>
        <w:tabs>
          <w:tab w:val="right" w:leader="dot" w:pos="8742"/>
        </w:tabs>
        <w:rPr>
          <w:b/>
          <w:color w:val="E7E6E6" w:themeColor="background2"/>
          <w:lang w:val="en-US"/>
        </w:rPr>
      </w:pPr>
      <w:r w:rsidRPr="008A4203">
        <w:rPr>
          <w:lang w:val="en-US"/>
        </w:rPr>
        <w:lastRenderedPageBreak/>
        <w:br w:type="page"/>
      </w:r>
    </w:p>
    <w:p w:rsidR="001924CD" w:rsidRPr="008A4203" w:rsidRDefault="001924CD" w:rsidP="005A6A10">
      <w:pPr>
        <w:pStyle w:val="HStandard"/>
        <w:tabs>
          <w:tab w:val="right" w:leader="dot" w:pos="8742"/>
        </w:tabs>
        <w:rPr>
          <w:b/>
          <w:color w:val="E7E6E6" w:themeColor="background2"/>
          <w:lang w:val="en-US"/>
        </w:rPr>
      </w:pPr>
      <w:r w:rsidRPr="008A4203">
        <w:rPr>
          <w:b/>
          <w:color w:val="E7E6E6" w:themeColor="background2"/>
          <w:lang w:val="en-US"/>
        </w:rPr>
        <w:lastRenderedPageBreak/>
        <w:t>ACRONYM LIST</w:t>
      </w:r>
    </w:p>
    <w:p w:rsidR="001924CD" w:rsidRPr="008A4203" w:rsidRDefault="001924CD" w:rsidP="00AE6F26">
      <w:pPr>
        <w:pStyle w:val="HStandard"/>
        <w:rPr>
          <w:lang w:val="en-US"/>
        </w:rPr>
      </w:pPr>
      <w:r w:rsidRPr="008A4203">
        <w:rPr>
          <w:lang w:val="en-US"/>
        </w:rPr>
        <w:t>AIR</w:t>
      </w:r>
      <w:r>
        <w:rPr>
          <w:lang w:val="en-US"/>
        </w:rPr>
        <w:tab/>
      </w:r>
      <w:r>
        <w:rPr>
          <w:lang w:val="en-US"/>
        </w:rPr>
        <w:tab/>
      </w:r>
      <w:r>
        <w:rPr>
          <w:lang w:val="en-US"/>
        </w:rPr>
        <w:tab/>
      </w:r>
      <w:r w:rsidRPr="008A4203">
        <w:rPr>
          <w:lang w:val="en-US"/>
        </w:rPr>
        <w:t>Annual Implementation Report</w:t>
      </w:r>
    </w:p>
    <w:p w:rsidR="001924CD" w:rsidRPr="008A4203" w:rsidRDefault="001924CD" w:rsidP="00AE6F26">
      <w:pPr>
        <w:pStyle w:val="HStandard"/>
        <w:rPr>
          <w:lang w:val="en-US"/>
        </w:rPr>
      </w:pPr>
      <w:r w:rsidRPr="008A4203">
        <w:rPr>
          <w:lang w:val="en-US"/>
        </w:rPr>
        <w:t>AWU</w:t>
      </w:r>
      <w:r>
        <w:rPr>
          <w:lang w:val="en-US"/>
        </w:rPr>
        <w:tab/>
      </w:r>
      <w:r>
        <w:rPr>
          <w:lang w:val="en-US"/>
        </w:rPr>
        <w:tab/>
      </w:r>
      <w:r w:rsidRPr="008A4203">
        <w:rPr>
          <w:lang w:val="en-US"/>
        </w:rPr>
        <w:t>Annual Work Units</w:t>
      </w:r>
    </w:p>
    <w:p w:rsidR="001924CD" w:rsidRPr="008A4203" w:rsidRDefault="001924CD" w:rsidP="00AE6F26">
      <w:pPr>
        <w:pStyle w:val="HStandard"/>
        <w:rPr>
          <w:lang w:val="en-US"/>
        </w:rPr>
      </w:pPr>
      <w:r w:rsidRPr="008A4203">
        <w:rPr>
          <w:lang w:val="en-US"/>
        </w:rPr>
        <w:t>CAP</w:t>
      </w:r>
      <w:r>
        <w:rPr>
          <w:lang w:val="en-US"/>
        </w:rPr>
        <w:tab/>
      </w:r>
      <w:r>
        <w:rPr>
          <w:lang w:val="en-US"/>
        </w:rPr>
        <w:tab/>
      </w:r>
      <w:r w:rsidRPr="008A4203">
        <w:rPr>
          <w:lang w:val="en-US"/>
        </w:rPr>
        <w:t xml:space="preserve">Common Agricultural Policy </w:t>
      </w:r>
    </w:p>
    <w:p w:rsidR="001924CD" w:rsidRPr="008A4203" w:rsidRDefault="001924CD" w:rsidP="00AE6F26">
      <w:pPr>
        <w:pStyle w:val="HStandard"/>
        <w:rPr>
          <w:lang w:val="en-US"/>
        </w:rPr>
      </w:pPr>
      <w:r w:rsidRPr="008A4203">
        <w:rPr>
          <w:lang w:val="en-US"/>
        </w:rPr>
        <w:t>CCI</w:t>
      </w:r>
      <w:r>
        <w:rPr>
          <w:lang w:val="en-US"/>
        </w:rPr>
        <w:tab/>
      </w:r>
      <w:r>
        <w:rPr>
          <w:lang w:val="en-US"/>
        </w:rPr>
        <w:tab/>
      </w:r>
      <w:r w:rsidRPr="008A4203">
        <w:rPr>
          <w:lang w:val="en-US"/>
        </w:rPr>
        <w:t>Common Context Indicators</w:t>
      </w:r>
    </w:p>
    <w:p w:rsidR="001924CD" w:rsidRPr="008A4203" w:rsidRDefault="001924CD" w:rsidP="00AE6F26">
      <w:pPr>
        <w:pStyle w:val="HStandard"/>
        <w:rPr>
          <w:lang w:val="en-US"/>
        </w:rPr>
      </w:pPr>
      <w:r w:rsidRPr="008A4203">
        <w:rPr>
          <w:lang w:val="en-US"/>
        </w:rPr>
        <w:t>CEQ</w:t>
      </w:r>
      <w:r>
        <w:rPr>
          <w:lang w:val="en-US"/>
        </w:rPr>
        <w:tab/>
      </w:r>
      <w:r>
        <w:rPr>
          <w:lang w:val="en-US"/>
        </w:rPr>
        <w:tab/>
      </w:r>
      <w:r w:rsidRPr="008A4203">
        <w:rPr>
          <w:lang w:val="en-US"/>
        </w:rPr>
        <w:t>Common Evaluation Questions</w:t>
      </w:r>
    </w:p>
    <w:p w:rsidR="001924CD" w:rsidRPr="008A4203" w:rsidRDefault="001924CD" w:rsidP="00AE6F26">
      <w:pPr>
        <w:pStyle w:val="HStandard"/>
        <w:rPr>
          <w:lang w:val="en-US"/>
        </w:rPr>
      </w:pPr>
      <w:r w:rsidRPr="008A4203">
        <w:rPr>
          <w:lang w:val="en-US"/>
        </w:rPr>
        <w:t>CLLD</w:t>
      </w:r>
      <w:r>
        <w:rPr>
          <w:lang w:val="en-US"/>
        </w:rPr>
        <w:tab/>
      </w:r>
      <w:r>
        <w:rPr>
          <w:lang w:val="en-US"/>
        </w:rPr>
        <w:tab/>
      </w:r>
      <w:r w:rsidRPr="008A4203">
        <w:rPr>
          <w:lang w:val="en-US"/>
        </w:rPr>
        <w:t>Community-Led Local Development</w:t>
      </w:r>
    </w:p>
    <w:p w:rsidR="001924CD" w:rsidRPr="008A4203" w:rsidRDefault="001924CD" w:rsidP="00AE6F26">
      <w:pPr>
        <w:pStyle w:val="HStandard"/>
        <w:rPr>
          <w:lang w:val="en-US"/>
        </w:rPr>
      </w:pPr>
      <w:r w:rsidRPr="008A4203">
        <w:rPr>
          <w:lang w:val="en-US"/>
        </w:rPr>
        <w:t>CMES</w:t>
      </w:r>
      <w:r>
        <w:rPr>
          <w:lang w:val="en-US"/>
        </w:rPr>
        <w:tab/>
      </w:r>
      <w:r>
        <w:rPr>
          <w:lang w:val="en-US"/>
        </w:rPr>
        <w:tab/>
      </w:r>
      <w:r w:rsidRPr="008A4203">
        <w:rPr>
          <w:lang w:val="en-US"/>
        </w:rPr>
        <w:t>Common Monitoring and Evaluation System</w:t>
      </w:r>
    </w:p>
    <w:p w:rsidR="001924CD" w:rsidRPr="008A4203" w:rsidRDefault="001924CD" w:rsidP="00AE6F26">
      <w:pPr>
        <w:pStyle w:val="HStandard"/>
        <w:rPr>
          <w:lang w:val="en-US"/>
        </w:rPr>
      </w:pPr>
      <w:r w:rsidRPr="008A4203">
        <w:rPr>
          <w:lang w:val="en-US"/>
        </w:rPr>
        <w:t xml:space="preserve">CO </w:t>
      </w:r>
      <w:r>
        <w:rPr>
          <w:lang w:val="en-US"/>
        </w:rPr>
        <w:tab/>
      </w:r>
      <w:r w:rsidRPr="008A4203">
        <w:rPr>
          <w:lang w:val="en-US"/>
        </w:rPr>
        <w:t>Common objective</w:t>
      </w:r>
    </w:p>
    <w:p w:rsidR="001924CD" w:rsidRPr="008A4203" w:rsidRDefault="001924CD" w:rsidP="00AE6F26">
      <w:pPr>
        <w:pStyle w:val="HStandard"/>
        <w:rPr>
          <w:lang w:val="en-US"/>
        </w:rPr>
      </w:pPr>
      <w:r w:rsidRPr="008A4203">
        <w:rPr>
          <w:lang w:val="en-US"/>
        </w:rPr>
        <w:t>DG AGRI</w:t>
      </w:r>
      <w:r>
        <w:rPr>
          <w:lang w:val="en-US"/>
        </w:rPr>
        <w:tab/>
      </w:r>
      <w:r w:rsidRPr="008A4203">
        <w:rPr>
          <w:lang w:val="en-US"/>
        </w:rPr>
        <w:t>Directorate-General for Agriculture and Rural Development</w:t>
      </w:r>
    </w:p>
    <w:p w:rsidR="001924CD" w:rsidRPr="008A4203" w:rsidRDefault="001924CD" w:rsidP="00AE6F26">
      <w:pPr>
        <w:pStyle w:val="HStandard"/>
        <w:rPr>
          <w:lang w:val="en-US"/>
        </w:rPr>
      </w:pPr>
      <w:r w:rsidRPr="008A4203">
        <w:rPr>
          <w:lang w:val="en-US"/>
        </w:rPr>
        <w:t>EARDF</w:t>
      </w:r>
      <w:r>
        <w:rPr>
          <w:lang w:val="en-US"/>
        </w:rPr>
        <w:tab/>
      </w:r>
      <w:r>
        <w:rPr>
          <w:lang w:val="en-US"/>
        </w:rPr>
        <w:tab/>
      </w:r>
      <w:r w:rsidRPr="008A4203">
        <w:rPr>
          <w:lang w:val="en-US"/>
        </w:rPr>
        <w:t>European Agricultural Fund for Rural Development</w:t>
      </w:r>
    </w:p>
    <w:p w:rsidR="001924CD" w:rsidRPr="008A4203" w:rsidRDefault="001924CD" w:rsidP="00AE6F26">
      <w:pPr>
        <w:pStyle w:val="HStandard"/>
        <w:rPr>
          <w:lang w:val="en-US"/>
        </w:rPr>
      </w:pPr>
      <w:r w:rsidRPr="008A4203">
        <w:rPr>
          <w:lang w:val="en-US"/>
        </w:rPr>
        <w:t>EIP</w:t>
      </w:r>
      <w:r>
        <w:rPr>
          <w:lang w:val="en-US"/>
        </w:rPr>
        <w:tab/>
      </w:r>
      <w:r>
        <w:rPr>
          <w:lang w:val="en-US"/>
        </w:rPr>
        <w:tab/>
      </w:r>
      <w:r w:rsidRPr="008A4203">
        <w:rPr>
          <w:lang w:val="en-US"/>
        </w:rPr>
        <w:t>European Innovation Partnership</w:t>
      </w:r>
    </w:p>
    <w:p w:rsidR="001924CD" w:rsidRPr="008A4203" w:rsidRDefault="001924CD" w:rsidP="00AE6F26">
      <w:pPr>
        <w:pStyle w:val="HStandard"/>
        <w:rPr>
          <w:lang w:val="en-US"/>
        </w:rPr>
      </w:pPr>
      <w:r w:rsidRPr="008A4203">
        <w:rPr>
          <w:lang w:val="en-US"/>
        </w:rPr>
        <w:t>ENRD</w:t>
      </w:r>
      <w:r>
        <w:rPr>
          <w:lang w:val="en-US"/>
        </w:rPr>
        <w:tab/>
      </w:r>
      <w:r>
        <w:rPr>
          <w:lang w:val="en-US"/>
        </w:rPr>
        <w:tab/>
      </w:r>
      <w:r w:rsidRPr="008A4203">
        <w:rPr>
          <w:lang w:val="en-US"/>
        </w:rPr>
        <w:t>European Network for Rural Development</w:t>
      </w:r>
    </w:p>
    <w:p w:rsidR="001924CD" w:rsidRPr="006D6B59" w:rsidRDefault="001924CD" w:rsidP="00AE6F26">
      <w:pPr>
        <w:pStyle w:val="HStandard"/>
        <w:rPr>
          <w:lang w:val="fr-BE"/>
        </w:rPr>
      </w:pPr>
      <w:r w:rsidRPr="006D6B59">
        <w:rPr>
          <w:lang w:val="fr-BE"/>
        </w:rPr>
        <w:t>EQ</w:t>
      </w:r>
      <w:r w:rsidRPr="006D6B59">
        <w:rPr>
          <w:lang w:val="fr-BE"/>
        </w:rPr>
        <w:tab/>
      </w:r>
      <w:r w:rsidRPr="006D6B59">
        <w:rPr>
          <w:lang w:val="fr-BE"/>
        </w:rPr>
        <w:tab/>
        <w:t>Evaluation Question</w:t>
      </w:r>
    </w:p>
    <w:p w:rsidR="001924CD" w:rsidRPr="006D6B59" w:rsidRDefault="001924CD" w:rsidP="00AE6F26">
      <w:pPr>
        <w:pStyle w:val="HStandard"/>
        <w:rPr>
          <w:lang w:val="fr-BE"/>
        </w:rPr>
      </w:pPr>
      <w:r w:rsidRPr="006D6B59">
        <w:rPr>
          <w:lang w:val="fr-BE"/>
        </w:rPr>
        <w:t>EP</w:t>
      </w:r>
      <w:r w:rsidRPr="006D6B59">
        <w:rPr>
          <w:lang w:val="fr-BE"/>
        </w:rPr>
        <w:tab/>
      </w:r>
      <w:r w:rsidRPr="006D6B59">
        <w:rPr>
          <w:lang w:val="fr-BE"/>
        </w:rPr>
        <w:tab/>
        <w:t>Evaluation Plan</w:t>
      </w:r>
    </w:p>
    <w:p w:rsidR="001924CD" w:rsidRPr="008A4203" w:rsidRDefault="001924CD" w:rsidP="00AE6F26">
      <w:pPr>
        <w:pStyle w:val="HStandard"/>
        <w:rPr>
          <w:lang w:val="en-US"/>
        </w:rPr>
      </w:pPr>
      <w:r w:rsidRPr="008A4203">
        <w:rPr>
          <w:lang w:val="en-US"/>
        </w:rPr>
        <w:t>ERDF</w:t>
      </w:r>
      <w:r>
        <w:rPr>
          <w:lang w:val="en-US"/>
        </w:rPr>
        <w:tab/>
      </w:r>
      <w:r>
        <w:rPr>
          <w:lang w:val="en-US"/>
        </w:rPr>
        <w:tab/>
      </w:r>
      <w:r w:rsidRPr="008A4203">
        <w:rPr>
          <w:lang w:val="en-US"/>
        </w:rPr>
        <w:t>European Regional Development Fund</w:t>
      </w:r>
    </w:p>
    <w:p w:rsidR="001924CD" w:rsidRPr="008A4203" w:rsidRDefault="001924CD" w:rsidP="00AE6F26">
      <w:pPr>
        <w:pStyle w:val="HStandard"/>
        <w:rPr>
          <w:lang w:val="en-US"/>
        </w:rPr>
      </w:pPr>
      <w:r w:rsidRPr="008A4203">
        <w:rPr>
          <w:lang w:val="en-US"/>
        </w:rPr>
        <w:t>ESI</w:t>
      </w:r>
      <w:r>
        <w:rPr>
          <w:lang w:val="en-US"/>
        </w:rPr>
        <w:tab/>
      </w:r>
      <w:r>
        <w:rPr>
          <w:lang w:val="en-US"/>
        </w:rPr>
        <w:tab/>
      </w:r>
      <w:r w:rsidRPr="008A4203">
        <w:rPr>
          <w:lang w:val="en-US"/>
        </w:rPr>
        <w:t>European Structural and Investment</w:t>
      </w:r>
    </w:p>
    <w:p w:rsidR="001924CD" w:rsidRPr="008A4203" w:rsidRDefault="001924CD" w:rsidP="00AE6F26">
      <w:pPr>
        <w:pStyle w:val="HStandard"/>
        <w:rPr>
          <w:lang w:val="en-US"/>
        </w:rPr>
      </w:pPr>
      <w:r w:rsidRPr="008A4203">
        <w:rPr>
          <w:lang w:val="en-US"/>
        </w:rPr>
        <w:t>EU</w:t>
      </w:r>
      <w:r>
        <w:rPr>
          <w:lang w:val="en-US"/>
        </w:rPr>
        <w:tab/>
      </w:r>
      <w:r>
        <w:rPr>
          <w:lang w:val="en-US"/>
        </w:rPr>
        <w:tab/>
      </w:r>
      <w:r w:rsidRPr="008A4203">
        <w:rPr>
          <w:lang w:val="en-US"/>
        </w:rPr>
        <w:t>European Union</w:t>
      </w:r>
    </w:p>
    <w:p w:rsidR="001924CD" w:rsidRPr="008A4203" w:rsidRDefault="001924CD" w:rsidP="00AE6F26">
      <w:pPr>
        <w:pStyle w:val="HStandard"/>
        <w:rPr>
          <w:lang w:val="en-US"/>
        </w:rPr>
      </w:pPr>
      <w:r w:rsidRPr="008A4203">
        <w:rPr>
          <w:lang w:val="en-US"/>
        </w:rPr>
        <w:t>FA</w:t>
      </w:r>
      <w:r>
        <w:rPr>
          <w:lang w:val="en-US"/>
        </w:rPr>
        <w:tab/>
      </w:r>
      <w:r>
        <w:rPr>
          <w:lang w:val="en-US"/>
        </w:rPr>
        <w:tab/>
      </w:r>
      <w:r w:rsidRPr="008A4203">
        <w:rPr>
          <w:lang w:val="en-US"/>
        </w:rPr>
        <w:t>Focus Area</w:t>
      </w:r>
    </w:p>
    <w:p w:rsidR="001924CD" w:rsidRPr="008A4203" w:rsidRDefault="001924CD" w:rsidP="00AE6F26">
      <w:pPr>
        <w:pStyle w:val="HStandard"/>
        <w:rPr>
          <w:lang w:val="en-US"/>
        </w:rPr>
      </w:pPr>
      <w:r w:rsidRPr="008A4203">
        <w:rPr>
          <w:lang w:val="en-US"/>
        </w:rPr>
        <w:t>FAO</w:t>
      </w:r>
      <w:r>
        <w:rPr>
          <w:lang w:val="en-US"/>
        </w:rPr>
        <w:tab/>
      </w:r>
      <w:r>
        <w:rPr>
          <w:lang w:val="en-US"/>
        </w:rPr>
        <w:tab/>
      </w:r>
      <w:hyperlink r:id="rId16">
        <w:r w:rsidRPr="008A4203">
          <w:rPr>
            <w:lang w:val="en-US"/>
          </w:rPr>
          <w:t>Food and Agriculture Organization</w:t>
        </w:r>
      </w:hyperlink>
    </w:p>
    <w:p w:rsidR="001924CD" w:rsidRPr="00EC47A6" w:rsidRDefault="001924CD" w:rsidP="00AE6F26">
      <w:pPr>
        <w:pStyle w:val="HStandard"/>
        <w:rPr>
          <w:lang w:val="en-US"/>
        </w:rPr>
      </w:pPr>
      <w:r w:rsidRPr="00EC47A6">
        <w:rPr>
          <w:lang w:val="en-GB"/>
        </w:rPr>
        <w:t>GIS</w:t>
      </w:r>
      <w:r>
        <w:rPr>
          <w:lang w:val="en-GB"/>
        </w:rPr>
        <w:tab/>
      </w:r>
      <w:r>
        <w:rPr>
          <w:lang w:val="en-GB"/>
        </w:rPr>
        <w:tab/>
      </w:r>
      <w:hyperlink r:id="rId17">
        <w:r w:rsidRPr="00EC47A6">
          <w:rPr>
            <w:lang w:val="en-US"/>
          </w:rPr>
          <w:t>Geographic information system</w:t>
        </w:r>
      </w:hyperlink>
    </w:p>
    <w:p w:rsidR="001924CD" w:rsidRPr="00EC47A6" w:rsidRDefault="001924CD" w:rsidP="00AE6F26">
      <w:pPr>
        <w:pStyle w:val="HStandard"/>
        <w:rPr>
          <w:lang w:val="de-DE"/>
        </w:rPr>
      </w:pPr>
      <w:r w:rsidRPr="00EC47A6">
        <w:rPr>
          <w:lang w:val="de-DE"/>
        </w:rPr>
        <w:t>GIZ</w:t>
      </w:r>
      <w:r w:rsidRPr="00EC47A6">
        <w:rPr>
          <w:lang w:val="de-DE"/>
        </w:rPr>
        <w:tab/>
      </w:r>
      <w:r w:rsidRPr="00EC47A6">
        <w:rPr>
          <w:lang w:val="de-DE"/>
        </w:rPr>
        <w:tab/>
        <w:t>Gesellschaft für Internationale Zusammenarbeit</w:t>
      </w:r>
    </w:p>
    <w:p w:rsidR="001924CD" w:rsidRPr="006D6B59" w:rsidRDefault="001924CD" w:rsidP="00AE6F26">
      <w:pPr>
        <w:pStyle w:val="HStandard"/>
        <w:rPr>
          <w:lang w:val="de-DE"/>
        </w:rPr>
      </w:pPr>
      <w:r w:rsidRPr="006D6B59">
        <w:rPr>
          <w:lang w:val="de-DE"/>
        </w:rPr>
        <w:t>IL</w:t>
      </w:r>
      <w:r w:rsidRPr="006D6B59">
        <w:rPr>
          <w:lang w:val="de-DE"/>
        </w:rPr>
        <w:tab/>
      </w:r>
      <w:r w:rsidRPr="006D6B59">
        <w:rPr>
          <w:lang w:val="de-DE"/>
        </w:rPr>
        <w:tab/>
        <w:t>Intervention Logic</w:t>
      </w:r>
    </w:p>
    <w:p w:rsidR="001924CD" w:rsidRPr="006D6B59" w:rsidRDefault="001924CD" w:rsidP="00AE6F26">
      <w:pPr>
        <w:pStyle w:val="HStandard"/>
        <w:rPr>
          <w:lang w:val="en-GB"/>
        </w:rPr>
      </w:pPr>
      <w:r w:rsidRPr="006D6B59">
        <w:rPr>
          <w:lang w:val="en-GB"/>
        </w:rPr>
        <w:t>JC</w:t>
      </w:r>
      <w:r w:rsidRPr="006D6B59">
        <w:rPr>
          <w:lang w:val="en-GB"/>
        </w:rPr>
        <w:tab/>
      </w:r>
      <w:r w:rsidRPr="006D6B59">
        <w:rPr>
          <w:lang w:val="en-GB"/>
        </w:rPr>
        <w:tab/>
        <w:t>Judgement Criteria</w:t>
      </w:r>
    </w:p>
    <w:p w:rsidR="001924CD" w:rsidRPr="006D6B59" w:rsidRDefault="001924CD" w:rsidP="00AE6F26">
      <w:pPr>
        <w:pStyle w:val="HStandard"/>
        <w:rPr>
          <w:lang w:val="en-GB"/>
        </w:rPr>
      </w:pPr>
      <w:r w:rsidRPr="006D6B59">
        <w:rPr>
          <w:lang w:val="en-GB"/>
        </w:rPr>
        <w:t>LAG</w:t>
      </w:r>
      <w:r w:rsidRPr="006D6B59">
        <w:rPr>
          <w:lang w:val="en-GB"/>
        </w:rPr>
        <w:tab/>
      </w:r>
      <w:r w:rsidRPr="006D6B59">
        <w:rPr>
          <w:lang w:val="en-GB"/>
        </w:rPr>
        <w:tab/>
        <w:t>Local Action Group</w:t>
      </w:r>
    </w:p>
    <w:p w:rsidR="001924CD" w:rsidRPr="008A4203" w:rsidRDefault="001924CD" w:rsidP="00AE6F26">
      <w:pPr>
        <w:pStyle w:val="HStandard"/>
        <w:rPr>
          <w:lang w:val="fr-FR"/>
        </w:rPr>
      </w:pPr>
      <w:r w:rsidRPr="00EC47A6">
        <w:rPr>
          <w:lang w:val="fr-FR"/>
        </w:rPr>
        <w:t>LEADER</w:t>
      </w:r>
      <w:r>
        <w:rPr>
          <w:lang w:val="fr-FR"/>
        </w:rPr>
        <w:tab/>
      </w:r>
      <w:r>
        <w:rPr>
          <w:lang w:val="fr-FR"/>
        </w:rPr>
        <w:tab/>
      </w:r>
      <w:r w:rsidRPr="00EC47A6">
        <w:rPr>
          <w:lang w:val="fr-FR"/>
        </w:rPr>
        <w:t>Liaison Entre Actions de Développement de l'Économie Rur</w:t>
      </w:r>
      <w:r w:rsidRPr="008A4203">
        <w:rPr>
          <w:lang w:val="fr-FR"/>
        </w:rPr>
        <w:t>ale</w:t>
      </w:r>
    </w:p>
    <w:p w:rsidR="001924CD" w:rsidRPr="006D6B59" w:rsidRDefault="001924CD" w:rsidP="00AE6F26">
      <w:pPr>
        <w:pStyle w:val="HStandard"/>
        <w:rPr>
          <w:lang w:val="en-GB"/>
        </w:rPr>
      </w:pPr>
      <w:r w:rsidRPr="006D6B59">
        <w:rPr>
          <w:lang w:val="en-GB"/>
        </w:rPr>
        <w:t>MA</w:t>
      </w:r>
      <w:r w:rsidRPr="006D6B59">
        <w:rPr>
          <w:lang w:val="en-GB"/>
        </w:rPr>
        <w:tab/>
      </w:r>
      <w:r w:rsidRPr="006D6B59">
        <w:rPr>
          <w:lang w:val="en-GB"/>
        </w:rPr>
        <w:tab/>
      </w:r>
      <w:r w:rsidRPr="006D6B59">
        <w:rPr>
          <w:lang w:val="en-GB"/>
        </w:rPr>
        <w:tab/>
        <w:t>Managing Authority</w:t>
      </w:r>
    </w:p>
    <w:p w:rsidR="001924CD" w:rsidRPr="00EC47A6" w:rsidRDefault="001924CD" w:rsidP="00AE6F26">
      <w:pPr>
        <w:pStyle w:val="HStandard"/>
        <w:rPr>
          <w:lang w:val="en-GB"/>
        </w:rPr>
      </w:pPr>
      <w:r w:rsidRPr="00EC47A6">
        <w:rPr>
          <w:lang w:val="en-GB"/>
        </w:rPr>
        <w:t>MAPP</w:t>
      </w:r>
      <w:r w:rsidRPr="00EC47A6">
        <w:rPr>
          <w:lang w:val="en-GB"/>
        </w:rPr>
        <w:tab/>
      </w:r>
      <w:r w:rsidRPr="00EC47A6">
        <w:rPr>
          <w:lang w:val="en-GB"/>
        </w:rPr>
        <w:tab/>
        <w:t>Method for Impact Assessment of Programmes and Project</w:t>
      </w:r>
    </w:p>
    <w:p w:rsidR="001924CD" w:rsidRPr="00EC47A6" w:rsidRDefault="001924CD" w:rsidP="00AE6F26">
      <w:pPr>
        <w:pStyle w:val="HStandard"/>
        <w:rPr>
          <w:lang w:val="en-GB"/>
        </w:rPr>
      </w:pPr>
      <w:r w:rsidRPr="00EC47A6">
        <w:rPr>
          <w:lang w:val="en-GB"/>
        </w:rPr>
        <w:t>MS</w:t>
      </w:r>
      <w:r w:rsidRPr="00EC47A6">
        <w:rPr>
          <w:lang w:val="en-GB"/>
        </w:rPr>
        <w:tab/>
      </w:r>
      <w:r w:rsidRPr="00EC47A6">
        <w:rPr>
          <w:lang w:val="en-GB"/>
        </w:rPr>
        <w:tab/>
        <w:t>Member State</w:t>
      </w:r>
    </w:p>
    <w:p w:rsidR="001924CD" w:rsidRPr="00EC47A6" w:rsidRDefault="001924CD" w:rsidP="00AE6F26">
      <w:pPr>
        <w:pStyle w:val="HStandard"/>
        <w:rPr>
          <w:lang w:val="en-GB"/>
        </w:rPr>
      </w:pPr>
      <w:r w:rsidRPr="00EC47A6">
        <w:rPr>
          <w:lang w:val="en-GB"/>
        </w:rPr>
        <w:t>NGO</w:t>
      </w:r>
      <w:r>
        <w:rPr>
          <w:lang w:val="en-GB"/>
        </w:rPr>
        <w:tab/>
      </w:r>
      <w:r>
        <w:rPr>
          <w:lang w:val="en-GB"/>
        </w:rPr>
        <w:tab/>
      </w:r>
      <w:r w:rsidRPr="00EC47A6">
        <w:rPr>
          <w:lang w:val="en-GB"/>
        </w:rPr>
        <w:t>Non-governmental organization</w:t>
      </w:r>
    </w:p>
    <w:p w:rsidR="001924CD" w:rsidRPr="00EC47A6" w:rsidRDefault="001924CD" w:rsidP="00AE6F26">
      <w:pPr>
        <w:pStyle w:val="HStandard"/>
        <w:rPr>
          <w:lang w:val="en-GB"/>
        </w:rPr>
      </w:pPr>
      <w:r w:rsidRPr="00EC47A6">
        <w:rPr>
          <w:lang w:val="en-GB"/>
        </w:rPr>
        <w:t>NRN</w:t>
      </w:r>
      <w:r>
        <w:rPr>
          <w:lang w:val="en-GB"/>
        </w:rPr>
        <w:tab/>
      </w:r>
      <w:r>
        <w:rPr>
          <w:lang w:val="en-GB"/>
        </w:rPr>
        <w:tab/>
      </w:r>
      <w:r w:rsidRPr="00EC47A6">
        <w:rPr>
          <w:lang w:val="en-GB"/>
        </w:rPr>
        <w:t>National Rural Network</w:t>
      </w:r>
    </w:p>
    <w:p w:rsidR="001924CD" w:rsidRPr="00EC47A6" w:rsidRDefault="001924CD" w:rsidP="00AE6F26">
      <w:pPr>
        <w:pStyle w:val="HStandard"/>
        <w:rPr>
          <w:lang w:val="en-GB"/>
        </w:rPr>
      </w:pPr>
      <w:r w:rsidRPr="00EC47A6">
        <w:rPr>
          <w:lang w:val="en-GB"/>
        </w:rPr>
        <w:t>NRNP</w:t>
      </w:r>
      <w:r>
        <w:rPr>
          <w:lang w:val="en-GB"/>
        </w:rPr>
        <w:tab/>
      </w:r>
      <w:r>
        <w:rPr>
          <w:lang w:val="en-GB"/>
        </w:rPr>
        <w:tab/>
      </w:r>
      <w:r w:rsidRPr="00EC47A6">
        <w:rPr>
          <w:lang w:val="en-GB"/>
        </w:rPr>
        <w:t>National Rural Network Programme</w:t>
      </w:r>
    </w:p>
    <w:p w:rsidR="001924CD" w:rsidRPr="008A4203" w:rsidRDefault="001924CD" w:rsidP="00AE6F26">
      <w:pPr>
        <w:pStyle w:val="HStandard"/>
        <w:rPr>
          <w:lang w:val="en-US"/>
        </w:rPr>
      </w:pPr>
      <w:r w:rsidRPr="00EC47A6">
        <w:rPr>
          <w:lang w:val="en-GB"/>
        </w:rPr>
        <w:t>JWS</w:t>
      </w:r>
      <w:r>
        <w:rPr>
          <w:lang w:val="en-GB"/>
        </w:rPr>
        <w:tab/>
      </w:r>
      <w:r>
        <w:rPr>
          <w:lang w:val="en-GB"/>
        </w:rPr>
        <w:tab/>
      </w:r>
      <w:r w:rsidRPr="00EC47A6">
        <w:rPr>
          <w:lang w:val="en-GB"/>
        </w:rPr>
        <w:t>Network Supp</w:t>
      </w:r>
      <w:r w:rsidRPr="008A4203">
        <w:rPr>
          <w:lang w:val="en-US"/>
        </w:rPr>
        <w:t>ort Unit</w:t>
      </w:r>
    </w:p>
    <w:p w:rsidR="001924CD" w:rsidRPr="008A4203" w:rsidRDefault="001924CD" w:rsidP="00AE6F26">
      <w:pPr>
        <w:pStyle w:val="HStandard"/>
        <w:rPr>
          <w:lang w:val="en-US"/>
        </w:rPr>
      </w:pPr>
      <w:r w:rsidRPr="008A4203">
        <w:rPr>
          <w:lang w:val="en-US"/>
        </w:rPr>
        <w:t>O</w:t>
      </w:r>
      <w:r>
        <w:rPr>
          <w:lang w:val="en-US"/>
        </w:rPr>
        <w:tab/>
      </w:r>
      <w:r>
        <w:rPr>
          <w:lang w:val="en-US"/>
        </w:rPr>
        <w:tab/>
      </w:r>
      <w:r w:rsidRPr="008A4203">
        <w:rPr>
          <w:lang w:val="en-US"/>
        </w:rPr>
        <w:t>Output indicators</w:t>
      </w:r>
    </w:p>
    <w:p w:rsidR="001924CD" w:rsidRPr="008A4203" w:rsidRDefault="001924CD" w:rsidP="00AE6F26">
      <w:pPr>
        <w:pStyle w:val="HStandard"/>
        <w:rPr>
          <w:lang w:val="en-US"/>
        </w:rPr>
      </w:pPr>
      <w:r w:rsidRPr="008A4203">
        <w:rPr>
          <w:lang w:val="en-US"/>
        </w:rPr>
        <w:lastRenderedPageBreak/>
        <w:t>OP</w:t>
      </w:r>
      <w:r>
        <w:rPr>
          <w:lang w:val="en-US"/>
        </w:rPr>
        <w:tab/>
      </w:r>
      <w:r>
        <w:rPr>
          <w:lang w:val="en-US"/>
        </w:rPr>
        <w:tab/>
      </w:r>
      <w:r w:rsidRPr="008A4203">
        <w:rPr>
          <w:lang w:val="en-US"/>
        </w:rPr>
        <w:t>Operational Programme</w:t>
      </w:r>
    </w:p>
    <w:p w:rsidR="001924CD" w:rsidRPr="008A4203" w:rsidRDefault="001924CD" w:rsidP="00AE6F26">
      <w:pPr>
        <w:pStyle w:val="HStandard"/>
        <w:rPr>
          <w:lang w:val="en-US"/>
        </w:rPr>
      </w:pPr>
      <w:r w:rsidRPr="008A4203">
        <w:rPr>
          <w:lang w:val="en-US"/>
        </w:rPr>
        <w:t>PA</w:t>
      </w:r>
      <w:r>
        <w:rPr>
          <w:lang w:val="en-US"/>
        </w:rPr>
        <w:tab/>
      </w:r>
      <w:r>
        <w:rPr>
          <w:lang w:val="en-US"/>
        </w:rPr>
        <w:tab/>
      </w:r>
      <w:r w:rsidRPr="008A4203">
        <w:rPr>
          <w:lang w:val="en-US"/>
        </w:rPr>
        <w:t>Paying Agency</w:t>
      </w:r>
    </w:p>
    <w:p w:rsidR="001924CD" w:rsidRPr="008A4203" w:rsidRDefault="001924CD" w:rsidP="00AE6F26">
      <w:pPr>
        <w:pStyle w:val="HStandard"/>
        <w:rPr>
          <w:lang w:val="en-US"/>
        </w:rPr>
      </w:pPr>
      <w:r w:rsidRPr="008A4203">
        <w:rPr>
          <w:lang w:val="en-US"/>
        </w:rPr>
        <w:t>PSEQ</w:t>
      </w:r>
      <w:r>
        <w:rPr>
          <w:lang w:val="en-US"/>
        </w:rPr>
        <w:tab/>
      </w:r>
      <w:r>
        <w:rPr>
          <w:lang w:val="en-US"/>
        </w:rPr>
        <w:tab/>
      </w:r>
      <w:r w:rsidRPr="008A4203">
        <w:rPr>
          <w:lang w:val="en-US"/>
        </w:rPr>
        <w:t>Programme Specific Evaluation Question</w:t>
      </w:r>
    </w:p>
    <w:p w:rsidR="001924CD" w:rsidRPr="008A4203" w:rsidRDefault="001924CD" w:rsidP="00AE6F26">
      <w:pPr>
        <w:pStyle w:val="HStandard"/>
        <w:rPr>
          <w:lang w:val="en-US"/>
        </w:rPr>
      </w:pPr>
      <w:r w:rsidRPr="008A4203">
        <w:rPr>
          <w:lang w:val="en-US"/>
        </w:rPr>
        <w:t xml:space="preserve">PSI </w:t>
      </w:r>
      <w:r>
        <w:rPr>
          <w:lang w:val="en-US"/>
        </w:rPr>
        <w:tab/>
      </w:r>
      <w:r>
        <w:rPr>
          <w:lang w:val="en-US"/>
        </w:rPr>
        <w:tab/>
      </w:r>
      <w:r w:rsidRPr="008A4203">
        <w:rPr>
          <w:lang w:val="en-US"/>
        </w:rPr>
        <w:t>Programme specific impacts</w:t>
      </w:r>
    </w:p>
    <w:p w:rsidR="001924CD" w:rsidRPr="008A4203" w:rsidRDefault="001924CD" w:rsidP="00AE6F26">
      <w:pPr>
        <w:pStyle w:val="HStandard"/>
        <w:rPr>
          <w:lang w:val="en-US"/>
        </w:rPr>
      </w:pPr>
      <w:r w:rsidRPr="008A4203">
        <w:rPr>
          <w:lang w:val="en-US"/>
        </w:rPr>
        <w:t xml:space="preserve">PSO </w:t>
      </w:r>
      <w:r>
        <w:rPr>
          <w:lang w:val="en-US"/>
        </w:rPr>
        <w:tab/>
      </w:r>
      <w:r>
        <w:rPr>
          <w:lang w:val="en-US"/>
        </w:rPr>
        <w:tab/>
      </w:r>
      <w:r w:rsidRPr="008A4203">
        <w:rPr>
          <w:lang w:val="en-US"/>
        </w:rPr>
        <w:t>Programme specific objective</w:t>
      </w:r>
    </w:p>
    <w:p w:rsidR="001924CD" w:rsidRPr="008A4203" w:rsidRDefault="001924CD" w:rsidP="00AE6F26">
      <w:pPr>
        <w:pStyle w:val="HStandard"/>
        <w:rPr>
          <w:lang w:val="en-US"/>
        </w:rPr>
      </w:pPr>
      <w:r w:rsidRPr="008A4203">
        <w:rPr>
          <w:lang w:val="en-US"/>
        </w:rPr>
        <w:t>PSR</w:t>
      </w:r>
      <w:r>
        <w:rPr>
          <w:lang w:val="en-US"/>
        </w:rPr>
        <w:tab/>
      </w:r>
      <w:r>
        <w:rPr>
          <w:lang w:val="en-US"/>
        </w:rPr>
        <w:tab/>
      </w:r>
      <w:r w:rsidRPr="008A4203">
        <w:rPr>
          <w:lang w:val="en-US"/>
        </w:rPr>
        <w:t xml:space="preserve"> Programme specific result</w:t>
      </w:r>
    </w:p>
    <w:p w:rsidR="001924CD" w:rsidRPr="008A4203" w:rsidRDefault="001924CD" w:rsidP="00AE6F26">
      <w:pPr>
        <w:pStyle w:val="HStandard"/>
        <w:rPr>
          <w:lang w:val="en-US"/>
        </w:rPr>
      </w:pPr>
      <w:r w:rsidRPr="008A4203">
        <w:rPr>
          <w:lang w:val="en-US"/>
        </w:rPr>
        <w:t>R</w:t>
      </w:r>
      <w:r>
        <w:rPr>
          <w:lang w:val="en-US"/>
        </w:rPr>
        <w:tab/>
      </w:r>
      <w:r>
        <w:rPr>
          <w:lang w:val="en-US"/>
        </w:rPr>
        <w:tab/>
      </w:r>
      <w:r w:rsidRPr="008A4203">
        <w:rPr>
          <w:lang w:val="en-US"/>
        </w:rPr>
        <w:t>Result indicators</w:t>
      </w:r>
    </w:p>
    <w:p w:rsidR="001924CD" w:rsidRPr="008A4203" w:rsidRDefault="001924CD" w:rsidP="00AE6F26">
      <w:pPr>
        <w:pStyle w:val="HStandard"/>
        <w:rPr>
          <w:lang w:val="en-US"/>
        </w:rPr>
      </w:pPr>
      <w:r w:rsidRPr="008A4203">
        <w:rPr>
          <w:lang w:val="en-US"/>
        </w:rPr>
        <w:t xml:space="preserve">RACER </w:t>
      </w:r>
      <w:r>
        <w:rPr>
          <w:lang w:val="en-US"/>
        </w:rPr>
        <w:tab/>
      </w:r>
      <w:r>
        <w:rPr>
          <w:lang w:val="en-US"/>
        </w:rPr>
        <w:tab/>
      </w:r>
      <w:r w:rsidRPr="008A4203">
        <w:rPr>
          <w:lang w:val="en-US"/>
        </w:rPr>
        <w:t>Relevant, Accepted, Credible, Easy, Robust</w:t>
      </w:r>
    </w:p>
    <w:p w:rsidR="001924CD" w:rsidRPr="008A4203" w:rsidRDefault="001924CD" w:rsidP="00AE6F26">
      <w:pPr>
        <w:pStyle w:val="HStandard"/>
        <w:rPr>
          <w:lang w:val="en-US"/>
        </w:rPr>
      </w:pPr>
      <w:r w:rsidRPr="008A4203">
        <w:rPr>
          <w:lang w:val="en-US"/>
        </w:rPr>
        <w:t>RD</w:t>
      </w:r>
      <w:r>
        <w:rPr>
          <w:lang w:val="en-US"/>
        </w:rPr>
        <w:tab/>
      </w:r>
      <w:r>
        <w:rPr>
          <w:lang w:val="en-US"/>
        </w:rPr>
        <w:tab/>
      </w:r>
      <w:r w:rsidRPr="008A4203">
        <w:rPr>
          <w:lang w:val="en-US"/>
        </w:rPr>
        <w:t>Rural Development</w:t>
      </w:r>
    </w:p>
    <w:p w:rsidR="001924CD" w:rsidRPr="008A4203" w:rsidRDefault="001924CD" w:rsidP="00AE6F26">
      <w:pPr>
        <w:pStyle w:val="HStandard"/>
        <w:rPr>
          <w:lang w:val="en-US"/>
        </w:rPr>
      </w:pPr>
      <w:r w:rsidRPr="008A4203">
        <w:rPr>
          <w:lang w:val="en-US"/>
        </w:rPr>
        <w:t>RDP</w:t>
      </w:r>
      <w:r>
        <w:rPr>
          <w:lang w:val="en-US"/>
        </w:rPr>
        <w:tab/>
      </w:r>
      <w:r>
        <w:rPr>
          <w:lang w:val="en-US"/>
        </w:rPr>
        <w:tab/>
      </w:r>
      <w:r w:rsidRPr="008A4203">
        <w:rPr>
          <w:lang w:val="en-US"/>
        </w:rPr>
        <w:t>Rural Development Programme</w:t>
      </w:r>
    </w:p>
    <w:p w:rsidR="001924CD" w:rsidRPr="008A4203" w:rsidRDefault="001924CD" w:rsidP="00AE6F26">
      <w:pPr>
        <w:pStyle w:val="HStandard"/>
        <w:rPr>
          <w:b/>
          <w:lang w:val="en-US"/>
        </w:rPr>
      </w:pPr>
      <w:r w:rsidRPr="008A4203">
        <w:rPr>
          <w:lang w:val="en-US"/>
        </w:rPr>
        <w:t>SFC</w:t>
      </w:r>
      <w:r>
        <w:rPr>
          <w:lang w:val="en-US"/>
        </w:rPr>
        <w:tab/>
      </w:r>
      <w:r>
        <w:rPr>
          <w:lang w:val="en-US"/>
        </w:rPr>
        <w:tab/>
      </w:r>
      <w:r w:rsidRPr="008A4203">
        <w:rPr>
          <w:lang w:val="en-US"/>
        </w:rPr>
        <w:t>Shared Fund Management Common System</w:t>
      </w:r>
    </w:p>
    <w:p w:rsidR="001924CD" w:rsidRPr="008A4203" w:rsidRDefault="001924CD" w:rsidP="00AE6F26">
      <w:pPr>
        <w:pStyle w:val="HStandard"/>
        <w:rPr>
          <w:lang w:val="en-US"/>
        </w:rPr>
      </w:pPr>
      <w:r w:rsidRPr="008A4203">
        <w:rPr>
          <w:lang w:val="en-US"/>
        </w:rPr>
        <w:t xml:space="preserve">SMART </w:t>
      </w:r>
      <w:r>
        <w:rPr>
          <w:lang w:val="en-US"/>
        </w:rPr>
        <w:tab/>
      </w:r>
      <w:r>
        <w:rPr>
          <w:lang w:val="en-US"/>
        </w:rPr>
        <w:tab/>
      </w:r>
      <w:r w:rsidRPr="008A4203">
        <w:rPr>
          <w:lang w:val="en-US"/>
        </w:rPr>
        <w:t xml:space="preserve">Specific, Measurable, Achievable, Relevant, Time dependent </w:t>
      </w:r>
    </w:p>
    <w:p w:rsidR="001924CD" w:rsidRPr="008A4203" w:rsidRDefault="001924CD" w:rsidP="00AE6F26">
      <w:pPr>
        <w:pStyle w:val="HStandard"/>
        <w:rPr>
          <w:lang w:val="en-US"/>
        </w:rPr>
      </w:pPr>
      <w:r w:rsidRPr="008A4203">
        <w:rPr>
          <w:lang w:val="en-US"/>
        </w:rPr>
        <w:t>SME</w:t>
      </w:r>
      <w:r>
        <w:rPr>
          <w:lang w:val="en-US"/>
        </w:rPr>
        <w:tab/>
      </w:r>
      <w:r>
        <w:rPr>
          <w:lang w:val="en-US"/>
        </w:rPr>
        <w:tab/>
      </w:r>
      <w:r w:rsidRPr="008A4203">
        <w:rPr>
          <w:lang w:val="en-US"/>
        </w:rPr>
        <w:t>Small and Medium Enterprise</w:t>
      </w:r>
    </w:p>
    <w:p w:rsidR="001924CD" w:rsidRPr="008A4203" w:rsidRDefault="001924CD" w:rsidP="00AE6F26">
      <w:pPr>
        <w:pStyle w:val="HStandard"/>
        <w:rPr>
          <w:lang w:val="en-US"/>
        </w:rPr>
      </w:pPr>
      <w:r w:rsidRPr="008A4203">
        <w:rPr>
          <w:lang w:val="en-US"/>
        </w:rPr>
        <w:t>SG</w:t>
      </w:r>
      <w:r>
        <w:rPr>
          <w:lang w:val="en-US"/>
        </w:rPr>
        <w:tab/>
      </w:r>
      <w:r>
        <w:rPr>
          <w:lang w:val="en-US"/>
        </w:rPr>
        <w:tab/>
      </w:r>
      <w:r w:rsidRPr="008A4203">
        <w:rPr>
          <w:lang w:val="en-US"/>
        </w:rPr>
        <w:t>Steering Group</w:t>
      </w:r>
    </w:p>
    <w:p w:rsidR="001924CD" w:rsidRPr="008A4203" w:rsidRDefault="001924CD" w:rsidP="00AE6F26">
      <w:pPr>
        <w:pStyle w:val="HStandard"/>
        <w:rPr>
          <w:lang w:val="en-US"/>
        </w:rPr>
      </w:pPr>
      <w:r w:rsidRPr="008A4203">
        <w:rPr>
          <w:lang w:val="en-US"/>
        </w:rPr>
        <w:t>SNA</w:t>
      </w:r>
      <w:r>
        <w:rPr>
          <w:lang w:val="en-US"/>
        </w:rPr>
        <w:tab/>
      </w:r>
      <w:r>
        <w:rPr>
          <w:lang w:val="en-US"/>
        </w:rPr>
        <w:tab/>
      </w:r>
      <w:r w:rsidRPr="008A4203">
        <w:rPr>
          <w:lang w:val="en-US"/>
        </w:rPr>
        <w:t xml:space="preserve">Social Network Analysis </w:t>
      </w:r>
    </w:p>
    <w:p w:rsidR="001924CD" w:rsidRPr="008A4203" w:rsidRDefault="001924CD" w:rsidP="00AE6F26">
      <w:pPr>
        <w:pStyle w:val="HStandard"/>
        <w:rPr>
          <w:lang w:val="en-US"/>
        </w:rPr>
      </w:pPr>
      <w:r w:rsidRPr="008A4203">
        <w:rPr>
          <w:lang w:val="en-US"/>
        </w:rPr>
        <w:t>SWOT</w:t>
      </w:r>
      <w:r>
        <w:rPr>
          <w:lang w:val="en-US"/>
        </w:rPr>
        <w:tab/>
      </w:r>
      <w:r>
        <w:rPr>
          <w:lang w:val="en-US"/>
        </w:rPr>
        <w:tab/>
      </w:r>
      <w:r w:rsidRPr="008A4203">
        <w:rPr>
          <w:lang w:val="en-US"/>
        </w:rPr>
        <w:t>Strengths, Weaknesses, Opportunities, Threats</w:t>
      </w:r>
    </w:p>
    <w:p w:rsidR="001924CD" w:rsidRPr="006D6B59" w:rsidRDefault="001924CD" w:rsidP="00AE6F26">
      <w:pPr>
        <w:pStyle w:val="HStandard"/>
        <w:rPr>
          <w:lang w:val="en-GB"/>
        </w:rPr>
      </w:pPr>
      <w:r w:rsidRPr="006D6B59">
        <w:rPr>
          <w:lang w:val="en-GB"/>
        </w:rPr>
        <w:t>TA</w:t>
      </w:r>
      <w:r w:rsidRPr="006D6B59">
        <w:rPr>
          <w:lang w:val="en-GB"/>
        </w:rPr>
        <w:tab/>
      </w:r>
      <w:r w:rsidRPr="006D6B59">
        <w:rPr>
          <w:lang w:val="en-GB"/>
        </w:rPr>
        <w:tab/>
        <w:t>Technical Assistance</w:t>
      </w:r>
    </w:p>
    <w:p w:rsidR="001924CD" w:rsidRPr="006D6B59" w:rsidRDefault="001924CD" w:rsidP="00AE6F26">
      <w:pPr>
        <w:pStyle w:val="HStandard"/>
        <w:rPr>
          <w:lang w:val="en-GB"/>
        </w:rPr>
      </w:pPr>
      <w:r w:rsidRPr="006D6B59">
        <w:rPr>
          <w:lang w:val="en-GB"/>
        </w:rPr>
        <w:t>ToR</w:t>
      </w:r>
      <w:r w:rsidRPr="006D6B59">
        <w:rPr>
          <w:lang w:val="en-GB"/>
        </w:rPr>
        <w:tab/>
      </w:r>
      <w:r w:rsidRPr="006D6B59">
        <w:rPr>
          <w:lang w:val="en-GB"/>
        </w:rPr>
        <w:tab/>
        <w:t>Terms of Reference</w:t>
      </w:r>
    </w:p>
    <w:p w:rsidR="001924CD" w:rsidRPr="00EC47A6" w:rsidRDefault="001924CD" w:rsidP="00AE6F26">
      <w:pPr>
        <w:pStyle w:val="HStandard"/>
      </w:pPr>
      <w:r w:rsidRPr="00EC47A6">
        <w:t>WD</w:t>
      </w:r>
      <w:r>
        <w:tab/>
      </w:r>
      <w:r>
        <w:tab/>
      </w:r>
      <w:r>
        <w:tab/>
      </w:r>
      <w:r w:rsidRPr="00EC47A6">
        <w:t>Working Document</w:t>
      </w:r>
    </w:p>
    <w:p w:rsidR="001924CD" w:rsidRPr="00EC47A6" w:rsidRDefault="001924CD" w:rsidP="005A6A10">
      <w:pPr>
        <w:pStyle w:val="HStandard"/>
        <w:tabs>
          <w:tab w:val="right" w:leader="dot" w:pos="8742"/>
        </w:tabs>
        <w:rPr>
          <w:b/>
          <w:color w:val="E7E6E6" w:themeColor="background2"/>
        </w:rPr>
      </w:pPr>
    </w:p>
    <w:p w:rsidR="001924CD" w:rsidRPr="00EC47A6" w:rsidRDefault="001924CD" w:rsidP="00CB62A4">
      <w:pPr>
        <w:pStyle w:val="HHeading1"/>
        <w:rPr>
          <w:rFonts w:cs="Arial"/>
          <w:highlight w:val="yellow"/>
        </w:rPr>
      </w:pPr>
      <w:bookmarkStart w:id="0" w:name="_Toc453079745"/>
      <w:bookmarkStart w:id="1" w:name="_Toc461807106"/>
      <w:r w:rsidRPr="00EC47A6">
        <w:rPr>
          <w:caps w:val="0"/>
          <w:highlight w:val="yellow"/>
        </w:rPr>
        <w:lastRenderedPageBreak/>
        <w:t>WPROWADZENIE</w:t>
      </w:r>
      <w:bookmarkEnd w:id="0"/>
      <w:bookmarkEnd w:id="1"/>
    </w:p>
    <w:p w:rsidR="001924CD" w:rsidRPr="00EF56D0" w:rsidRDefault="001924CD" w:rsidP="00680DA9">
      <w:pPr>
        <w:pStyle w:val="HHeading2"/>
        <w:rPr>
          <w:highlight w:val="yellow"/>
        </w:rPr>
      </w:pPr>
      <w:bookmarkStart w:id="2" w:name="_Toc453079746"/>
      <w:bookmarkStart w:id="3" w:name="_Toc461807107"/>
      <w:r w:rsidRPr="00EC47A6">
        <w:rPr>
          <w:highlight w:val="yellow"/>
        </w:rPr>
        <w:t>Wytyczne dotyczące ewaluacji krajowych sieci obsz</w:t>
      </w:r>
      <w:r w:rsidRPr="00EF56D0">
        <w:rPr>
          <w:highlight w:val="yellow"/>
        </w:rPr>
        <w:t>arów wiejskich</w:t>
      </w:r>
      <w:bookmarkEnd w:id="2"/>
      <w:bookmarkEnd w:id="3"/>
    </w:p>
    <w:p w:rsidR="001924CD" w:rsidRPr="00EF56D0" w:rsidRDefault="001924CD" w:rsidP="00923616">
      <w:pPr>
        <w:pStyle w:val="HStandard"/>
        <w:rPr>
          <w:highlight w:val="yellow"/>
        </w:rPr>
      </w:pPr>
      <w:bookmarkStart w:id="4" w:name="_Toc358900244"/>
      <w:r w:rsidRPr="00EF56D0">
        <w:rPr>
          <w:b/>
          <w:highlight w:val="yellow"/>
        </w:rPr>
        <w:t>Krajowe sieci obszarów wiejskich</w:t>
      </w:r>
      <w:r w:rsidRPr="00EF56D0">
        <w:rPr>
          <w:highlight w:val="yellow"/>
        </w:rPr>
        <w:t xml:space="preserve"> (KSOW), które zrzeszają struktury administracyjne i organizacje działające na rzecz rozwoju obszarów wiejskich, powstały w ramach unijnej polityki rozwoju obszarów wiejskich na lata 2007-2013 i zostały przeniesione do okresu programowania 2014-2020. </w:t>
      </w:r>
    </w:p>
    <w:p w:rsidR="001924CD" w:rsidRPr="00EF56D0" w:rsidRDefault="001924CD" w:rsidP="00923616">
      <w:pPr>
        <w:pStyle w:val="HStandard"/>
        <w:rPr>
          <w:highlight w:val="yellow"/>
        </w:rPr>
      </w:pPr>
      <w:r w:rsidRPr="00EF56D0">
        <w:rPr>
          <w:highlight w:val="yellow"/>
        </w:rPr>
        <w:t>Mogą one funkcjonować na zasadzie konkretnej, finansowanej ze środków pomocy technicznej interwencji w ramach jednego programu rozwoju obszarów wiejskich (PROW) lub mieć postać samodzielnego programu z niezależnym budżetem</w:t>
      </w:r>
      <w:r w:rsidRPr="00EF56D0">
        <w:rPr>
          <w:rFonts w:ascii="ZWAdobeF" w:hAnsi="ZWAdobeF"/>
          <w:color w:val="auto"/>
          <w:sz w:val="2"/>
          <w:highlight w:val="yellow"/>
        </w:rPr>
        <w:t>0F</w:t>
      </w:r>
      <w:r w:rsidRPr="00EF56D0">
        <w:rPr>
          <w:rStyle w:val="FootnoteReference"/>
          <w:highlight w:val="yellow"/>
        </w:rPr>
        <w:footnoteReference w:id="1"/>
      </w:r>
      <w:r w:rsidRPr="00EF56D0">
        <w:rPr>
          <w:highlight w:val="yellow"/>
        </w:rPr>
        <w:t xml:space="preserve"> (program krajowej sieci obszarów wiejskich – PKSOW)</w:t>
      </w:r>
      <w:r w:rsidRPr="00EF56D0">
        <w:rPr>
          <w:rFonts w:ascii="ZWAdobeF" w:hAnsi="ZWAdobeF"/>
          <w:color w:val="auto"/>
          <w:sz w:val="2"/>
          <w:highlight w:val="yellow"/>
        </w:rPr>
        <w:t>1F</w:t>
      </w:r>
      <w:r w:rsidRPr="00EF56D0">
        <w:rPr>
          <w:rStyle w:val="FootnoteReference"/>
          <w:highlight w:val="yellow"/>
        </w:rPr>
        <w:footnoteReference w:id="2"/>
      </w:r>
      <w:r w:rsidRPr="00EF56D0">
        <w:rPr>
          <w:highlight w:val="yellow"/>
        </w:rPr>
        <w:t xml:space="preserve">. W okresie programowania 2014-2020 większość sieci KSOW powstało w ramach PROW. Nie dotyczy to Niemiec, Włoch i Francji, gdzie wybrano model PKSOW. </w:t>
      </w:r>
    </w:p>
    <w:p w:rsidR="001924CD" w:rsidRPr="00EF56D0" w:rsidRDefault="001924CD" w:rsidP="00923616">
      <w:pPr>
        <w:pStyle w:val="HStandard"/>
        <w:rPr>
          <w:highlight w:val="yellow"/>
        </w:rPr>
      </w:pPr>
      <w:r w:rsidRPr="00EF56D0">
        <w:rPr>
          <w:b/>
          <w:highlight w:val="yellow"/>
        </w:rPr>
        <w:t>KSOW podlegają monitorowaniu i ewaluacji</w:t>
      </w:r>
      <w:r w:rsidRPr="00EF56D0">
        <w:rPr>
          <w:highlight w:val="yellow"/>
        </w:rPr>
        <w:t xml:space="preserve"> na podobnej zasadzie, jak w poprzednim okresie programowania. Ich osiągnięcia, rezultaty i oddziaływanie wymagają oceny w ce lu poprawy jakości, skuteczności i efektywności funkcjonowania KSOW</w:t>
      </w:r>
      <w:r w:rsidRPr="00EF56D0">
        <w:rPr>
          <w:rFonts w:ascii="ZWAdobeF" w:hAnsi="ZWAdobeF"/>
          <w:color w:val="auto"/>
          <w:sz w:val="2"/>
          <w:highlight w:val="yellow"/>
        </w:rPr>
        <w:t>2F</w:t>
      </w:r>
      <w:r w:rsidRPr="00EF56D0">
        <w:rPr>
          <w:rStyle w:val="FootnoteReference"/>
          <w:highlight w:val="yellow"/>
        </w:rPr>
        <w:footnoteReference w:id="3"/>
      </w:r>
      <w:r w:rsidRPr="00EF56D0">
        <w:rPr>
          <w:highlight w:val="yellow"/>
        </w:rPr>
        <w:t>. Ocena powinna również obejmować wpływ KSOW na kapitał ludzki i społeczny, np. w postaci zacieśniania współpracy sieci wiejskich i lepszego zarządzania na obszarach wiejskich.</w:t>
      </w:r>
    </w:p>
    <w:p w:rsidR="001924CD" w:rsidRPr="00EF56D0" w:rsidRDefault="001924CD" w:rsidP="00923616">
      <w:pPr>
        <w:pStyle w:val="HStandard"/>
        <w:rPr>
          <w:highlight w:val="yellow"/>
        </w:rPr>
      </w:pPr>
      <w:r w:rsidRPr="00EF56D0">
        <w:rPr>
          <w:b/>
          <w:highlight w:val="yellow"/>
        </w:rPr>
        <w:t>Plan ewaluacji</w:t>
      </w:r>
      <w:r w:rsidRPr="00EF56D0">
        <w:rPr>
          <w:highlight w:val="yellow"/>
        </w:rPr>
        <w:t xml:space="preserve"> PROW</w:t>
      </w:r>
      <w:r w:rsidRPr="00EF56D0">
        <w:rPr>
          <w:rFonts w:ascii="ZWAdobeF" w:hAnsi="ZWAdobeF"/>
          <w:color w:val="auto"/>
          <w:sz w:val="2"/>
          <w:highlight w:val="yellow"/>
        </w:rPr>
        <w:t>3F</w:t>
      </w:r>
      <w:r w:rsidRPr="00EF56D0">
        <w:rPr>
          <w:rStyle w:val="FootnoteReference"/>
          <w:highlight w:val="yellow"/>
        </w:rPr>
        <w:footnoteReference w:id="4"/>
      </w:r>
      <w:r w:rsidRPr="00EF56D0">
        <w:rPr>
          <w:highlight w:val="yellow"/>
        </w:rPr>
        <w:t xml:space="preserve">, stanowiący obowiązkowy element w latach 2014-2020, określa planowane czynności w zakresie oceny KSOW. PKSOW mają własne plany ewaluacji. </w:t>
      </w:r>
    </w:p>
    <w:p w:rsidR="001924CD" w:rsidRPr="00EF56D0" w:rsidRDefault="001924CD" w:rsidP="006D3475">
      <w:pPr>
        <w:pStyle w:val="HHeading5"/>
        <w:rPr>
          <w:highlight w:val="yellow"/>
        </w:rPr>
      </w:pPr>
      <w:r w:rsidRPr="00EF56D0">
        <w:rPr>
          <w:highlight w:val="yellow"/>
        </w:rPr>
        <w:t xml:space="preserve">Dlaczego potrzebujemy wytycznych dotyczących oceny krajowych sieci obszarów wiejskich? </w:t>
      </w:r>
    </w:p>
    <w:p w:rsidR="001924CD" w:rsidRPr="00EF56D0" w:rsidRDefault="001924CD" w:rsidP="00923616">
      <w:pPr>
        <w:pStyle w:val="HStandard"/>
        <w:rPr>
          <w:highlight w:val="yellow"/>
        </w:rPr>
      </w:pPr>
      <w:r w:rsidRPr="00EF56D0">
        <w:rPr>
          <w:b/>
          <w:highlight w:val="yellow"/>
        </w:rPr>
        <w:t>Doświadczenia z ewaluacji KSOW w poprzednim okresie programowania</w:t>
      </w:r>
      <w:r w:rsidRPr="00EF56D0">
        <w:rPr>
          <w:highlight w:val="yellow"/>
        </w:rPr>
        <w:t xml:space="preserve"> dowodzą, że w wielu przypadkach oceniający przeprowadzający ocenę śródokresową osiągnięć sieci nadal skupiali się na produktach, czyli pozostawali na poziomie monitorowania. Niektóre zaawansowane oceny dotyczyły wkładu KSOW w realizację celów PROW (skuteczność), a także w pewnym stopniu również wartości dodanej działań KSOW. Te doświadczenia z ewaluacji są jednak naznaczone wieloma problemami, przede wszystkim ze względu na ograniczenia w zakresie wytycznych i zdolności zainteresowanych stron.</w:t>
      </w:r>
    </w:p>
    <w:p w:rsidR="001924CD" w:rsidRPr="00EF56D0" w:rsidRDefault="001924CD" w:rsidP="00923616">
      <w:pPr>
        <w:pStyle w:val="HStandard"/>
        <w:rPr>
          <w:highlight w:val="yellow"/>
        </w:rPr>
      </w:pPr>
      <w:r w:rsidRPr="00EF56D0">
        <w:rPr>
          <w:b/>
          <w:highlight w:val="yellow"/>
        </w:rPr>
        <w:t>Analiza ewaluacji KSOW pokazała, że potrzebne jest wsparcie,</w:t>
      </w:r>
      <w:r w:rsidRPr="00EF56D0">
        <w:rPr>
          <w:highlight w:val="yellow"/>
        </w:rPr>
        <w:t xml:space="preserve"> w szczególności w zakresie opracowania spójnej logiki interwencji, określenia odpowiednich wskaźników specyficznych dla programu (zwłaszcza na poziomie rezultatów i oddziaływania), zagadnień koncepcyjnych dotyczących oceny rezultatów/oddziaływania sieci obszarów wiejskich, wpływu na szerzej rozumianą współpracę sieciową, a także wartości dodanej. </w:t>
      </w:r>
    </w:p>
    <w:p w:rsidR="001924CD" w:rsidRPr="00EF56D0" w:rsidRDefault="001924CD" w:rsidP="00923616">
      <w:pPr>
        <w:pStyle w:val="HStandard"/>
        <w:rPr>
          <w:highlight w:val="yellow"/>
        </w:rPr>
      </w:pPr>
      <w:r w:rsidRPr="00EF56D0">
        <w:rPr>
          <w:b/>
          <w:highlight w:val="yellow"/>
        </w:rPr>
        <w:t>Wyzwania związane z ewaluacją KSOW</w:t>
      </w:r>
      <w:r w:rsidRPr="00EF56D0">
        <w:rPr>
          <w:highlight w:val="yellow"/>
        </w:rPr>
        <w:t xml:space="preserve"> zostały uwzględnione w wytycznych dotyczących oceny </w:t>
      </w:r>
      <w:r w:rsidRPr="00EF56D0">
        <w:rPr>
          <w:i/>
          <w:highlight w:val="yellow"/>
        </w:rPr>
        <w:t>ex post</w:t>
      </w:r>
      <w:r w:rsidRPr="00EF56D0">
        <w:rPr>
          <w:highlight w:val="yellow"/>
        </w:rPr>
        <w:t xml:space="preserve"> programów rozwoju obszarów wiejskich na lata 2007-2013. Wytyczne te wraz z dotychczasowymi doświadczeniami mogą być wykorzystane przy ocenie </w:t>
      </w:r>
      <w:r w:rsidRPr="00EF56D0">
        <w:rPr>
          <w:i/>
          <w:highlight w:val="yellow"/>
        </w:rPr>
        <w:t>ex post</w:t>
      </w:r>
      <w:r w:rsidRPr="00EF56D0">
        <w:rPr>
          <w:highlight w:val="yellow"/>
        </w:rPr>
        <w:t xml:space="preserve"> KSOW, która powinna być przeprowadzona pod koniec 2016 r. (w ramach ewaluacji PROW lub na zasadzie samodzielnej oceny). Wyniki oceny </w:t>
      </w:r>
      <w:r w:rsidRPr="00EF56D0">
        <w:rPr>
          <w:i/>
          <w:highlight w:val="yellow"/>
        </w:rPr>
        <w:t>ex post</w:t>
      </w:r>
      <w:r w:rsidRPr="00EF56D0">
        <w:rPr>
          <w:highlight w:val="yellow"/>
        </w:rPr>
        <w:t xml:space="preserve"> mogą posłużyć za punkt odniesienia dla ewaluacji KSOW w 2017 r. </w:t>
      </w:r>
    </w:p>
    <w:p w:rsidR="001924CD" w:rsidRPr="00EF56D0" w:rsidRDefault="001924CD" w:rsidP="00923616">
      <w:pPr>
        <w:pStyle w:val="HStandard"/>
        <w:rPr>
          <w:highlight w:val="yellow"/>
        </w:rPr>
      </w:pPr>
      <w:r w:rsidRPr="00EF56D0">
        <w:rPr>
          <w:b/>
          <w:highlight w:val="yellow"/>
        </w:rPr>
        <w:t>Nowe ramy prawne i wspólny system monitorowania i ewaluacji (CMES) na lata 2014-2020</w:t>
      </w:r>
      <w:r w:rsidRPr="008A4203">
        <w:rPr>
          <w:b/>
        </w:rPr>
        <w:t xml:space="preserve"> przewidują więcej wspólnych elementów</w:t>
      </w:r>
      <w:r w:rsidRPr="008A4203">
        <w:t xml:space="preserve"> do celów opracowania logiki interwencji oraz systemu </w:t>
      </w:r>
      <w:r w:rsidRPr="00EF56D0">
        <w:rPr>
          <w:highlight w:val="yellow"/>
        </w:rPr>
        <w:lastRenderedPageBreak/>
        <w:t xml:space="preserve">monitorowania i ewaluacji KSOW. </w:t>
      </w:r>
      <w:r w:rsidRPr="00EF56D0">
        <w:rPr>
          <w:b/>
          <w:highlight w:val="yellow"/>
        </w:rPr>
        <w:t>Elementy te obejmują wspólne cele KSOW, wspólne grupy działań, wspólne pytania ewaluacyjne</w:t>
      </w:r>
      <w:r w:rsidRPr="00EF56D0">
        <w:rPr>
          <w:rFonts w:ascii="ZWAdobeF" w:hAnsi="ZWAdobeF"/>
          <w:b/>
          <w:color w:val="auto"/>
          <w:sz w:val="2"/>
          <w:highlight w:val="yellow"/>
        </w:rPr>
        <w:t>4F</w:t>
      </w:r>
      <w:r w:rsidRPr="00EF56D0">
        <w:rPr>
          <w:rStyle w:val="FootnoteReference"/>
          <w:b/>
          <w:highlight w:val="yellow"/>
        </w:rPr>
        <w:footnoteReference w:id="5"/>
      </w:r>
      <w:r w:rsidRPr="00EF56D0">
        <w:rPr>
          <w:b/>
          <w:highlight w:val="yellow"/>
        </w:rPr>
        <w:t xml:space="preserve"> i trzy wspólne wskaźniki produktu</w:t>
      </w:r>
      <w:r w:rsidRPr="00EF56D0">
        <w:rPr>
          <w:rFonts w:ascii="ZWAdobeF" w:hAnsi="ZWAdobeF"/>
          <w:b/>
          <w:color w:val="auto"/>
          <w:sz w:val="2"/>
          <w:highlight w:val="yellow"/>
        </w:rPr>
        <w:t>5F</w:t>
      </w:r>
      <w:r w:rsidRPr="00EF56D0">
        <w:rPr>
          <w:rStyle w:val="FootnoteReference"/>
          <w:highlight w:val="yellow"/>
        </w:rPr>
        <w:footnoteReference w:id="6"/>
      </w:r>
      <w:r w:rsidRPr="00EF56D0">
        <w:rPr>
          <w:highlight w:val="yellow"/>
        </w:rPr>
        <w:t xml:space="preserve">. </w:t>
      </w:r>
    </w:p>
    <w:p w:rsidR="001924CD" w:rsidRPr="00EF56D0" w:rsidRDefault="001924CD" w:rsidP="00923616">
      <w:pPr>
        <w:pStyle w:val="HStandard"/>
        <w:rPr>
          <w:highlight w:val="yellow"/>
        </w:rPr>
      </w:pPr>
      <w:r w:rsidRPr="00EF56D0">
        <w:rPr>
          <w:b/>
          <w:highlight w:val="yellow"/>
        </w:rPr>
        <w:t>Oczekuje się, że państwa członkowskie dopracują wspólne elementy ewaluacji zawarte w CMES w celu umożliwienia właściwej oceny KSOW.</w:t>
      </w:r>
      <w:r w:rsidRPr="00EF56D0">
        <w:rPr>
          <w:highlight w:val="yellow"/>
        </w:rPr>
        <w:t xml:space="preserve"> Wspólne elementy, choć stanowią podstawę ewaluacji KSOW, muszą być uzupełnione celami i grupami działań specyficznymi dla programu. Państwa członkowskie muszą również opracować wskaźniki produktu specyficzne dla KSOW, określić pytania ewaluacyjne dla programu oraz ustalić odpowiednie wskaźniki rezultatu i oddziaływania, aby móc mierzyć osiągnięcia KSOW. Takie podejście ma jeszcze większe znaczenie w przypadku, gdy jednostki wsparcia sieci (JWS) podejmą się przeprowadzenia samodzielnej ewaluacji KSOW.</w:t>
      </w:r>
    </w:p>
    <w:p w:rsidR="001924CD" w:rsidRPr="00EF56D0" w:rsidRDefault="001924CD" w:rsidP="003E7D43">
      <w:pPr>
        <w:pStyle w:val="HHeading5"/>
        <w:rPr>
          <w:highlight w:val="yellow"/>
        </w:rPr>
      </w:pPr>
      <w:r w:rsidRPr="00EF56D0">
        <w:rPr>
          <w:highlight w:val="yellow"/>
        </w:rPr>
        <w:t>Kto i w jaki sposób opracował niniejsze wytyczne?</w:t>
      </w:r>
    </w:p>
    <w:p w:rsidR="001924CD" w:rsidRPr="00EF56D0" w:rsidRDefault="001924CD" w:rsidP="00923616">
      <w:pPr>
        <w:pStyle w:val="HStandard"/>
        <w:rPr>
          <w:highlight w:val="yellow"/>
        </w:rPr>
      </w:pPr>
      <w:r w:rsidRPr="00EF56D0">
        <w:rPr>
          <w:b/>
          <w:highlight w:val="yellow"/>
        </w:rPr>
        <w:t>Europejskie Biuro Pomocy ds. Ewaluacji Rozwoju Obszarów Wiejskich (European Evaluation Helpdesk for Rural Development)</w:t>
      </w:r>
      <w:r w:rsidRPr="00EF56D0">
        <w:rPr>
          <w:highlight w:val="yellow"/>
        </w:rPr>
        <w:t xml:space="preserve"> </w:t>
      </w:r>
      <w:r w:rsidRPr="00EF56D0">
        <w:rPr>
          <w:b/>
          <w:highlight w:val="yellow"/>
        </w:rPr>
        <w:t>powołało do życia tematyczną grupę roboczą</w:t>
      </w:r>
      <w:r w:rsidRPr="00EF56D0">
        <w:rPr>
          <w:highlight w:val="yellow"/>
        </w:rPr>
        <w:t>, aby zapewnić zainteresowanym stronom wsparcie przy realizacji zadań koniecznych w celu przygotowania i przeprowadzenia ewaluacji KSOW. Owocem prac tematycznej grupy roboczej są niniejsze wytyczne. Stanowią one uzupełnienie dotychczasowych wytycznych w zakresie ewaluacji</w:t>
      </w:r>
      <w:r w:rsidRPr="00EF56D0">
        <w:rPr>
          <w:rFonts w:ascii="ZWAdobeF" w:hAnsi="ZWAdobeF"/>
          <w:color w:val="auto"/>
          <w:sz w:val="2"/>
          <w:highlight w:val="yellow"/>
        </w:rPr>
        <w:t>6F</w:t>
      </w:r>
      <w:r w:rsidRPr="00EF56D0">
        <w:rPr>
          <w:rStyle w:val="FootnoteReference"/>
          <w:highlight w:val="yellow"/>
        </w:rPr>
        <w:footnoteReference w:id="7"/>
      </w:r>
      <w:r w:rsidRPr="00EF56D0">
        <w:rPr>
          <w:highlight w:val="yellow"/>
        </w:rPr>
        <w:t xml:space="preserve"> dla okresu programowania 2014-2020 i są w pełni z nimi zgodne. </w:t>
      </w:r>
    </w:p>
    <w:p w:rsidR="001924CD" w:rsidRPr="00EF56D0" w:rsidRDefault="001924CD" w:rsidP="003E7D43">
      <w:pPr>
        <w:pStyle w:val="HStandard"/>
        <w:rPr>
          <w:highlight w:val="yellow"/>
        </w:rPr>
      </w:pPr>
      <w:r w:rsidRPr="00EF56D0">
        <w:rPr>
          <w:b/>
          <w:highlight w:val="yellow"/>
        </w:rPr>
        <w:t>Wytyczne dotyczące ewaluacji krajowych sieci obszarów wiejskich na lata 2014-2020 zostały opracowane przez zespół ekspertów ds. ewaluacji</w:t>
      </w:r>
      <w:r w:rsidRPr="00EF56D0">
        <w:rPr>
          <w:highlight w:val="yellow"/>
        </w:rPr>
        <w:t xml:space="preserve"> Europejskiego Biura Pomocy ds. Ewaluacji Obszarów Wiejskich (Sari Rannanpää, Marili Parissaki, Robert Lukesch, Magda Porta, Jela Tvrdonova and Hannes Wimmer). Przedstawiciele DG ds. Rolnictwa i Rozwoju Obszarów Wiejskich zapewnili spójność wytycznych z polityką UE. Przedstawiciele państw członkowskich wyrazili uwagi na temat projektu wytycznych podczas siódmego i ósmego posiedzenia grupy ekspertów ds. monitorowania i ewaluacji WPR oraz posiedzenia zespołu konsultacyjnego</w:t>
      </w:r>
      <w:r w:rsidRPr="00EF56D0">
        <w:rPr>
          <w:rFonts w:ascii="ZWAdobeF" w:hAnsi="ZWAdobeF"/>
          <w:color w:val="auto"/>
          <w:sz w:val="2"/>
          <w:highlight w:val="yellow"/>
        </w:rPr>
        <w:t>7F</w:t>
      </w:r>
      <w:r w:rsidRPr="00EF56D0">
        <w:rPr>
          <w:rStyle w:val="FootnoteReference"/>
          <w:highlight w:val="yellow"/>
        </w:rPr>
        <w:footnoteReference w:id="8"/>
      </w:r>
      <w:r w:rsidRPr="00EF56D0">
        <w:rPr>
          <w:highlight w:val="yellow"/>
        </w:rPr>
        <w:t xml:space="preserve">. Uwzględniono również uwagi zgłoszone na piśmie. Członkom krajowych sieci obszarów wiejskich, a także punktu kontaktowego Europejskiej Sieci na rzecz Rozwoju Obszarów Wiejskich (ENRD) zostały przedstawione główne punkty podczas szeregu spotkań, a zgłoszone przez nich uwagi wniosły ważny wkład w dopracowanie treści wytycznych. </w:t>
      </w:r>
    </w:p>
    <w:p w:rsidR="001924CD" w:rsidRPr="00EF56D0" w:rsidRDefault="001924CD" w:rsidP="00923616">
      <w:pPr>
        <w:pStyle w:val="HStandard"/>
        <w:rPr>
          <w:highlight w:val="yellow"/>
        </w:rPr>
      </w:pPr>
      <w:r w:rsidRPr="00EF56D0">
        <w:rPr>
          <w:highlight w:val="yellow"/>
        </w:rPr>
        <w:t>Niniejsze wytyczne mają stanowić pomoc dla zainteresowanych stron w państwach członkowskich przy opracowywaniu logiki interwencji KSOW, ocenie ich skuteczności i efektywności, a także wartości dodanej KSOW w całym okresie programowania.</w:t>
      </w:r>
    </w:p>
    <w:p w:rsidR="001924CD" w:rsidRPr="00EF56D0" w:rsidRDefault="001924CD" w:rsidP="006D3475">
      <w:pPr>
        <w:pStyle w:val="HHeading5"/>
        <w:rPr>
          <w:highlight w:val="yellow"/>
        </w:rPr>
      </w:pPr>
      <w:r w:rsidRPr="00EF56D0">
        <w:rPr>
          <w:highlight w:val="yellow"/>
        </w:rPr>
        <w:t>Do kogo skierowane są wytyczne?</w:t>
      </w:r>
    </w:p>
    <w:p w:rsidR="001924CD" w:rsidRPr="00EF56D0" w:rsidRDefault="001924CD" w:rsidP="00923616">
      <w:pPr>
        <w:pStyle w:val="HStandard"/>
        <w:rPr>
          <w:highlight w:val="yellow"/>
        </w:rPr>
      </w:pPr>
      <w:bookmarkStart w:id="5" w:name="_Toc358900248"/>
      <w:bookmarkEnd w:id="4"/>
      <w:r w:rsidRPr="00EF56D0">
        <w:rPr>
          <w:highlight w:val="yellow"/>
        </w:rPr>
        <w:t>Wytyczne dotyczące ewaluacji KSOW zostały opracowane dla różnych grup zainteresowanych stron zaangażowanych w rozwój obszarów wiejskich:</w:t>
      </w:r>
    </w:p>
    <w:p w:rsidR="001924CD" w:rsidRPr="00EF56D0" w:rsidRDefault="001924CD" w:rsidP="008A261C">
      <w:pPr>
        <w:pStyle w:val="Hlistbullet"/>
        <w:rPr>
          <w:highlight w:val="yellow"/>
        </w:rPr>
      </w:pPr>
      <w:r w:rsidRPr="00EF56D0">
        <w:rPr>
          <w:b/>
          <w:highlight w:val="yellow"/>
        </w:rPr>
        <w:t>Przedstawiciele instytucji zarządzających</w:t>
      </w:r>
      <w:r w:rsidRPr="00EF56D0">
        <w:rPr>
          <w:highlight w:val="yellow"/>
        </w:rPr>
        <w:t xml:space="preserve"> znajdą tu informacje na temat celów i zakresu ewaluacji KSOW, w tym wykaz przepisów obowiązujących państwa członkowskie/regiony. Otrzymają ponadto wskazówki i praktyczne narzędzia, które pomogą im w całym procesie zarządzania, koordynacji i kierowania ewaluacją KSOW, jak również rozpowszechniania jej wyników.</w:t>
      </w:r>
    </w:p>
    <w:p w:rsidR="001924CD" w:rsidRPr="00EF56D0" w:rsidRDefault="001924CD" w:rsidP="008A261C">
      <w:pPr>
        <w:pStyle w:val="Hlistbullet"/>
        <w:rPr>
          <w:highlight w:val="yellow"/>
        </w:rPr>
      </w:pPr>
      <w:r w:rsidRPr="00EF56D0">
        <w:rPr>
          <w:b/>
          <w:highlight w:val="yellow"/>
        </w:rPr>
        <w:lastRenderedPageBreak/>
        <w:t>Ewaluatorzy</w:t>
      </w:r>
      <w:r w:rsidRPr="00EF56D0">
        <w:rPr>
          <w:highlight w:val="yellow"/>
        </w:rPr>
        <w:t xml:space="preserve"> znajdą tu szczegółowe wyjaśnienie przepisów prawa i uzasadnienie wymogów, aby dać im pojęcie o istocie stojącego przed nimi zadania. Wytyczne wyjaśniają także rolę i proces opracowywania pytań ewaluacyjnych i wskaźników, jak również zawierają propozycję metodologii ewaluacji i gromadzenia dowodów do celów oceny skutków funkcjonowania sieci. </w:t>
      </w:r>
    </w:p>
    <w:p w:rsidR="001924CD" w:rsidRPr="00EF56D0" w:rsidRDefault="001924CD" w:rsidP="008A261C">
      <w:pPr>
        <w:pStyle w:val="Hlistbullet"/>
        <w:rPr>
          <w:highlight w:val="yellow"/>
        </w:rPr>
      </w:pPr>
      <w:r w:rsidRPr="00EF56D0">
        <w:rPr>
          <w:b/>
          <w:highlight w:val="yellow"/>
        </w:rPr>
        <w:t>Podmioty zaangażowane w prowadzenie KSOW</w:t>
      </w:r>
      <w:r w:rsidRPr="00EF56D0">
        <w:rPr>
          <w:highlight w:val="yellow"/>
        </w:rPr>
        <w:t>, takie jak JWS, agencja płatnicza, organy wykonawcze, komitet monitorujący, organy koordynacyjne i członkowie sieci (LGD, regionalne instytucje zarządzające w przypadku PKSOW i beneficjenci) mogą korzystać z wytycznych na zasadzie źródła informacji przy gromadzeniu danych/informacji do celów ewaluacji.</w:t>
      </w:r>
    </w:p>
    <w:p w:rsidR="001924CD" w:rsidRPr="00EF56D0" w:rsidRDefault="001924CD" w:rsidP="008A261C">
      <w:pPr>
        <w:pStyle w:val="Hlistbullet"/>
        <w:rPr>
          <w:highlight w:val="yellow"/>
        </w:rPr>
      </w:pPr>
      <w:r w:rsidRPr="00EF56D0">
        <w:rPr>
          <w:b/>
          <w:highlight w:val="yellow"/>
        </w:rPr>
        <w:t>Urzędnicy DG ds. Rolnictwa i Rozwoju Obszarów Wiejskich</w:t>
      </w:r>
      <w:r w:rsidRPr="00EF56D0">
        <w:rPr>
          <w:highlight w:val="yellow"/>
        </w:rPr>
        <w:t xml:space="preserve"> zajmujący się kwestiami PROW i PKSOW, dla których wytyczne mogą stanowić pomoc dzięki zebraniu w jednym miejscu informacji na temat celów i zadań dotyczących ewaluacji sieci.</w:t>
      </w:r>
    </w:p>
    <w:p w:rsidR="001924CD" w:rsidRPr="00EF56D0" w:rsidRDefault="001924CD" w:rsidP="008A261C">
      <w:pPr>
        <w:pStyle w:val="Hlistbullet2"/>
        <w:rPr>
          <w:highlight w:val="yellow"/>
        </w:rPr>
      </w:pPr>
      <w:r w:rsidRPr="00EF56D0">
        <w:rPr>
          <w:b/>
          <w:highlight w:val="yellow"/>
        </w:rPr>
        <w:t>Inni interesariusze</w:t>
      </w:r>
      <w:r w:rsidRPr="00EF56D0">
        <w:rPr>
          <w:highlight w:val="yellow"/>
        </w:rPr>
        <w:t xml:space="preserve">, którzy mogą być zainteresowani tematyką ewaluacji sieci obszarów wiejskich w UE. </w:t>
      </w:r>
    </w:p>
    <w:p w:rsidR="001924CD" w:rsidRPr="00EF56D0" w:rsidRDefault="001924CD" w:rsidP="006D3475">
      <w:pPr>
        <w:pStyle w:val="HHeading5"/>
        <w:rPr>
          <w:highlight w:val="yellow"/>
        </w:rPr>
      </w:pPr>
      <w:r w:rsidRPr="00EF56D0">
        <w:rPr>
          <w:highlight w:val="yellow"/>
        </w:rPr>
        <w:t>Jaka jest struktura wytycznych dotyczących ewaluacji KSOW?</w:t>
      </w:r>
    </w:p>
    <w:bookmarkEnd w:id="5"/>
    <w:p w:rsidR="001924CD" w:rsidRPr="00EF56D0" w:rsidRDefault="001924CD" w:rsidP="00923616">
      <w:pPr>
        <w:pStyle w:val="HStandard"/>
        <w:rPr>
          <w:highlight w:val="yellow"/>
        </w:rPr>
      </w:pPr>
      <w:r w:rsidRPr="00EF56D0">
        <w:rPr>
          <w:highlight w:val="yellow"/>
        </w:rPr>
        <w:t xml:space="preserve">Wytyczne dotyczące ewaluacji KSOW zostały podzielone na trzy części, do których znajdują się odsyłacze w tekście. </w:t>
      </w:r>
    </w:p>
    <w:p w:rsidR="001924CD" w:rsidRPr="00EF56D0" w:rsidRDefault="001924CD" w:rsidP="003722C4">
      <w:pPr>
        <w:pStyle w:val="HStandard"/>
        <w:rPr>
          <w:highlight w:val="yellow"/>
        </w:rPr>
      </w:pPr>
      <w:r w:rsidRPr="00EF56D0">
        <w:rPr>
          <w:b/>
          <w:color w:val="E7E6E6" w:themeColor="background2"/>
          <w:highlight w:val="yellow"/>
        </w:rPr>
        <w:t>CZĘŚĆ I</w:t>
      </w:r>
      <w:r w:rsidRPr="00EF56D0">
        <w:rPr>
          <w:highlight w:val="yellow"/>
        </w:rPr>
        <w:t xml:space="preserve"> dotyczy głównie instytucji zarządzających i jednostek JWS jako zamawiających ewaluację KSOW, ale także innych podmiotów mających interes w planowaniu i opracowywaniu ewaluacji KSOW. Wyjaśnione są tu role i obowiązki wszystkich zainteresowanych stron, które są lub mogą być zaangażowane w ewaluację KSOW. Opisano także główne etapy ewaluacji KSOW, takie jak planowanie, przygotowanie i przeprowadzenie ewaluacji, a także rozpowszechnianie, komunikowanie i monitorowanie jej wyników.</w:t>
      </w:r>
    </w:p>
    <w:p w:rsidR="001924CD" w:rsidRPr="00EF56D0" w:rsidRDefault="001924CD" w:rsidP="00923616">
      <w:pPr>
        <w:pStyle w:val="HStandard"/>
        <w:rPr>
          <w:highlight w:val="yellow"/>
        </w:rPr>
      </w:pPr>
      <w:r w:rsidRPr="00EF56D0">
        <w:rPr>
          <w:b/>
          <w:color w:val="E7E6E6" w:themeColor="background2"/>
          <w:highlight w:val="yellow"/>
        </w:rPr>
        <w:t>CZĘŚĆ II</w:t>
      </w:r>
      <w:r w:rsidRPr="00EF56D0">
        <w:rPr>
          <w:color w:val="E7E6E6" w:themeColor="background2"/>
          <w:highlight w:val="yellow"/>
        </w:rPr>
        <w:t xml:space="preserve"> </w:t>
      </w:r>
      <w:r w:rsidRPr="00EF56D0">
        <w:rPr>
          <w:highlight w:val="yellow"/>
        </w:rPr>
        <w:t xml:space="preserve">zawiera wskazówki dotyczące dwóch wariantów ewaluacji KSOW: (1) ewaluacji KSOW jako części pomocy technicznej w ramach PROW; (2) ewaluacji „samodzielnej”, która obejmuje ocenę programu KSOW (PKSOW), lub ewaluacji samodzielnej KSOW, nawet jeśli sieć stanowi część PROW (na zasadzie samodzielnego tematu oceny). Zawiera ona informacje na temat zasad strukturyzacji, obserwacji, analizy i oceny w procesie ewaluacji KSOW, a także poszczególnych etapów, jakie należy uwzględnić w tym procesie. </w:t>
      </w:r>
    </w:p>
    <w:p w:rsidR="001924CD" w:rsidRPr="00EF56D0" w:rsidRDefault="001924CD" w:rsidP="00923616">
      <w:pPr>
        <w:pStyle w:val="HStandard"/>
        <w:rPr>
          <w:highlight w:val="yellow"/>
        </w:rPr>
      </w:pPr>
      <w:r w:rsidRPr="00EF56D0">
        <w:rPr>
          <w:b/>
          <w:color w:val="E7E6E6" w:themeColor="background2"/>
          <w:highlight w:val="yellow"/>
        </w:rPr>
        <w:t>CZĘŚĆ III</w:t>
      </w:r>
      <w:r w:rsidRPr="00EF56D0">
        <w:rPr>
          <w:color w:val="E7E6E6" w:themeColor="background2"/>
          <w:highlight w:val="yellow"/>
        </w:rPr>
        <w:t xml:space="preserve"> </w:t>
      </w:r>
      <w:r w:rsidRPr="00EF56D0">
        <w:rPr>
          <w:highlight w:val="yellow"/>
        </w:rPr>
        <w:t xml:space="preserve">(Zestaw narzędzi) zawiera orientacyjny szablon specyfikacji istotnych warunków zamówienia dla ewaluacji KSOW w trakcie okresu programowania, a także przykłady łańcuchów produkt–rezultat–oddziaływanie. </w:t>
      </w:r>
    </w:p>
    <w:p w:rsidR="001924CD" w:rsidRPr="00EF56D0" w:rsidRDefault="001924CD" w:rsidP="00680DA9">
      <w:pPr>
        <w:pStyle w:val="HHeading2"/>
        <w:rPr>
          <w:highlight w:val="yellow"/>
        </w:rPr>
      </w:pPr>
      <w:bookmarkStart w:id="6" w:name="_Toc453079747"/>
      <w:bookmarkStart w:id="7" w:name="_Toc461807108"/>
      <w:r w:rsidRPr="00EF56D0">
        <w:rPr>
          <w:highlight w:val="yellow"/>
        </w:rPr>
        <w:t>Sieci i współpraca sieciowa (networking) w unijnej polityce rozwoju obszarów wiejskich</w:t>
      </w:r>
      <w:bookmarkEnd w:id="6"/>
      <w:bookmarkEnd w:id="7"/>
      <w:r w:rsidRPr="00EF56D0">
        <w:rPr>
          <w:highlight w:val="yellow"/>
        </w:rPr>
        <w:t xml:space="preserve"> </w:t>
      </w:r>
    </w:p>
    <w:p w:rsidR="001924CD" w:rsidRPr="00EF56D0" w:rsidRDefault="001924CD" w:rsidP="00923616">
      <w:pPr>
        <w:pStyle w:val="HStandard"/>
        <w:rPr>
          <w:highlight w:val="yellow"/>
        </w:rPr>
      </w:pPr>
      <w:r w:rsidRPr="00EF56D0">
        <w:rPr>
          <w:b/>
          <w:highlight w:val="yellow"/>
        </w:rPr>
        <w:t>Unia Europejska docenia znaczenie tworzenia sieci kontaktów na obszarach wiejskich.</w:t>
      </w:r>
      <w:r w:rsidRPr="00EF56D0">
        <w:rPr>
          <w:highlight w:val="yellow"/>
        </w:rPr>
        <w:t xml:space="preserve"> Sieci i współpraca sieciowa pomiędzy podmiotami zaangażowanymi w rozwój obszarów wiejskich zostały wprowadzone w 2007 r. na zasadzie instrumentu wspierającego wdrażanie unijnej polityki rozwoju obszarów wiejskich. Pozytywne doświadczenia z funkcjonowania krajowych sieci obszarów wiejskich oraz Europejskiej Sieci na rzecz Rozwoju Obszarów Wiejskich w okresie programowania 2007–2013 przełożyły się na jeszcze większe wsparcie dla współpracy sieciowej w latach 2014–2020 poprzez zaangażowanie większej liczby zainteresowanych stron i ułatwienie podejmowania większej liczby działań na szczeblu państw członkowskich i UE. Współpraca sieciowa stała się również podstawowym instrumentem wspierania innowacji we wszystkich obszarach polityki UE.</w:t>
      </w:r>
    </w:p>
    <w:p w:rsidR="001924CD" w:rsidRPr="008A4203" w:rsidRDefault="001924CD" w:rsidP="00923616">
      <w:pPr>
        <w:pStyle w:val="HStandard"/>
      </w:pPr>
      <w:r w:rsidRPr="00EF56D0">
        <w:rPr>
          <w:b/>
          <w:highlight w:val="yellow"/>
        </w:rPr>
        <w:t>Sieci i współpraca sieciowa od zawsze są ogromnie skutecznym narzędziem uczenia się i poprawy dobrobytu na obszarach wiejskich.</w:t>
      </w:r>
      <w:r w:rsidRPr="00EF56D0">
        <w:rPr>
          <w:highlight w:val="yellow"/>
        </w:rPr>
        <w:t xml:space="preserve"> Sieci pomagają tworzyć i pomnażać nowy kapitał społeczny, taki jak poczucie wspólnoty, zmiana zachowań, rozwijanie wspólnych zdolności, nowej wiedzy i umiejętności, wytwarzanie i wymiana dóbr i usług, wspieranie innowacyjności oraz zwiększenie zaufania wśród członków sieci.</w:t>
      </w:r>
      <w:r w:rsidRPr="008A4203">
        <w:t xml:space="preserve"> </w:t>
      </w:r>
    </w:p>
    <w:p w:rsidR="001924CD" w:rsidRPr="00EF56D0" w:rsidRDefault="001924CD" w:rsidP="006D3475">
      <w:pPr>
        <w:pStyle w:val="HHeading5"/>
        <w:rPr>
          <w:highlight w:val="yellow"/>
        </w:rPr>
      </w:pPr>
      <w:r w:rsidRPr="00EF56D0">
        <w:rPr>
          <w:highlight w:val="yellow"/>
        </w:rPr>
        <w:lastRenderedPageBreak/>
        <w:t>Definicja sieci</w:t>
      </w:r>
    </w:p>
    <w:p w:rsidR="001924CD" w:rsidRPr="00EF56D0" w:rsidRDefault="001924CD" w:rsidP="00923616">
      <w:pPr>
        <w:pStyle w:val="HStandard"/>
        <w:rPr>
          <w:highlight w:val="yellow"/>
        </w:rPr>
      </w:pPr>
      <w:r w:rsidRPr="00EF56D0">
        <w:rPr>
          <w:b/>
          <w:highlight w:val="yellow"/>
        </w:rPr>
        <w:t>Określenie, czym jest sieć, ma zasadnicze znaczenie</w:t>
      </w:r>
      <w:r w:rsidRPr="00EF56D0">
        <w:rPr>
          <w:highlight w:val="yellow"/>
        </w:rPr>
        <w:t xml:space="preserve"> przy wykorzystywaniu sieci jako instrumentu wsparcia wdrażania polityki rozwoju obszarów wiejskich oraz przy ocenie realizacji celów sieci. W literaturze naukowej sieć jest definiowana jako „pajęczyna kontaktów”, która składa się z szeregu podmiotów, takich jak organizacje, grupy lub osoby (węzłów) oraz ze związków i zależności między nimi (połączeń)</w:t>
      </w:r>
      <w:r w:rsidRPr="00EF56D0">
        <w:rPr>
          <w:rFonts w:ascii="ZWAdobeF" w:hAnsi="ZWAdobeF"/>
          <w:color w:val="auto"/>
          <w:sz w:val="2"/>
          <w:highlight w:val="yellow"/>
        </w:rPr>
        <w:t>8F</w:t>
      </w:r>
      <w:r w:rsidRPr="00EF56D0">
        <w:rPr>
          <w:rStyle w:val="FootnoteReference"/>
          <w:highlight w:val="yellow"/>
        </w:rPr>
        <w:footnoteReference w:id="9"/>
      </w:r>
      <w:r w:rsidRPr="00EF56D0">
        <w:rPr>
          <w:highlight w:val="yellow"/>
        </w:rPr>
        <w:t>.</w:t>
      </w:r>
    </w:p>
    <w:p w:rsidR="001924CD" w:rsidRPr="00EF56D0" w:rsidRDefault="001924CD" w:rsidP="00923616">
      <w:pPr>
        <w:pStyle w:val="HStandard"/>
        <w:rPr>
          <w:highlight w:val="yellow"/>
        </w:rPr>
      </w:pPr>
      <w:r w:rsidRPr="00EF56D0">
        <w:rPr>
          <w:highlight w:val="yellow"/>
        </w:rPr>
        <w:t>Sieć może być nieformalna lub formalna</w:t>
      </w:r>
      <w:r w:rsidRPr="00EF56D0">
        <w:rPr>
          <w:rFonts w:ascii="ZWAdobeF" w:hAnsi="ZWAdobeF"/>
          <w:color w:val="auto"/>
          <w:sz w:val="2"/>
          <w:highlight w:val="yellow"/>
        </w:rPr>
        <w:t>9F</w:t>
      </w:r>
      <w:r w:rsidRPr="00EF56D0">
        <w:rPr>
          <w:rStyle w:val="FootnoteReference"/>
          <w:highlight w:val="yellow"/>
        </w:rPr>
        <w:footnoteReference w:id="10"/>
      </w:r>
      <w:r w:rsidRPr="00EF56D0">
        <w:rPr>
          <w:highlight w:val="yellow"/>
        </w:rPr>
        <w:t xml:space="preserve">: </w:t>
      </w:r>
    </w:p>
    <w:p w:rsidR="001924CD" w:rsidRPr="00EF56D0" w:rsidRDefault="001924CD" w:rsidP="005368DC">
      <w:pPr>
        <w:pStyle w:val="Hlistbullet2"/>
        <w:rPr>
          <w:color w:val="262626"/>
          <w:highlight w:val="yellow"/>
        </w:rPr>
      </w:pPr>
      <w:r w:rsidRPr="00EF56D0">
        <w:rPr>
          <w:b/>
          <w:highlight w:val="yellow"/>
        </w:rPr>
        <w:t>Sieci nieformalne</w:t>
      </w:r>
      <w:r w:rsidRPr="00EF56D0">
        <w:rPr>
          <w:highlight w:val="yellow"/>
        </w:rPr>
        <w:t xml:space="preserve"> mają zazwyczaj oddolny charakter i są tworzone przez osoby fizyczne w oparciu o wspólny interes. Z reguły rozwijają się one w sposób naturalny, bez określonych z góry środków lub zasad funkcjonowania (ewentualnie z wyjątkiem norm społecznych</w:t>
      </w:r>
      <w:r w:rsidRPr="00EF56D0">
        <w:rPr>
          <w:color w:val="262626"/>
          <w:highlight w:val="yellow"/>
        </w:rPr>
        <w:t xml:space="preserve">), a podstawą ich istnienia jest wartość dodana, jakiej oczekują członkowie poprzez dążenie do wspólnego celu (np. grupa rolników, których celem jest poprawa dostępu do rynku), </w:t>
      </w:r>
    </w:p>
    <w:p w:rsidR="001924CD" w:rsidRPr="00EF56D0" w:rsidRDefault="001924CD" w:rsidP="00923616">
      <w:pPr>
        <w:pStyle w:val="Hlistbullet2"/>
        <w:rPr>
          <w:highlight w:val="yellow"/>
        </w:rPr>
      </w:pPr>
      <w:r w:rsidRPr="00EF56D0">
        <w:rPr>
          <w:b/>
          <w:highlight w:val="yellow"/>
        </w:rPr>
        <w:t>Sieci formalne</w:t>
      </w:r>
      <w:r w:rsidRPr="00EF56D0">
        <w:rPr>
          <w:highlight w:val="yellow"/>
        </w:rPr>
        <w:t xml:space="preserve"> cechują się zazwyczaj wyraźnie określonym celem, środkami i zasadami funkcjonowania. Sieci formalne mogą mieć zarówno charakter odgórnie określonej lub narzuconej przez organ władzy struktury (np. sieci polityczne</w:t>
      </w:r>
      <w:r w:rsidRPr="00EF56D0">
        <w:rPr>
          <w:rFonts w:ascii="ZWAdobeF" w:hAnsi="ZWAdobeF"/>
          <w:color w:val="auto"/>
          <w:sz w:val="2"/>
          <w:highlight w:val="yellow"/>
        </w:rPr>
        <w:t>10F</w:t>
      </w:r>
      <w:r w:rsidRPr="00EF56D0">
        <w:rPr>
          <w:rStyle w:val="FootnoteReference"/>
          <w:highlight w:val="yellow"/>
        </w:rPr>
        <w:footnoteReference w:id="11"/>
      </w:r>
      <w:r w:rsidRPr="00EF56D0">
        <w:rPr>
          <w:highlight w:val="yellow"/>
        </w:rPr>
        <w:t xml:space="preserve">), jak i mogą wyłonić się w procesie oddolnym i zostać sformalizowane w drodze rejestracji i formalnego uznania przez właściwy organ (np. ministerstwo, agencje państwowe itp.). </w:t>
      </w:r>
    </w:p>
    <w:p w:rsidR="001924CD" w:rsidRPr="00EF56D0" w:rsidRDefault="001924CD" w:rsidP="00624AFC">
      <w:pPr>
        <w:pStyle w:val="HHeading5"/>
        <w:rPr>
          <w:highlight w:val="yellow"/>
        </w:rPr>
      </w:pPr>
      <w:r w:rsidRPr="00EF56D0">
        <w:rPr>
          <w:highlight w:val="yellow"/>
        </w:rPr>
        <w:t>Sieci obszarów wiejskich w UE</w:t>
      </w:r>
    </w:p>
    <w:p w:rsidR="001924CD" w:rsidRPr="00EF56D0" w:rsidRDefault="001924CD" w:rsidP="00923616">
      <w:pPr>
        <w:pStyle w:val="HStandard"/>
        <w:rPr>
          <w:highlight w:val="yellow"/>
        </w:rPr>
      </w:pPr>
      <w:r w:rsidRPr="00EF56D0">
        <w:rPr>
          <w:highlight w:val="yellow"/>
        </w:rPr>
        <w:t>Sieci obszarów wiejskich w UE łączą oba te warianty: formalny i nieformalny. Są one formalnie powoływane przez organy władzy i działają w warunkach obszarów wiejskich. Zgodnie z celami polityki UE sieci obszarów wiejskich przyczyniają się do rozwoju tych obszarów.</w:t>
      </w:r>
    </w:p>
    <w:p w:rsidR="001924CD" w:rsidRPr="00EF56D0" w:rsidRDefault="001924CD" w:rsidP="005368DC">
      <w:pPr>
        <w:pStyle w:val="Hlistbullet2"/>
        <w:rPr>
          <w:highlight w:val="yellow"/>
        </w:rPr>
      </w:pPr>
      <w:r w:rsidRPr="00EF56D0">
        <w:rPr>
          <w:b/>
          <w:highlight w:val="yellow"/>
        </w:rPr>
        <w:t>Europejska Sieć na rzecz Rozwoju Obszarów Wiejskich</w:t>
      </w:r>
      <w:r w:rsidRPr="00EF56D0">
        <w:rPr>
          <w:highlight w:val="yellow"/>
        </w:rPr>
        <w:t xml:space="preserve"> (ENRD) została ustanowiona aktem prawnym</w:t>
      </w:r>
      <w:r w:rsidRPr="00EF56D0">
        <w:rPr>
          <w:rFonts w:ascii="ZWAdobeF" w:hAnsi="ZWAdobeF"/>
          <w:color w:val="auto"/>
          <w:sz w:val="2"/>
          <w:highlight w:val="yellow"/>
        </w:rPr>
        <w:t>11F</w:t>
      </w:r>
      <w:r w:rsidRPr="00EF56D0">
        <w:rPr>
          <w:rStyle w:val="FootnoteReference"/>
          <w:highlight w:val="yellow"/>
        </w:rPr>
        <w:footnoteReference w:id="12"/>
      </w:r>
      <w:r w:rsidRPr="00EF56D0">
        <w:rPr>
          <w:highlight w:val="yellow"/>
        </w:rPr>
        <w:t xml:space="preserve"> „w celu objęcia jedną siecią sieci krajowych, organizacji i struktur administracyjnych działających w dziedzinie rozwoju obszarów wiejskich na poziomie Unii”. </w:t>
      </w:r>
    </w:p>
    <w:p w:rsidR="001924CD" w:rsidRPr="00EF56D0" w:rsidRDefault="001924CD" w:rsidP="005368DC">
      <w:pPr>
        <w:pStyle w:val="Hlistbullet2"/>
        <w:rPr>
          <w:highlight w:val="yellow"/>
        </w:rPr>
      </w:pPr>
      <w:r w:rsidRPr="00EF56D0">
        <w:rPr>
          <w:b/>
          <w:highlight w:val="yellow"/>
        </w:rPr>
        <w:t>Krajowe sieci obszarów wiejskich</w:t>
      </w:r>
      <w:r w:rsidRPr="00EF56D0">
        <w:rPr>
          <w:highlight w:val="yellow"/>
        </w:rPr>
        <w:t xml:space="preserve"> są ponadto definiowane jako sieci „skupiające organizacje i struktury administracyjne zaangażowane w rozwój obszarów wiejskich”</w:t>
      </w:r>
      <w:r w:rsidRPr="00EF56D0">
        <w:rPr>
          <w:rFonts w:ascii="ZWAdobeF" w:hAnsi="ZWAdobeF"/>
          <w:color w:val="auto"/>
          <w:sz w:val="2"/>
          <w:highlight w:val="yellow"/>
        </w:rPr>
        <w:t>12F</w:t>
      </w:r>
      <w:r w:rsidRPr="00EF56D0">
        <w:rPr>
          <w:rStyle w:val="FootnoteReference"/>
          <w:highlight w:val="yellow"/>
        </w:rPr>
        <w:footnoteReference w:id="13"/>
      </w:r>
      <w:r w:rsidRPr="00EF56D0">
        <w:rPr>
          <w:highlight w:val="yellow"/>
        </w:rPr>
        <w:t xml:space="preserve"> w państwach członkowskich. </w:t>
      </w:r>
    </w:p>
    <w:p w:rsidR="001924CD" w:rsidRPr="00EF56D0" w:rsidRDefault="001924CD" w:rsidP="005368DC">
      <w:pPr>
        <w:pStyle w:val="Hlistbullet2"/>
        <w:rPr>
          <w:highlight w:val="yellow"/>
        </w:rPr>
      </w:pPr>
      <w:r w:rsidRPr="00EF56D0">
        <w:rPr>
          <w:b/>
          <w:highlight w:val="yellow"/>
        </w:rPr>
        <w:t>Europejskie partnerstwo innowacyjne (EIP) na rzecz wydajnego i zrównoważonego rolnictwa</w:t>
      </w:r>
      <w:r w:rsidRPr="00EF56D0">
        <w:rPr>
          <w:highlight w:val="yellow"/>
        </w:rPr>
        <w:t xml:space="preserve"> – “EIP-AGRI” to nowa sieć</w:t>
      </w:r>
      <w:r w:rsidRPr="00EF56D0">
        <w:rPr>
          <w:rFonts w:ascii="ZWAdobeF" w:hAnsi="ZWAdobeF"/>
          <w:color w:val="auto"/>
          <w:sz w:val="2"/>
          <w:highlight w:val="yellow"/>
        </w:rPr>
        <w:t>13F</w:t>
      </w:r>
      <w:r w:rsidRPr="00EF56D0">
        <w:rPr>
          <w:rStyle w:val="FootnoteReference"/>
          <w:highlight w:val="yellow"/>
        </w:rPr>
        <w:footnoteReference w:id="14"/>
      </w:r>
      <w:r w:rsidRPr="00EF56D0">
        <w:rPr>
          <w:highlight w:val="yellow"/>
        </w:rPr>
        <w:t xml:space="preserve"> powstała w okresie programowania 2014–2020, aby umożliwiać nawiązywanie kontaktów między „grupami operacyjnymi, służbami doradczymi i badaczami” w celu wspierania innowacyjności w zakresie praktycznej realizacji polityki rozwoju obszarów wiejskich. </w:t>
      </w:r>
    </w:p>
    <w:p w:rsidR="001924CD" w:rsidRPr="008A4203" w:rsidRDefault="001924CD" w:rsidP="00923616">
      <w:pPr>
        <w:pStyle w:val="HStandard"/>
      </w:pPr>
      <w:r w:rsidRPr="00EF56D0">
        <w:rPr>
          <w:highlight w:val="yellow"/>
        </w:rPr>
        <w:t>Sieci obszarów wiejskich w UE łączą również wiele różnych sieci nieformalnych, takich jak dobrowolne organizacje rolników, lokalne grupy działania i ich stowarzyszenia, wiejskie organizacje pozarządowe, instytucje edukacyjne i badawcze, klastry biznesowe itp. Tego typu sieci nieformalne pozwalają beneficjentom uczestniczyć w praktycznej realizacji polityki rozwoju obszarów wiejskich i zapewniają możliwość wymiany informacji pomiędzy UE, PROW i podmiotami lokalnymi. Sieci nieformalne ułatwiają rozwijanie istniejącego potencjału w zakresie realizacji celów KSOW i rozwoju obszarów wiejskich.</w:t>
      </w:r>
      <w:r w:rsidRPr="008A4203">
        <w:t xml:space="preserve"> </w:t>
      </w:r>
    </w:p>
    <w:p w:rsidR="001924CD" w:rsidRPr="00EF56D0" w:rsidRDefault="001924CD" w:rsidP="00923616">
      <w:pPr>
        <w:pStyle w:val="HStandard"/>
        <w:rPr>
          <w:highlight w:val="yellow"/>
        </w:rPr>
      </w:pPr>
      <w:r w:rsidRPr="00EF56D0">
        <w:rPr>
          <w:highlight w:val="yellow"/>
        </w:rPr>
        <w:lastRenderedPageBreak/>
        <w:t>Formalne sieci obszarów wiejskich mogą mieć również pewne cechy nieformalne, np. w odniesieniu do zarządzania lub kontaktów między zainteresowanymi stronami.</w:t>
      </w:r>
    </w:p>
    <w:p w:rsidR="001924CD" w:rsidRPr="00EF56D0" w:rsidRDefault="001924CD" w:rsidP="006D3475">
      <w:pPr>
        <w:pStyle w:val="HHeading5"/>
        <w:rPr>
          <w:highlight w:val="yellow"/>
        </w:rPr>
      </w:pPr>
      <w:r w:rsidRPr="00EF56D0">
        <w:rPr>
          <w:highlight w:val="yellow"/>
        </w:rPr>
        <w:t>Struktura sieci</w:t>
      </w:r>
    </w:p>
    <w:p w:rsidR="001924CD" w:rsidRPr="00EF56D0" w:rsidRDefault="001924CD" w:rsidP="00923616">
      <w:pPr>
        <w:pStyle w:val="HStandard"/>
        <w:rPr>
          <w:highlight w:val="yellow"/>
        </w:rPr>
      </w:pPr>
      <w:r w:rsidRPr="00EF56D0">
        <w:rPr>
          <w:b/>
          <w:highlight w:val="yellow"/>
        </w:rPr>
        <w:t>Struktura sieci silnie wpływa na charakter współpracy między jej członkami.</w:t>
      </w:r>
      <w:r w:rsidRPr="00EF56D0">
        <w:rPr>
          <w:highlight w:val="yellow"/>
        </w:rPr>
        <w:t xml:space="preserve"> Może ona być scentralizowana lub zdecentralizowana</w:t>
      </w:r>
      <w:r w:rsidRPr="00EF56D0">
        <w:rPr>
          <w:rFonts w:ascii="ZWAdobeF" w:hAnsi="ZWAdobeF"/>
          <w:color w:val="auto"/>
          <w:sz w:val="2"/>
          <w:highlight w:val="yellow"/>
        </w:rPr>
        <w:t>14F</w:t>
      </w:r>
      <w:r w:rsidRPr="00EF56D0">
        <w:rPr>
          <w:rStyle w:val="FootnoteReference"/>
          <w:highlight w:val="yellow"/>
        </w:rPr>
        <w:footnoteReference w:id="15"/>
      </w:r>
      <w:r w:rsidRPr="00EF56D0">
        <w:rPr>
          <w:highlight w:val="yellow"/>
        </w:rPr>
        <w:t xml:space="preserve">. Sieci scentralizowane posiadają ośrodek, który komunikuje się z osobna z członkami sieci. Sieci zdecentralizowane cechuje mnogość połączeń pomiędzy członkami. </w:t>
      </w:r>
    </w:p>
    <w:p w:rsidR="001924CD" w:rsidRPr="00EF56D0" w:rsidRDefault="001924CD" w:rsidP="00923616">
      <w:pPr>
        <w:pStyle w:val="HStandard"/>
        <w:rPr>
          <w:highlight w:val="yellow"/>
        </w:rPr>
      </w:pPr>
      <w:r w:rsidRPr="00EF56D0">
        <w:rPr>
          <w:highlight w:val="yellow"/>
        </w:rPr>
        <w:t xml:space="preserve">Sieci obszarów wiejskich w UE mają zazwyczaj scentralizowaną strukturę, której ośrodek stanowią jednostki JWS działające na zlecenie zamawiającego, w tym przypadku DG AGRI. Niemniej powinny one zachęcać do bardziej zdecentralizowanej komunikacji między członkami, jak i z innymi grupami zainteresowanych stron spoza sieci. </w:t>
      </w:r>
    </w:p>
    <w:p w:rsidR="001924CD" w:rsidRPr="00EF56D0" w:rsidRDefault="001924CD" w:rsidP="00923616">
      <w:pPr>
        <w:pStyle w:val="HStandard"/>
        <w:rPr>
          <w:highlight w:val="yellow"/>
        </w:rPr>
      </w:pPr>
      <w:r w:rsidRPr="00EF56D0">
        <w:rPr>
          <w:b/>
          <w:highlight w:val="yellow"/>
        </w:rPr>
        <w:t>Struktura ENRD</w:t>
      </w:r>
      <w:r w:rsidRPr="00EF56D0">
        <w:rPr>
          <w:highlight w:val="yellow"/>
        </w:rPr>
        <w:t xml:space="preserve"> opiera się na dwóch jednostkach wsparcia o osobnych funkcjach: </w:t>
      </w:r>
    </w:p>
    <w:p w:rsidR="001924CD" w:rsidRPr="00EF56D0" w:rsidRDefault="001924CD" w:rsidP="005368DC">
      <w:pPr>
        <w:pStyle w:val="Hlistbullet2"/>
        <w:rPr>
          <w:highlight w:val="yellow"/>
        </w:rPr>
      </w:pPr>
      <w:r w:rsidRPr="00EF56D0">
        <w:rPr>
          <w:b/>
          <w:highlight w:val="yellow"/>
        </w:rPr>
        <w:t>Punkt kontaktowy ENRD (ENRD Contact Point)</w:t>
      </w:r>
      <w:r w:rsidRPr="00EF56D0">
        <w:rPr>
          <w:highlight w:val="yellow"/>
        </w:rPr>
        <w:t xml:space="preserve"> wspiera DG AGRI w prowadzeniu Europejskiej Sieci na rzecz Rozwoju Obszarów Wiejskich i stanowi centralny punkt jej działań. Wspiera on tworzenie sieci kontaktów i współpracę między podmiotami zainteresowanymi rozwojem obszarów wiejskich oraz zapewnia komunikację między nimi, a na szczeblu krajowym przeprowadza analizy tematyczne i organizuje różne wydarzenia w zakresie networkingu. </w:t>
      </w:r>
    </w:p>
    <w:p w:rsidR="001924CD" w:rsidRPr="00EF56D0" w:rsidRDefault="001924CD" w:rsidP="006D3475">
      <w:pPr>
        <w:pStyle w:val="Hlistbullet2"/>
        <w:rPr>
          <w:highlight w:val="yellow"/>
        </w:rPr>
      </w:pPr>
      <w:r w:rsidRPr="00EF56D0">
        <w:rPr>
          <w:b/>
          <w:highlight w:val="yellow"/>
        </w:rPr>
        <w:t>Europejskie Biuro Pomocy ds. Ewaluacji Obszarów Wiejskich</w:t>
      </w:r>
      <w:r w:rsidRPr="00EF56D0">
        <w:rPr>
          <w:highlight w:val="yellow"/>
        </w:rPr>
        <w:t xml:space="preserve"> odpowiada za wspieranie DG AGRI, państw członkowskich i zainteresowanych stron w realizacji celów wspólnego systemu monitorowania i ewaluacji rozwoju obszarów wiejskich.</w:t>
      </w:r>
    </w:p>
    <w:p w:rsidR="001924CD" w:rsidRPr="00EF56D0" w:rsidRDefault="001924CD" w:rsidP="00923616">
      <w:pPr>
        <w:pStyle w:val="HStandard"/>
        <w:rPr>
          <w:highlight w:val="yellow"/>
        </w:rPr>
      </w:pPr>
      <w:r w:rsidRPr="00EF56D0">
        <w:rPr>
          <w:b/>
          <w:highlight w:val="yellow"/>
        </w:rPr>
        <w:t>Struktura sieci EIP-AGRI</w:t>
      </w:r>
      <w:r w:rsidRPr="00EF56D0">
        <w:rPr>
          <w:highlight w:val="yellow"/>
        </w:rPr>
        <w:t xml:space="preserve"> posiada jedną jednostkę wsparcia – </w:t>
      </w:r>
      <w:r w:rsidRPr="00EF56D0">
        <w:rPr>
          <w:b/>
          <w:highlight w:val="yellow"/>
        </w:rPr>
        <w:t>punkt obsługi EIP-AGRI (EIP-AGRI Service Point)</w:t>
      </w:r>
      <w:r w:rsidRPr="00EF56D0">
        <w:rPr>
          <w:highlight w:val="yellow"/>
        </w:rPr>
        <w:t>. Pełni on rolę mediatora w ramach sieci, wzmacniając komunikację i współpracę pomiędzy wszystkimi osobami i podmiotami zainteresowanymi innowacyjnością w rolnictwie: rolnikami, badaczami, doradcami, firmami, organizacjami ekologicznymi, grupami konsumenckimi i innymi organizacjami pozarządowymi.</w:t>
      </w:r>
    </w:p>
    <w:p w:rsidR="001924CD" w:rsidRPr="00EF56D0" w:rsidRDefault="001924CD" w:rsidP="00EF2430">
      <w:pPr>
        <w:pStyle w:val="HHeadingfigures"/>
        <w:rPr>
          <w:highlight w:val="yellow"/>
        </w:rPr>
      </w:pPr>
      <w:bookmarkStart w:id="8" w:name="_Toc445465116"/>
      <w:bookmarkStart w:id="9" w:name="_Toc451781920"/>
      <w:bookmarkStart w:id="10" w:name="_Toc461807138"/>
      <w:r w:rsidRPr="00EF56D0">
        <w:rPr>
          <w:highlight w:val="yellow"/>
        </w:rPr>
        <w:t>Struktura zarządzania sieciami obszarów wiejskich w UE</w:t>
      </w:r>
      <w:bookmarkEnd w:id="8"/>
      <w:bookmarkEnd w:id="9"/>
      <w:bookmarkEnd w:id="10"/>
    </w:p>
    <w:p w:rsidR="001924CD" w:rsidRPr="008A4203" w:rsidRDefault="001924CD" w:rsidP="00CB52DC">
      <w:pPr>
        <w:jc w:val="center"/>
      </w:pPr>
      <w:r w:rsidRPr="008A4203">
        <w:rPr>
          <w:noProof/>
          <w:lang w:eastAsia="en-GB"/>
        </w:rPr>
        <w:lastRenderedPageBreak/>
        <w:drawing>
          <wp:inline distT="0" distB="0" distL="0" distR="0" wp14:anchorId="71E5ED01" wp14:editId="1CC2348E">
            <wp:extent cx="5225960" cy="3455582"/>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31746" cy="3459408"/>
                    </a:xfrm>
                    <a:prstGeom prst="rect">
                      <a:avLst/>
                    </a:prstGeom>
                    <a:noFill/>
                    <a:ln>
                      <a:noFill/>
                    </a:ln>
                  </pic:spPr>
                </pic:pic>
              </a:graphicData>
            </a:graphic>
          </wp:inline>
        </w:drawing>
      </w:r>
      <w:r w:rsidRPr="008A4203">
        <w:t xml:space="preserve">  </w:t>
      </w:r>
    </w:p>
    <w:p w:rsidR="001924CD" w:rsidRPr="00EF56D0" w:rsidRDefault="001924CD" w:rsidP="00CB52DC">
      <w:pPr>
        <w:pStyle w:val="HSource"/>
        <w:rPr>
          <w:highlight w:val="yellow"/>
        </w:rPr>
      </w:pPr>
      <w:r w:rsidRPr="00EF56D0">
        <w:rPr>
          <w:highlight w:val="yellow"/>
        </w:rPr>
        <w:t>Źródło: Europejskie Biuro Pomocy ds. Ewaluacji Rozwoju Obszarów Wiejskich, 2016 r.</w:t>
      </w:r>
    </w:p>
    <w:p w:rsidR="001924CD" w:rsidRPr="00EF56D0" w:rsidRDefault="001924CD" w:rsidP="00315513">
      <w:pPr>
        <w:pStyle w:val="HHeading5"/>
        <w:rPr>
          <w:highlight w:val="yellow"/>
        </w:rPr>
      </w:pPr>
      <w:r w:rsidRPr="00EF56D0">
        <w:rPr>
          <w:highlight w:val="yellow"/>
        </w:rPr>
        <w:t>Jak sieci KSOW są skonstruowane?</w:t>
      </w:r>
    </w:p>
    <w:p w:rsidR="001924CD" w:rsidRPr="00EF56D0" w:rsidRDefault="001924CD" w:rsidP="00315513">
      <w:pPr>
        <w:pStyle w:val="HStandard"/>
        <w:jc w:val="left"/>
        <w:rPr>
          <w:highlight w:val="yellow"/>
        </w:rPr>
      </w:pPr>
      <w:r w:rsidRPr="00EF56D0">
        <w:rPr>
          <w:highlight w:val="yellow"/>
        </w:rPr>
        <w:t>KSOW składają się z trzech głównych podsystemów:</w:t>
      </w:r>
    </w:p>
    <w:p w:rsidR="001924CD" w:rsidRPr="00EF56D0" w:rsidRDefault="001924CD" w:rsidP="00892664">
      <w:pPr>
        <w:pStyle w:val="ListParagraph"/>
        <w:numPr>
          <w:ilvl w:val="1"/>
          <w:numId w:val="13"/>
        </w:numPr>
        <w:spacing w:after="200" w:line="276" w:lineRule="auto"/>
        <w:jc w:val="both"/>
        <w:rPr>
          <w:rFonts w:ascii="Arial" w:hAnsi="Arial" w:cs="Arial"/>
          <w:sz w:val="20"/>
          <w:szCs w:val="20"/>
          <w:highlight w:val="yellow"/>
        </w:rPr>
      </w:pPr>
      <w:r w:rsidRPr="00EF56D0">
        <w:rPr>
          <w:rFonts w:ascii="Arial" w:hAnsi="Arial"/>
          <w:b/>
          <w:sz w:val="20"/>
          <w:highlight w:val="yellow"/>
        </w:rPr>
        <w:t>Zamawiający</w:t>
      </w:r>
      <w:r w:rsidRPr="00EF56D0">
        <w:rPr>
          <w:rFonts w:ascii="Arial" w:hAnsi="Arial"/>
          <w:sz w:val="20"/>
          <w:highlight w:val="yellow"/>
        </w:rPr>
        <w:t xml:space="preserve"> to podmiot, który tworzy i rozwija KSOW. Zleca on jednostce JWS (w ramach struktury wewnętrznej, w drodze upoważnienia lub umowy) budowę i wsparcie sieci.</w:t>
      </w:r>
      <w:r w:rsidRPr="00EF56D0">
        <w:rPr>
          <w:highlight w:val="yellow"/>
        </w:rPr>
        <w:t xml:space="preserve"> </w:t>
      </w:r>
      <w:r w:rsidRPr="00EF56D0">
        <w:rPr>
          <w:rFonts w:ascii="Arial" w:hAnsi="Arial"/>
          <w:sz w:val="20"/>
          <w:highlight w:val="yellow"/>
        </w:rPr>
        <w:t xml:space="preserve">Zamawiający może oznaczać pojedynczą </w:t>
      </w:r>
      <w:r w:rsidRPr="00EF56D0">
        <w:rPr>
          <w:rFonts w:ascii="Arial" w:hAnsi="Arial"/>
          <w:b/>
          <w:sz w:val="20"/>
          <w:highlight w:val="yellow"/>
        </w:rPr>
        <w:t>organizację</w:t>
      </w:r>
      <w:r w:rsidRPr="00EF56D0">
        <w:rPr>
          <w:rFonts w:ascii="Arial" w:hAnsi="Arial"/>
          <w:sz w:val="20"/>
          <w:highlight w:val="yellow"/>
        </w:rPr>
        <w:t xml:space="preserve"> (często jest to </w:t>
      </w:r>
      <w:r w:rsidRPr="00EF56D0">
        <w:rPr>
          <w:rFonts w:ascii="Arial" w:hAnsi="Arial"/>
          <w:b/>
          <w:sz w:val="20"/>
          <w:highlight w:val="yellow"/>
        </w:rPr>
        <w:t>instytucja zarządzająca</w:t>
      </w:r>
      <w:r w:rsidRPr="00EF56D0">
        <w:rPr>
          <w:rFonts w:ascii="Arial" w:hAnsi="Arial"/>
          <w:sz w:val="20"/>
          <w:highlight w:val="yellow"/>
        </w:rPr>
        <w:t xml:space="preserve">) lub </w:t>
      </w:r>
      <w:r w:rsidRPr="00EF56D0">
        <w:rPr>
          <w:rFonts w:ascii="Arial" w:hAnsi="Arial"/>
          <w:b/>
          <w:sz w:val="20"/>
          <w:highlight w:val="yellow"/>
        </w:rPr>
        <w:t>układ współpracy</w:t>
      </w:r>
      <w:r w:rsidRPr="00EF56D0">
        <w:rPr>
          <w:rFonts w:ascii="Arial" w:hAnsi="Arial"/>
          <w:sz w:val="20"/>
          <w:highlight w:val="yellow"/>
        </w:rPr>
        <w:t xml:space="preserve"> obejmujący kilka instytucji (rządowych i społeczeństwa obywatelskiego).</w:t>
      </w:r>
    </w:p>
    <w:p w:rsidR="001924CD" w:rsidRPr="00EF56D0" w:rsidRDefault="001924CD" w:rsidP="00892664">
      <w:pPr>
        <w:pStyle w:val="ListParagraph"/>
        <w:numPr>
          <w:ilvl w:val="1"/>
          <w:numId w:val="13"/>
        </w:numPr>
        <w:spacing w:after="200" w:line="276" w:lineRule="auto"/>
        <w:jc w:val="both"/>
        <w:rPr>
          <w:rFonts w:ascii="Arial" w:hAnsi="Arial" w:cs="Arial"/>
          <w:sz w:val="20"/>
          <w:szCs w:val="20"/>
          <w:highlight w:val="yellow"/>
        </w:rPr>
      </w:pPr>
      <w:r w:rsidRPr="00EF56D0">
        <w:rPr>
          <w:rFonts w:ascii="Arial" w:hAnsi="Arial"/>
          <w:b/>
          <w:sz w:val="20"/>
          <w:highlight w:val="yellow"/>
        </w:rPr>
        <w:t>Jednostka wsparcia sieci</w:t>
      </w:r>
      <w:r w:rsidRPr="00EF56D0">
        <w:rPr>
          <w:rFonts w:ascii="Arial" w:hAnsi="Arial"/>
          <w:sz w:val="20"/>
          <w:highlight w:val="yellow"/>
        </w:rPr>
        <w:t xml:space="preserve"> (JWS), bez względu na to, czy stanowi część struktur instytucji zarządzającej, czy funkcjonuje poza nimi, jest </w:t>
      </w:r>
      <w:r w:rsidRPr="00EF56D0">
        <w:rPr>
          <w:rFonts w:ascii="Arial" w:hAnsi="Arial"/>
          <w:b/>
          <w:sz w:val="20"/>
          <w:highlight w:val="yellow"/>
        </w:rPr>
        <w:t>organizacją</w:t>
      </w:r>
      <w:r w:rsidRPr="00EF56D0">
        <w:rPr>
          <w:rFonts w:ascii="Arial" w:hAnsi="Arial"/>
          <w:sz w:val="20"/>
          <w:highlight w:val="yellow"/>
        </w:rPr>
        <w:t>, której zadanie polega na budowaniu i wspieraniu KSOW. Pełni ona zazwyczaj rolę centralnego węzła, komunikując się z członkami sieci, ułatwiając wymianę danych tematycznych i analitycznych oraz dzieląc się istotnymi informacjami.</w:t>
      </w:r>
      <w:r w:rsidRPr="00EF56D0">
        <w:rPr>
          <w:highlight w:val="yellow"/>
        </w:rPr>
        <w:t xml:space="preserve"> </w:t>
      </w:r>
      <w:r w:rsidRPr="00EF56D0">
        <w:rPr>
          <w:rFonts w:ascii="Arial" w:hAnsi="Arial"/>
          <w:sz w:val="20"/>
          <w:highlight w:val="yellow"/>
        </w:rPr>
        <w:t>JWS również przygotowuje i prowadzi szkolenia dla LGD, wspiera projekty współpracy, zachęca do nawiązywania kontaktów pomiędzy doradcami i służbami wsparcia innowacji, umożliwia udostępnianie i rozpowszechnianie wniosków z monitorowania i ewaluacji PROW, a także uczestniczy w działaniach ENRD lub wnosi w nie wkład</w:t>
      </w:r>
      <w:r w:rsidRPr="00EF56D0">
        <w:rPr>
          <w:rFonts w:ascii="ZWAdobeF" w:hAnsi="ZWAdobeF"/>
          <w:sz w:val="2"/>
          <w:highlight w:val="yellow"/>
        </w:rPr>
        <w:t>15F</w:t>
      </w:r>
      <w:r w:rsidRPr="00EF56D0">
        <w:rPr>
          <w:rStyle w:val="FootnoteReference"/>
          <w:highlight w:val="yellow"/>
        </w:rPr>
        <w:footnoteReference w:id="16"/>
      </w:r>
      <w:r w:rsidRPr="00EF56D0">
        <w:rPr>
          <w:rFonts w:ascii="Arial" w:hAnsi="Arial"/>
          <w:sz w:val="20"/>
          <w:highlight w:val="yellow"/>
        </w:rPr>
        <w:t xml:space="preserve">. </w:t>
      </w:r>
    </w:p>
    <w:p w:rsidR="001924CD" w:rsidRPr="00EF56D0" w:rsidRDefault="001924CD" w:rsidP="00892664">
      <w:pPr>
        <w:pStyle w:val="ListParagraph"/>
        <w:numPr>
          <w:ilvl w:val="1"/>
          <w:numId w:val="13"/>
        </w:numPr>
        <w:spacing w:after="200" w:line="276" w:lineRule="auto"/>
        <w:jc w:val="both"/>
        <w:rPr>
          <w:rFonts w:ascii="Arial" w:hAnsi="Arial" w:cs="Arial"/>
          <w:sz w:val="20"/>
          <w:szCs w:val="20"/>
          <w:highlight w:val="yellow"/>
        </w:rPr>
      </w:pPr>
      <w:r w:rsidRPr="00EF56D0">
        <w:rPr>
          <w:rFonts w:ascii="Arial" w:hAnsi="Arial"/>
          <w:b/>
          <w:sz w:val="20"/>
          <w:highlight w:val="yellow"/>
        </w:rPr>
        <w:t>KSOW</w:t>
      </w:r>
      <w:r w:rsidRPr="00EF56D0">
        <w:rPr>
          <w:rFonts w:ascii="Arial" w:hAnsi="Arial"/>
          <w:sz w:val="20"/>
          <w:highlight w:val="yellow"/>
        </w:rPr>
        <w:t xml:space="preserve"> to </w:t>
      </w:r>
      <w:r w:rsidRPr="00EF56D0">
        <w:rPr>
          <w:rFonts w:ascii="Arial" w:hAnsi="Arial"/>
          <w:b/>
          <w:sz w:val="20"/>
          <w:highlight w:val="yellow"/>
        </w:rPr>
        <w:t>sieć</w:t>
      </w:r>
      <w:r w:rsidRPr="00EF56D0">
        <w:rPr>
          <w:rFonts w:ascii="Arial" w:hAnsi="Arial"/>
          <w:sz w:val="20"/>
          <w:highlight w:val="yellow"/>
        </w:rPr>
        <w:t xml:space="preserve"> o nieokreślonych z definicji granicach. Tworzą ją wszystkie podmioty, których dotyczy działalność KSOW – czy to bezpośrednio, czy też na zasadzie co najmniej potencjalnie zaangażowanych uczestników lub użytkowników (bądź i uczestników, i użytkowników)</w:t>
      </w:r>
      <w:r w:rsidRPr="00EF56D0">
        <w:rPr>
          <w:highlight w:val="yellow"/>
        </w:rPr>
        <w:t>.</w:t>
      </w:r>
      <w:r w:rsidRPr="00EF56D0">
        <w:rPr>
          <w:rFonts w:ascii="Arial" w:hAnsi="Arial"/>
          <w:sz w:val="20"/>
          <w:highlight w:val="yellow"/>
        </w:rPr>
        <w:t>Co do zasady sieć obejmuje również podmioty wymienione w punktach a. i b.</w:t>
      </w:r>
    </w:p>
    <w:p w:rsidR="001924CD" w:rsidRPr="00EF56D0" w:rsidRDefault="001924CD" w:rsidP="00315513">
      <w:pPr>
        <w:pStyle w:val="HStandard"/>
        <w:jc w:val="left"/>
        <w:rPr>
          <w:highlight w:val="yellow"/>
        </w:rPr>
      </w:pPr>
      <w:r w:rsidRPr="00EF56D0">
        <w:rPr>
          <w:highlight w:val="yellow"/>
        </w:rPr>
        <w:t>Poniższy schemat pokazuje przykład typowej architektury KSOW:</w:t>
      </w:r>
    </w:p>
    <w:p w:rsidR="001924CD" w:rsidRPr="00EF56D0" w:rsidRDefault="001924CD" w:rsidP="00EF2430">
      <w:pPr>
        <w:pStyle w:val="HHeadingfigures"/>
        <w:rPr>
          <w:highlight w:val="yellow"/>
        </w:rPr>
      </w:pPr>
      <w:bookmarkStart w:id="11" w:name="_Toc445465117"/>
      <w:bookmarkStart w:id="12" w:name="_Toc451781921"/>
      <w:bookmarkStart w:id="13" w:name="_Toc461807139"/>
      <w:r w:rsidRPr="00EF56D0">
        <w:rPr>
          <w:highlight w:val="yellow"/>
        </w:rPr>
        <w:t>Architektura KSOW</w:t>
      </w:r>
      <w:bookmarkEnd w:id="11"/>
      <w:bookmarkEnd w:id="12"/>
      <w:bookmarkEnd w:id="13"/>
    </w:p>
    <w:p w:rsidR="001924CD" w:rsidRPr="008A4203" w:rsidRDefault="001924CD" w:rsidP="008A261C">
      <w:pPr>
        <w:jc w:val="center"/>
      </w:pPr>
      <w:r w:rsidRPr="008A4203">
        <w:lastRenderedPageBreak/>
        <w:t xml:space="preserve"> </w:t>
      </w:r>
      <w:r w:rsidRPr="008A4203">
        <w:rPr>
          <w:noProof/>
          <w:lang w:eastAsia="en-GB"/>
        </w:rPr>
        <w:drawing>
          <wp:inline distT="0" distB="0" distL="0" distR="0" wp14:anchorId="6166E25B" wp14:editId="4306B4CB">
            <wp:extent cx="5731510" cy="4259000"/>
            <wp:effectExtent l="0" t="0" r="2540" b="825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4259000"/>
                    </a:xfrm>
                    <a:prstGeom prst="rect">
                      <a:avLst/>
                    </a:prstGeom>
                    <a:noFill/>
                    <a:ln>
                      <a:noFill/>
                    </a:ln>
                  </pic:spPr>
                </pic:pic>
              </a:graphicData>
            </a:graphic>
          </wp:inline>
        </w:drawing>
      </w:r>
      <w:r w:rsidRPr="008A4203">
        <w:t xml:space="preserve"> </w:t>
      </w:r>
    </w:p>
    <w:p w:rsidR="001924CD" w:rsidRPr="00EF56D0" w:rsidRDefault="001924CD" w:rsidP="00315513">
      <w:pPr>
        <w:pStyle w:val="HSource"/>
        <w:rPr>
          <w:rFonts w:cs="Arial"/>
          <w:highlight w:val="yellow"/>
        </w:rPr>
      </w:pPr>
      <w:r w:rsidRPr="00EF56D0">
        <w:rPr>
          <w:highlight w:val="yellow"/>
        </w:rPr>
        <w:t>Źródło: Europejskie Biuro Pomocy ds. Ewaluacji Rozwoju Obszarów Wiejskich, 2016 r.</w:t>
      </w:r>
    </w:p>
    <w:p w:rsidR="001924CD" w:rsidRPr="00EF56D0" w:rsidRDefault="001924CD" w:rsidP="00315513">
      <w:pPr>
        <w:pStyle w:val="HStandard"/>
        <w:rPr>
          <w:highlight w:val="yellow"/>
        </w:rPr>
      </w:pPr>
      <w:r w:rsidRPr="00EF56D0">
        <w:rPr>
          <w:highlight w:val="yellow"/>
        </w:rPr>
        <w:t xml:space="preserve">Podmioty </w:t>
      </w:r>
      <w:r w:rsidRPr="00EF56D0">
        <w:rPr>
          <w:b/>
          <w:highlight w:val="yellow"/>
        </w:rPr>
        <w:t>rdzenia</w:t>
      </w:r>
      <w:r w:rsidRPr="00EF56D0">
        <w:rPr>
          <w:highlight w:val="yellow"/>
        </w:rPr>
        <w:t xml:space="preserve"> regularnie ze sobą współpracują. Można uznać, że tworzą one układ współpracy. Zamawiający (IZ) przedstawiony jest za pomocą dużych zielonych prostokątów. Małe zielone prostokąty to pozostałe instytucje mające szczególne obowiązki w zakresie nadzoru nad JWS. Pomarańczowe kółko przedstawia JWS (b); w naszym przypadku zakładamy, że prowadzenie JWS zostało powierzone zewnętrznemu konsorcjum. Partnerzy konsorcjum oznaczeni są pomarańczowymi kwadratami z pogrubionymi konturami. Kolejne ważne podmioty (pomarańczowe romby z czerwonymi konturami) stanowią część rdzenia (np. w ramach komitetu monitorującego lub na zasadzie regularnych dostawców wiedzy). Zgodnie z obowiązującymi przepisami partnerstwo składa się </w:t>
      </w:r>
      <w:r w:rsidRPr="00EF56D0">
        <w:rPr>
          <w:rFonts w:ascii="ZWAdobeF" w:hAnsi="ZWAdobeF"/>
          <w:color w:val="auto"/>
          <w:sz w:val="2"/>
          <w:highlight w:val="yellow"/>
        </w:rPr>
        <w:t>16F</w:t>
      </w:r>
      <w:r w:rsidRPr="00EF56D0">
        <w:rPr>
          <w:rStyle w:val="FootnoteReference"/>
          <w:highlight w:val="yellow"/>
        </w:rPr>
        <w:footnoteReference w:id="17"/>
      </w:r>
      <w:r w:rsidRPr="00EF56D0">
        <w:rPr>
          <w:highlight w:val="yellow"/>
        </w:rPr>
        <w:t xml:space="preserve"> z „właściwych władz publicznych”, „partnerów społecznych i gospodarczych” oraz „podmiotów reprezentujące społeczeństwo obywatelskie” i reprezentowanych w polu rdzenia</w:t>
      </w:r>
      <w:r w:rsidRPr="00EF56D0">
        <w:rPr>
          <w:rFonts w:ascii="ZWAdobeF" w:hAnsi="ZWAdobeF"/>
          <w:color w:val="auto"/>
          <w:sz w:val="2"/>
          <w:highlight w:val="yellow"/>
        </w:rPr>
        <w:t>17F</w:t>
      </w:r>
      <w:r w:rsidRPr="00EF56D0">
        <w:rPr>
          <w:rStyle w:val="FootnoteReference"/>
          <w:highlight w:val="yellow"/>
        </w:rPr>
        <w:footnoteReference w:id="18"/>
      </w:r>
      <w:r w:rsidRPr="00EF56D0">
        <w:rPr>
          <w:highlight w:val="yellow"/>
        </w:rPr>
        <w:t>.</w:t>
      </w:r>
    </w:p>
    <w:p w:rsidR="001924CD" w:rsidRPr="008A4203" w:rsidRDefault="001924CD" w:rsidP="008A261C">
      <w:pPr>
        <w:pStyle w:val="HStandard"/>
      </w:pPr>
      <w:r w:rsidRPr="00EF56D0">
        <w:rPr>
          <w:b/>
          <w:highlight w:val="yellow"/>
        </w:rPr>
        <w:t>Drugie pole</w:t>
      </w:r>
      <w:r w:rsidRPr="00EF56D0">
        <w:rPr>
          <w:highlight w:val="yellow"/>
        </w:rPr>
        <w:t>, oznaczone linią przerywaną, obejmuje podmioty z obszarów wiejskich należące do głównych klientów lub współpracowników służb JWS, takie jak LGD, służby doradcze, instytucje edukacyjne, uczelnie wyższe itp.</w:t>
      </w:r>
      <w:r w:rsidRPr="008A4203">
        <w:t xml:space="preserve"> </w:t>
      </w:r>
    </w:p>
    <w:p w:rsidR="001924CD" w:rsidRPr="00EF56D0" w:rsidRDefault="001924CD" w:rsidP="008A261C">
      <w:pPr>
        <w:pStyle w:val="HStandard"/>
        <w:rPr>
          <w:highlight w:val="yellow"/>
        </w:rPr>
      </w:pPr>
      <w:r w:rsidRPr="00EF56D0">
        <w:rPr>
          <w:highlight w:val="yellow"/>
        </w:rPr>
        <w:t xml:space="preserve">Podmioty ujęte w dalszym, </w:t>
      </w:r>
      <w:r w:rsidRPr="00EF56D0">
        <w:rPr>
          <w:b/>
          <w:highlight w:val="yellow"/>
        </w:rPr>
        <w:t>trzecim polu</w:t>
      </w:r>
      <w:r w:rsidRPr="00EF56D0">
        <w:rPr>
          <w:highlight w:val="yellow"/>
        </w:rPr>
        <w:t xml:space="preserve">, cechują się mniejszym zaangażowaniem, które ogranicza się do konkretnych tematów lub udziału w określonych wydarzeniach, np. warsztatach informacyjnych. </w:t>
      </w:r>
    </w:p>
    <w:p w:rsidR="001924CD" w:rsidRPr="00EF56D0" w:rsidRDefault="001924CD" w:rsidP="008A261C">
      <w:pPr>
        <w:pStyle w:val="HStandard"/>
        <w:rPr>
          <w:highlight w:val="yellow"/>
        </w:rPr>
      </w:pPr>
      <w:r w:rsidRPr="00EF56D0">
        <w:rPr>
          <w:b/>
          <w:highlight w:val="yellow"/>
        </w:rPr>
        <w:lastRenderedPageBreak/>
        <w:t>Najdalsze pole</w:t>
      </w:r>
      <w:r w:rsidRPr="00EF56D0">
        <w:rPr>
          <w:highlight w:val="yellow"/>
        </w:rPr>
        <w:t xml:space="preserve"> obejmuje podmioty, które są mniej lub bardziej bierne, ale potencjalnie mogą być współpracownikami lub użytkownikami sieci. </w:t>
      </w:r>
    </w:p>
    <w:p w:rsidR="001924CD" w:rsidRPr="00EF56D0" w:rsidRDefault="001924CD" w:rsidP="00315513">
      <w:pPr>
        <w:pStyle w:val="HStandard"/>
        <w:jc w:val="left"/>
        <w:rPr>
          <w:highlight w:val="yellow"/>
        </w:rPr>
      </w:pPr>
      <w:r w:rsidRPr="00EF56D0">
        <w:rPr>
          <w:highlight w:val="yellow"/>
        </w:rPr>
        <w:t>Te podmioty i pola składają się w całości na KSOW (c). Podmioty są wzajemnie powiązane na różne sposoby, przy czym związki te nie zostały pokazane na rysunku, aby zachować jego przejrzystość.</w:t>
      </w:r>
    </w:p>
    <w:p w:rsidR="001924CD" w:rsidRPr="00EF56D0" w:rsidRDefault="001924CD" w:rsidP="00F14A86">
      <w:pPr>
        <w:pStyle w:val="HStandard"/>
        <w:rPr>
          <w:highlight w:val="yellow"/>
        </w:rPr>
      </w:pPr>
      <w:r w:rsidRPr="00EF56D0">
        <w:rPr>
          <w:highlight w:val="yellow"/>
        </w:rPr>
        <w:t>Bez względu na opisaną powyżej ogólną architekturę, każda sieć KSOW może opracować własną definicję i mapę architektury, na przykład w oparciu o metody analizy zainteresowanych stron (ang. stakeholder analysis)</w:t>
      </w:r>
      <w:r w:rsidRPr="00EF56D0">
        <w:rPr>
          <w:rFonts w:ascii="ZWAdobeF" w:hAnsi="ZWAdobeF"/>
          <w:color w:val="auto"/>
          <w:sz w:val="2"/>
          <w:highlight w:val="yellow"/>
        </w:rPr>
        <w:t>18F</w:t>
      </w:r>
      <w:r w:rsidRPr="00EF56D0">
        <w:rPr>
          <w:rStyle w:val="FootnoteReference"/>
          <w:highlight w:val="yellow"/>
        </w:rPr>
        <w:footnoteReference w:id="19"/>
      </w:r>
      <w:r w:rsidRPr="00EF56D0">
        <w:rPr>
          <w:highlight w:val="yellow"/>
        </w:rPr>
        <w:t>. W praktyce architektura KSOW może różnić się w poszczególnych państwach członkowskich</w:t>
      </w:r>
      <w:r w:rsidRPr="00EF56D0">
        <w:rPr>
          <w:rFonts w:ascii="ZWAdobeF" w:hAnsi="ZWAdobeF"/>
          <w:color w:val="auto"/>
          <w:sz w:val="2"/>
          <w:highlight w:val="yellow"/>
        </w:rPr>
        <w:t>19F</w:t>
      </w:r>
      <w:r w:rsidRPr="00EF56D0">
        <w:rPr>
          <w:rStyle w:val="FootnoteReference"/>
          <w:highlight w:val="yellow"/>
        </w:rPr>
        <w:footnoteReference w:id="20"/>
      </w:r>
      <w:r w:rsidRPr="00EF56D0">
        <w:rPr>
          <w:highlight w:val="yellow"/>
        </w:rPr>
        <w:t xml:space="preserve">. Na przykład JWS może tworzyć węzły regionalne, aby lepiej docierać do członków KSOW. W niektórych przypadkach członkostwo KSOW podlega restrykcyjnym zasadom, w innych zaś jest bardziej otwarte.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EF56D0" w:rsidTr="00B57DA2">
        <w:trPr>
          <w:trHeight w:val="330"/>
        </w:trPr>
        <w:tc>
          <w:tcPr>
            <w:tcW w:w="9016" w:type="dxa"/>
            <w:shd w:val="clear" w:color="auto" w:fill="F5F4F4" w:themeFill="background2" w:themeFillTint="66"/>
          </w:tcPr>
          <w:p w:rsidR="001924CD" w:rsidRPr="00EF56D0" w:rsidRDefault="001924CD" w:rsidP="00B57DA2">
            <w:pPr>
              <w:pStyle w:val="HStandard"/>
              <w:jc w:val="left"/>
              <w:rPr>
                <w:b/>
                <w:highlight w:val="yellow"/>
              </w:rPr>
            </w:pPr>
            <w:r w:rsidRPr="00EF56D0">
              <w:rPr>
                <w:b/>
                <w:highlight w:val="yellow"/>
              </w:rPr>
              <w:t>Zrozumienie definicji i struktury sieci ma znaczenie dla jej oceny.</w:t>
            </w:r>
          </w:p>
        </w:tc>
      </w:tr>
    </w:tbl>
    <w:p w:rsidR="001924CD" w:rsidRPr="00EF56D0" w:rsidRDefault="001924CD" w:rsidP="00680DA9">
      <w:pPr>
        <w:pStyle w:val="HHeading2"/>
        <w:rPr>
          <w:highlight w:val="yellow"/>
        </w:rPr>
      </w:pPr>
      <w:bookmarkStart w:id="14" w:name="_Toc453079748"/>
      <w:bookmarkStart w:id="15" w:name="_Toc461807109"/>
      <w:r w:rsidRPr="00EF56D0">
        <w:rPr>
          <w:highlight w:val="yellow"/>
        </w:rPr>
        <w:t>Po co i jak oceniać KSOW?</w:t>
      </w:r>
      <w:bookmarkEnd w:id="14"/>
      <w:bookmarkEnd w:id="15"/>
    </w:p>
    <w:p w:rsidR="001924CD" w:rsidRPr="00EF56D0" w:rsidRDefault="001924CD" w:rsidP="006D3475">
      <w:pPr>
        <w:pStyle w:val="HHeading5"/>
        <w:rPr>
          <w:highlight w:val="yellow"/>
        </w:rPr>
      </w:pPr>
      <w:r w:rsidRPr="00EF56D0">
        <w:rPr>
          <w:highlight w:val="yellow"/>
        </w:rPr>
        <w:t>Cel ewaluacji KSOW</w:t>
      </w:r>
    </w:p>
    <w:p w:rsidR="001924CD" w:rsidRPr="00EF56D0" w:rsidRDefault="001924CD" w:rsidP="00923616">
      <w:pPr>
        <w:pStyle w:val="HStandard"/>
        <w:rPr>
          <w:highlight w:val="yellow"/>
        </w:rPr>
      </w:pPr>
      <w:r w:rsidRPr="00EF56D0">
        <w:rPr>
          <w:b/>
          <w:highlight w:val="yellow"/>
        </w:rPr>
        <w:t>Sieci KSOW są jednym z głównych elementów unijnej polityki rozwoju obszarów wiejskich.</w:t>
      </w:r>
      <w:r w:rsidRPr="00EF56D0">
        <w:rPr>
          <w:highlight w:val="yellow"/>
        </w:rPr>
        <w:t xml:space="preserve"> W związku z tym stanowią one przedmiot ewaluacji przez cały okres programowania</w:t>
      </w:r>
      <w:r w:rsidRPr="00EF56D0">
        <w:rPr>
          <w:rFonts w:ascii="ZWAdobeF" w:hAnsi="ZWAdobeF"/>
          <w:color w:val="auto"/>
          <w:sz w:val="2"/>
          <w:highlight w:val="yellow"/>
        </w:rPr>
        <w:t>20F</w:t>
      </w:r>
      <w:r w:rsidRPr="00EF56D0">
        <w:rPr>
          <w:rStyle w:val="FootnoteReference"/>
          <w:highlight w:val="yellow"/>
        </w:rPr>
        <w:footnoteReference w:id="21"/>
      </w:r>
      <w:r w:rsidRPr="00EF56D0">
        <w:rPr>
          <w:highlight w:val="yellow"/>
        </w:rPr>
        <w:t xml:space="preserve">. </w:t>
      </w:r>
    </w:p>
    <w:p w:rsidR="001924CD" w:rsidRPr="00EF56D0" w:rsidRDefault="001924CD" w:rsidP="005F73EB">
      <w:pPr>
        <w:pStyle w:val="HStandard"/>
        <w:rPr>
          <w:highlight w:val="yellow"/>
        </w:rPr>
      </w:pPr>
      <w:r w:rsidRPr="00EF56D0">
        <w:rPr>
          <w:highlight w:val="yellow"/>
        </w:rPr>
        <w:t>Akty prawne</w:t>
      </w:r>
      <w:r w:rsidRPr="00EF56D0">
        <w:rPr>
          <w:rFonts w:ascii="ZWAdobeF" w:hAnsi="ZWAdobeF"/>
          <w:color w:val="auto"/>
          <w:sz w:val="2"/>
          <w:highlight w:val="yellow"/>
        </w:rPr>
        <w:t>21F</w:t>
      </w:r>
      <w:r w:rsidRPr="00EF56D0">
        <w:rPr>
          <w:rStyle w:val="FootnoteReference"/>
          <w:highlight w:val="yellow"/>
        </w:rPr>
        <w:footnoteReference w:id="22"/>
      </w:r>
      <w:r w:rsidRPr="00EF56D0">
        <w:rPr>
          <w:highlight w:val="yellow"/>
        </w:rPr>
        <w:t xml:space="preserve"> określają konkretne cele strategiczne dla krajowych sieci obszarów wiejskich, aby mogły one przyczyniać się do realizacji polityki rozwoju obszarów wiejskich Unii Europejskiej: </w:t>
      </w:r>
    </w:p>
    <w:p w:rsidR="001924CD" w:rsidRPr="00EF56D0" w:rsidRDefault="001924CD" w:rsidP="00923616">
      <w:pPr>
        <w:pStyle w:val="Hlistabc"/>
        <w:rPr>
          <w:highlight w:val="yellow"/>
        </w:rPr>
      </w:pPr>
      <w:r w:rsidRPr="00EF56D0">
        <w:rPr>
          <w:highlight w:val="yellow"/>
        </w:rPr>
        <w:t xml:space="preserve">zwiększenie udziału zainteresowanych stron we wdrażaniu programów rozwoju obszarów wiejskich, </w:t>
      </w:r>
    </w:p>
    <w:p w:rsidR="001924CD" w:rsidRPr="00EF56D0" w:rsidRDefault="001924CD" w:rsidP="00923616">
      <w:pPr>
        <w:pStyle w:val="Hlistabc"/>
        <w:rPr>
          <w:highlight w:val="yellow"/>
        </w:rPr>
      </w:pPr>
      <w:r w:rsidRPr="00EF56D0">
        <w:rPr>
          <w:highlight w:val="yellow"/>
        </w:rPr>
        <w:t xml:space="preserve">podniesienie jakości wdrażania programów rozwoju obszarów wiejskich, </w:t>
      </w:r>
    </w:p>
    <w:p w:rsidR="001924CD" w:rsidRPr="00EF56D0" w:rsidRDefault="001924CD" w:rsidP="00923616">
      <w:pPr>
        <w:pStyle w:val="Hlistabc"/>
        <w:rPr>
          <w:highlight w:val="yellow"/>
        </w:rPr>
      </w:pPr>
      <w:r w:rsidRPr="00EF56D0">
        <w:rPr>
          <w:highlight w:val="yellow"/>
        </w:rPr>
        <w:t xml:space="preserve">informowanie społeczeństwa i potencjalnych beneficjentów o polityce rozwoju obszarów wiejskich i możliwościach finansowania, </w:t>
      </w:r>
    </w:p>
    <w:p w:rsidR="001924CD" w:rsidRPr="00EF56D0" w:rsidRDefault="001924CD" w:rsidP="00FF5B4F">
      <w:pPr>
        <w:pStyle w:val="Hlistabc2"/>
        <w:rPr>
          <w:highlight w:val="yellow"/>
        </w:rPr>
      </w:pPr>
      <w:r w:rsidRPr="00EF56D0">
        <w:rPr>
          <w:highlight w:val="yellow"/>
        </w:rPr>
        <w:t xml:space="preserve">wspieranie innowacji w rolnictwie, produkcji żywności, leśnictwie i na obszarach wiejskich. </w:t>
      </w:r>
    </w:p>
    <w:p w:rsidR="001924CD" w:rsidRPr="00EF56D0" w:rsidRDefault="001924CD" w:rsidP="00923616">
      <w:pPr>
        <w:pStyle w:val="HStandard"/>
        <w:rPr>
          <w:highlight w:val="yellow"/>
        </w:rPr>
      </w:pPr>
      <w:r w:rsidRPr="00EF56D0">
        <w:rPr>
          <w:b/>
          <w:highlight w:val="yellow"/>
        </w:rPr>
        <w:t>Ewaluacja pozwala na ocenę realizacji celów</w:t>
      </w:r>
      <w:r w:rsidRPr="00EF56D0">
        <w:rPr>
          <w:highlight w:val="yellow"/>
        </w:rPr>
        <w:t xml:space="preserve"> w oparciu o rezultaty, oddziaływanie oraz wartość dodaną</w:t>
      </w:r>
      <w:r w:rsidRPr="00EF56D0">
        <w:rPr>
          <w:rFonts w:ascii="ZWAdobeF" w:hAnsi="ZWAdobeF"/>
          <w:color w:val="auto"/>
          <w:sz w:val="2"/>
          <w:highlight w:val="yellow"/>
        </w:rPr>
        <w:t>22F</w:t>
      </w:r>
      <w:r w:rsidRPr="00EF56D0">
        <w:rPr>
          <w:rStyle w:val="FootnoteReference"/>
          <w:highlight w:val="yellow"/>
        </w:rPr>
        <w:footnoteReference w:id="23"/>
      </w:r>
      <w:r w:rsidRPr="00EF56D0">
        <w:rPr>
          <w:highlight w:val="yellow"/>
        </w:rPr>
        <w:t xml:space="preserve"> działalności KSOW. Przyczynia się to do poprawy projektowania, jakości i wdrażania działań sieciowych oraz pomaga uzasadnić wydatkowane środki. Ewaluacja zwiększa przejrzystość i rozliczalność interwencji KSOW, pokazując zainteresowanym stronom i podatnikom, jak pieniądze zostały wydane. </w:t>
      </w:r>
    </w:p>
    <w:p w:rsidR="001924CD" w:rsidRPr="00EF56D0" w:rsidRDefault="001924CD" w:rsidP="006D3475">
      <w:pPr>
        <w:pStyle w:val="HHeading5"/>
        <w:rPr>
          <w:highlight w:val="yellow"/>
        </w:rPr>
      </w:pPr>
      <w:r w:rsidRPr="00EF56D0">
        <w:rPr>
          <w:highlight w:val="yellow"/>
        </w:rPr>
        <w:t xml:space="preserve">Formy ewaluacji KSOW </w:t>
      </w:r>
    </w:p>
    <w:p w:rsidR="001924CD" w:rsidRPr="00EF56D0" w:rsidRDefault="001924CD" w:rsidP="00115611">
      <w:pPr>
        <w:pStyle w:val="HStandard"/>
        <w:rPr>
          <w:highlight w:val="yellow"/>
        </w:rPr>
      </w:pPr>
      <w:r w:rsidRPr="00EF56D0">
        <w:rPr>
          <w:b/>
          <w:highlight w:val="yellow"/>
        </w:rPr>
        <w:t>Ewaluacja KSOW może przybierać różne formy.</w:t>
      </w:r>
      <w:r w:rsidRPr="00EF56D0">
        <w:rPr>
          <w:highlight w:val="yellow"/>
        </w:rPr>
        <w:t xml:space="preserve"> W państwach członkowskich, w których KSOW nie ma postaci oddzielnego programu, ewaluacja odbywa się najczęściej w ramach PROW, a tylko opcjonalnie może mieć charakter odrębnej oceny. Z kolei PKSOW zawsze podlega osobnej ocenie na tej samej zasadzie, co każdy program. </w:t>
      </w:r>
    </w:p>
    <w:p w:rsidR="001924CD" w:rsidRPr="00EF56D0" w:rsidRDefault="001924CD" w:rsidP="00FF5B4F">
      <w:pPr>
        <w:pStyle w:val="HStandard"/>
        <w:rPr>
          <w:highlight w:val="yellow"/>
        </w:rPr>
      </w:pPr>
      <w:r w:rsidRPr="00EF56D0">
        <w:rPr>
          <w:b/>
          <w:highlight w:val="yellow"/>
        </w:rPr>
        <w:t>Ewaluacja KSOW może również być częścią oceny tematycznej</w:t>
      </w:r>
      <w:r w:rsidRPr="00EF56D0">
        <w:rPr>
          <w:highlight w:val="yellow"/>
        </w:rPr>
        <w:t xml:space="preserve">. Na przykład ocena tematyczna dotycząca innowacyjności może obejmować ewaluację wkładu działalności KSOW we wspieranie partnerstw na rzecz innowacji, np. transferu innowacyjnych rozwiązań, rozpowszechniania </w:t>
      </w:r>
      <w:r w:rsidRPr="00EF56D0">
        <w:rPr>
          <w:highlight w:val="yellow"/>
        </w:rPr>
        <w:lastRenderedPageBreak/>
        <w:t>innowacyjnych projektów wspartych środkami PROW itp. Może również obejmować współpracę KSOW z siecią EIP-Agri.</w:t>
      </w:r>
    </w:p>
    <w:p w:rsidR="001924CD" w:rsidRPr="00EF56D0" w:rsidRDefault="001924CD" w:rsidP="00E02C8A">
      <w:pPr>
        <w:pStyle w:val="HStandard"/>
        <w:rPr>
          <w:rFonts w:ascii="Helvetica" w:hAnsi="Helvetica" w:cs="Helvetica"/>
          <w:color w:val="auto"/>
          <w:highlight w:val="yellow"/>
        </w:rPr>
      </w:pPr>
      <w:r w:rsidRPr="00EF56D0">
        <w:rPr>
          <w:highlight w:val="yellow"/>
        </w:rPr>
        <w:t xml:space="preserve">KSOW może ponadto zdecydować się na przeprowadzenie samooceny rezultatów, oddziaływania i realizacji swoich celów. </w:t>
      </w:r>
    </w:p>
    <w:p w:rsidR="001924CD" w:rsidRPr="00EF56D0" w:rsidRDefault="001924CD" w:rsidP="00FF5B4F">
      <w:pPr>
        <w:pStyle w:val="HStandard"/>
        <w:rPr>
          <w:highlight w:val="yellow"/>
        </w:rPr>
      </w:pPr>
      <w:r w:rsidRPr="00EF56D0">
        <w:rPr>
          <w:highlight w:val="yellow"/>
        </w:rPr>
        <w:t>Poza wymaganiami prawnymi wybrana forma ewaluacji KSOW będzie zależeć od konkretnego interesu instytucji zarządzającej i JWS oraz budżetu przeznaczonego na ten cel.</w:t>
      </w:r>
    </w:p>
    <w:p w:rsidR="001924CD" w:rsidRPr="00EF56D0" w:rsidRDefault="001924CD" w:rsidP="006D3475">
      <w:pPr>
        <w:pStyle w:val="HHeading5"/>
        <w:rPr>
          <w:highlight w:val="yellow"/>
        </w:rPr>
      </w:pPr>
      <w:r w:rsidRPr="00EF56D0">
        <w:rPr>
          <w:highlight w:val="yellow"/>
        </w:rPr>
        <w:t>Samoocena KSOW</w:t>
      </w:r>
    </w:p>
    <w:p w:rsidR="001924CD" w:rsidRPr="00EF56D0" w:rsidRDefault="001924CD" w:rsidP="00FF5B4F">
      <w:pPr>
        <w:pStyle w:val="HStandard"/>
        <w:rPr>
          <w:highlight w:val="yellow"/>
        </w:rPr>
      </w:pPr>
      <w:r w:rsidRPr="00EF56D0">
        <w:rPr>
          <w:b/>
          <w:highlight w:val="yellow"/>
        </w:rPr>
        <w:t>Samoocena jest procesem przeprowadzanym przez KSOW we własnym zakresie</w:t>
      </w:r>
      <w:r w:rsidRPr="00EF56D0">
        <w:rPr>
          <w:highlight w:val="yellow"/>
        </w:rPr>
        <w:t xml:space="preserve">, aby uzyskać wewnętrzny pogląd na działalność sieci i jej wyniki. Dzięki temu zaangażowane podmioty mogą zastanowić się, czy ich działania skutecznie przyczyniają się do osiągnięcia celów sieci. Ocena zewnętrzna przedstawia natomiast niezależny punkt widzenia, choć intencja jest podobna. Ewaluacja zewnętrzna pozwala sformułować wnioski w celu poprawy konstrukcji sieci, interwencji i ich wdrażania. </w:t>
      </w:r>
    </w:p>
    <w:p w:rsidR="001924CD" w:rsidRPr="008A4203" w:rsidRDefault="001924CD" w:rsidP="001B43DA">
      <w:pPr>
        <w:pStyle w:val="HStandard"/>
      </w:pPr>
      <w:r w:rsidRPr="00EF56D0">
        <w:rPr>
          <w:b/>
          <w:highlight w:val="yellow"/>
        </w:rPr>
        <w:t>Samoocena może i powinna być powiązana z ewaluacją KSOW</w:t>
      </w:r>
      <w:r w:rsidRPr="00EF56D0">
        <w:rPr>
          <w:highlight w:val="yellow"/>
        </w:rPr>
        <w:t>; chodzi o to, by zebrane dowody zostały wykorzystane jako jedno z możliwych źródeł informacji przy ocenie skuteczności, efektywności, rezultatów i oddziaływania KSOW. Dobrze ugruntowane powiązania i komplementarność pomiędzy samooceną i ewaluacją KSOW przyczyniają się do obniżenia kosztów obu tych zadań. Wymaga to jednak koordynacji i współpracy pomiędzy kilkoma podmiotami: JWS/KSOW, instytucją zarządzającą programem i ewaluatorem (</w:t>
      </w:r>
      <w:r w:rsidRPr="00EF56D0">
        <w:rPr>
          <w:highlight w:val="yellow"/>
        </w:rPr>
        <w:fldChar w:fldCharType="begin" w:fldLock="1"/>
      </w:r>
      <w:r w:rsidRPr="00EF56D0">
        <w:rPr>
          <w:highlight w:val="yellow"/>
        </w:rPr>
        <w:instrText xml:space="preserve"> REF _Ref451784251 \r \h  \* MERGEFORMAT </w:instrText>
      </w:r>
      <w:r w:rsidRPr="00EF56D0">
        <w:rPr>
          <w:highlight w:val="yellow"/>
        </w:rPr>
      </w:r>
      <w:r w:rsidRPr="00EF56D0">
        <w:rPr>
          <w:highlight w:val="yellow"/>
        </w:rPr>
        <w:fldChar w:fldCharType="separate"/>
      </w:r>
      <w:r w:rsidRPr="00EF56D0">
        <w:rPr>
          <w:highlight w:val="yellow"/>
        </w:rPr>
        <w:t>Figure 3</w:t>
      </w:r>
      <w:r w:rsidRPr="00EF56D0">
        <w:rPr>
          <w:highlight w:val="yellow"/>
        </w:rPr>
        <w:fldChar w:fldCharType="end"/>
      </w:r>
      <w:r w:rsidRPr="00EF56D0">
        <w:rPr>
          <w:highlight w:val="yellow"/>
        </w:rPr>
        <w:t>).</w:t>
      </w:r>
    </w:p>
    <w:p w:rsidR="001924CD" w:rsidRPr="008A4203" w:rsidRDefault="001924CD">
      <w:pPr>
        <w:spacing w:after="0" w:line="240" w:lineRule="auto"/>
        <w:rPr>
          <w:rFonts w:cs="Arial"/>
          <w:b/>
          <w:color w:val="576C88" w:themeColor="text2" w:themeTint="D9"/>
          <w:sz w:val="16"/>
          <w:szCs w:val="20"/>
        </w:rPr>
      </w:pPr>
      <w:bookmarkStart w:id="16" w:name="_Toc390439646"/>
      <w:bookmarkStart w:id="17" w:name="_Ref434411589"/>
      <w:bookmarkStart w:id="18" w:name="_Ref435789100"/>
      <w:bookmarkStart w:id="19" w:name="_Toc436383141"/>
      <w:bookmarkStart w:id="20" w:name="_Toc445465118"/>
      <w:bookmarkStart w:id="21" w:name="_Toc451781922"/>
      <w:bookmarkStart w:id="22" w:name="_Ref451784251"/>
      <w:bookmarkStart w:id="23" w:name="_Ref451784253"/>
      <w:bookmarkStart w:id="24" w:name="_Ref451784254"/>
      <w:r w:rsidRPr="008A4203">
        <w:br w:type="page"/>
      </w:r>
    </w:p>
    <w:p w:rsidR="001924CD" w:rsidRPr="008A4203" w:rsidRDefault="001924CD" w:rsidP="00EF2430">
      <w:pPr>
        <w:pStyle w:val="HHeadingfigures"/>
      </w:pPr>
      <w:bookmarkStart w:id="25" w:name="_Toc461807140"/>
      <w:r w:rsidRPr="008A4203">
        <w:lastRenderedPageBreak/>
        <w:t>Porównanie samooceny i ewaluacji KSOW</w:t>
      </w:r>
      <w:bookmarkEnd w:id="16"/>
      <w:bookmarkEnd w:id="17"/>
      <w:bookmarkEnd w:id="18"/>
      <w:bookmarkEnd w:id="19"/>
      <w:bookmarkEnd w:id="20"/>
      <w:bookmarkEnd w:id="21"/>
      <w:bookmarkEnd w:id="22"/>
      <w:bookmarkEnd w:id="23"/>
      <w:bookmarkEnd w:id="24"/>
      <w:bookmarkEnd w:id="25"/>
    </w:p>
    <w:p w:rsidR="001924CD" w:rsidRPr="00EF56D0" w:rsidRDefault="001924CD" w:rsidP="00240358">
      <w:pPr>
        <w:pStyle w:val="HStandard"/>
        <w:jc w:val="center"/>
        <w:rPr>
          <w:highlight w:val="yellow"/>
        </w:rPr>
      </w:pPr>
      <w:r w:rsidRPr="00EF56D0">
        <w:rPr>
          <w:noProof/>
          <w:lang w:val="en-GB" w:eastAsia="en-GB" w:bidi="ar-SA"/>
        </w:rPr>
        <w:drawing>
          <wp:inline distT="0" distB="0" distL="0" distR="0" wp14:anchorId="7352B39F" wp14:editId="46C1DFD6">
            <wp:extent cx="5580055" cy="3648577"/>
            <wp:effectExtent l="0" t="0" r="1905"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3588" cy="3670503"/>
                    </a:xfrm>
                    <a:prstGeom prst="rect">
                      <a:avLst/>
                    </a:prstGeom>
                    <a:noFill/>
                    <a:ln>
                      <a:noFill/>
                    </a:ln>
                  </pic:spPr>
                </pic:pic>
              </a:graphicData>
            </a:graphic>
          </wp:inline>
        </w:drawing>
      </w:r>
      <w:r w:rsidRPr="00EF56D0">
        <w:rPr>
          <w:highlight w:val="yellow"/>
        </w:rPr>
        <w:t xml:space="preserve"> </w:t>
      </w:r>
    </w:p>
    <w:p w:rsidR="001924CD" w:rsidRPr="00EF56D0" w:rsidRDefault="001924CD" w:rsidP="00C71F5E">
      <w:pPr>
        <w:pStyle w:val="HSource"/>
        <w:rPr>
          <w:rFonts w:cs="Arial"/>
          <w:highlight w:val="yellow"/>
        </w:rPr>
      </w:pPr>
      <w:bookmarkStart w:id="26" w:name="_Toc260776799"/>
      <w:bookmarkStart w:id="27" w:name="_Toc262890482"/>
      <w:bookmarkStart w:id="28" w:name="_Toc263960909"/>
      <w:bookmarkStart w:id="29" w:name="_Toc264576620"/>
      <w:bookmarkStart w:id="30" w:name="_Toc267576419"/>
      <w:bookmarkStart w:id="31" w:name="_Toc267576747"/>
      <w:r w:rsidRPr="00EF56D0">
        <w:rPr>
          <w:highlight w:val="yellow"/>
        </w:rPr>
        <w:t>Źródło: Europejskie Biuro Pomocy ds. Ewaluacji Rozwoju Obszarów Wiejskich, 2016 r.</w:t>
      </w:r>
    </w:p>
    <w:bookmarkEnd w:id="26"/>
    <w:bookmarkEnd w:id="27"/>
    <w:bookmarkEnd w:id="28"/>
    <w:bookmarkEnd w:id="29"/>
    <w:bookmarkEnd w:id="30"/>
    <w:bookmarkEnd w:id="31"/>
    <w:p w:rsidR="001924CD" w:rsidRPr="00EF56D0" w:rsidRDefault="001924CD" w:rsidP="00FF5B4F">
      <w:pPr>
        <w:pStyle w:val="HStandard"/>
        <w:rPr>
          <w:highlight w:val="yellow"/>
        </w:rPr>
      </w:pPr>
      <w:r w:rsidRPr="00EF56D0">
        <w:rPr>
          <w:highlight w:val="yellow"/>
        </w:rPr>
        <w:t xml:space="preserve">Aby samoocena mogła stanowić skuteczne, oparte na autorefleksji narzędzie uczenia się, może zachodzić potrzeba jej uwzględnienia w planie działania lub rozwijania zdolności KSOW. Najlepiej byłoby, gdyby perspektywiczne planowanie samooceny rozpoczęło się na wczesnym etapie wdrażania KSOW. </w:t>
      </w:r>
    </w:p>
    <w:p w:rsidR="001924CD" w:rsidRPr="00EF56D0" w:rsidRDefault="001924CD" w:rsidP="009D73B8">
      <w:pPr>
        <w:pStyle w:val="HStandard"/>
        <w:rPr>
          <w:highlight w:val="yellow"/>
        </w:rPr>
      </w:pPr>
      <w:r w:rsidRPr="00EF56D0">
        <w:rPr>
          <w:highlight w:val="yellow"/>
        </w:rPr>
        <w:t xml:space="preserve">Samoocena ma często charakter ciągłego cyklu działań, w którym w różnym czasie uczestniczą różne podmioty. Dowody są zazwyczaj gromadzone za pomocą metod jakościowych, takich jak: </w:t>
      </w:r>
    </w:p>
    <w:p w:rsidR="001924CD" w:rsidRPr="00EF56D0" w:rsidRDefault="001924CD" w:rsidP="009D73B8">
      <w:pPr>
        <w:pStyle w:val="Hlistbullet"/>
        <w:rPr>
          <w:highlight w:val="yellow"/>
        </w:rPr>
      </w:pPr>
      <w:r w:rsidRPr="00EF56D0">
        <w:rPr>
          <w:highlight w:val="yellow"/>
        </w:rPr>
        <w:t xml:space="preserve">spotkania zainteresowanych stron, </w:t>
      </w:r>
    </w:p>
    <w:p w:rsidR="001924CD" w:rsidRPr="00EF56D0" w:rsidRDefault="001924CD" w:rsidP="009D73B8">
      <w:pPr>
        <w:pStyle w:val="Hlistbullet"/>
        <w:rPr>
          <w:highlight w:val="yellow"/>
        </w:rPr>
      </w:pPr>
      <w:r w:rsidRPr="00EF56D0">
        <w:rPr>
          <w:highlight w:val="yellow"/>
        </w:rPr>
        <w:t xml:space="preserve">panele obywateli i grup obywatelskich, </w:t>
      </w:r>
    </w:p>
    <w:p w:rsidR="001924CD" w:rsidRPr="00EF56D0" w:rsidRDefault="001924CD" w:rsidP="009D73B8">
      <w:pPr>
        <w:pStyle w:val="Hlistbullet"/>
        <w:rPr>
          <w:highlight w:val="yellow"/>
        </w:rPr>
      </w:pPr>
      <w:r w:rsidRPr="00EF56D0">
        <w:rPr>
          <w:highlight w:val="yellow"/>
        </w:rPr>
        <w:t xml:space="preserve">grupy fokusowe, </w:t>
      </w:r>
    </w:p>
    <w:p w:rsidR="001924CD" w:rsidRPr="00EF56D0" w:rsidRDefault="001924CD" w:rsidP="009D73B8">
      <w:pPr>
        <w:pStyle w:val="Hlistbullet"/>
        <w:rPr>
          <w:highlight w:val="yellow"/>
        </w:rPr>
      </w:pPr>
      <w:r w:rsidRPr="00EF56D0">
        <w:rPr>
          <w:highlight w:val="yellow"/>
        </w:rPr>
        <w:t xml:space="preserve">otwarta przestrzeń, </w:t>
      </w:r>
    </w:p>
    <w:p w:rsidR="001924CD" w:rsidRPr="00EF56D0" w:rsidRDefault="001924CD" w:rsidP="009D73B8">
      <w:pPr>
        <w:pStyle w:val="Hlistbullet"/>
        <w:rPr>
          <w:highlight w:val="yellow"/>
        </w:rPr>
      </w:pPr>
      <w:r w:rsidRPr="00EF56D0">
        <w:rPr>
          <w:highlight w:val="yellow"/>
        </w:rPr>
        <w:t>arkusze informacji zwrotnych dotyczących działań,</w:t>
      </w:r>
    </w:p>
    <w:p w:rsidR="001924CD" w:rsidRPr="00EF56D0" w:rsidRDefault="001924CD" w:rsidP="009D73B8">
      <w:pPr>
        <w:pStyle w:val="Hlistbullet2"/>
        <w:rPr>
          <w:highlight w:val="yellow"/>
        </w:rPr>
      </w:pPr>
      <w:r w:rsidRPr="00EF56D0">
        <w:rPr>
          <w:highlight w:val="yellow"/>
        </w:rPr>
        <w:t xml:space="preserve">ocena potrzeb za pomocą ankiet itp. </w:t>
      </w:r>
    </w:p>
    <w:p w:rsidR="001924CD" w:rsidRPr="00EF56D0" w:rsidRDefault="001924CD" w:rsidP="009D73B8">
      <w:pPr>
        <w:pStyle w:val="HStandard"/>
        <w:rPr>
          <w:highlight w:val="yellow"/>
        </w:rPr>
      </w:pPr>
      <w:r w:rsidRPr="00EF56D0">
        <w:rPr>
          <w:highlight w:val="yellow"/>
        </w:rPr>
        <w:t>Ważne jest, aby wybrać i dostosować metodologię, która została specjalnie opracowana i przetestowana na potrzeby oceny sieci</w:t>
      </w:r>
      <w:r w:rsidRPr="00EF56D0">
        <w:rPr>
          <w:rFonts w:ascii="ZWAdobeF" w:hAnsi="ZWAdobeF"/>
          <w:color w:val="auto"/>
          <w:sz w:val="2"/>
          <w:highlight w:val="yellow"/>
        </w:rPr>
        <w:t>23F</w:t>
      </w:r>
      <w:r w:rsidRPr="00EF56D0">
        <w:rPr>
          <w:rStyle w:val="FootnoteReference"/>
          <w:highlight w:val="yellow"/>
        </w:rPr>
        <w:footnoteReference w:id="24"/>
      </w:r>
      <w:r w:rsidRPr="00EF56D0">
        <w:rPr>
          <w:highlight w:val="yellow"/>
        </w:rPr>
        <w:t xml:space="preserve">. Na samoocenę należy przeznaczyć wystarczające zasoby i czas, a jej wyniki należy uwzględnić w planie działania KSOW. </w:t>
      </w:r>
    </w:p>
    <w:p w:rsidR="001924CD" w:rsidRPr="008A4203" w:rsidRDefault="001924CD" w:rsidP="003A1D3C">
      <w:pPr>
        <w:pStyle w:val="HStandard"/>
      </w:pPr>
      <w:r w:rsidRPr="00EF56D0">
        <w:rPr>
          <w:highlight w:val="yellow"/>
        </w:rPr>
        <w:t>Dalsze informacje na temat narzędzi i metod samooceny można znaleźć na stronie internetowej Europejskiej Sieci na Rzecz Rozwoju Obszarów Wiejskich</w:t>
      </w:r>
      <w:r w:rsidRPr="00EF56D0">
        <w:rPr>
          <w:rFonts w:ascii="ZWAdobeF" w:hAnsi="ZWAdobeF"/>
          <w:color w:val="auto"/>
          <w:sz w:val="2"/>
          <w:highlight w:val="yellow"/>
        </w:rPr>
        <w:t>24F</w:t>
      </w:r>
      <w:r w:rsidRPr="00EF56D0">
        <w:rPr>
          <w:rStyle w:val="FootnoteReference"/>
          <w:highlight w:val="yellow"/>
        </w:rPr>
        <w:footnoteReference w:id="25"/>
      </w:r>
      <w:r w:rsidRPr="00EF56D0">
        <w:rPr>
          <w:highlight w:val="yellow"/>
        </w:rPr>
        <w:t>.</w:t>
      </w:r>
      <w:r w:rsidRPr="008A4203">
        <w:t xml:space="preserve"> </w:t>
      </w:r>
    </w:p>
    <w:p w:rsidR="001924CD" w:rsidRPr="00EF56D0" w:rsidRDefault="001924CD" w:rsidP="00680DA9">
      <w:pPr>
        <w:pStyle w:val="HHeading2"/>
        <w:rPr>
          <w:highlight w:val="yellow"/>
        </w:rPr>
      </w:pPr>
      <w:bookmarkStart w:id="32" w:name="_Toc453079749"/>
      <w:bookmarkStart w:id="33" w:name="_Toc461807110"/>
      <w:r w:rsidRPr="00EF56D0">
        <w:rPr>
          <w:highlight w:val="yellow"/>
        </w:rPr>
        <w:lastRenderedPageBreak/>
        <w:t>Wymagania dotyczące ewaluacji KSOW w polityce rozwoju obszarów wiejskich UE</w:t>
      </w:r>
      <w:bookmarkEnd w:id="32"/>
      <w:bookmarkEnd w:id="33"/>
    </w:p>
    <w:p w:rsidR="001924CD" w:rsidRPr="00EF56D0" w:rsidRDefault="001924CD" w:rsidP="00680DA9">
      <w:pPr>
        <w:pStyle w:val="HHeading3"/>
        <w:rPr>
          <w:highlight w:val="yellow"/>
        </w:rPr>
      </w:pPr>
      <w:bookmarkStart w:id="34" w:name="_Toc453079750"/>
      <w:bookmarkStart w:id="35" w:name="_Toc461807111"/>
      <w:r w:rsidRPr="00EF56D0">
        <w:rPr>
          <w:highlight w:val="yellow"/>
        </w:rPr>
        <w:t>Harmonogram ewaluacji i sprawozdawczości</w:t>
      </w:r>
      <w:bookmarkEnd w:id="34"/>
      <w:bookmarkEnd w:id="35"/>
    </w:p>
    <w:p w:rsidR="001924CD" w:rsidRPr="00EF56D0" w:rsidRDefault="001924CD" w:rsidP="00923616">
      <w:pPr>
        <w:pStyle w:val="HStandard"/>
        <w:rPr>
          <w:highlight w:val="yellow"/>
        </w:rPr>
      </w:pPr>
      <w:r w:rsidRPr="00EF56D0">
        <w:rPr>
          <w:b/>
          <w:highlight w:val="yellow"/>
        </w:rPr>
        <w:t>Prawodawstwo UE</w:t>
      </w:r>
      <w:r w:rsidRPr="00EF56D0">
        <w:rPr>
          <w:rFonts w:ascii="ZWAdobeF" w:hAnsi="ZWAdobeF"/>
          <w:color w:val="auto"/>
          <w:sz w:val="2"/>
          <w:highlight w:val="yellow"/>
        </w:rPr>
        <w:t>25F</w:t>
      </w:r>
      <w:r w:rsidRPr="00EF56D0">
        <w:rPr>
          <w:rStyle w:val="FootnoteReference"/>
          <w:highlight w:val="yellow"/>
        </w:rPr>
        <w:footnoteReference w:id="26"/>
      </w:r>
      <w:r w:rsidRPr="00EF56D0">
        <w:rPr>
          <w:b/>
          <w:highlight w:val="yellow"/>
        </w:rPr>
        <w:t xml:space="preserve"> wymaga przeprowadzenia oceny KSOW:</w:t>
      </w:r>
      <w:r w:rsidRPr="00EF56D0">
        <w:rPr>
          <w:highlight w:val="yellow"/>
        </w:rPr>
        <w:t xml:space="preserve"> w ramach ewaluacji PROW w przypadku sieci objętych tym programem lub na zasadzie samodzielnej ewaluacji w przypadku PKSOW. Informacje na temat ewaluacji należy przedstawiać przez cały okres programowania.</w:t>
      </w:r>
    </w:p>
    <w:p w:rsidR="001924CD" w:rsidRPr="00EF56D0" w:rsidRDefault="001924CD" w:rsidP="008F4DBD">
      <w:pPr>
        <w:pStyle w:val="HHeadingfigures"/>
        <w:rPr>
          <w:highlight w:val="yellow"/>
        </w:rPr>
      </w:pPr>
      <w:bookmarkStart w:id="36" w:name="_Toc445465119"/>
      <w:bookmarkStart w:id="37" w:name="_Toc451781923"/>
      <w:bookmarkStart w:id="38" w:name="_Toc461807141"/>
      <w:r w:rsidRPr="00EF56D0">
        <w:rPr>
          <w:highlight w:val="yellow"/>
        </w:rPr>
        <w:t>Harmonogram sprawozdawczości dotyczącej ewaluacji KSOW</w:t>
      </w:r>
      <w:bookmarkEnd w:id="36"/>
      <w:bookmarkEnd w:id="37"/>
      <w:bookmarkEnd w:id="38"/>
      <w:r w:rsidRPr="00EF56D0">
        <w:rPr>
          <w:highlight w:val="yellow"/>
        </w:rPr>
        <w:t xml:space="preserve"> </w:t>
      </w:r>
    </w:p>
    <w:p w:rsidR="001924CD" w:rsidRPr="008A4203" w:rsidRDefault="001924CD" w:rsidP="008F4DBD">
      <w:pPr>
        <w:pStyle w:val="HStandard"/>
      </w:pPr>
      <w:r w:rsidRPr="008A4203">
        <w:rPr>
          <w:noProof/>
          <w:lang w:val="en-GB" w:eastAsia="en-GB" w:bidi="ar-SA"/>
        </w:rPr>
        <w:drawing>
          <wp:inline distT="0" distB="0" distL="0" distR="0" wp14:anchorId="16B4DF00" wp14:editId="33DBB6B4">
            <wp:extent cx="6226725" cy="1669312"/>
            <wp:effectExtent l="0" t="0" r="0" b="762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72766" cy="1681655"/>
                    </a:xfrm>
                    <a:prstGeom prst="rect">
                      <a:avLst/>
                    </a:prstGeom>
                    <a:noFill/>
                    <a:ln>
                      <a:noFill/>
                    </a:ln>
                  </pic:spPr>
                </pic:pic>
              </a:graphicData>
            </a:graphic>
          </wp:inline>
        </w:drawing>
      </w:r>
      <w:r w:rsidRPr="008A4203">
        <w:t xml:space="preserve"> </w:t>
      </w:r>
    </w:p>
    <w:p w:rsidR="001924CD" w:rsidRPr="00EF56D0" w:rsidRDefault="001924CD" w:rsidP="008F4DBD">
      <w:pPr>
        <w:pStyle w:val="HSource"/>
        <w:rPr>
          <w:highlight w:val="yellow"/>
        </w:rPr>
      </w:pPr>
      <w:r w:rsidRPr="00EF56D0">
        <w:rPr>
          <w:highlight w:val="yellow"/>
        </w:rPr>
        <w:t>Źródło: Europejskie Biuro Pomocy ds. Ewaluacji Rozwoju Obszarów Wiejskich, 2016 r.</w:t>
      </w:r>
    </w:p>
    <w:p w:rsidR="001924CD" w:rsidRPr="00EF56D0" w:rsidRDefault="001924CD" w:rsidP="006D3475">
      <w:pPr>
        <w:pStyle w:val="HHeading5"/>
        <w:rPr>
          <w:highlight w:val="yellow"/>
        </w:rPr>
      </w:pPr>
      <w:r w:rsidRPr="00EF56D0">
        <w:rPr>
          <w:highlight w:val="yellow"/>
        </w:rPr>
        <w:t>Sprawozdawczość dotycząca ewaluacji KSOW/PKSOW w rocznych sprawozdaniach z wykonania</w:t>
      </w:r>
    </w:p>
    <w:p w:rsidR="001924CD" w:rsidRPr="00EF56D0" w:rsidRDefault="001924CD" w:rsidP="00923616">
      <w:pPr>
        <w:pStyle w:val="HStandard"/>
        <w:rPr>
          <w:highlight w:val="yellow"/>
        </w:rPr>
      </w:pPr>
      <w:r w:rsidRPr="00EF56D0">
        <w:rPr>
          <w:highlight w:val="yellow"/>
        </w:rPr>
        <w:t>Każde roczne sprawozdanie z wykonania (PROW i PKSOW) powinno zawierać informacje na temat postępów we wdrażaniu planu ewaluacji</w:t>
      </w:r>
      <w:r w:rsidRPr="00EF56D0">
        <w:rPr>
          <w:rFonts w:ascii="ZWAdobeF" w:hAnsi="ZWAdobeF"/>
          <w:color w:val="auto"/>
          <w:sz w:val="2"/>
          <w:highlight w:val="yellow"/>
        </w:rPr>
        <w:t>26F</w:t>
      </w:r>
      <w:r w:rsidRPr="00EF56D0">
        <w:rPr>
          <w:rStyle w:val="FootnoteReference"/>
          <w:highlight w:val="yellow"/>
        </w:rPr>
        <w:footnoteReference w:id="27"/>
      </w:r>
      <w:r w:rsidRPr="00EF56D0">
        <w:rPr>
          <w:highlight w:val="yellow"/>
        </w:rPr>
        <w:t xml:space="preserve">, w tym podjętych czynności ewaluacyjnych, a także wykaz i podsumowanie zakończonych ewaluacji oraz informacje na temat sposobu komunikacji i działań monitorujących (ang. follow-up) związanych z wnioskami i wynikami ewaluacji. W przypadku sieci KSOW ustanowionych w ramach PROW sprawozdawczość powinna skupiać się na tym, co zostało osiągnięte w danym roku w odniesieniu do ewaluacji KSOW (np. konkretne czynności ewaluacyjne dotyczące KSOW, komunikowanie wniosków z ewaluacji i monitorowanie ich realizacji), natomiast w przypadku PKSOW roczną sprawozdawczością należy objąć wszystkie uzgodnione elementy. </w:t>
      </w:r>
    </w:p>
    <w:p w:rsidR="001924CD" w:rsidRPr="00EF56D0" w:rsidRDefault="001924CD" w:rsidP="006D3475">
      <w:pPr>
        <w:pStyle w:val="HHeading5"/>
        <w:rPr>
          <w:highlight w:val="yellow"/>
        </w:rPr>
      </w:pPr>
      <w:r w:rsidRPr="00EF56D0">
        <w:rPr>
          <w:highlight w:val="yellow"/>
        </w:rPr>
        <w:t>Sprawozdawczość dotycząca ewaluacji KSOW/PKSOW w rocznych sprawozdaniach z wykonania za 2017 i 2019 r.</w:t>
      </w:r>
    </w:p>
    <w:p w:rsidR="001924CD" w:rsidRPr="00EF56D0" w:rsidRDefault="001924CD" w:rsidP="00923616">
      <w:pPr>
        <w:pStyle w:val="HStandard"/>
        <w:rPr>
          <w:highlight w:val="yellow"/>
        </w:rPr>
      </w:pPr>
      <w:r w:rsidRPr="00EF56D0">
        <w:rPr>
          <w:highlight w:val="yellow"/>
        </w:rPr>
        <w:t>Rozszerzone sprawozdania roczne z wykonania, jakie mają być złożone w 2017 i 2019 r., powinny zawierać informacje na temat postępów w wykonaniu PROW oraz osiągnięć w realizacji celów programu w ujęciu liczbowym</w:t>
      </w:r>
      <w:r w:rsidRPr="00EF56D0">
        <w:rPr>
          <w:rFonts w:ascii="ZWAdobeF" w:hAnsi="ZWAdobeF"/>
          <w:color w:val="auto"/>
          <w:sz w:val="2"/>
          <w:highlight w:val="yellow"/>
        </w:rPr>
        <w:t>27F</w:t>
      </w:r>
      <w:r w:rsidRPr="00EF56D0">
        <w:rPr>
          <w:rStyle w:val="FootnoteReference"/>
          <w:highlight w:val="yellow"/>
        </w:rPr>
        <w:footnoteReference w:id="28"/>
      </w:r>
      <w:r w:rsidRPr="00EF56D0">
        <w:rPr>
          <w:highlight w:val="yellow"/>
        </w:rPr>
        <w:t>. W przypadku ewaluacji KSOW na wspólne pytanie ewaluacyjne: „W jakim stopniu krajowa sieć obszarów wiejskich przyczynia się do osiągnięcia celów, o których</w:t>
      </w:r>
      <w:r w:rsidRPr="008A4203">
        <w:t xml:space="preserve"> </w:t>
      </w:r>
      <w:r w:rsidRPr="00EF56D0">
        <w:rPr>
          <w:highlight w:val="yellow"/>
        </w:rPr>
        <w:t>mowa w art. 54 ust. 2 rozporządzenia (UE) nr 1305/2013?” należy odpowiedzieć już w 2017 r. w odniesieniu do sieci KSOW stanowiących część PROW oraz w odniesieniu do PKSOW</w:t>
      </w:r>
      <w:r w:rsidRPr="00EF56D0">
        <w:rPr>
          <w:rFonts w:ascii="ZWAdobeF" w:hAnsi="ZWAdobeF"/>
          <w:color w:val="auto"/>
          <w:sz w:val="2"/>
          <w:highlight w:val="yellow"/>
        </w:rPr>
        <w:t>28F</w:t>
      </w:r>
      <w:r w:rsidRPr="00EF56D0">
        <w:rPr>
          <w:rStyle w:val="FootnoteReference"/>
          <w:highlight w:val="yellow"/>
        </w:rPr>
        <w:footnoteReference w:id="29"/>
      </w:r>
      <w:r w:rsidRPr="00EF56D0">
        <w:rPr>
          <w:highlight w:val="yellow"/>
        </w:rPr>
        <w:t xml:space="preserve"> w oparciu o wspólne wskaźniki produktu. </w:t>
      </w:r>
    </w:p>
    <w:p w:rsidR="001924CD" w:rsidRPr="00EF56D0" w:rsidRDefault="001924CD" w:rsidP="00745022">
      <w:pPr>
        <w:pStyle w:val="HStandard"/>
        <w:rPr>
          <w:highlight w:val="yellow"/>
        </w:rPr>
      </w:pPr>
      <w:r w:rsidRPr="00EF56D0">
        <w:rPr>
          <w:highlight w:val="yellow"/>
        </w:rPr>
        <w:t xml:space="preserve">Roczne sprawozdania z wykonania przedłożone w 2017 i 2019 r. powinny zawierać </w:t>
      </w:r>
      <w:r w:rsidRPr="00EF56D0">
        <w:rPr>
          <w:b/>
          <w:highlight w:val="yellow"/>
        </w:rPr>
        <w:t>informacje na temat wykorzystania wszystkich specyficznych dla programu, powiązanych z KSOW elementów</w:t>
      </w:r>
      <w:r w:rsidRPr="00EF56D0">
        <w:rPr>
          <w:highlight w:val="yellow"/>
        </w:rPr>
        <w:t xml:space="preserve">, a w miarę możliwości również informacje na temat wyników ewaluacji w odniesieniu do </w:t>
      </w:r>
      <w:r w:rsidRPr="00EF56D0">
        <w:rPr>
          <w:b/>
          <w:highlight w:val="yellow"/>
        </w:rPr>
        <w:t>specyficznych dla programu wskaźników, powiązanych z KSOW</w:t>
      </w:r>
      <w:r w:rsidRPr="00EF56D0">
        <w:rPr>
          <w:highlight w:val="yellow"/>
        </w:rPr>
        <w:t xml:space="preserve"> oraz odpowiedzi na</w:t>
      </w:r>
      <w:r w:rsidRPr="008A4203">
        <w:t xml:space="preserve"> </w:t>
      </w:r>
      <w:r w:rsidRPr="00EF56D0">
        <w:rPr>
          <w:b/>
          <w:highlight w:val="yellow"/>
        </w:rPr>
        <w:t>specyficzne dla programu pytania powiązane z KSOW</w:t>
      </w:r>
      <w:r w:rsidRPr="00EF56D0">
        <w:rPr>
          <w:highlight w:val="yellow"/>
        </w:rPr>
        <w:t xml:space="preserve">. </w:t>
      </w:r>
    </w:p>
    <w:p w:rsidR="001924CD" w:rsidRPr="00EF56D0" w:rsidRDefault="001924CD" w:rsidP="006D3475">
      <w:pPr>
        <w:pStyle w:val="HHeading5"/>
        <w:rPr>
          <w:highlight w:val="yellow"/>
        </w:rPr>
      </w:pPr>
      <w:r w:rsidRPr="00EF56D0">
        <w:rPr>
          <w:highlight w:val="yellow"/>
        </w:rPr>
        <w:lastRenderedPageBreak/>
        <w:t>Sprawozdawczość dotycząca ewaluacji KSOW/PKSOW w sprawozdaniu z postępów w realizacji umowy o partnerstwie</w:t>
      </w:r>
    </w:p>
    <w:p w:rsidR="001924CD" w:rsidRPr="00EF56D0" w:rsidRDefault="001924CD" w:rsidP="00923616">
      <w:pPr>
        <w:pStyle w:val="HStandard"/>
        <w:rPr>
          <w:highlight w:val="yellow"/>
        </w:rPr>
      </w:pPr>
      <w:r w:rsidRPr="00EF56D0">
        <w:rPr>
          <w:highlight w:val="yellow"/>
        </w:rPr>
        <w:t>W terminie do 31 sierpnia 2017 r. i 31 sierpnia 2019 r. państwa członkowskie zobowiązane są przedstawić Komisji sprawozdanie z postępów w realizacji umowy o partnerstwie</w:t>
      </w:r>
      <w:r w:rsidRPr="00EF56D0">
        <w:rPr>
          <w:rFonts w:ascii="ZWAdobeF" w:hAnsi="ZWAdobeF"/>
          <w:color w:val="auto"/>
          <w:sz w:val="2"/>
          <w:highlight w:val="yellow"/>
        </w:rPr>
        <w:t>29F</w:t>
      </w:r>
      <w:r w:rsidRPr="00EF56D0">
        <w:rPr>
          <w:rStyle w:val="FootnoteReference"/>
          <w:highlight w:val="yellow"/>
        </w:rPr>
        <w:footnoteReference w:id="30"/>
      </w:r>
      <w:r w:rsidRPr="00EF56D0">
        <w:rPr>
          <w:highlight w:val="yellow"/>
        </w:rPr>
        <w:t>. Sprawozdania te informują o wynikach ewaluacji związanych z KSOW, jeśli ocena KSOW obejmowała aspekty, które wymagają ujęcia</w:t>
      </w:r>
      <w:r w:rsidRPr="00EF56D0">
        <w:rPr>
          <w:rFonts w:ascii="ZWAdobeF" w:hAnsi="ZWAdobeF"/>
          <w:color w:val="auto"/>
          <w:sz w:val="2"/>
          <w:highlight w:val="yellow"/>
        </w:rPr>
        <w:t>30F</w:t>
      </w:r>
      <w:r w:rsidRPr="00EF56D0">
        <w:rPr>
          <w:rStyle w:val="FootnoteReference"/>
          <w:highlight w:val="yellow"/>
        </w:rPr>
        <w:footnoteReference w:id="31"/>
      </w:r>
      <w:r w:rsidRPr="00EF56D0">
        <w:rPr>
          <w:highlight w:val="yellow"/>
        </w:rPr>
        <w:t xml:space="preserve"> w sprawozdaniu z postępów, takie jak rola partnerów, przedsięwzięcia podjęte w celu wzmocnienia zdolności instytucji państw członkowskich w zakresie zarządzania EFSI, jak również podjęte działania i postępy w zakresie zmniejszania obciążeń administracyjnych dla beneficjentów. </w:t>
      </w:r>
    </w:p>
    <w:p w:rsidR="001924CD" w:rsidRPr="00EF56D0" w:rsidRDefault="001924CD" w:rsidP="006D3475">
      <w:pPr>
        <w:pStyle w:val="HHeading5"/>
        <w:rPr>
          <w:highlight w:val="yellow"/>
        </w:rPr>
      </w:pPr>
      <w:r w:rsidRPr="00EF56D0">
        <w:rPr>
          <w:highlight w:val="yellow"/>
        </w:rPr>
        <w:t xml:space="preserve">Sprawozdawczość dotycząca ewaluacji KSOW/PKSOW w sprawozdaniu z ewaluacji </w:t>
      </w:r>
      <w:r w:rsidRPr="00EF56D0">
        <w:rPr>
          <w:i/>
          <w:highlight w:val="yellow"/>
        </w:rPr>
        <w:t>ex post</w:t>
      </w:r>
    </w:p>
    <w:p w:rsidR="001924CD" w:rsidRPr="00EF56D0" w:rsidRDefault="001924CD" w:rsidP="00923616">
      <w:pPr>
        <w:pStyle w:val="HStandard"/>
        <w:rPr>
          <w:highlight w:val="yellow"/>
        </w:rPr>
      </w:pPr>
      <w:r w:rsidRPr="00EF56D0">
        <w:rPr>
          <w:highlight w:val="yellow"/>
        </w:rPr>
        <w:t xml:space="preserve">Podobnie jak w przypadku rozszerzonych rocznych sprawozdań z wykonania, sprawozdanie z ewaluacji </w:t>
      </w:r>
      <w:r w:rsidRPr="00EF56D0">
        <w:rPr>
          <w:i/>
          <w:highlight w:val="yellow"/>
        </w:rPr>
        <w:t>ex post</w:t>
      </w:r>
      <w:r w:rsidRPr="00EF56D0">
        <w:rPr>
          <w:highlight w:val="yellow"/>
        </w:rPr>
        <w:t>, które należy złożyć w terminie do 31 grudnia 2024 r.</w:t>
      </w:r>
      <w:r w:rsidRPr="00EF56D0">
        <w:rPr>
          <w:rFonts w:ascii="ZWAdobeF" w:hAnsi="ZWAdobeF"/>
          <w:color w:val="auto"/>
          <w:sz w:val="2"/>
          <w:highlight w:val="yellow"/>
        </w:rPr>
        <w:t>31F</w:t>
      </w:r>
      <w:r w:rsidRPr="00EF56D0">
        <w:rPr>
          <w:rStyle w:val="FootnoteReference"/>
          <w:highlight w:val="yellow"/>
        </w:rPr>
        <w:footnoteReference w:id="32"/>
      </w:r>
      <w:r w:rsidRPr="00EF56D0">
        <w:rPr>
          <w:highlight w:val="yellow"/>
        </w:rPr>
        <w:t>, powinno zawierać odpowiedzi na wspólne pytania ewaluacyjne</w:t>
      </w:r>
      <w:r w:rsidRPr="00EF56D0">
        <w:rPr>
          <w:rFonts w:ascii="ZWAdobeF" w:hAnsi="ZWAdobeF"/>
          <w:color w:val="auto"/>
          <w:sz w:val="2"/>
          <w:highlight w:val="yellow"/>
        </w:rPr>
        <w:t>32F</w:t>
      </w:r>
      <w:r w:rsidRPr="00EF56D0">
        <w:rPr>
          <w:rStyle w:val="FootnoteReference"/>
          <w:highlight w:val="yellow"/>
        </w:rPr>
        <w:footnoteReference w:id="33"/>
      </w:r>
      <w:r w:rsidRPr="00EF56D0">
        <w:rPr>
          <w:highlight w:val="yellow"/>
        </w:rPr>
        <w:t xml:space="preserve"> związane z KSOW w oparciu o wspólne wskaźniki produktu. Jeśli program zawiera specyficzne dla programu, powiązane z KSOW pytania ewaluacyjne i wskaźniki (np. wskaźniki rezultatu i oddziaływania KSOW), należy przedstawić informacje na temat ich oceny i odpowiedzi na pytania ewaluacyjne specyficzne dla programu.</w:t>
      </w:r>
    </w:p>
    <w:p w:rsidR="001924CD" w:rsidRPr="00EF56D0" w:rsidRDefault="001924CD" w:rsidP="00680DA9">
      <w:pPr>
        <w:pStyle w:val="HHeading3"/>
        <w:rPr>
          <w:highlight w:val="yellow"/>
        </w:rPr>
      </w:pPr>
      <w:bookmarkStart w:id="39" w:name="_Toc453079751"/>
      <w:bookmarkStart w:id="40" w:name="_Toc461807112"/>
      <w:r w:rsidRPr="00EF56D0">
        <w:rPr>
          <w:highlight w:val="yellow"/>
        </w:rPr>
        <w:t>Przedmiot ewaluacji KSOW: co należy ocenić?</w:t>
      </w:r>
      <w:bookmarkEnd w:id="39"/>
      <w:bookmarkEnd w:id="40"/>
    </w:p>
    <w:p w:rsidR="001924CD" w:rsidRPr="00EF56D0" w:rsidRDefault="001924CD" w:rsidP="00240358">
      <w:pPr>
        <w:pStyle w:val="HStandard"/>
        <w:rPr>
          <w:highlight w:val="yellow"/>
        </w:rPr>
      </w:pPr>
      <w:r w:rsidRPr="00EF56D0">
        <w:rPr>
          <w:highlight w:val="yellow"/>
        </w:rPr>
        <w:t xml:space="preserve">Sieć KSOW powoływana jest do życia, aby realizować </w:t>
      </w:r>
      <w:r w:rsidRPr="00EF56D0">
        <w:rPr>
          <w:b/>
          <w:highlight w:val="yellow"/>
        </w:rPr>
        <w:t>wyznaczone jej cele</w:t>
      </w:r>
      <w:r w:rsidRPr="00EF56D0">
        <w:rPr>
          <w:highlight w:val="yellow"/>
        </w:rPr>
        <w:t xml:space="preserve"> oraz wnosić wkład we wdrażanie </w:t>
      </w:r>
      <w:r w:rsidRPr="00EF56D0">
        <w:rPr>
          <w:b/>
          <w:highlight w:val="yellow"/>
        </w:rPr>
        <w:t>szerzej pojętych celów unijnej polityki rozwoju obszarów wiejskich.</w:t>
      </w:r>
      <w:r w:rsidRPr="00EF56D0">
        <w:rPr>
          <w:highlight w:val="yellow"/>
        </w:rPr>
        <w:t xml:space="preserve"> Cele te odnoszą się do priorytetów polityki rozwoju obszarów wiejskich i potrzeb tych obszarów (adekwatność). </w:t>
      </w:r>
    </w:p>
    <w:p w:rsidR="001924CD" w:rsidRPr="00EF56D0" w:rsidRDefault="001924CD" w:rsidP="00240358">
      <w:pPr>
        <w:pStyle w:val="HStandard"/>
        <w:rPr>
          <w:highlight w:val="yellow"/>
        </w:rPr>
      </w:pPr>
      <w:r w:rsidRPr="00EF56D0">
        <w:rPr>
          <w:highlight w:val="yellow"/>
        </w:rPr>
        <w:t xml:space="preserve">Aby </w:t>
      </w:r>
      <w:r w:rsidRPr="00EF56D0">
        <w:rPr>
          <w:b/>
          <w:highlight w:val="yellow"/>
        </w:rPr>
        <w:t>realizować/przyczyniać się do realizacji</w:t>
      </w:r>
      <w:r w:rsidRPr="00EF56D0">
        <w:rPr>
          <w:highlight w:val="yellow"/>
        </w:rPr>
        <w:t xml:space="preserve"> powyższych celów, KSOW musi generować produkty w oparciu o nakłady poprzez realizację różnych grup działań. Produkty powinny następnie </w:t>
      </w:r>
      <w:r w:rsidRPr="00EF56D0">
        <w:rPr>
          <w:b/>
          <w:highlight w:val="yellow"/>
        </w:rPr>
        <w:t>skutecznie</w:t>
      </w:r>
      <w:r w:rsidRPr="00EF56D0">
        <w:rPr>
          <w:highlight w:val="yellow"/>
        </w:rPr>
        <w:t xml:space="preserve"> przekładać się na </w:t>
      </w:r>
      <w:r w:rsidRPr="00EF56D0">
        <w:rPr>
          <w:b/>
          <w:highlight w:val="yellow"/>
        </w:rPr>
        <w:t>rezultaty i oddziaływanie</w:t>
      </w:r>
      <w:r w:rsidRPr="00EF56D0">
        <w:rPr>
          <w:highlight w:val="yellow"/>
        </w:rPr>
        <w:t xml:space="preserve"> KSOW oraz umożliwić </w:t>
      </w:r>
      <w:r w:rsidRPr="00EF56D0">
        <w:rPr>
          <w:b/>
          <w:highlight w:val="yellow"/>
        </w:rPr>
        <w:t>efektywne</w:t>
      </w:r>
      <w:r w:rsidRPr="00EF56D0">
        <w:rPr>
          <w:highlight w:val="yellow"/>
        </w:rPr>
        <w:t xml:space="preserve"> osiągnięcie celów KSOW, jak również przyczynić się do realizacji celów polityki rozwoju obszarów wiejskich UE. </w:t>
      </w:r>
    </w:p>
    <w:p w:rsidR="001924CD" w:rsidRPr="008A4203" w:rsidRDefault="001924CD" w:rsidP="00240358">
      <w:pPr>
        <w:pStyle w:val="HStandard"/>
      </w:pPr>
      <w:r w:rsidRPr="00EF56D0">
        <w:rPr>
          <w:b/>
          <w:highlight w:val="yellow"/>
        </w:rPr>
        <w:t>Cele, działania, produkty, rezultaty i oddziaływanie są filarami logiki interwencji KSOW.</w:t>
      </w:r>
      <w:r w:rsidRPr="00EF56D0">
        <w:rPr>
          <w:highlight w:val="yellow"/>
        </w:rPr>
        <w:t xml:space="preserve"> Wewnętrzna i zewnętrzna spójność, adekwatność, skuteczność i efektywność logiki interwencji KSOW są podstawowym warunkiem wstępnym pomyślnej realizacji KSOW w całym okresie programowania, zarazem stanowiąc główny przedmiot ewaluacji KS</w:t>
      </w:r>
      <w:r w:rsidRPr="008A4203">
        <w:t xml:space="preserve">OW. </w:t>
      </w:r>
    </w:p>
    <w:p w:rsidR="001924CD" w:rsidRPr="00EF56D0" w:rsidRDefault="001924CD" w:rsidP="003C20E8">
      <w:pPr>
        <w:pStyle w:val="HHeadingfigures"/>
        <w:rPr>
          <w:highlight w:val="yellow"/>
        </w:rPr>
      </w:pPr>
      <w:r w:rsidRPr="008A4203">
        <w:br w:type="column"/>
      </w:r>
      <w:bookmarkStart w:id="41" w:name="_Toc451781924"/>
      <w:bookmarkStart w:id="42" w:name="_Ref451784361"/>
      <w:bookmarkStart w:id="43" w:name="_Ref451784678"/>
      <w:bookmarkStart w:id="44" w:name="_Ref451784699"/>
      <w:bookmarkStart w:id="45" w:name="_Toc461807142"/>
      <w:r w:rsidRPr="00EF56D0">
        <w:rPr>
          <w:highlight w:val="yellow"/>
        </w:rPr>
        <w:lastRenderedPageBreak/>
        <w:t>Przedmiot ewaluacji KSOW</w:t>
      </w:r>
      <w:bookmarkEnd w:id="41"/>
      <w:bookmarkEnd w:id="42"/>
      <w:bookmarkEnd w:id="43"/>
      <w:bookmarkEnd w:id="44"/>
      <w:bookmarkEnd w:id="45"/>
    </w:p>
    <w:p w:rsidR="001924CD" w:rsidRPr="008A4203" w:rsidRDefault="001924CD" w:rsidP="003C20E8">
      <w:pPr>
        <w:pStyle w:val="HStandard"/>
        <w:jc w:val="center"/>
      </w:pPr>
      <w:r w:rsidRPr="008A4203">
        <w:rPr>
          <w:noProof/>
          <w:lang w:val="en-GB" w:eastAsia="en-GB" w:bidi="ar-SA"/>
        </w:rPr>
        <w:drawing>
          <wp:inline distT="0" distB="0" distL="0" distR="0" wp14:anchorId="0EFCD79C" wp14:editId="14E82256">
            <wp:extent cx="6574834" cy="3572539"/>
            <wp:effectExtent l="0" t="0" r="0" b="889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10621" cy="3591984"/>
                    </a:xfrm>
                    <a:prstGeom prst="rect">
                      <a:avLst/>
                    </a:prstGeom>
                    <a:noFill/>
                    <a:ln>
                      <a:noFill/>
                    </a:ln>
                  </pic:spPr>
                </pic:pic>
              </a:graphicData>
            </a:graphic>
          </wp:inline>
        </w:drawing>
      </w:r>
      <w:r w:rsidRPr="008A4203">
        <w:t xml:space="preserve"> </w:t>
      </w:r>
    </w:p>
    <w:p w:rsidR="001924CD" w:rsidRPr="00EF56D0" w:rsidRDefault="001924CD" w:rsidP="003C20E8">
      <w:pPr>
        <w:pStyle w:val="HSource"/>
        <w:rPr>
          <w:highlight w:val="yellow"/>
        </w:rPr>
      </w:pPr>
      <w:r w:rsidRPr="00EF56D0">
        <w:rPr>
          <w:highlight w:val="yellow"/>
        </w:rPr>
        <w:t>Źródło: Europejskie Biuro Pomocy ds. Ewaluacji Rozwoju Obszarów Wiejskich, 2016 r.</w:t>
      </w:r>
    </w:p>
    <w:p w:rsidR="001924CD" w:rsidRPr="00EF56D0" w:rsidRDefault="001924CD" w:rsidP="00240358">
      <w:pPr>
        <w:pStyle w:val="HStandard"/>
        <w:rPr>
          <w:highlight w:val="yellow"/>
        </w:rPr>
      </w:pPr>
      <w:r w:rsidRPr="00EF56D0">
        <w:rPr>
          <w:highlight w:val="yellow"/>
        </w:rPr>
        <w:t xml:space="preserve">Poniżej szczegółowo omówiono przedmiot ewaluacji KSOW. </w:t>
      </w:r>
    </w:p>
    <w:p w:rsidR="001924CD" w:rsidRPr="00EF56D0" w:rsidRDefault="001924CD" w:rsidP="00403F21">
      <w:pPr>
        <w:pStyle w:val="HHeading5"/>
        <w:rPr>
          <w:highlight w:val="yellow"/>
        </w:rPr>
      </w:pPr>
      <w:r w:rsidRPr="00EF56D0">
        <w:rPr>
          <w:highlight w:val="yellow"/>
        </w:rPr>
        <w:t xml:space="preserve">Wewnętrzna i zewnętrzna spójność i adekwatność logiki interwencji KSOW </w:t>
      </w:r>
    </w:p>
    <w:p w:rsidR="001924CD" w:rsidRPr="00EF56D0" w:rsidRDefault="001924CD" w:rsidP="00403F21">
      <w:pPr>
        <w:pStyle w:val="HHeading5"/>
        <w:rPr>
          <w:highlight w:val="yellow"/>
        </w:rPr>
      </w:pPr>
      <w:r w:rsidRPr="00EF56D0">
        <w:rPr>
          <w:color w:val="auto"/>
          <w:highlight w:val="yellow"/>
        </w:rPr>
        <w:t xml:space="preserve">Cele KSOW </w:t>
      </w:r>
    </w:p>
    <w:p w:rsidR="001924CD" w:rsidRPr="00EF56D0" w:rsidRDefault="001924CD" w:rsidP="00403F21">
      <w:pPr>
        <w:pStyle w:val="HStandard"/>
        <w:rPr>
          <w:highlight w:val="yellow"/>
        </w:rPr>
      </w:pPr>
      <w:r w:rsidRPr="00EF56D0">
        <w:rPr>
          <w:highlight w:val="yellow"/>
        </w:rPr>
        <w:t>Tworzenie logiki interwencji KSOW/PKSOW rozpoczyna się od celów KSOW. Ramy prawne określają</w:t>
      </w:r>
      <w:r w:rsidRPr="008A4203">
        <w:t xml:space="preserve"> </w:t>
      </w:r>
      <w:r w:rsidRPr="00EF56D0">
        <w:rPr>
          <w:highlight w:val="yellow"/>
        </w:rPr>
        <w:t>cztery wspólne cele KSOW, które w hierarchii celów są proponowane jako ogólne cele KSOW.</w:t>
      </w:r>
    </w:p>
    <w:p w:rsidR="001924CD" w:rsidRPr="00EF56D0" w:rsidRDefault="001924CD" w:rsidP="00403F21">
      <w:pPr>
        <w:pStyle w:val="HStandard"/>
        <w:rPr>
          <w:highlight w:val="yellow"/>
        </w:rPr>
      </w:pPr>
      <w:r w:rsidRPr="00EF56D0">
        <w:rPr>
          <w:b/>
          <w:highlight w:val="yellow"/>
        </w:rPr>
        <w:t>Na szczeblu UE</w:t>
      </w:r>
      <w:r w:rsidRPr="00EF56D0">
        <w:rPr>
          <w:highlight w:val="yellow"/>
        </w:rPr>
        <w:t xml:space="preserve"> ustanowiono dla KSOW następujące </w:t>
      </w:r>
      <w:r w:rsidRPr="00EF56D0">
        <w:rPr>
          <w:b/>
          <w:highlight w:val="yellow"/>
        </w:rPr>
        <w:t>cele polityczne</w:t>
      </w:r>
      <w:r w:rsidRPr="00EF56D0">
        <w:rPr>
          <w:rFonts w:ascii="ZWAdobeF" w:hAnsi="ZWAdobeF"/>
          <w:color w:val="auto"/>
          <w:sz w:val="2"/>
          <w:highlight w:val="yellow"/>
        </w:rPr>
        <w:t>33F</w:t>
      </w:r>
      <w:r w:rsidRPr="00EF56D0">
        <w:rPr>
          <w:rStyle w:val="FootnoteReference"/>
          <w:highlight w:val="yellow"/>
        </w:rPr>
        <w:footnoteReference w:id="34"/>
      </w:r>
      <w:r w:rsidRPr="00EF56D0">
        <w:rPr>
          <w:highlight w:val="yellow"/>
        </w:rPr>
        <w:t xml:space="preserve">: </w:t>
      </w:r>
    </w:p>
    <w:p w:rsidR="001924CD" w:rsidRPr="00EF56D0" w:rsidRDefault="001924CD" w:rsidP="00403F21">
      <w:pPr>
        <w:pStyle w:val="Hlistbullet"/>
        <w:rPr>
          <w:highlight w:val="yellow"/>
        </w:rPr>
      </w:pPr>
      <w:r w:rsidRPr="00EF56D0">
        <w:rPr>
          <w:highlight w:val="yellow"/>
        </w:rPr>
        <w:t xml:space="preserve">Zwiększenie udziału zainteresowanych stron we wdrażaniu programów rozwoju obszarów wiejskich; </w:t>
      </w:r>
    </w:p>
    <w:p w:rsidR="001924CD" w:rsidRPr="00EF56D0" w:rsidRDefault="001924CD" w:rsidP="00403F21">
      <w:pPr>
        <w:pStyle w:val="Hlistbullet"/>
        <w:rPr>
          <w:highlight w:val="yellow"/>
        </w:rPr>
      </w:pPr>
      <w:r w:rsidRPr="00EF56D0">
        <w:rPr>
          <w:highlight w:val="yellow"/>
        </w:rPr>
        <w:t xml:space="preserve">Podniesienie jakości wdrażania programów rozwoju obszarów wiejskich, </w:t>
      </w:r>
    </w:p>
    <w:p w:rsidR="001924CD" w:rsidRPr="00EF56D0" w:rsidRDefault="001924CD" w:rsidP="00403F21">
      <w:pPr>
        <w:pStyle w:val="Hlistbullet"/>
        <w:rPr>
          <w:highlight w:val="yellow"/>
        </w:rPr>
      </w:pPr>
      <w:r w:rsidRPr="00EF56D0">
        <w:rPr>
          <w:highlight w:val="yellow"/>
        </w:rPr>
        <w:t xml:space="preserve">Informowanie społeczeństwa i potencjalnych beneficjentów o polityce rozwoju obszarów wiejskich i o możliwościach finansowania; </w:t>
      </w:r>
    </w:p>
    <w:p w:rsidR="001924CD" w:rsidRPr="00EF56D0" w:rsidRDefault="001924CD" w:rsidP="00403F21">
      <w:pPr>
        <w:pStyle w:val="Hlistbullet2"/>
        <w:rPr>
          <w:highlight w:val="yellow"/>
        </w:rPr>
      </w:pPr>
      <w:r w:rsidRPr="00EF56D0">
        <w:rPr>
          <w:highlight w:val="yellow"/>
        </w:rPr>
        <w:t>Wspieranie innowacji w rolnictwie, produkcji żywności, leśnictwie i na obszarach wiejskich.</w:t>
      </w:r>
    </w:p>
    <w:p w:rsidR="001924CD" w:rsidRPr="00EF56D0" w:rsidRDefault="001924CD" w:rsidP="00403F21">
      <w:pPr>
        <w:pStyle w:val="HStandard"/>
        <w:rPr>
          <w:highlight w:val="yellow"/>
        </w:rPr>
      </w:pPr>
      <w:r w:rsidRPr="00EF56D0">
        <w:rPr>
          <w:highlight w:val="yellow"/>
        </w:rPr>
        <w:t>Cele KSOW specyficzne dla programu mogą być również określane przez zainteresowane strony, jeśli analiza SWOT programu oraz ocena potrzeb wskażą na istnienie konkretnych potrzeb, które powinny być zaspakajane przez sieci rozwoju obszarów wiejskich. Cele KSOW specyficzne dla programu można definiować na każdym poziomie hierarchii celów</w:t>
      </w:r>
      <w:r w:rsidRPr="00EF56D0">
        <w:rPr>
          <w:rFonts w:ascii="ZWAdobeF" w:hAnsi="ZWAdobeF"/>
          <w:color w:val="auto"/>
          <w:sz w:val="2"/>
          <w:highlight w:val="yellow"/>
        </w:rPr>
        <w:t>34F</w:t>
      </w:r>
      <w:r w:rsidRPr="00EF56D0">
        <w:rPr>
          <w:rStyle w:val="FootnoteReference"/>
          <w:highlight w:val="yellow"/>
        </w:rPr>
        <w:footnoteReference w:id="35"/>
      </w:r>
      <w:r w:rsidRPr="00EF56D0">
        <w:rPr>
          <w:highlight w:val="yellow"/>
        </w:rPr>
        <w:t xml:space="preserve"> </w:t>
      </w:r>
    </w:p>
    <w:p w:rsidR="001924CD" w:rsidRPr="00EF56D0" w:rsidRDefault="001924CD" w:rsidP="00403F21">
      <w:pPr>
        <w:pStyle w:val="HStandard"/>
        <w:rPr>
          <w:highlight w:val="yellow"/>
        </w:rPr>
      </w:pPr>
      <w:r w:rsidRPr="00EF56D0">
        <w:rPr>
          <w:highlight w:val="yellow"/>
        </w:rPr>
        <w:t xml:space="preserve">Istnieją trzy poziomy hierarchii celów KSOW: </w:t>
      </w:r>
    </w:p>
    <w:p w:rsidR="001924CD" w:rsidRPr="00EF56D0" w:rsidRDefault="001924CD" w:rsidP="0088579D">
      <w:pPr>
        <w:pStyle w:val="Hlistbullet"/>
        <w:rPr>
          <w:highlight w:val="yellow"/>
        </w:rPr>
      </w:pPr>
      <w:r w:rsidRPr="00EF56D0">
        <w:rPr>
          <w:b/>
          <w:highlight w:val="yellow"/>
        </w:rPr>
        <w:t>Cele ogólne KSOW</w:t>
      </w:r>
      <w:r w:rsidRPr="00EF56D0">
        <w:rPr>
          <w:highlight w:val="yellow"/>
        </w:rPr>
        <w:t xml:space="preserve"> (powiązane z oddziaływaniem KSOW w logice interwencji): </w:t>
      </w:r>
    </w:p>
    <w:p w:rsidR="001924CD" w:rsidRPr="00EF56D0" w:rsidRDefault="001924CD" w:rsidP="00892664">
      <w:pPr>
        <w:pStyle w:val="HStandard"/>
        <w:numPr>
          <w:ilvl w:val="1"/>
          <w:numId w:val="14"/>
        </w:numPr>
        <w:ind w:left="1442"/>
        <w:rPr>
          <w:highlight w:val="yellow"/>
        </w:rPr>
      </w:pPr>
      <w:r w:rsidRPr="00EF56D0">
        <w:rPr>
          <w:highlight w:val="yellow"/>
        </w:rPr>
        <w:lastRenderedPageBreak/>
        <w:t xml:space="preserve">Cztery wspólne cele KSOW, które są zakorzenione w przepisach prawa i związane z wyżej wspominanymi celami polityki UE; </w:t>
      </w:r>
    </w:p>
    <w:p w:rsidR="001924CD" w:rsidRPr="00EF56D0" w:rsidRDefault="001924CD" w:rsidP="00892664">
      <w:pPr>
        <w:pStyle w:val="HStandard"/>
        <w:numPr>
          <w:ilvl w:val="1"/>
          <w:numId w:val="14"/>
        </w:numPr>
        <w:ind w:left="1442"/>
        <w:rPr>
          <w:highlight w:val="yellow"/>
        </w:rPr>
      </w:pPr>
      <w:r w:rsidRPr="00EF56D0">
        <w:rPr>
          <w:highlight w:val="yellow"/>
        </w:rPr>
        <w:t>Cele ogólne określone w danym państwie członkowskim jako specyficzne dla programu.</w:t>
      </w:r>
    </w:p>
    <w:p w:rsidR="001924CD" w:rsidRPr="00EF56D0" w:rsidRDefault="001924CD" w:rsidP="008C47A9">
      <w:pPr>
        <w:pStyle w:val="Hlistbullet"/>
        <w:rPr>
          <w:highlight w:val="yellow"/>
        </w:rPr>
      </w:pPr>
      <w:r w:rsidRPr="00EF56D0">
        <w:rPr>
          <w:b/>
          <w:highlight w:val="yellow"/>
        </w:rPr>
        <w:t>Szczegółowe cele KSOW</w:t>
      </w:r>
      <w:r w:rsidRPr="00EF56D0">
        <w:rPr>
          <w:highlight w:val="yellow"/>
        </w:rPr>
        <w:t xml:space="preserve"> określone w danym państwie członkowskim jako specyficzne dla programu (powiązane z rezultatami KSOW w logice interwencji), które uszczegóławiają cele wspólne.</w:t>
      </w:r>
    </w:p>
    <w:p w:rsidR="001924CD" w:rsidRPr="00EF56D0" w:rsidRDefault="001924CD" w:rsidP="008C47A9">
      <w:pPr>
        <w:pStyle w:val="Hlistbullet2"/>
        <w:rPr>
          <w:highlight w:val="yellow"/>
        </w:rPr>
      </w:pPr>
      <w:r w:rsidRPr="00EF56D0">
        <w:rPr>
          <w:b/>
          <w:highlight w:val="yellow"/>
        </w:rPr>
        <w:t>Cele operacyjne</w:t>
      </w:r>
      <w:r w:rsidRPr="00EF56D0">
        <w:rPr>
          <w:highlight w:val="yellow"/>
        </w:rPr>
        <w:t xml:space="preserve"> zdefiniowane jako specyficzne dla programu (powiązane z produktami KSOW osiągniętymi poprzez realizację planu działań KSOW) i związane ze wspólnymi i specyficznymi dla programu grupami działań. </w:t>
      </w:r>
    </w:p>
    <w:p w:rsidR="001924CD" w:rsidRPr="00EF56D0" w:rsidRDefault="001924CD" w:rsidP="00403F21">
      <w:pPr>
        <w:pStyle w:val="HStandard"/>
        <w:rPr>
          <w:highlight w:val="yellow"/>
        </w:rPr>
      </w:pPr>
      <w:r w:rsidRPr="00EF56D0">
        <w:rPr>
          <w:highlight w:val="yellow"/>
        </w:rPr>
        <w:t xml:space="preserve">Ogólne, szczegółowe i operacyjne cele KSOW powinny być </w:t>
      </w:r>
      <w:r w:rsidRPr="00EF56D0">
        <w:rPr>
          <w:b/>
          <w:highlight w:val="yellow"/>
        </w:rPr>
        <w:t>adekwatne</w:t>
      </w:r>
      <w:r w:rsidRPr="00EF56D0">
        <w:rPr>
          <w:highlight w:val="yellow"/>
        </w:rPr>
        <w:t xml:space="preserve"> z punktu widzenia realizacji specyficznych potrzeb obszaru objętego programem i z pełni zgodne z zasadami </w:t>
      </w:r>
      <w:r w:rsidRPr="00EF56D0">
        <w:rPr>
          <w:b/>
          <w:highlight w:val="yellow"/>
        </w:rPr>
        <w:t>spójności wertykalnej</w:t>
      </w:r>
      <w:r w:rsidRPr="00EF56D0">
        <w:rPr>
          <w:highlight w:val="yellow"/>
        </w:rPr>
        <w:t xml:space="preserve">. Oznacza to, że realizacja celów operacyjnych powinna przyczyniać się do osiągnięcia celów szczegółowych, a te z kolei – do realizacji celów ogólnych. </w:t>
      </w:r>
    </w:p>
    <w:p w:rsidR="001924CD" w:rsidRPr="00EF56D0" w:rsidRDefault="001924CD" w:rsidP="00403F21">
      <w:pPr>
        <w:pStyle w:val="HHeading5"/>
        <w:rPr>
          <w:color w:val="auto"/>
          <w:highlight w:val="yellow"/>
        </w:rPr>
      </w:pPr>
      <w:r w:rsidRPr="00EF56D0">
        <w:rPr>
          <w:color w:val="auto"/>
          <w:highlight w:val="yellow"/>
        </w:rPr>
        <w:t>Skutki KSOW (rezultaty i oddziaływanie)</w:t>
      </w:r>
    </w:p>
    <w:p w:rsidR="001924CD" w:rsidRPr="00EF56D0" w:rsidRDefault="001924CD" w:rsidP="00403F21">
      <w:pPr>
        <w:pStyle w:val="HStandard"/>
        <w:rPr>
          <w:highlight w:val="yellow"/>
        </w:rPr>
      </w:pPr>
      <w:r w:rsidRPr="00EF56D0">
        <w:rPr>
          <w:highlight w:val="yellow"/>
        </w:rPr>
        <w:t>Interwencja KSOW odbywa się poprzez czynności przewidziane w planie zadań, a w przypadku PKSOW – poprzez realizowane operacje. Ramy prawne</w:t>
      </w:r>
      <w:r w:rsidRPr="00EF56D0">
        <w:rPr>
          <w:rFonts w:ascii="ZWAdobeF" w:hAnsi="ZWAdobeF"/>
          <w:color w:val="auto"/>
          <w:sz w:val="2"/>
          <w:highlight w:val="yellow"/>
        </w:rPr>
        <w:t>35F</w:t>
      </w:r>
      <w:r w:rsidRPr="00EF56D0">
        <w:rPr>
          <w:rStyle w:val="FootnoteReference"/>
          <w:highlight w:val="yellow"/>
        </w:rPr>
        <w:footnoteReference w:id="36"/>
      </w:r>
      <w:r w:rsidRPr="00EF56D0">
        <w:rPr>
          <w:highlight w:val="yellow"/>
        </w:rPr>
        <w:t xml:space="preserve"> określają wspólną grupę działań, które można uzupełnić bardziej szczegółowymi działaniami programowych zaprojektowanymi w państwach członkowskich. Chociaż powiązania między wspólnymi grupami działań KSOW i wspólnymi celami KSOW są zaproponowane w wytycznych dotyczących ustanowienia i funkcjonowania krajowych sieci obszarów wiejskich w załączniku 1, zainteresowane strony w państwach członkowskich mogą we własnym zakresie określić związki pomiędzy celami KSOW i działaniami ujętymi w logice interwencji KSOW. </w:t>
      </w:r>
    </w:p>
    <w:p w:rsidR="001924CD" w:rsidRPr="00EF56D0" w:rsidRDefault="001924CD" w:rsidP="00403F21">
      <w:pPr>
        <w:pStyle w:val="HStandard"/>
        <w:rPr>
          <w:b/>
          <w:highlight w:val="yellow"/>
        </w:rPr>
      </w:pPr>
      <w:r w:rsidRPr="00EF56D0">
        <w:rPr>
          <w:highlight w:val="yellow"/>
        </w:rPr>
        <w:t>Działania KSOW generują produkty, które następnie przekładają się na efekty w postaci rezultatów i oddziaływania KSOW.</w:t>
      </w:r>
      <w:r w:rsidRPr="00EF56D0">
        <w:rPr>
          <w:b/>
          <w:highlight w:val="yellow"/>
        </w:rPr>
        <w:t xml:space="preserve"> </w:t>
      </w:r>
      <w:r w:rsidRPr="00EF56D0">
        <w:rPr>
          <w:highlight w:val="yellow"/>
        </w:rPr>
        <w:t xml:space="preserve">Każdy poziom hierarchii celów KSOW powinien być </w:t>
      </w:r>
      <w:r w:rsidRPr="00EF56D0">
        <w:rPr>
          <w:b/>
          <w:highlight w:val="yellow"/>
        </w:rPr>
        <w:t>horyzontalnie spójny</w:t>
      </w:r>
      <w:r w:rsidRPr="00EF56D0">
        <w:rPr>
          <w:highlight w:val="yellow"/>
        </w:rPr>
        <w:t xml:space="preserve"> z poziomem oczekiwanych efektów:</w:t>
      </w:r>
    </w:p>
    <w:p w:rsidR="001924CD" w:rsidRPr="00EF56D0" w:rsidRDefault="001924CD" w:rsidP="008C47A9">
      <w:pPr>
        <w:pStyle w:val="Hlistbullet"/>
        <w:rPr>
          <w:highlight w:val="yellow"/>
        </w:rPr>
      </w:pPr>
      <w:r w:rsidRPr="00EF56D0">
        <w:rPr>
          <w:highlight w:val="yellow"/>
        </w:rPr>
        <w:t>cele operacyjne z oczekiwanymi produktami,</w:t>
      </w:r>
    </w:p>
    <w:p w:rsidR="001924CD" w:rsidRPr="00EF56D0" w:rsidRDefault="001924CD" w:rsidP="008C47A9">
      <w:pPr>
        <w:pStyle w:val="Hlistbullet"/>
        <w:rPr>
          <w:highlight w:val="yellow"/>
        </w:rPr>
      </w:pPr>
      <w:r w:rsidRPr="00EF56D0">
        <w:rPr>
          <w:highlight w:val="yellow"/>
        </w:rPr>
        <w:t>cele specyficzne z oczekiwanymi rezultatami,</w:t>
      </w:r>
    </w:p>
    <w:p w:rsidR="001924CD" w:rsidRPr="00EF56D0" w:rsidRDefault="001924CD" w:rsidP="008C47A9">
      <w:pPr>
        <w:pStyle w:val="Hlistbullet"/>
        <w:rPr>
          <w:highlight w:val="yellow"/>
        </w:rPr>
      </w:pPr>
      <w:r w:rsidRPr="00EF56D0">
        <w:rPr>
          <w:highlight w:val="yellow"/>
        </w:rPr>
        <w:t xml:space="preserve">cele ogólne z oczekiwanym oddziaływaniem. </w:t>
      </w:r>
    </w:p>
    <w:p w:rsidR="001924CD" w:rsidRPr="008A4203" w:rsidRDefault="001924CD" w:rsidP="00403F21">
      <w:pPr>
        <w:pStyle w:val="HStandard"/>
        <w:ind w:firstLine="1"/>
      </w:pPr>
      <w:r w:rsidRPr="00EF56D0">
        <w:rPr>
          <w:highlight w:val="yellow"/>
        </w:rPr>
        <w:t>Sytuację tę można zilustrować za pomocą poniższego rysunku:</w:t>
      </w:r>
      <w:r w:rsidRPr="008A4203">
        <w:t xml:space="preserve"> </w:t>
      </w:r>
    </w:p>
    <w:p w:rsidR="001924CD" w:rsidRPr="00EF56D0" w:rsidRDefault="001924CD" w:rsidP="00EF2430">
      <w:pPr>
        <w:pStyle w:val="HHeadingfigures"/>
        <w:rPr>
          <w:highlight w:val="yellow"/>
        </w:rPr>
      </w:pPr>
      <w:bookmarkStart w:id="46" w:name="_Toc445465120"/>
      <w:r w:rsidRPr="008A4203">
        <w:br w:type="column"/>
      </w:r>
      <w:bookmarkStart w:id="47" w:name="_Toc451781925"/>
      <w:bookmarkStart w:id="48" w:name="_Ref451784505"/>
      <w:bookmarkStart w:id="49" w:name="_Ref451784593"/>
      <w:bookmarkStart w:id="50" w:name="_Ref451784688"/>
      <w:bookmarkStart w:id="51" w:name="_Toc461807143"/>
      <w:r w:rsidRPr="00EF56D0">
        <w:rPr>
          <w:highlight w:val="yellow"/>
        </w:rPr>
        <w:lastRenderedPageBreak/>
        <w:t>Wertykalna i horyzontalna spójność celów i efektów KSOW</w:t>
      </w:r>
      <w:bookmarkEnd w:id="46"/>
      <w:bookmarkEnd w:id="47"/>
      <w:bookmarkEnd w:id="48"/>
      <w:bookmarkEnd w:id="49"/>
      <w:bookmarkEnd w:id="50"/>
      <w:bookmarkEnd w:id="51"/>
    </w:p>
    <w:p w:rsidR="001924CD" w:rsidRPr="008A4203" w:rsidRDefault="001924CD" w:rsidP="008C47A9">
      <w:pPr>
        <w:pStyle w:val="HStandard"/>
        <w:ind w:firstLine="1"/>
        <w:jc w:val="center"/>
      </w:pPr>
      <w:r w:rsidRPr="008A4203">
        <w:rPr>
          <w:noProof/>
          <w:lang w:val="en-GB" w:eastAsia="en-GB" w:bidi="ar-SA"/>
        </w:rPr>
        <w:drawing>
          <wp:inline distT="0" distB="0" distL="0" distR="0" wp14:anchorId="287A0C98" wp14:editId="6D41E467">
            <wp:extent cx="3859087" cy="3859087"/>
            <wp:effectExtent l="0" t="0" r="8255" b="825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73055" cy="3873055"/>
                    </a:xfrm>
                    <a:prstGeom prst="rect">
                      <a:avLst/>
                    </a:prstGeom>
                    <a:noFill/>
                    <a:ln>
                      <a:noFill/>
                    </a:ln>
                  </pic:spPr>
                </pic:pic>
              </a:graphicData>
            </a:graphic>
          </wp:inline>
        </w:drawing>
      </w:r>
      <w:r w:rsidRPr="008A4203">
        <w:t xml:space="preserve"> </w:t>
      </w:r>
    </w:p>
    <w:p w:rsidR="001924CD" w:rsidRPr="00EF56D0" w:rsidRDefault="001924CD" w:rsidP="00403F21">
      <w:pPr>
        <w:pStyle w:val="HSource"/>
        <w:rPr>
          <w:rFonts w:cs="Arial"/>
          <w:highlight w:val="yellow"/>
        </w:rPr>
      </w:pPr>
      <w:r w:rsidRPr="00EF56D0">
        <w:rPr>
          <w:highlight w:val="yellow"/>
        </w:rPr>
        <w:t>Źródło: Europejskie Biuro Pomocy ds. Ewaluacji Rozwoju Obszarów Wiejskich, 2016 r.</w:t>
      </w:r>
    </w:p>
    <w:p w:rsidR="001924CD" w:rsidRPr="00EF56D0" w:rsidRDefault="001924CD" w:rsidP="00403F21">
      <w:pPr>
        <w:pStyle w:val="HStandard"/>
        <w:rPr>
          <w:highlight w:val="yellow"/>
        </w:rPr>
      </w:pPr>
      <w:r w:rsidRPr="00EF56D0">
        <w:rPr>
          <w:highlight w:val="yellow"/>
        </w:rPr>
        <w:t xml:space="preserve">Efekty KSOW można opisać w następujący sposób: </w:t>
      </w:r>
    </w:p>
    <w:p w:rsidR="001924CD" w:rsidRPr="00EF56D0" w:rsidRDefault="001924CD" w:rsidP="005368DC">
      <w:pPr>
        <w:pStyle w:val="Hlistbullet2"/>
        <w:rPr>
          <w:highlight w:val="yellow"/>
        </w:rPr>
      </w:pPr>
      <w:r w:rsidRPr="00EF56D0">
        <w:rPr>
          <w:b/>
          <w:highlight w:val="yellow"/>
        </w:rPr>
        <w:t>Rezultaty KSOW</w:t>
      </w:r>
      <w:r w:rsidRPr="00EF56D0">
        <w:rPr>
          <w:highlight w:val="yellow"/>
        </w:rPr>
        <w:t xml:space="preserve"> są powiązane horyzontalnie ze specyficznymi celami KSOW, które zostały zdefiniowane jako specyficzne dla programu i sformułowane przez zainteresowane strony w ramach logiki interwencji KSOW. Oczekiwane rezultaty są generowane przez produkty działań/planu działań KSOW w ramach grupy członków KSOW w horyzoncie krótkoterminowym i wiążą się ze zmianami zachowania, poglądów, kompetencji, zdolności itp. Rezultaty KSOW wnoszą wkład w powstawanie produktów PROW (zob. </w:t>
      </w:r>
      <w:r w:rsidRPr="00EF56D0">
        <w:rPr>
          <w:highlight w:val="yellow"/>
        </w:rPr>
        <w:fldChar w:fldCharType="begin" w:fldLock="1"/>
      </w:r>
      <w:r w:rsidRPr="00EF56D0">
        <w:rPr>
          <w:highlight w:val="yellow"/>
        </w:rPr>
        <w:instrText xml:space="preserve"> REF _Ref451784361 \r \h  \* MERGEFORMAT </w:instrText>
      </w:r>
      <w:r w:rsidRPr="00EF56D0">
        <w:rPr>
          <w:highlight w:val="yellow"/>
        </w:rPr>
      </w:r>
      <w:r w:rsidRPr="00EF56D0">
        <w:rPr>
          <w:highlight w:val="yellow"/>
        </w:rPr>
        <w:fldChar w:fldCharType="separate"/>
      </w:r>
      <w:r w:rsidRPr="00EF56D0">
        <w:rPr>
          <w:highlight w:val="yellow"/>
        </w:rPr>
        <w:t>Figure 5</w:t>
      </w:r>
      <w:r w:rsidRPr="00EF56D0">
        <w:rPr>
          <w:highlight w:val="yellow"/>
        </w:rPr>
        <w:fldChar w:fldCharType="end"/>
      </w:r>
      <w:r w:rsidRPr="00EF56D0">
        <w:rPr>
          <w:highlight w:val="yellow"/>
        </w:rPr>
        <w:t xml:space="preserve">). Na przykład, jeśli plan działania KSOW przewiduje liczne działania na rzecz transferu innowacyjnych rozwiązań wspierających różnorodność biologiczną, można oczekiwać wzrostu świadomość innowacji wśród członków i beneficjentów KSOW. </w:t>
      </w:r>
    </w:p>
    <w:p w:rsidR="001924CD" w:rsidRPr="00EF56D0" w:rsidRDefault="001924CD" w:rsidP="005368DC">
      <w:pPr>
        <w:pStyle w:val="Hlistbullet2"/>
        <w:rPr>
          <w:highlight w:val="yellow"/>
        </w:rPr>
      </w:pPr>
      <w:r w:rsidRPr="00EF56D0">
        <w:rPr>
          <w:b/>
          <w:highlight w:val="yellow"/>
        </w:rPr>
        <w:t>Oddziaływanie KSOW</w:t>
      </w:r>
      <w:r w:rsidRPr="00EF56D0">
        <w:rPr>
          <w:highlight w:val="yellow"/>
        </w:rPr>
        <w:t xml:space="preserve"> oznacza wpływ sieci na różne zainteresowane strony na terytorium objętym PROW. Przewidywane oddziaływanie wiąże się z ogólnymi celami KSOW i kształtowane jest przez rezultaty KSOW w dłuższym horyzoncie czasowym. Oddziaływanie KSOW przyczynia się do rezultatów PROW i daje się zaobserwować nie tylko w dziedzinie rozwoju obszarów wiejskich, ale także w zakresie kapitału ludzkiego i społecznego. Na przykład innowacyjne działania KSOW mogą doprowadzić do spadku emisji amoniaku w rolnictwie. Ponadto działania KSOW mogą przyczynić się do zwiększenia zaangażowania zainteresowanych stron w rozwój obszarów wiejskich oraz poprawę komunikacji na tych obszarach (zob. </w:t>
      </w:r>
      <w:r w:rsidRPr="00EF56D0">
        <w:rPr>
          <w:highlight w:val="yellow"/>
        </w:rPr>
        <w:fldChar w:fldCharType="begin" w:fldLock="1"/>
      </w:r>
      <w:r w:rsidRPr="00EF56D0">
        <w:rPr>
          <w:highlight w:val="yellow"/>
        </w:rPr>
        <w:instrText xml:space="preserve"> REF _Ref451784376 \r \h  \* MERGEFORMAT </w:instrText>
      </w:r>
      <w:r w:rsidRPr="00EF56D0">
        <w:rPr>
          <w:highlight w:val="yellow"/>
        </w:rPr>
      </w:r>
      <w:r w:rsidRPr="00EF56D0">
        <w:rPr>
          <w:highlight w:val="yellow"/>
        </w:rPr>
        <w:fldChar w:fldCharType="separate"/>
      </w:r>
      <w:r w:rsidRPr="00EF56D0">
        <w:rPr>
          <w:highlight w:val="yellow"/>
        </w:rPr>
        <w:t>Figure 7</w:t>
      </w:r>
      <w:r w:rsidRPr="00EF56D0">
        <w:rPr>
          <w:highlight w:val="yellow"/>
        </w:rPr>
        <w:fldChar w:fldCharType="end"/>
      </w:r>
      <w:r w:rsidRPr="00EF56D0">
        <w:rPr>
          <w:highlight w:val="yellow"/>
        </w:rPr>
        <w:t>).</w:t>
      </w:r>
    </w:p>
    <w:p w:rsidR="001924CD" w:rsidRPr="00EF56D0" w:rsidRDefault="001924CD" w:rsidP="008C47A9">
      <w:pPr>
        <w:pStyle w:val="HStandard"/>
        <w:rPr>
          <w:highlight w:val="yellow"/>
        </w:rPr>
      </w:pPr>
      <w:r w:rsidRPr="00EF56D0">
        <w:rPr>
          <w:color w:val="auto"/>
          <w:highlight w:val="yellow"/>
        </w:rPr>
        <w:t>Oddziaływanie KSOW w zakresie kapitału ludzkiego i społecznego (często określane jako „wartość dodana” sieci)</w:t>
      </w:r>
      <w:r w:rsidRPr="00EF56D0">
        <w:rPr>
          <w:rFonts w:eastAsiaTheme="minorHAnsi"/>
          <w:highlight w:val="yellow"/>
        </w:rPr>
        <w:t xml:space="preserve"> obejmuje bardzo szerokie spektrum korzyści w ramach różnych grup zainteresowanych stron, które mogą, ale nie muszą być członkami i beneficjentami KSOW.</w:t>
      </w:r>
      <w:r w:rsidRPr="00EF56D0">
        <w:rPr>
          <w:color w:val="auto"/>
          <w:highlight w:val="yellow"/>
        </w:rPr>
        <w:t xml:space="preserve"> </w:t>
      </w:r>
      <w:r w:rsidRPr="00EF56D0">
        <w:rPr>
          <w:rFonts w:eastAsiaTheme="minorHAnsi"/>
          <w:highlight w:val="yellow"/>
        </w:rPr>
        <w:t xml:space="preserve">Oddziaływanie związane z kapitałem ludzkim i społecznym </w:t>
      </w:r>
      <w:r w:rsidRPr="00EF56D0">
        <w:rPr>
          <w:color w:val="auto"/>
          <w:highlight w:val="yellow"/>
        </w:rPr>
        <w:t>dzieli się</w:t>
      </w:r>
      <w:r w:rsidRPr="00EF56D0">
        <w:rPr>
          <w:rFonts w:eastAsiaTheme="minorHAnsi"/>
          <w:highlight w:val="yellow"/>
        </w:rPr>
        <w:t xml:space="preserve"> na różne poziomy:</w:t>
      </w:r>
      <w:r w:rsidRPr="00EF56D0">
        <w:rPr>
          <w:highlight w:val="yellow"/>
        </w:rPr>
        <w:t xml:space="preserve"> </w:t>
      </w:r>
    </w:p>
    <w:p w:rsidR="001924CD" w:rsidRPr="00EF56D0" w:rsidRDefault="001924CD" w:rsidP="00D866BD">
      <w:pPr>
        <w:pStyle w:val="Hlistbullet2"/>
        <w:rPr>
          <w:highlight w:val="yellow"/>
        </w:rPr>
      </w:pPr>
      <w:r w:rsidRPr="00EF56D0">
        <w:rPr>
          <w:highlight w:val="yellow"/>
        </w:rPr>
        <w:t xml:space="preserve">Na </w:t>
      </w:r>
      <w:r w:rsidRPr="00EF56D0">
        <w:rPr>
          <w:b/>
          <w:highlight w:val="yellow"/>
        </w:rPr>
        <w:t>poziomie indywidualnym</w:t>
      </w:r>
      <w:r w:rsidRPr="00EF56D0">
        <w:rPr>
          <w:highlight w:val="yellow"/>
        </w:rPr>
        <w:t xml:space="preserve"> osoby zaangażowane we współpracę w ramach sieci lub będące jej beneficjentami mogą zmienić swoje zachowanie lub wzmocnić zdolność do innowacyjnych działań. Poprawia się ich zdolność do przewidywania wyzwań i reagowania na nie, umiejętność </w:t>
      </w:r>
      <w:r w:rsidRPr="00EF56D0">
        <w:rPr>
          <w:highlight w:val="yellow"/>
        </w:rPr>
        <w:lastRenderedPageBreak/>
        <w:t>wykorzystywania korzystnego splotu okoliczności, poczucie przedsiębiorczości. Opanowują także umiejętność posługiwania się nowymi technologiami w połączeniu z wiedzą niejawną wynikającą z miejscowych tradycji oraz wiedzą i umiejętnościami nabytymi w szkole i pracy. To również zwiększa ich potencjał współpracy i sprawnego radzenia sobie z relacjami i kontaktami w środowisku cechującym się coraz większą różnorodnością.</w:t>
      </w:r>
    </w:p>
    <w:p w:rsidR="001924CD" w:rsidRPr="00EF56D0" w:rsidRDefault="001924CD" w:rsidP="008C47A9">
      <w:pPr>
        <w:pStyle w:val="Hlistbullet2"/>
        <w:rPr>
          <w:highlight w:val="yellow"/>
        </w:rPr>
      </w:pPr>
      <w:r w:rsidRPr="00EF56D0">
        <w:rPr>
          <w:b/>
          <w:highlight w:val="yellow"/>
        </w:rPr>
        <w:t>Przedsiębiorstwa</w:t>
      </w:r>
      <w:r w:rsidRPr="00EF56D0">
        <w:rPr>
          <w:highlight w:val="yellow"/>
        </w:rPr>
        <w:t xml:space="preserve"> wspierają rozwój indywidualnych umiejętności, kulturę współpracy wewnątrz firmy i pomiędzy firmami w złożonym środowisku, w którym współpraca i rywalizacja przeplatają się na różne sposoby. Oczekuje się, że przedsiębiorstwa przyjmą nowe formy prowadzenia działalności oraz będą dążyły do osiągnięcia wartości, jaką jest jakość pracy i produktów. </w:t>
      </w:r>
    </w:p>
    <w:p w:rsidR="001924CD" w:rsidRPr="00EF56D0" w:rsidRDefault="001924CD" w:rsidP="008C47A9">
      <w:pPr>
        <w:pStyle w:val="Hlistbullet2"/>
        <w:rPr>
          <w:highlight w:val="yellow"/>
        </w:rPr>
      </w:pPr>
      <w:r w:rsidRPr="00EF56D0">
        <w:rPr>
          <w:b/>
          <w:highlight w:val="yellow"/>
        </w:rPr>
        <w:t>Organizacje społeczeństwa obywatelskiego</w:t>
      </w:r>
      <w:r w:rsidRPr="00EF56D0">
        <w:rPr>
          <w:highlight w:val="yellow"/>
        </w:rPr>
        <w:t xml:space="preserve"> są regularnym uczestnikiem, wnosząc swoje uwagi oraz kompetencje i umiejętności, które rozwijają poprzez prowadzoną działalność, a także reprezentując interesy osób, które są często ignorowane na globalnej arenie bogactwa i władzy.</w:t>
      </w:r>
    </w:p>
    <w:p w:rsidR="001924CD" w:rsidRPr="00EF56D0" w:rsidRDefault="001924CD" w:rsidP="008C47A9">
      <w:pPr>
        <w:pStyle w:val="Hlistbullet2"/>
        <w:rPr>
          <w:highlight w:val="yellow"/>
        </w:rPr>
      </w:pPr>
      <w:r w:rsidRPr="00EF56D0">
        <w:rPr>
          <w:b/>
          <w:highlight w:val="yellow"/>
        </w:rPr>
        <w:t>Instytucje</w:t>
      </w:r>
      <w:r w:rsidRPr="00EF56D0">
        <w:rPr>
          <w:highlight w:val="yellow"/>
        </w:rPr>
        <w:t xml:space="preserve"> zmieniają się zgodnie ze swoim przeznaczeniem, aby prawdziwie służyć ludziom i społecznościom. Zapewniają one ciągłość w świecie cechującym się coraz większą niepewnością, ale zarazem są gotowe adaptować się i zmieniać, gdy wymagają tego okoliczności.</w:t>
      </w:r>
    </w:p>
    <w:p w:rsidR="001924CD" w:rsidRPr="00EF56D0" w:rsidRDefault="001924CD" w:rsidP="008C47A9">
      <w:pPr>
        <w:pStyle w:val="Hlistbullet2"/>
        <w:rPr>
          <w:highlight w:val="yellow"/>
        </w:rPr>
      </w:pPr>
      <w:r w:rsidRPr="00EF56D0">
        <w:rPr>
          <w:b/>
          <w:highlight w:val="yellow"/>
        </w:rPr>
        <w:t>Sektory społeczne i gospodarcze oraz społeczności lokalne</w:t>
      </w:r>
      <w:r w:rsidRPr="00EF56D0">
        <w:rPr>
          <w:highlight w:val="yellow"/>
        </w:rPr>
        <w:t xml:space="preserve"> mogą być postrzegane jako układy współpracy z udziałem ludzi, przedsiębiorstw, instytucji i organizacji społeczeństwa obywatelskiego. Organizacje te otrzymują nowy impuls do działania, doświadczają nowych możliwości w zakresie prowadzenia innowacji, dywersyfikacji i bycia prekursorami przemian na większą skalę, aby sprostać przyszłym wyzwaniom, którym nie da się stawić czoła jedynie poprzez działania na poziomie lokalnym.</w:t>
      </w:r>
    </w:p>
    <w:p w:rsidR="001924CD" w:rsidRPr="00EF56D0" w:rsidRDefault="001924CD" w:rsidP="00403F21">
      <w:pPr>
        <w:rPr>
          <w:rFonts w:cs="Arial"/>
          <w:b/>
          <w:color w:val="E7E6E6" w:themeColor="background2"/>
          <w:sz w:val="20"/>
          <w:szCs w:val="20"/>
          <w:highlight w:val="yellow"/>
        </w:rPr>
      </w:pPr>
      <w:r w:rsidRPr="00EF56D0">
        <w:rPr>
          <w:sz w:val="20"/>
          <w:highlight w:val="yellow"/>
        </w:rPr>
        <w:t>Rezultaty i oddziaływanie KSOW mogą również stanowić samodzielny temat oceny (np. zdolności współpracy sieciowej).</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EF56D0" w:rsidTr="006F407B">
        <w:trPr>
          <w:jc w:val="center"/>
        </w:trPr>
        <w:tc>
          <w:tcPr>
            <w:tcW w:w="9016" w:type="dxa"/>
            <w:shd w:val="clear" w:color="auto" w:fill="F5F4F4" w:themeFill="background2" w:themeFillTint="66"/>
          </w:tcPr>
          <w:p w:rsidR="001924CD" w:rsidRPr="00EF56D0" w:rsidRDefault="001924CD" w:rsidP="007D1DEB">
            <w:pPr>
              <w:pStyle w:val="HStandard"/>
              <w:rPr>
                <w:b/>
                <w:highlight w:val="yellow"/>
              </w:rPr>
            </w:pPr>
            <w:r w:rsidRPr="00EF56D0">
              <w:rPr>
                <w:b/>
                <w:highlight w:val="yellow"/>
              </w:rPr>
              <w:t xml:space="preserve">Logika interwencji jest podstawą ewaluacji KSOW i ma za zadanie odpowiadać na konkretne potrzeby danego obszaru objętego programem, które mogą być zaspakajane za pośrednictwem KSOW. </w:t>
            </w:r>
          </w:p>
          <w:p w:rsidR="001924CD" w:rsidRPr="00EF56D0" w:rsidRDefault="001924CD" w:rsidP="00501EAB">
            <w:pPr>
              <w:pStyle w:val="HStandard"/>
              <w:rPr>
                <w:b/>
                <w:highlight w:val="yellow"/>
              </w:rPr>
            </w:pPr>
            <w:r w:rsidRPr="00EF56D0">
              <w:rPr>
                <w:b/>
                <w:highlight w:val="yellow"/>
              </w:rPr>
              <w:t xml:space="preserve">Obejmuje ona cele, działania i oczekiwane efekty KSOW, a jej struktura jest zgodna z zasadami spójności wertykalnej i horyzontalnej. </w:t>
            </w:r>
          </w:p>
          <w:p w:rsidR="001924CD" w:rsidRPr="00EF56D0" w:rsidRDefault="001924CD" w:rsidP="007D1DEB">
            <w:pPr>
              <w:pStyle w:val="HStandard"/>
              <w:rPr>
                <w:b/>
                <w:highlight w:val="yellow"/>
              </w:rPr>
            </w:pPr>
            <w:r w:rsidRPr="00EF56D0">
              <w:rPr>
                <w:b/>
                <w:highlight w:val="yellow"/>
              </w:rPr>
              <w:t xml:space="preserve">Logika interwencji powinna pozostać niezmieniona przez cały okres programowania, chyba że znacząco zmienią się potrzeby obszaru objętego programem. </w:t>
            </w:r>
          </w:p>
          <w:p w:rsidR="001924CD" w:rsidRPr="00EF56D0" w:rsidRDefault="001924CD" w:rsidP="0024775E">
            <w:pPr>
              <w:pStyle w:val="HStandard"/>
              <w:rPr>
                <w:b/>
                <w:color w:val="E7E6E6" w:themeColor="background2"/>
                <w:highlight w:val="yellow"/>
              </w:rPr>
            </w:pPr>
            <w:r w:rsidRPr="00EF56D0">
              <w:rPr>
                <w:b/>
                <w:highlight w:val="yellow"/>
              </w:rPr>
              <w:t>Ewaluacja KSOW skupia się na ocenie adekwatności, skuteczności i efektywności interwencji sieci, realizacji jej celów, a także rezultatów i oddziaływania.</w:t>
            </w:r>
          </w:p>
        </w:tc>
      </w:tr>
    </w:tbl>
    <w:p w:rsidR="001924CD" w:rsidRPr="00EF56D0" w:rsidRDefault="001924CD" w:rsidP="00403F21">
      <w:pPr>
        <w:pStyle w:val="HHeading5"/>
        <w:rPr>
          <w:highlight w:val="yellow"/>
        </w:rPr>
      </w:pPr>
      <w:r w:rsidRPr="00EF56D0">
        <w:rPr>
          <w:highlight w:val="yellow"/>
        </w:rPr>
        <w:t>Zewnętrzna spójność logiki interwencji KSOW</w:t>
      </w:r>
    </w:p>
    <w:p w:rsidR="001924CD" w:rsidRPr="00EF56D0" w:rsidRDefault="001924CD" w:rsidP="00403F21">
      <w:pPr>
        <w:pStyle w:val="HStandard"/>
        <w:rPr>
          <w:rFonts w:eastAsia="Calibri"/>
          <w:highlight w:val="yellow"/>
        </w:rPr>
      </w:pPr>
      <w:r w:rsidRPr="00EF56D0">
        <w:rPr>
          <w:highlight w:val="yellow"/>
        </w:rPr>
        <w:t xml:space="preserve">Sieci KSOW, które są finansowane ze środków EFRROW, mają przede wszystkim za zadanie wspierać realizację celów polityki rozwoju obszarów wiejskich UE. Obejmuje to społeczno-gospodarczy dobrobyt ludności obszarów wiejskich, jak również integralność obszarów wiejskich pod względem środowiskowym, kulturowym i estetycznym, nie zapominając o wkładzie tych obszarów w zrównoważony rozwój społeczeństwa ogółem, bez względu na granice. Cel ten można osiągnąć tylko wtedy, gdy logika interwencji KSOW jest </w:t>
      </w:r>
      <w:r w:rsidRPr="00EF56D0">
        <w:rPr>
          <w:b/>
          <w:highlight w:val="yellow"/>
        </w:rPr>
        <w:t>zewnętrznie spójna</w:t>
      </w:r>
      <w:r w:rsidRPr="00EF56D0">
        <w:rPr>
          <w:highlight w:val="yellow"/>
        </w:rPr>
        <w:t xml:space="preserve"> z</w:t>
      </w:r>
      <w:r w:rsidRPr="00EF56D0">
        <w:rPr>
          <w:b/>
          <w:highlight w:val="yellow"/>
        </w:rPr>
        <w:t xml:space="preserve"> </w:t>
      </w:r>
      <w:r w:rsidRPr="00EF56D0">
        <w:rPr>
          <w:highlight w:val="yellow"/>
        </w:rPr>
        <w:t>celami polityki rozwoju obszarów wiejskich</w:t>
      </w:r>
      <w:r w:rsidRPr="00EF56D0">
        <w:rPr>
          <w:b/>
          <w:highlight w:val="yellow"/>
        </w:rPr>
        <w:t>.</w:t>
      </w:r>
      <w:r w:rsidRPr="00EF56D0">
        <w:rPr>
          <w:highlight w:val="yellow"/>
        </w:rPr>
        <w:t xml:space="preserve"> </w:t>
      </w:r>
    </w:p>
    <w:p w:rsidR="001924CD" w:rsidRPr="008A4203" w:rsidRDefault="001924CD" w:rsidP="00403F21">
      <w:pPr>
        <w:pStyle w:val="HStandard"/>
        <w:rPr>
          <w:rFonts w:eastAsia="Calibri"/>
        </w:rPr>
      </w:pPr>
      <w:r w:rsidRPr="00EF56D0">
        <w:rPr>
          <w:highlight w:val="yellow"/>
        </w:rPr>
        <w:t xml:space="preserve">Zewnętrzna spójność logiki interwencji oznacza, że osiągnięcie czterech wspólnych celów KSOW zapewnia również wkład sieci w realizację celów PROW (pojedynczego lub kilku programów w przypadku PKSOW). Na tej samej zasadzie, jak krajowa sieć obszarów wiejskich przyczynia się do osiągnięcia celów programów rozwoju obszarów wiejskich, rezultaty i oddziaływanie sieci powinny przekładać się odpowiednio na produkty i rezultaty programu. Ponadto KSOW wywiera zazwyczaj </w:t>
      </w:r>
      <w:r w:rsidRPr="00EF56D0">
        <w:rPr>
          <w:highlight w:val="yellow"/>
        </w:rPr>
        <w:lastRenderedPageBreak/>
        <w:t>również wpływ na środowisko społeczne w obrębie grupy swoich bezpośrednich i pośrednich beneficjentów, jak również podmiotów nie będących beneficjentami w zakresie kapitału społecznego i ludzkiego. Kapitał społeczny generowany przez KSOW może mieć także wpływ na oddziaływanie PROW, co przedstawia poniższy rysunek:</w:t>
      </w:r>
    </w:p>
    <w:p w:rsidR="001924CD" w:rsidRPr="00EF56D0" w:rsidRDefault="001924CD" w:rsidP="00EF2430">
      <w:pPr>
        <w:pStyle w:val="HHeadingfigures"/>
        <w:rPr>
          <w:highlight w:val="yellow"/>
        </w:rPr>
      </w:pPr>
      <w:bookmarkStart w:id="52" w:name="_Toc445465121"/>
      <w:r w:rsidRPr="008A4203">
        <w:br w:type="column"/>
      </w:r>
      <w:bookmarkStart w:id="53" w:name="_Toc451781926"/>
      <w:bookmarkStart w:id="54" w:name="_Ref451784376"/>
      <w:bookmarkStart w:id="55" w:name="_Ref451784562"/>
      <w:bookmarkStart w:id="56" w:name="_Toc461807144"/>
      <w:r w:rsidRPr="00EF56D0">
        <w:rPr>
          <w:highlight w:val="yellow"/>
        </w:rPr>
        <w:lastRenderedPageBreak/>
        <w:t>Efekty KSOW i ich wkład w produkty, rezultaty i oddziaływanie PROW</w:t>
      </w:r>
      <w:bookmarkEnd w:id="52"/>
      <w:bookmarkEnd w:id="53"/>
      <w:bookmarkEnd w:id="54"/>
      <w:bookmarkEnd w:id="55"/>
      <w:bookmarkEnd w:id="56"/>
    </w:p>
    <w:p w:rsidR="001924CD" w:rsidRPr="00EF56D0" w:rsidRDefault="001924CD" w:rsidP="00A82087">
      <w:pPr>
        <w:pStyle w:val="HStandard"/>
        <w:jc w:val="center"/>
        <w:rPr>
          <w:rFonts w:eastAsia="Calibri"/>
          <w:sz w:val="12"/>
          <w:szCs w:val="12"/>
          <w:highlight w:val="yellow"/>
        </w:rPr>
      </w:pPr>
      <w:r w:rsidRPr="008A4203">
        <w:rPr>
          <w:noProof/>
          <w:lang w:val="en-GB" w:eastAsia="en-GB" w:bidi="ar-SA"/>
        </w:rPr>
        <w:drawing>
          <wp:inline distT="0" distB="0" distL="0" distR="0" wp14:anchorId="13E444AC" wp14:editId="372B3AB3">
            <wp:extent cx="6157462" cy="3026018"/>
            <wp:effectExtent l="0" t="0" r="0" b="317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70302" cy="3032328"/>
                    </a:xfrm>
                    <a:prstGeom prst="rect">
                      <a:avLst/>
                    </a:prstGeom>
                    <a:noFill/>
                    <a:ln>
                      <a:noFill/>
                    </a:ln>
                  </pic:spPr>
                </pic:pic>
              </a:graphicData>
            </a:graphic>
          </wp:inline>
        </w:drawing>
      </w:r>
      <w:r w:rsidRPr="008A4203">
        <w:t xml:space="preserve"> </w:t>
      </w:r>
      <w:r w:rsidRPr="00EF56D0">
        <w:rPr>
          <w:sz w:val="16"/>
          <w:highlight w:val="yellow"/>
        </w:rPr>
        <w:t>Źródło:</w:t>
      </w:r>
      <w:r w:rsidRPr="00EF56D0">
        <w:rPr>
          <w:highlight w:val="yellow"/>
        </w:rPr>
        <w:t xml:space="preserve"> </w:t>
      </w:r>
      <w:r w:rsidRPr="00EF56D0">
        <w:rPr>
          <w:sz w:val="16"/>
          <w:highlight w:val="yellow"/>
        </w:rPr>
        <w:t>Europejskie Biuro Pomocy ds. Ewaluacji Rozwoju Obszarów Wiejskich, 2016 r.</w:t>
      </w:r>
    </w:p>
    <w:p w:rsidR="001924CD" w:rsidRPr="00EF56D0" w:rsidRDefault="001924CD" w:rsidP="0031367A">
      <w:pPr>
        <w:pStyle w:val="HStandard"/>
        <w:rPr>
          <w:rFonts w:eastAsia="Calibri"/>
          <w:highlight w:val="yellow"/>
        </w:rPr>
      </w:pPr>
      <w:r w:rsidRPr="00EF56D0">
        <w:rPr>
          <w:highlight w:val="yellow"/>
        </w:rPr>
        <w:t xml:space="preserve">Kolejną płaszczyzną spójności zewnętrznej jest powiązanie KSOW – poprzez cele, rezultaty i oddziaływanie PROW – z celami unijnej polityki rozwoju obszarów wiejskich, a tym samym z priorytetami i głównymi celami strategii Europa 2020. </w:t>
      </w:r>
    </w:p>
    <w:p w:rsidR="001924CD" w:rsidRPr="00EF56D0" w:rsidRDefault="001924CD" w:rsidP="0031367A">
      <w:pPr>
        <w:pStyle w:val="HStandard"/>
        <w:rPr>
          <w:rFonts w:eastAsia="Calibri"/>
          <w:highlight w:val="yellow"/>
        </w:rPr>
      </w:pPr>
      <w:r w:rsidRPr="00EF56D0">
        <w:rPr>
          <w:rFonts w:eastAsia="Calibri"/>
          <w:highlight w:val="yellow"/>
        </w:rPr>
        <w:fldChar w:fldCharType="begin" w:fldLock="1"/>
      </w:r>
      <w:r w:rsidRPr="00EF56D0">
        <w:rPr>
          <w:rFonts w:eastAsia="Calibri"/>
          <w:highlight w:val="yellow"/>
        </w:rPr>
        <w:instrText xml:space="preserve"> REF _Ref451784406 \r \h  \* MERGEFORMAT </w:instrText>
      </w:r>
      <w:r w:rsidRPr="00EF56D0">
        <w:rPr>
          <w:rFonts w:eastAsia="Calibri"/>
          <w:highlight w:val="yellow"/>
        </w:rPr>
      </w:r>
      <w:r w:rsidRPr="00EF56D0">
        <w:rPr>
          <w:rFonts w:eastAsia="Calibri"/>
          <w:highlight w:val="yellow"/>
        </w:rPr>
        <w:fldChar w:fldCharType="separate"/>
      </w:r>
      <w:r w:rsidRPr="00EF56D0">
        <w:rPr>
          <w:rFonts w:eastAsia="Calibri"/>
          <w:highlight w:val="yellow"/>
        </w:rPr>
        <w:t>Figure 8</w:t>
      </w:r>
      <w:r w:rsidRPr="00EF56D0">
        <w:rPr>
          <w:rFonts w:eastAsia="Calibri"/>
          <w:highlight w:val="yellow"/>
        </w:rPr>
        <w:fldChar w:fldCharType="end"/>
      </w:r>
      <w:r w:rsidRPr="00EF56D0">
        <w:rPr>
          <w:highlight w:val="yellow"/>
        </w:rPr>
        <w:t xml:space="preserve"> przedstawia zewnętrzną spójność KSOW z PROW, rozwojem obszarów wiejskich i celami polityki horyzontalnej, jak również z rezultatami/oddziaływaniem PROW. </w:t>
      </w:r>
    </w:p>
    <w:p w:rsidR="001924CD" w:rsidRPr="00EF56D0" w:rsidRDefault="001924CD" w:rsidP="00EF2430">
      <w:pPr>
        <w:pStyle w:val="HHeadingfigures"/>
        <w:rPr>
          <w:highlight w:val="yellow"/>
        </w:rPr>
      </w:pPr>
      <w:bookmarkStart w:id="57" w:name="_Toc445465122"/>
      <w:bookmarkStart w:id="58" w:name="_Toc451781927"/>
      <w:bookmarkStart w:id="59" w:name="_Ref451784406"/>
      <w:bookmarkStart w:id="60" w:name="_Ref451784429"/>
      <w:bookmarkStart w:id="61" w:name="_Ref451784787"/>
      <w:bookmarkStart w:id="62" w:name="_Toc461807145"/>
      <w:r w:rsidRPr="00EF56D0">
        <w:rPr>
          <w:highlight w:val="yellow"/>
        </w:rPr>
        <w:t>Wkład KSOW w realizację celów krajowych, unijnych i PROW</w:t>
      </w:r>
      <w:bookmarkEnd w:id="57"/>
      <w:bookmarkEnd w:id="58"/>
      <w:bookmarkEnd w:id="59"/>
      <w:bookmarkEnd w:id="60"/>
      <w:bookmarkEnd w:id="61"/>
      <w:bookmarkEnd w:id="62"/>
    </w:p>
    <w:p w:rsidR="001924CD" w:rsidRPr="008A4203" w:rsidRDefault="001924CD" w:rsidP="00F94860">
      <w:pPr>
        <w:pStyle w:val="HStandard"/>
        <w:jc w:val="center"/>
      </w:pPr>
      <w:r w:rsidRPr="008A4203">
        <w:rPr>
          <w:noProof/>
          <w:lang w:val="en-GB" w:eastAsia="en-GB" w:bidi="ar-SA"/>
        </w:rPr>
        <w:drawing>
          <wp:inline distT="0" distB="0" distL="0" distR="0" wp14:anchorId="1077B20F" wp14:editId="5AF6926F">
            <wp:extent cx="6282141" cy="3551275"/>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16621" cy="3570767"/>
                    </a:xfrm>
                    <a:prstGeom prst="rect">
                      <a:avLst/>
                    </a:prstGeom>
                    <a:noFill/>
                    <a:ln>
                      <a:noFill/>
                    </a:ln>
                  </pic:spPr>
                </pic:pic>
              </a:graphicData>
            </a:graphic>
          </wp:inline>
        </w:drawing>
      </w:r>
      <w:r w:rsidRPr="008A4203">
        <w:t xml:space="preserve"> </w:t>
      </w:r>
    </w:p>
    <w:p w:rsidR="001924CD" w:rsidRPr="00EF56D0" w:rsidRDefault="001924CD" w:rsidP="0031367A">
      <w:pPr>
        <w:pStyle w:val="HSource"/>
        <w:rPr>
          <w:rFonts w:eastAsia="Calibri"/>
          <w:highlight w:val="yellow"/>
        </w:rPr>
      </w:pPr>
      <w:r w:rsidRPr="00EF56D0">
        <w:rPr>
          <w:highlight w:val="yellow"/>
        </w:rPr>
        <w:t>Źródło: Europejskie Biuro Pomocy ds. Ewaluacji Rozwoju Obszarów Wiejskich, 2016 r.</w:t>
      </w:r>
    </w:p>
    <w:p w:rsidR="001924CD" w:rsidRPr="00EF56D0" w:rsidRDefault="001924CD" w:rsidP="0031367A">
      <w:pPr>
        <w:pStyle w:val="HStandard"/>
        <w:rPr>
          <w:rFonts w:eastAsia="Calibri"/>
          <w:highlight w:val="yellow"/>
        </w:rPr>
      </w:pPr>
      <w:r w:rsidRPr="00EF56D0">
        <w:rPr>
          <w:highlight w:val="yellow"/>
        </w:rPr>
        <w:lastRenderedPageBreak/>
        <w:t>Wkład KSOW w realizację niektórych celów politycznych może również stanowić samodzielny temat oceny (np. wkład w zwiększanie różnorodności biologicznej, przeciwdziałanie zmianom klimatu).</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EF56D0" w:rsidTr="00D70CE9">
        <w:tc>
          <w:tcPr>
            <w:tcW w:w="9016" w:type="dxa"/>
            <w:shd w:val="clear" w:color="auto" w:fill="F5F4F4" w:themeFill="background2" w:themeFillTint="66"/>
          </w:tcPr>
          <w:p w:rsidR="001924CD" w:rsidRPr="00EF56D0" w:rsidRDefault="001924CD" w:rsidP="00B67AEC">
            <w:pPr>
              <w:pStyle w:val="HStandard"/>
              <w:rPr>
                <w:rFonts w:eastAsia="Calibri"/>
                <w:b/>
                <w:highlight w:val="yellow"/>
              </w:rPr>
            </w:pPr>
            <w:r w:rsidRPr="00EF56D0">
              <w:rPr>
                <w:b/>
                <w:highlight w:val="yellow"/>
              </w:rPr>
              <w:t xml:space="preserve">Spójność zewnętrzna sprawia, że logika interwencji KSOW przyczynia się do realizacji zarówno celów PROW, jak i celów na poziomie UE. </w:t>
            </w:r>
          </w:p>
          <w:p w:rsidR="001924CD" w:rsidRPr="00EF56D0" w:rsidRDefault="001924CD" w:rsidP="00501EAB">
            <w:pPr>
              <w:pStyle w:val="HStandard"/>
              <w:rPr>
                <w:rFonts w:eastAsia="Calibri"/>
                <w:b/>
                <w:highlight w:val="yellow"/>
              </w:rPr>
            </w:pPr>
            <w:r w:rsidRPr="00EF56D0">
              <w:rPr>
                <w:b/>
                <w:highlight w:val="yellow"/>
              </w:rPr>
              <w:t>Ewaluacja KSOW skupia się na ocenie spójności zewnętrznej, jak również wkładu KSOW w realizację PROW i celów polityki UE.</w:t>
            </w:r>
          </w:p>
        </w:tc>
      </w:tr>
    </w:tbl>
    <w:p w:rsidR="001924CD" w:rsidRPr="00EF56D0" w:rsidRDefault="001924CD" w:rsidP="0031367A">
      <w:pPr>
        <w:pStyle w:val="HHeading5"/>
        <w:rPr>
          <w:highlight w:val="yellow"/>
        </w:rPr>
      </w:pPr>
      <w:r w:rsidRPr="00EF56D0">
        <w:rPr>
          <w:highlight w:val="yellow"/>
        </w:rPr>
        <w:t xml:space="preserve">Skuteczność i efektywność </w:t>
      </w:r>
    </w:p>
    <w:p w:rsidR="001924CD" w:rsidRPr="00EF56D0" w:rsidRDefault="001924CD" w:rsidP="0031367A">
      <w:pPr>
        <w:pStyle w:val="HStandard"/>
        <w:rPr>
          <w:highlight w:val="yellow"/>
        </w:rPr>
      </w:pPr>
      <w:r w:rsidRPr="00EF56D0">
        <w:rPr>
          <w:highlight w:val="yellow"/>
        </w:rPr>
        <w:t>Ocena skuteczności dotyczy tego, w jakim stopniu cele KSOW są realizowane, a sieć przyczynia się do osiągania celów polityki na poziomie PROW i UE. Wraz ze skutecznością bada się efektywność, a celem takiej oceny jest sprawdzenie, czy przyznane środki publiczne i prywatne zostały wydane w sposób przyczyniający się do osiągnięcia celów politycznych (na poziomie KSOW, PROW i UE) oraz</w:t>
      </w:r>
      <w:r w:rsidRPr="008A4203">
        <w:t xml:space="preserve"> </w:t>
      </w:r>
      <w:r w:rsidRPr="00EF56D0">
        <w:rPr>
          <w:highlight w:val="yellow"/>
        </w:rPr>
        <w:t xml:space="preserve">przyniosły oczekiwane produkty, rezultaty i oddziaływanie.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EF56D0" w:rsidTr="00D70CE9">
        <w:tc>
          <w:tcPr>
            <w:tcW w:w="9016" w:type="dxa"/>
            <w:shd w:val="clear" w:color="auto" w:fill="F5F4F4" w:themeFill="background2" w:themeFillTint="66"/>
          </w:tcPr>
          <w:p w:rsidR="001924CD" w:rsidRPr="00EF56D0" w:rsidRDefault="001924CD" w:rsidP="004F780F">
            <w:pPr>
              <w:pStyle w:val="HStandard"/>
              <w:rPr>
                <w:b/>
                <w:highlight w:val="yellow"/>
              </w:rPr>
            </w:pPr>
            <w:r w:rsidRPr="00EF56D0">
              <w:rPr>
                <w:b/>
                <w:highlight w:val="yellow"/>
              </w:rPr>
              <w:t xml:space="preserve">Ocena skuteczności bada, w jakim stopniu interwencje KSOW są w stanie przyczyniać się do osiągania celów politycznych na poziomie KSOW, PROW i UE. </w:t>
            </w:r>
          </w:p>
          <w:p w:rsidR="001924CD" w:rsidRPr="00EF56D0" w:rsidRDefault="001924CD" w:rsidP="000B2D05">
            <w:pPr>
              <w:pStyle w:val="HStandard"/>
              <w:rPr>
                <w:highlight w:val="yellow"/>
              </w:rPr>
            </w:pPr>
            <w:r w:rsidRPr="00EF56D0">
              <w:rPr>
                <w:b/>
                <w:highlight w:val="yellow"/>
              </w:rPr>
              <w:t xml:space="preserve">Ocena efektywności dotyczy tego, ile kosztowało osiągnięcie produktów, rezultatów i oddziaływania KSOW. </w:t>
            </w:r>
          </w:p>
        </w:tc>
      </w:tr>
    </w:tbl>
    <w:p w:rsidR="001924CD" w:rsidRPr="00EF56D0" w:rsidRDefault="001924CD" w:rsidP="0031367A">
      <w:pPr>
        <w:pStyle w:val="HHeading5"/>
        <w:rPr>
          <w:highlight w:val="yellow"/>
        </w:rPr>
      </w:pPr>
      <w:r w:rsidRPr="00EF56D0">
        <w:rPr>
          <w:highlight w:val="yellow"/>
        </w:rPr>
        <w:t>Czynniki sukcesu i porażki KSOW</w:t>
      </w:r>
    </w:p>
    <w:p w:rsidR="001924CD" w:rsidRPr="00EF56D0" w:rsidRDefault="001924CD" w:rsidP="0031367A">
      <w:pPr>
        <w:pStyle w:val="HStandard"/>
        <w:rPr>
          <w:highlight w:val="yellow"/>
        </w:rPr>
      </w:pPr>
      <w:r w:rsidRPr="00EF56D0">
        <w:rPr>
          <w:highlight w:val="yellow"/>
        </w:rPr>
        <w:t xml:space="preserve">Oprócz zbadania rezultatów, oddziaływania i osiągnięć KSOW, ocena daje możliwość formułowania ważnych wniosków, które przyczynią się do poprawy funkcjonowania KSOW oraz ułatwia lepsze projektowanie przyszłych sieci poprzez obserwację czynników sukcesu lub porażki. </w:t>
      </w:r>
    </w:p>
    <w:p w:rsidR="001924CD" w:rsidRPr="00EF56D0" w:rsidRDefault="001924CD" w:rsidP="0031367A">
      <w:pPr>
        <w:pStyle w:val="HStandard"/>
        <w:rPr>
          <w:highlight w:val="yellow"/>
        </w:rPr>
      </w:pPr>
      <w:r w:rsidRPr="00EF56D0">
        <w:rPr>
          <w:highlight w:val="yellow"/>
        </w:rPr>
        <w:t xml:space="preserve">Czynniki te mogą mieć charakter wewnętrzny lub zewnętrzny. Mogą one wzmacniać lub osłabiać skutki działania KSOW. Czynnikami wewnętrznymi mogą być sprawy związane z administracją i realizacją działań KSOW (np. funkcjonowanie JWS). Czynniki zewnętrzne mogą dotyczyć kultury współpracy sieciowej na obszarach wiejskich lub jej braku.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EF56D0" w:rsidTr="00D70CE9">
        <w:tc>
          <w:tcPr>
            <w:tcW w:w="9016" w:type="dxa"/>
            <w:shd w:val="clear" w:color="auto" w:fill="F5F4F4" w:themeFill="background2" w:themeFillTint="66"/>
          </w:tcPr>
          <w:p w:rsidR="001924CD" w:rsidRPr="00EF56D0" w:rsidRDefault="001924CD" w:rsidP="00DC0897">
            <w:pPr>
              <w:pStyle w:val="HStandard"/>
              <w:rPr>
                <w:b/>
                <w:highlight w:val="yellow"/>
              </w:rPr>
            </w:pPr>
            <w:r w:rsidRPr="00EF56D0">
              <w:rPr>
                <w:b/>
                <w:highlight w:val="yellow"/>
              </w:rPr>
              <w:t xml:space="preserve">Ocena czynników sukcesu i porażki interwencji KSOW bada zarówno wewnętrzne, jak i zewnętrzne czynniki wzmacniające lub osłabiające te interwencje. Badanie to stanowi ważny element funkcji uczenia się związanej z ewaluacją KSOW. </w:t>
            </w:r>
          </w:p>
        </w:tc>
      </w:tr>
    </w:tbl>
    <w:p w:rsidR="001924CD" w:rsidRPr="00EF56D0" w:rsidRDefault="001924CD" w:rsidP="00680DA9">
      <w:pPr>
        <w:pStyle w:val="HHeading3"/>
        <w:rPr>
          <w:highlight w:val="yellow"/>
        </w:rPr>
      </w:pPr>
      <w:bookmarkStart w:id="63" w:name="_Toc453079752"/>
      <w:bookmarkStart w:id="64" w:name="_Toc461807113"/>
      <w:r w:rsidRPr="00EF56D0">
        <w:rPr>
          <w:highlight w:val="yellow"/>
        </w:rPr>
        <w:t>Elementy ewaluacji KSOW</w:t>
      </w:r>
      <w:bookmarkEnd w:id="63"/>
      <w:bookmarkEnd w:id="64"/>
    </w:p>
    <w:p w:rsidR="001924CD" w:rsidRPr="00EF56D0" w:rsidRDefault="001924CD" w:rsidP="00A27369">
      <w:pPr>
        <w:pStyle w:val="HStandard"/>
        <w:rPr>
          <w:highlight w:val="yellow"/>
        </w:rPr>
      </w:pPr>
      <w:r w:rsidRPr="00EF56D0">
        <w:rPr>
          <w:highlight w:val="yellow"/>
        </w:rPr>
        <w:t xml:space="preserve">Wspólny system monitorowania i ewaluacji (CMES) wprowadza wspólne elementy oceny, jakie powinny być stosowane przy ocenie programów rozwoju obszarów wiejskich, w tym KSOW. Elementy te zostały określone przez Komisję Europejską we współpracy z zainteresowanymi stronami z państw członkowskich w celu dostarczenia istotnych informacji, które mogą być agregowane na poziomie UE i porównywane pomiędzy poszczególnymi programami rozwoju obszarów wiejskich. Elementy systemu CMES powinny zostać uzupełnione o elementy specyficzne dla programu w celu uwzględnienia specyfiki obszaru objętego programem, w tym aspektów związanych z KSOW. Specyficzne elementy programowe dla poszczególnych KSOW są projektowane przez instytucje zarządzające programem lub we współpracy z zainteresowanymi stronami KSOW w celu ujęcia aspektów specyficznych dla sieci. </w:t>
      </w:r>
    </w:p>
    <w:p w:rsidR="001924CD" w:rsidRPr="008A4203" w:rsidRDefault="001924CD" w:rsidP="00A27369">
      <w:pPr>
        <w:pStyle w:val="HStandard"/>
      </w:pPr>
      <w:r w:rsidRPr="00EF56D0">
        <w:rPr>
          <w:highlight w:val="yellow"/>
        </w:rPr>
        <w:t>Elementy ewaluacji KSOW obejmują:</w:t>
      </w:r>
      <w:r w:rsidRPr="008A4203">
        <w:t xml:space="preserve"> </w:t>
      </w:r>
    </w:p>
    <w:p w:rsidR="001924CD" w:rsidRPr="00EF56D0" w:rsidRDefault="001924CD" w:rsidP="00A27369">
      <w:pPr>
        <w:pStyle w:val="Hlistbullet"/>
        <w:rPr>
          <w:highlight w:val="yellow"/>
        </w:rPr>
      </w:pPr>
      <w:r w:rsidRPr="00EF56D0">
        <w:rPr>
          <w:b/>
          <w:highlight w:val="yellow"/>
        </w:rPr>
        <w:t>Logikę interwencji</w:t>
      </w:r>
      <w:r w:rsidRPr="00EF56D0">
        <w:rPr>
          <w:highlight w:val="yellow"/>
        </w:rPr>
        <w:t xml:space="preserve"> ilustrującą powiązania między zaplanowanymi celami i działaniami a produktami, rezultatami i oddziaływaniem KSOW. Parametry kontekstu są wykorzystywane do opisu i analizy specyficznego kontekstu funkcjonowania sieci.</w:t>
      </w:r>
    </w:p>
    <w:p w:rsidR="001924CD" w:rsidRPr="00EF56D0" w:rsidRDefault="001924CD" w:rsidP="00A27369">
      <w:pPr>
        <w:pStyle w:val="Hlistbullet"/>
        <w:rPr>
          <w:highlight w:val="yellow"/>
        </w:rPr>
      </w:pPr>
      <w:r w:rsidRPr="00EF56D0">
        <w:rPr>
          <w:b/>
          <w:highlight w:val="yellow"/>
        </w:rPr>
        <w:lastRenderedPageBreak/>
        <w:t>Pytania ewaluacyjne</w:t>
      </w:r>
      <w:r w:rsidRPr="00EF56D0">
        <w:rPr>
          <w:highlight w:val="yellow"/>
        </w:rPr>
        <w:t xml:space="preserve"> określające przedmiot ewaluacji KSOW w odniesieniu do wspólnych i specyficznych dla programu celów politycznych. Ich celem jest wykazanie postępów i osiągnięć oraz wsparcie oceny rezultatów, oddziaływania, skuteczności, efektywności i adekwatności interwencji w ramach polityki rozwoju obszarów wiejskich</w:t>
      </w:r>
      <w:r w:rsidRPr="00EF56D0">
        <w:rPr>
          <w:rFonts w:ascii="ZWAdobeF" w:hAnsi="ZWAdobeF"/>
          <w:color w:val="auto"/>
          <w:sz w:val="2"/>
          <w:highlight w:val="yellow"/>
        </w:rPr>
        <w:t>36F</w:t>
      </w:r>
      <w:r w:rsidRPr="00EF56D0">
        <w:rPr>
          <w:rStyle w:val="FootnoteReference"/>
          <w:highlight w:val="yellow"/>
        </w:rPr>
        <w:footnoteReference w:id="37"/>
      </w:r>
      <w:r w:rsidRPr="00EF56D0">
        <w:rPr>
          <w:highlight w:val="yellow"/>
        </w:rPr>
        <w:t>.</w:t>
      </w:r>
    </w:p>
    <w:p w:rsidR="001924CD" w:rsidRPr="00EF56D0" w:rsidRDefault="001924CD" w:rsidP="00A27369">
      <w:pPr>
        <w:pStyle w:val="Hlistbullet2"/>
        <w:rPr>
          <w:highlight w:val="yellow"/>
        </w:rPr>
      </w:pPr>
      <w:r w:rsidRPr="00EF56D0">
        <w:rPr>
          <w:b/>
          <w:highlight w:val="yellow"/>
        </w:rPr>
        <w:t>Wskaźniki</w:t>
      </w:r>
      <w:r w:rsidRPr="00EF56D0">
        <w:rPr>
          <w:highlight w:val="yellow"/>
        </w:rPr>
        <w:t xml:space="preserve"> służące do oceny rezultatów i oddziaływania sieci, a także skuteczności, efektywności, osiągnięć i adekwatności podejmowanych w jej ramach interwencji.</w:t>
      </w:r>
    </w:p>
    <w:p w:rsidR="001924CD" w:rsidRPr="00EF56D0" w:rsidRDefault="001924CD" w:rsidP="00A27369">
      <w:pPr>
        <w:pStyle w:val="HHeading5"/>
        <w:rPr>
          <w:highlight w:val="yellow"/>
        </w:rPr>
      </w:pPr>
      <w:r w:rsidRPr="00EF56D0">
        <w:rPr>
          <w:highlight w:val="yellow"/>
        </w:rPr>
        <w:t>Wspólne elementy ewaluacji</w:t>
      </w:r>
    </w:p>
    <w:p w:rsidR="001924CD" w:rsidRPr="00EF56D0" w:rsidRDefault="001924CD" w:rsidP="00A27369">
      <w:pPr>
        <w:pStyle w:val="HStandard"/>
        <w:rPr>
          <w:highlight w:val="yellow"/>
        </w:rPr>
      </w:pPr>
      <w:r w:rsidRPr="00EF56D0">
        <w:rPr>
          <w:highlight w:val="yellow"/>
        </w:rPr>
        <w:t>Wspólne elementy ewaluacji są określone w ramach systemu CMES, stanowiąc podstawę monitorowania i ewaluacji KSOW:</w:t>
      </w:r>
    </w:p>
    <w:p w:rsidR="001924CD" w:rsidRPr="00EF56D0" w:rsidRDefault="001924CD" w:rsidP="00892664">
      <w:pPr>
        <w:pStyle w:val="HStandard"/>
        <w:numPr>
          <w:ilvl w:val="0"/>
          <w:numId w:val="15"/>
        </w:numPr>
        <w:rPr>
          <w:highlight w:val="yellow"/>
        </w:rPr>
      </w:pPr>
      <w:r w:rsidRPr="00EF56D0">
        <w:rPr>
          <w:highlight w:val="yellow"/>
        </w:rPr>
        <w:t xml:space="preserve">Cztery </w:t>
      </w:r>
      <w:r w:rsidRPr="00EF56D0">
        <w:rPr>
          <w:b/>
          <w:highlight w:val="yellow"/>
        </w:rPr>
        <w:t>wspólne cele KSOW</w:t>
      </w:r>
      <w:r w:rsidRPr="00EF56D0">
        <w:rPr>
          <w:highlight w:val="yellow"/>
        </w:rPr>
        <w:t xml:space="preserve"> i siedem wspólnych grup działań KSOW, które zostały przedstawione w rozporządzeniu ROW</w:t>
      </w:r>
      <w:r w:rsidRPr="00EF56D0">
        <w:rPr>
          <w:rFonts w:ascii="ZWAdobeF" w:hAnsi="ZWAdobeF"/>
          <w:color w:val="auto"/>
          <w:sz w:val="2"/>
          <w:highlight w:val="yellow"/>
        </w:rPr>
        <w:t>37F</w:t>
      </w:r>
      <w:r w:rsidRPr="00EF56D0">
        <w:rPr>
          <w:rStyle w:val="FootnoteReference"/>
          <w:highlight w:val="yellow"/>
        </w:rPr>
        <w:footnoteReference w:id="38"/>
      </w:r>
      <w:r w:rsidRPr="00EF56D0">
        <w:rPr>
          <w:highlight w:val="yellow"/>
        </w:rPr>
        <w:t xml:space="preserve">, tworzą podstawę logiki interwencji KSOW (zob. </w:t>
      </w:r>
      <w:r w:rsidRPr="00EF56D0">
        <w:rPr>
          <w:highlight w:val="yellow"/>
        </w:rPr>
        <w:fldChar w:fldCharType="begin" w:fldLock="1"/>
      </w:r>
      <w:r w:rsidRPr="00EF56D0">
        <w:rPr>
          <w:highlight w:val="yellow"/>
        </w:rPr>
        <w:instrText xml:space="preserve"> REF _Ref451784429 \r \h  \* MERGEFORMAT </w:instrText>
      </w:r>
      <w:r w:rsidRPr="00EF56D0">
        <w:rPr>
          <w:highlight w:val="yellow"/>
        </w:rPr>
      </w:r>
      <w:r w:rsidRPr="00EF56D0">
        <w:rPr>
          <w:highlight w:val="yellow"/>
        </w:rPr>
        <w:fldChar w:fldCharType="separate"/>
      </w:r>
      <w:r w:rsidRPr="00EF56D0">
        <w:rPr>
          <w:highlight w:val="yellow"/>
        </w:rPr>
        <w:t>Figure 8</w:t>
      </w:r>
      <w:r w:rsidRPr="00EF56D0">
        <w:rPr>
          <w:highlight w:val="yellow"/>
        </w:rPr>
        <w:fldChar w:fldCharType="end"/>
      </w:r>
      <w:r w:rsidRPr="00EF56D0">
        <w:rPr>
          <w:highlight w:val="yellow"/>
        </w:rPr>
        <w:t xml:space="preserve">). </w:t>
      </w:r>
    </w:p>
    <w:p w:rsidR="001924CD" w:rsidRPr="00EF56D0" w:rsidRDefault="001924CD" w:rsidP="00892664">
      <w:pPr>
        <w:pStyle w:val="HStandard"/>
        <w:numPr>
          <w:ilvl w:val="0"/>
          <w:numId w:val="15"/>
        </w:numPr>
        <w:rPr>
          <w:highlight w:val="yellow"/>
        </w:rPr>
      </w:pPr>
      <w:r w:rsidRPr="00EF56D0">
        <w:rPr>
          <w:b/>
          <w:highlight w:val="yellow"/>
        </w:rPr>
        <w:t>Wspólne pytania ewaluacyjne</w:t>
      </w:r>
      <w:r w:rsidRPr="00EF56D0">
        <w:rPr>
          <w:highlight w:val="yellow"/>
        </w:rPr>
        <w:t xml:space="preserve"> (WPE) dla KSOW </w:t>
      </w:r>
      <w:r w:rsidRPr="00EF56D0">
        <w:rPr>
          <w:rFonts w:ascii="ZWAdobeF" w:hAnsi="ZWAdobeF"/>
          <w:color w:val="auto"/>
          <w:sz w:val="2"/>
          <w:highlight w:val="yellow"/>
        </w:rPr>
        <w:t>38F</w:t>
      </w:r>
      <w:r w:rsidRPr="00EF56D0">
        <w:rPr>
          <w:rStyle w:val="FootnoteReference"/>
          <w:highlight w:val="yellow"/>
        </w:rPr>
        <w:footnoteReference w:id="39"/>
      </w:r>
      <w:r w:rsidRPr="00EF56D0">
        <w:rPr>
          <w:highlight w:val="yellow"/>
        </w:rPr>
        <w:t xml:space="preserve"> (zob. </w:t>
      </w:r>
      <w:r w:rsidRPr="00EF56D0">
        <w:rPr>
          <w:highlight w:val="yellow"/>
        </w:rPr>
        <w:fldChar w:fldCharType="begin" w:fldLock="1"/>
      </w:r>
      <w:r w:rsidRPr="00EF56D0">
        <w:rPr>
          <w:highlight w:val="yellow"/>
        </w:rPr>
        <w:instrText xml:space="preserve"> REF _Ref451784860 \r \h  \* MERGEFORMAT </w:instrText>
      </w:r>
      <w:r w:rsidRPr="00EF56D0">
        <w:rPr>
          <w:highlight w:val="yellow"/>
        </w:rPr>
      </w:r>
      <w:r w:rsidRPr="00EF56D0">
        <w:rPr>
          <w:highlight w:val="yellow"/>
        </w:rPr>
        <w:fldChar w:fldCharType="separate"/>
      </w:r>
      <w:r w:rsidRPr="00EF56D0">
        <w:rPr>
          <w:highlight w:val="yellow"/>
        </w:rPr>
        <w:t>Table 1</w:t>
      </w:r>
      <w:r w:rsidRPr="00EF56D0">
        <w:rPr>
          <w:highlight w:val="yellow"/>
        </w:rPr>
        <w:fldChar w:fldCharType="end"/>
      </w:r>
      <w:r w:rsidRPr="00EF56D0">
        <w:rPr>
          <w:highlight w:val="yellow"/>
        </w:rPr>
        <w:t>), zawarte w systemie CMES i powiązane ze wszystkimi czterema wspólnymi celami KSOW</w:t>
      </w:r>
      <w:r w:rsidRPr="00EF56D0">
        <w:rPr>
          <w:rFonts w:ascii="ZWAdobeF" w:hAnsi="ZWAdobeF"/>
          <w:color w:val="auto"/>
          <w:sz w:val="2"/>
          <w:highlight w:val="yellow"/>
        </w:rPr>
        <w:t>39F</w:t>
      </w:r>
      <w:r w:rsidRPr="00EF56D0">
        <w:rPr>
          <w:rStyle w:val="FootnoteReference"/>
          <w:highlight w:val="yellow"/>
        </w:rPr>
        <w:footnoteReference w:id="40"/>
      </w:r>
      <w:r w:rsidRPr="00EF56D0">
        <w:rPr>
          <w:highlight w:val="yellow"/>
        </w:rPr>
        <w:t xml:space="preserve">. Ukierunkowują one ewaluację KSOW na unijną politykę rozwoju obszarów wiejskich. </w:t>
      </w:r>
    </w:p>
    <w:p w:rsidR="001924CD" w:rsidRPr="00EF56D0" w:rsidRDefault="001924CD" w:rsidP="00892664">
      <w:pPr>
        <w:pStyle w:val="HStandard"/>
        <w:numPr>
          <w:ilvl w:val="0"/>
          <w:numId w:val="15"/>
        </w:numPr>
        <w:rPr>
          <w:highlight w:val="yellow"/>
        </w:rPr>
      </w:pPr>
      <w:r w:rsidRPr="00EF56D0">
        <w:rPr>
          <w:highlight w:val="yellow"/>
        </w:rPr>
        <w:t xml:space="preserve">Trzy </w:t>
      </w:r>
      <w:r w:rsidRPr="00EF56D0">
        <w:rPr>
          <w:b/>
          <w:highlight w:val="yellow"/>
        </w:rPr>
        <w:t>wspólne wskaźniki produktu</w:t>
      </w:r>
      <w:r w:rsidRPr="00EF56D0">
        <w:rPr>
          <w:highlight w:val="yellow"/>
        </w:rPr>
        <w:t xml:space="preserve"> dla KSOW są określone na szczeblu UE</w:t>
      </w:r>
      <w:r w:rsidRPr="00EF56D0">
        <w:rPr>
          <w:rFonts w:ascii="ZWAdobeF" w:hAnsi="ZWAdobeF"/>
          <w:color w:val="auto"/>
          <w:sz w:val="2"/>
          <w:highlight w:val="yellow"/>
        </w:rPr>
        <w:t>40F</w:t>
      </w:r>
      <w:r w:rsidRPr="00EF56D0">
        <w:rPr>
          <w:rStyle w:val="FootnoteReference"/>
          <w:highlight w:val="yellow"/>
        </w:rPr>
        <w:footnoteReference w:id="41"/>
      </w:r>
      <w:r w:rsidRPr="00EF56D0">
        <w:rPr>
          <w:highlight w:val="yellow"/>
        </w:rPr>
        <w:t xml:space="preserve"> (zob. </w:t>
      </w:r>
      <w:r w:rsidRPr="00EF56D0">
        <w:rPr>
          <w:highlight w:val="yellow"/>
        </w:rPr>
        <w:fldChar w:fldCharType="begin" w:fldLock="1"/>
      </w:r>
      <w:r w:rsidRPr="00EF56D0">
        <w:rPr>
          <w:highlight w:val="yellow"/>
        </w:rPr>
        <w:instrText xml:space="preserve"> REF _Ref451784441 \r \h  \* MERGEFORMAT </w:instrText>
      </w:r>
      <w:r w:rsidRPr="00EF56D0">
        <w:rPr>
          <w:highlight w:val="yellow"/>
        </w:rPr>
      </w:r>
      <w:r w:rsidRPr="00EF56D0">
        <w:rPr>
          <w:highlight w:val="yellow"/>
        </w:rPr>
        <w:fldChar w:fldCharType="separate"/>
      </w:r>
      <w:r w:rsidRPr="00EF56D0">
        <w:rPr>
          <w:highlight w:val="yellow"/>
        </w:rPr>
        <w:t>Figure 9</w:t>
      </w:r>
      <w:r w:rsidRPr="00EF56D0">
        <w:rPr>
          <w:highlight w:val="yellow"/>
        </w:rPr>
        <w:fldChar w:fldCharType="end"/>
      </w:r>
      <w:r w:rsidRPr="00EF56D0">
        <w:rPr>
          <w:highlight w:val="yellow"/>
        </w:rPr>
        <w:t xml:space="preserve"> i </w:t>
      </w:r>
      <w:r w:rsidRPr="00EF56D0">
        <w:rPr>
          <w:highlight w:val="yellow"/>
        </w:rPr>
        <w:fldChar w:fldCharType="begin" w:fldLock="1"/>
      </w:r>
      <w:r w:rsidRPr="00EF56D0">
        <w:rPr>
          <w:highlight w:val="yellow"/>
        </w:rPr>
        <w:instrText xml:space="preserve"> REF _Ref451784868 \r \h  \* MERGEFORMAT </w:instrText>
      </w:r>
      <w:r w:rsidRPr="00EF56D0">
        <w:rPr>
          <w:highlight w:val="yellow"/>
        </w:rPr>
      </w:r>
      <w:r w:rsidRPr="00EF56D0">
        <w:rPr>
          <w:highlight w:val="yellow"/>
        </w:rPr>
        <w:fldChar w:fldCharType="separate"/>
      </w:r>
      <w:r w:rsidRPr="00EF56D0">
        <w:rPr>
          <w:highlight w:val="yellow"/>
        </w:rPr>
        <w:t>Table 1</w:t>
      </w:r>
      <w:r w:rsidRPr="00EF56D0">
        <w:rPr>
          <w:highlight w:val="yellow"/>
        </w:rPr>
        <w:fldChar w:fldCharType="end"/>
      </w:r>
      <w:r w:rsidRPr="00EF56D0">
        <w:rPr>
          <w:highlight w:val="yellow"/>
        </w:rPr>
        <w:t>).</w:t>
      </w:r>
    </w:p>
    <w:p w:rsidR="001924CD" w:rsidRPr="00EF56D0" w:rsidRDefault="001924CD" w:rsidP="00A27369">
      <w:pPr>
        <w:pStyle w:val="HHeading5"/>
        <w:rPr>
          <w:highlight w:val="yellow"/>
        </w:rPr>
      </w:pPr>
      <w:r w:rsidRPr="00EF56D0">
        <w:rPr>
          <w:highlight w:val="yellow"/>
        </w:rPr>
        <w:t xml:space="preserve">Wskaźniki dodatkowe </w:t>
      </w:r>
    </w:p>
    <w:p w:rsidR="001924CD" w:rsidRPr="00EF56D0" w:rsidRDefault="001924CD" w:rsidP="00A966FB">
      <w:pPr>
        <w:pStyle w:val="HStandard"/>
        <w:rPr>
          <w:highlight w:val="yellow"/>
        </w:rPr>
      </w:pPr>
      <w:r w:rsidRPr="00EF56D0">
        <w:rPr>
          <w:highlight w:val="yellow"/>
        </w:rPr>
        <w:t>Jako że wspólne wskaźniki produktu nie wystarczają, aby odpowiedzieć na wspólne pytanie ewaluacyjne związane z KSOW, zainteresowane strony w państwach członkowskich powinny opracować dodatkowe wskaźniki produktu, rezultatu i oddziaływania. Dodatkowe wskaźniki można opracować za pomocą łańcucha produkt–rezultat–oddziaływanie, który znajduje się w rozdziale 5 części III niniejszych wytycznych. Innym źródłem inspiracji mogą być informacje dodatkowe w dokumencie roboczym “Wspólne pytania ewaluacyjne dla programów rozwoju obszarów wiejskich na lata 2014-2020</w:t>
      </w:r>
      <w:r w:rsidRPr="00EF56D0">
        <w:rPr>
          <w:rFonts w:ascii="ZWAdobeF" w:hAnsi="ZWAdobeF"/>
          <w:color w:val="auto"/>
          <w:sz w:val="2"/>
          <w:highlight w:val="yellow"/>
        </w:rPr>
        <w:t>41F</w:t>
      </w:r>
      <w:r w:rsidRPr="00EF56D0">
        <w:rPr>
          <w:rStyle w:val="FootnoteReference"/>
          <w:highlight w:val="yellow"/>
        </w:rPr>
        <w:footnoteReference w:id="42"/>
      </w:r>
      <w:r w:rsidRPr="00EF56D0">
        <w:rPr>
          <w:highlight w:val="yellow"/>
        </w:rPr>
        <w:t xml:space="preserve">”. </w:t>
      </w:r>
    </w:p>
    <w:p w:rsidR="001924CD" w:rsidRPr="00EF56D0" w:rsidRDefault="001924CD" w:rsidP="00A27369">
      <w:pPr>
        <w:pStyle w:val="HHeading5"/>
        <w:rPr>
          <w:highlight w:val="yellow"/>
        </w:rPr>
      </w:pPr>
      <w:r w:rsidRPr="00EF56D0">
        <w:rPr>
          <w:highlight w:val="yellow"/>
        </w:rPr>
        <w:t xml:space="preserve">Elementy ewaluacji KSOW specyficzne dla programu </w:t>
      </w:r>
    </w:p>
    <w:p w:rsidR="001924CD" w:rsidRPr="00EF56D0" w:rsidRDefault="001924CD" w:rsidP="00A27369">
      <w:pPr>
        <w:pStyle w:val="HStandard"/>
        <w:rPr>
          <w:highlight w:val="yellow"/>
        </w:rPr>
      </w:pPr>
      <w:r w:rsidRPr="00EF56D0">
        <w:rPr>
          <w:highlight w:val="yellow"/>
        </w:rPr>
        <w:t xml:space="preserve">Elementy ewaluacji KSOW specyficzne dla programu są opracowywane przez instytucję zarządzającą programem samodzielnie lub we współpracy z zainteresowanymi stronami KSOW w państwach członkowskich (JWS, KSOW, ewaluatorzy). Uzupełniają one wspólne elementy ewaluacji na poziomie PROW/PKSOW podczas finalizacji logiki interwencji sieci oraz projektowania powiązanego z nią systemu monitorowania i ewaluacji. W tym kontekście: </w:t>
      </w:r>
    </w:p>
    <w:p w:rsidR="001924CD" w:rsidRPr="00EF56D0" w:rsidRDefault="001924CD" w:rsidP="00A27369">
      <w:pPr>
        <w:pStyle w:val="Hlistbullet"/>
        <w:rPr>
          <w:highlight w:val="yellow"/>
        </w:rPr>
      </w:pPr>
      <w:r w:rsidRPr="00EF56D0">
        <w:rPr>
          <w:b/>
          <w:highlight w:val="yellow"/>
        </w:rPr>
        <w:t>Specyficzne dla programu cele</w:t>
      </w:r>
      <w:r w:rsidRPr="00EF56D0">
        <w:rPr>
          <w:highlight w:val="yellow"/>
        </w:rPr>
        <w:t xml:space="preserve"> związane z KSOW określa się, jeśli wspólne cele KSOW</w:t>
      </w:r>
      <w:r w:rsidRPr="00EF56D0">
        <w:rPr>
          <w:rFonts w:ascii="ZWAdobeF" w:hAnsi="ZWAdobeF"/>
          <w:color w:val="auto"/>
          <w:sz w:val="2"/>
          <w:highlight w:val="yellow"/>
        </w:rPr>
        <w:t>42F</w:t>
      </w:r>
      <w:r w:rsidRPr="00EF56D0">
        <w:rPr>
          <w:rStyle w:val="FootnoteReference"/>
          <w:highlight w:val="yellow"/>
        </w:rPr>
        <w:footnoteReference w:id="43"/>
      </w:r>
      <w:r w:rsidRPr="00EF56D0">
        <w:rPr>
          <w:highlight w:val="yellow"/>
        </w:rPr>
        <w:t xml:space="preserve"> nie wystarczają do opracowania logiki interwencji. </w:t>
      </w:r>
    </w:p>
    <w:p w:rsidR="001924CD" w:rsidRPr="00EF56D0" w:rsidRDefault="001924CD" w:rsidP="00A27369">
      <w:pPr>
        <w:pStyle w:val="Hlistbullet"/>
        <w:rPr>
          <w:highlight w:val="yellow"/>
        </w:rPr>
      </w:pPr>
      <w:r w:rsidRPr="00EF56D0">
        <w:rPr>
          <w:b/>
          <w:highlight w:val="yellow"/>
        </w:rPr>
        <w:t>Pytania ewaluacyjne specyficzne dla programu</w:t>
      </w:r>
      <w:r w:rsidRPr="00EF56D0">
        <w:rPr>
          <w:highlight w:val="yellow"/>
        </w:rPr>
        <w:t xml:space="preserve"> (PESP) są formułowane, gdy nie można ocenić realizacji wspólnych celów politycznych za pomocą WPE lub gdy logika interwencji KSOW obejmuje powiązane z KSOW cele specyficzne dla programu. PESP mogą być również opracowywane, gdy konkretne zagadnienia z zakresu ewaluacji KSOW wymagają uszczegółowienia (np. realizacja sieci). Tworzy się je podczas projektowania programu/planu działań KSOW lub później na etapie ewaluacji. PESP należy doprecyzować w oparciu o kryteria oceny sukcesu interwencji KSOW (kryteria oceny). Na przykład, jeśli pytanie brzmi: „W jakim </w:t>
      </w:r>
      <w:r w:rsidRPr="00EF56D0">
        <w:rPr>
          <w:highlight w:val="yellow"/>
        </w:rPr>
        <w:lastRenderedPageBreak/>
        <w:t>stopniu sieć KSOW przyczyniła się do szerszej współpracy sieciowej na obszarach wiejskich”, należy wskazać, na czym polega sukces takiej poszerzonej współpracy, np. więcej rodzajów podmiotów zaangażowanych w działalność sieci.</w:t>
      </w:r>
    </w:p>
    <w:p w:rsidR="001924CD" w:rsidRPr="00EF56D0" w:rsidRDefault="001924CD" w:rsidP="00A27369">
      <w:pPr>
        <w:pStyle w:val="Hlistbullet2"/>
        <w:rPr>
          <w:highlight w:val="yellow"/>
        </w:rPr>
      </w:pPr>
      <w:r w:rsidRPr="00EF56D0">
        <w:rPr>
          <w:b/>
          <w:highlight w:val="yellow"/>
        </w:rPr>
        <w:t>Wskaźniki specyficzne dla programu</w:t>
      </w:r>
      <w:r w:rsidRPr="00EF56D0">
        <w:rPr>
          <w:highlight w:val="yellow"/>
        </w:rPr>
        <w:t xml:space="preserve"> powiązane są z konkretnymi produktami, rezultatami i oddziaływaniem KSOW. Projektuje się je tak, aby odpowiedzieć na pytania ewaluacyjne specyficzne dla programu. </w:t>
      </w:r>
    </w:p>
    <w:p w:rsidR="001924CD" w:rsidRPr="00EF56D0" w:rsidRDefault="001924CD" w:rsidP="00A27369">
      <w:pPr>
        <w:pStyle w:val="HStandard"/>
        <w:rPr>
          <w:highlight w:val="yellow"/>
        </w:rPr>
      </w:pPr>
      <w:r w:rsidRPr="00EF56D0">
        <w:rPr>
          <w:highlight w:val="yellow"/>
        </w:rPr>
        <w:t>Budowa ram monitorowania i ewaluacji KSOW rozpoczyna się od powiązania wspólnych pytań ewaluacyjnych i wskaźników z logiką interwencji KSOW, która składa się z jednej strony ze wspólnych i specyficznych dla programu celów, a z drugiej strony z przewidywanych produktów, rezultatów i oddziaływania, uzupełnionych pytaniami ewaluacyjnymi i wskaźnikami KSOW specyficznymi dla programu. Poniższy rysunek zawiera streszczenie wspólnych elementów ewaluacji KSOW i pokazuje sytuacje, w których zainteresowane strony z państw członkowskich powinny opracowywać elementy KSOW specyficzne dla programu.</w:t>
      </w:r>
    </w:p>
    <w:p w:rsidR="001924CD" w:rsidRPr="00EF56D0" w:rsidRDefault="001924CD" w:rsidP="00922CBE">
      <w:pPr>
        <w:pStyle w:val="HHeadingfigures"/>
        <w:rPr>
          <w:highlight w:val="yellow"/>
        </w:rPr>
      </w:pPr>
      <w:bookmarkStart w:id="65" w:name="_Toc445465124"/>
      <w:bookmarkStart w:id="66" w:name="_Toc451781928"/>
      <w:bookmarkStart w:id="67" w:name="_Ref451784441"/>
      <w:bookmarkStart w:id="68" w:name="_Ref451784713"/>
      <w:bookmarkStart w:id="69" w:name="_Toc461807146"/>
      <w:r w:rsidRPr="00EF56D0">
        <w:rPr>
          <w:highlight w:val="yellow"/>
        </w:rPr>
        <w:t>Przegląd elementów CMES dotyczących KSOW, które należy uzupełnić o elementy specyficzne dla programu</w:t>
      </w:r>
      <w:bookmarkEnd w:id="65"/>
      <w:bookmarkEnd w:id="66"/>
      <w:bookmarkEnd w:id="67"/>
      <w:bookmarkEnd w:id="68"/>
      <w:bookmarkEnd w:id="69"/>
      <w:r w:rsidRPr="00EF56D0">
        <w:rPr>
          <w:highlight w:val="yellow"/>
        </w:rPr>
        <w:t xml:space="preserve"> </w:t>
      </w:r>
    </w:p>
    <w:p w:rsidR="001924CD" w:rsidRPr="008A4203" w:rsidRDefault="001924CD" w:rsidP="00BD4B16">
      <w:pPr>
        <w:pStyle w:val="HStandard"/>
        <w:jc w:val="center"/>
      </w:pPr>
      <w:r w:rsidRPr="008A4203">
        <w:rPr>
          <w:noProof/>
          <w:lang w:val="en-GB" w:eastAsia="en-GB" w:bidi="ar-SA"/>
        </w:rPr>
        <w:drawing>
          <wp:inline distT="0" distB="0" distL="0" distR="0" wp14:anchorId="405C93E0" wp14:editId="3AA1D343">
            <wp:extent cx="5773184" cy="3301388"/>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88558" cy="3310180"/>
                    </a:xfrm>
                    <a:prstGeom prst="rect">
                      <a:avLst/>
                    </a:prstGeom>
                    <a:noFill/>
                    <a:ln>
                      <a:noFill/>
                    </a:ln>
                  </pic:spPr>
                </pic:pic>
              </a:graphicData>
            </a:graphic>
          </wp:inline>
        </w:drawing>
      </w:r>
      <w:r w:rsidRPr="008A4203">
        <w:t xml:space="preserve"> </w:t>
      </w:r>
    </w:p>
    <w:p w:rsidR="001924CD" w:rsidRPr="008A4203" w:rsidRDefault="001924CD" w:rsidP="004615A0">
      <w:pPr>
        <w:pStyle w:val="HSource"/>
      </w:pPr>
      <w:r w:rsidRPr="00EF56D0">
        <w:rPr>
          <w:highlight w:val="yellow"/>
        </w:rPr>
        <w:t>Źródło: Europejskie Biuro Pomocy ds. Ewaluacji Rozwoju Obszarów Wiejskich, 2016 r.</w:t>
      </w:r>
    </w:p>
    <w:p w:rsidR="001924CD" w:rsidRPr="008A4203" w:rsidRDefault="001924CD" w:rsidP="00923616">
      <w:pPr>
        <w:pStyle w:val="HStandard"/>
        <w:sectPr w:rsidR="001924CD" w:rsidRPr="008A4203" w:rsidSect="007C19BE">
          <w:pgSz w:w="11906" w:h="16838" w:code="9"/>
          <w:pgMar w:top="1440" w:right="1440" w:bottom="1440" w:left="1440" w:header="1134" w:footer="1021" w:gutter="0"/>
          <w:cols w:space="708"/>
          <w:titlePg/>
          <w:docGrid w:linePitch="360"/>
        </w:sectPr>
      </w:pPr>
    </w:p>
    <w:p w:rsidR="001924CD" w:rsidRPr="00EF56D0" w:rsidRDefault="001924CD" w:rsidP="001249DA">
      <w:pPr>
        <w:pStyle w:val="HHeadingtables"/>
        <w:rPr>
          <w:highlight w:val="yellow"/>
        </w:rPr>
      </w:pPr>
      <w:bookmarkStart w:id="70" w:name="_Toc436383142"/>
      <w:bookmarkStart w:id="71" w:name="_Toc451781905"/>
      <w:bookmarkStart w:id="72" w:name="_Ref451784860"/>
      <w:bookmarkStart w:id="73" w:name="_Ref451784868"/>
      <w:bookmarkStart w:id="74" w:name="_Toc461807128"/>
      <w:r w:rsidRPr="00EF56D0">
        <w:rPr>
          <w:highlight w:val="yellow"/>
        </w:rPr>
        <w:lastRenderedPageBreak/>
        <w:t xml:space="preserve">Wspólne ramy </w:t>
      </w:r>
      <w:bookmarkEnd w:id="70"/>
      <w:r w:rsidRPr="00EF56D0">
        <w:rPr>
          <w:highlight w:val="yellow"/>
        </w:rPr>
        <w:t>ewaluacyjne dla KSOW</w:t>
      </w:r>
      <w:bookmarkEnd w:id="71"/>
      <w:bookmarkEnd w:id="72"/>
      <w:bookmarkEnd w:id="73"/>
      <w:bookmarkEnd w:id="74"/>
    </w:p>
    <w:tbl>
      <w:tblPr>
        <w:tblW w:w="14323" w:type="dxa"/>
        <w:jc w:val="center"/>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70" w:type="dxa"/>
          <w:right w:w="70" w:type="dxa"/>
        </w:tblCellMar>
        <w:tblLook w:val="04A0" w:firstRow="1" w:lastRow="0" w:firstColumn="1" w:lastColumn="0" w:noHBand="0" w:noVBand="1"/>
      </w:tblPr>
      <w:tblGrid>
        <w:gridCol w:w="3087"/>
        <w:gridCol w:w="2931"/>
        <w:gridCol w:w="2969"/>
        <w:gridCol w:w="2378"/>
        <w:gridCol w:w="2958"/>
      </w:tblGrid>
      <w:tr w:rsidR="001924CD" w:rsidRPr="00EF56D0" w:rsidTr="00DC0897">
        <w:trPr>
          <w:trHeight w:val="406"/>
          <w:tblHeader/>
          <w:jc w:val="center"/>
        </w:trPr>
        <w:tc>
          <w:tcPr>
            <w:tcW w:w="3087" w:type="dxa"/>
            <w:shd w:val="clear" w:color="auto" w:fill="E7E6E6" w:themeFill="background2"/>
            <w:vAlign w:val="center"/>
          </w:tcPr>
          <w:p w:rsidR="001924CD" w:rsidRPr="00EF56D0" w:rsidRDefault="001924CD" w:rsidP="004615A0">
            <w:pPr>
              <w:pStyle w:val="Htableleftbolt"/>
              <w:jc w:val="center"/>
              <w:rPr>
                <w:color w:val="5B9BD5" w:themeColor="accent1"/>
                <w:highlight w:val="yellow"/>
              </w:rPr>
            </w:pPr>
            <w:r w:rsidRPr="00EF56D0">
              <w:rPr>
                <w:color w:val="5B9BD5" w:themeColor="accent1"/>
                <w:highlight w:val="yellow"/>
              </w:rPr>
              <w:t>CEL POLITYCZNY</w:t>
            </w:r>
          </w:p>
        </w:tc>
        <w:tc>
          <w:tcPr>
            <w:tcW w:w="2931" w:type="dxa"/>
            <w:shd w:val="clear" w:color="auto" w:fill="E7E6E6" w:themeFill="background2"/>
            <w:vAlign w:val="center"/>
          </w:tcPr>
          <w:p w:rsidR="001924CD" w:rsidRPr="00EF56D0" w:rsidRDefault="001924CD" w:rsidP="00DC0897">
            <w:pPr>
              <w:pStyle w:val="Htableleftbolt"/>
              <w:jc w:val="center"/>
              <w:rPr>
                <w:color w:val="5B9BD5" w:themeColor="accent1"/>
                <w:highlight w:val="yellow"/>
              </w:rPr>
            </w:pPr>
            <w:r w:rsidRPr="00EF56D0">
              <w:rPr>
                <w:color w:val="5B9BD5" w:themeColor="accent1"/>
                <w:highlight w:val="yellow"/>
              </w:rPr>
              <w:t>WSPÓLNE PYTANIE EWALUACYJNE ZWIĄZANE Z KSOW</w:t>
            </w:r>
            <w:r w:rsidRPr="00EF56D0">
              <w:rPr>
                <w:rFonts w:ascii="ZWAdobeF" w:hAnsi="ZWAdobeF"/>
                <w:b w:val="0"/>
                <w:color w:val="auto"/>
                <w:sz w:val="2"/>
                <w:highlight w:val="yellow"/>
              </w:rPr>
              <w:t>43F</w:t>
            </w:r>
            <w:r w:rsidRPr="00EF56D0">
              <w:rPr>
                <w:rStyle w:val="FootnoteReference"/>
                <w:color w:val="5B9BD5" w:themeColor="accent1"/>
                <w:highlight w:val="yellow"/>
              </w:rPr>
              <w:footnoteReference w:id="44"/>
            </w:r>
          </w:p>
        </w:tc>
        <w:tc>
          <w:tcPr>
            <w:tcW w:w="2969" w:type="dxa"/>
            <w:shd w:val="clear" w:color="auto" w:fill="E7E6E6" w:themeFill="background2"/>
            <w:vAlign w:val="center"/>
          </w:tcPr>
          <w:p w:rsidR="001924CD" w:rsidRPr="00EF56D0" w:rsidRDefault="001924CD" w:rsidP="004615A0">
            <w:pPr>
              <w:pStyle w:val="Htableleftbolt"/>
              <w:jc w:val="center"/>
              <w:rPr>
                <w:color w:val="5B9BD5" w:themeColor="accent1"/>
                <w:highlight w:val="yellow"/>
              </w:rPr>
            </w:pPr>
            <w:r w:rsidRPr="00EF56D0">
              <w:rPr>
                <w:color w:val="5B9BD5" w:themeColor="accent1"/>
                <w:highlight w:val="yellow"/>
              </w:rPr>
              <w:t xml:space="preserve">KRYTERIA OCENY </w:t>
            </w:r>
            <w:r w:rsidRPr="00EF56D0">
              <w:rPr>
                <w:rFonts w:ascii="ZWAdobeF" w:hAnsi="ZWAdobeF"/>
                <w:b w:val="0"/>
                <w:color w:val="auto"/>
                <w:sz w:val="2"/>
                <w:highlight w:val="yellow"/>
              </w:rPr>
              <w:t>44F</w:t>
            </w:r>
            <w:r w:rsidRPr="00EF56D0">
              <w:rPr>
                <w:rStyle w:val="FootnoteReference"/>
                <w:color w:val="5B9BD5" w:themeColor="accent1"/>
                <w:highlight w:val="yellow"/>
              </w:rPr>
              <w:footnoteReference w:id="45"/>
            </w:r>
          </w:p>
        </w:tc>
        <w:tc>
          <w:tcPr>
            <w:tcW w:w="2378" w:type="dxa"/>
            <w:shd w:val="clear" w:color="auto" w:fill="E7E6E6" w:themeFill="background2"/>
            <w:vAlign w:val="center"/>
          </w:tcPr>
          <w:p w:rsidR="001924CD" w:rsidRPr="00EF56D0" w:rsidRDefault="001924CD" w:rsidP="00DC0897">
            <w:pPr>
              <w:pStyle w:val="Htableleftbolt"/>
              <w:jc w:val="center"/>
              <w:rPr>
                <w:color w:val="5B9BD5" w:themeColor="accent1"/>
                <w:highlight w:val="yellow"/>
              </w:rPr>
            </w:pPr>
            <w:r w:rsidRPr="00EF56D0">
              <w:rPr>
                <w:color w:val="5B9BD5" w:themeColor="accent1"/>
                <w:highlight w:val="yellow"/>
              </w:rPr>
              <w:t>WSPÓLNE WSKAŹNIKI</w:t>
            </w:r>
            <w:r w:rsidRPr="00EF56D0">
              <w:rPr>
                <w:rFonts w:ascii="ZWAdobeF" w:hAnsi="ZWAdobeF"/>
                <w:b w:val="0"/>
                <w:color w:val="auto"/>
                <w:sz w:val="2"/>
                <w:highlight w:val="yellow"/>
              </w:rPr>
              <w:t>45F</w:t>
            </w:r>
            <w:r w:rsidRPr="00EF56D0">
              <w:rPr>
                <w:rStyle w:val="FootnoteReference"/>
                <w:color w:val="5B9BD5" w:themeColor="accent1"/>
                <w:highlight w:val="yellow"/>
              </w:rPr>
              <w:footnoteReference w:id="46"/>
            </w:r>
          </w:p>
        </w:tc>
        <w:tc>
          <w:tcPr>
            <w:tcW w:w="2958" w:type="dxa"/>
            <w:shd w:val="clear" w:color="auto" w:fill="E7E6E6" w:themeFill="background2"/>
            <w:vAlign w:val="center"/>
          </w:tcPr>
          <w:p w:rsidR="001924CD" w:rsidRPr="00EF56D0" w:rsidRDefault="001924CD" w:rsidP="004615A0">
            <w:pPr>
              <w:pStyle w:val="Htableleftbolt"/>
              <w:jc w:val="center"/>
              <w:rPr>
                <w:color w:val="5B9BD5" w:themeColor="accent1"/>
                <w:highlight w:val="yellow"/>
              </w:rPr>
            </w:pPr>
            <w:r w:rsidRPr="00EF56D0">
              <w:rPr>
                <w:color w:val="5B9BD5" w:themeColor="accent1"/>
                <w:highlight w:val="yellow"/>
              </w:rPr>
              <w:t xml:space="preserve">INFORMACJE DODATKOWE </w:t>
            </w:r>
            <w:r w:rsidRPr="00EF56D0">
              <w:rPr>
                <w:rFonts w:ascii="ZWAdobeF" w:hAnsi="ZWAdobeF"/>
                <w:b w:val="0"/>
                <w:color w:val="auto"/>
                <w:sz w:val="2"/>
                <w:highlight w:val="yellow"/>
              </w:rPr>
              <w:t>46F</w:t>
            </w:r>
            <w:r w:rsidRPr="00EF56D0">
              <w:rPr>
                <w:rStyle w:val="FootnoteReference"/>
                <w:color w:val="5B9BD5" w:themeColor="accent1"/>
                <w:highlight w:val="yellow"/>
              </w:rPr>
              <w:footnoteReference w:id="47"/>
            </w:r>
          </w:p>
        </w:tc>
      </w:tr>
      <w:tr w:rsidR="001924CD" w:rsidRPr="00EF56D0" w:rsidTr="00DC0897">
        <w:trPr>
          <w:trHeight w:val="129"/>
          <w:jc w:val="center"/>
        </w:trPr>
        <w:tc>
          <w:tcPr>
            <w:tcW w:w="3087" w:type="dxa"/>
            <w:shd w:val="clear" w:color="auto" w:fill="auto"/>
            <w:vAlign w:val="center"/>
          </w:tcPr>
          <w:p w:rsidR="001924CD" w:rsidRPr="00EF56D0" w:rsidRDefault="001924CD" w:rsidP="00CA57FC">
            <w:pPr>
              <w:pStyle w:val="Htableleft"/>
              <w:rPr>
                <w:color w:val="576C88" w:themeColor="text2" w:themeTint="D9"/>
                <w:highlight w:val="yellow"/>
              </w:rPr>
            </w:pPr>
            <w:r w:rsidRPr="00EF56D0">
              <w:rPr>
                <w:color w:val="576C88" w:themeColor="text2" w:themeTint="D9"/>
                <w:highlight w:val="yellow"/>
              </w:rPr>
              <w:t>Art. 54 ust. 2 rozporządzenia (UE) nr 1305/2013</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Zwiększenie udziału zainteresowanych stron we wdrażaniu programów rozwoju obszarów wiejskich;</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Podniesienie jakości wdrażania programów rozwoju obszarów wiejskich;</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Informowanie społeczeństwa i potencjalnych beneficjentów o polityce rozwoju obszarów wiejskich i o możliwościach finansowania;</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Wspieranie innowacji w rolnictwie, produkcji żywności, leśnictwie i na obszarach wiejskich.</w:t>
            </w:r>
          </w:p>
        </w:tc>
        <w:tc>
          <w:tcPr>
            <w:tcW w:w="2931" w:type="dxa"/>
            <w:shd w:val="clear" w:color="auto" w:fill="auto"/>
            <w:vAlign w:val="center"/>
          </w:tcPr>
          <w:p w:rsidR="001924CD" w:rsidRPr="00EF56D0" w:rsidRDefault="001924CD" w:rsidP="00CA57FC">
            <w:pPr>
              <w:pStyle w:val="Htableleft"/>
              <w:rPr>
                <w:color w:val="576C88" w:themeColor="text2" w:themeTint="D9"/>
                <w:highlight w:val="yellow"/>
              </w:rPr>
            </w:pPr>
            <w:r w:rsidRPr="00EF56D0">
              <w:rPr>
                <w:color w:val="576C88" w:themeColor="text2" w:themeTint="D9"/>
                <w:highlight w:val="yellow"/>
              </w:rPr>
              <w:t>W jakim stopniu krajowa sieć obszarów wiejskich przyczynia się do osiągnięcia celów, o których mowa w art. 54 ust. 2 rozporządzenia (UE) nr 1305/2013?</w:t>
            </w:r>
          </w:p>
        </w:tc>
        <w:tc>
          <w:tcPr>
            <w:tcW w:w="2969" w:type="dxa"/>
            <w:shd w:val="clear" w:color="auto" w:fill="auto"/>
            <w:vAlign w:val="center"/>
          </w:tcPr>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Wzrost liczby i rodzaju podmiotów zaangażowanych w realizację PROW w związku z działalnością KSOW;</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Poprawa jakości realizacji PROW poprzez działalność KSOW, np.</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 xml:space="preserve">Poprawa zdolności beneficjentów PROW, </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Wzrost świadomości ewaluacji,</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Uwzględnienie wniosków z ewaluacji podczas wdrażania programu.</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Poinformowanie szerszych kręgów społeczeństwa i potencjalnych beneficjentów o polityce rozwoju obszarów wiejskich i o możliwościach finansowania poprzez działalność KSOW;</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 xml:space="preserve">Wspieranie innowacji w rolnictwie, produkcji żywności, leśnictwie i na </w:t>
            </w:r>
            <w:r w:rsidRPr="00EF56D0">
              <w:rPr>
                <w:color w:val="576C88" w:themeColor="text2" w:themeTint="D9"/>
                <w:highlight w:val="yellow"/>
              </w:rPr>
              <w:lastRenderedPageBreak/>
              <w:t>obszarach wiejskich przez KSOW.</w:t>
            </w:r>
          </w:p>
        </w:tc>
        <w:tc>
          <w:tcPr>
            <w:tcW w:w="2378" w:type="dxa"/>
            <w:shd w:val="clear" w:color="auto" w:fill="auto"/>
            <w:vAlign w:val="center"/>
          </w:tcPr>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lastRenderedPageBreak/>
              <w:t>Liczba tematycznych i analitycznych wymian zorganizowanych przy wsparciu KSOW;</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Liczba narzędzi komunikacyjnych KSOW;</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Liczba działań w ramach Europejskiej Sieci na rzecz Rozwoju Obszarów Wiejskich, w których uczestniczyła sieć KSOW.</w:t>
            </w:r>
          </w:p>
        </w:tc>
        <w:tc>
          <w:tcPr>
            <w:tcW w:w="2958" w:type="dxa"/>
            <w:shd w:val="clear" w:color="auto" w:fill="auto"/>
          </w:tcPr>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Liczba zainteresowanych podmiotów (wg rodzaju) uczestniczących w realizacji PROW na skutek działalności KSOW (w tym za pośrednictwem LGD).</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Liczba zmian PROW w oparciu o wnioski z ewaluacji i zalecenia tematycznych grup roboczych organizowanych przez KSOW;</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 projektów PROW zrealizowanych dzięki działalności KSOW/PKSOW;</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Liczba osób, które zostały poinformowane o polityce rozwoju obszarów wiejskich i możliwościach finansowania poprzez narzędzia komunikacyjne KSOW;</w:t>
            </w:r>
          </w:p>
          <w:p w:rsidR="001924CD" w:rsidRPr="00EF56D0" w:rsidRDefault="001924CD" w:rsidP="00CA57FC">
            <w:pPr>
              <w:pStyle w:val="Htablebullet"/>
              <w:rPr>
                <w:color w:val="576C88" w:themeColor="text2" w:themeTint="D9"/>
                <w:highlight w:val="yellow"/>
              </w:rPr>
            </w:pPr>
            <w:r w:rsidRPr="00EF56D0">
              <w:rPr>
                <w:color w:val="576C88" w:themeColor="text2" w:themeTint="D9"/>
                <w:highlight w:val="yellow"/>
              </w:rPr>
              <w:t xml:space="preserve">% innowacyjnych projektów zrealizowanych dzięki KSOW w stosunku do ogólnej liczby innowacyjnych </w:t>
            </w:r>
            <w:r w:rsidRPr="00EF56D0">
              <w:rPr>
                <w:color w:val="576C88" w:themeColor="text2" w:themeTint="D9"/>
                <w:highlight w:val="yellow"/>
              </w:rPr>
              <w:lastRenderedPageBreak/>
              <w:t xml:space="preserve">projektów wspieranych w ramach PROW. </w:t>
            </w:r>
          </w:p>
        </w:tc>
      </w:tr>
    </w:tbl>
    <w:p w:rsidR="001924CD" w:rsidRPr="00EF56D0" w:rsidRDefault="001924CD" w:rsidP="00923616">
      <w:pPr>
        <w:pStyle w:val="HStandard"/>
        <w:rPr>
          <w:highlight w:val="yellow"/>
        </w:rPr>
        <w:sectPr w:rsidR="001924CD" w:rsidRPr="00EF56D0" w:rsidSect="00DD4A55">
          <w:headerReference w:type="default" r:id="rId27"/>
          <w:footerReference w:type="default" r:id="rId28"/>
          <w:headerReference w:type="first" r:id="rId29"/>
          <w:footerReference w:type="first" r:id="rId30"/>
          <w:pgSz w:w="16838" w:h="11906" w:orient="landscape" w:code="9"/>
          <w:pgMar w:top="2098" w:right="2495" w:bottom="2098" w:left="2381" w:header="907" w:footer="1021" w:gutter="0"/>
          <w:cols w:space="708"/>
          <w:titlePg/>
          <w:docGrid w:linePitch="360"/>
        </w:sectPr>
      </w:pPr>
    </w:p>
    <w:p w:rsidR="001924CD" w:rsidRPr="00EF56D0" w:rsidRDefault="001924CD" w:rsidP="00F93622">
      <w:pPr>
        <w:pStyle w:val="HHeading1"/>
        <w:rPr>
          <w:rFonts w:cs="Arial"/>
          <w:highlight w:val="yellow"/>
        </w:rPr>
      </w:pPr>
      <w:bookmarkStart w:id="75" w:name="_Toc453079753"/>
      <w:bookmarkStart w:id="76" w:name="_Toc461807114"/>
      <w:r w:rsidRPr="00EF56D0">
        <w:rPr>
          <w:caps w:val="0"/>
          <w:highlight w:val="yellow"/>
        </w:rPr>
        <w:lastRenderedPageBreak/>
        <w:t>CZĘŚĆ I – ZARZĄDZANIE EWALUACJĄ KSOW</w:t>
      </w:r>
      <w:bookmarkEnd w:id="75"/>
      <w:bookmarkEnd w:id="76"/>
    </w:p>
    <w:p w:rsidR="001924CD" w:rsidRPr="00EF56D0" w:rsidRDefault="001924CD" w:rsidP="00BF5E8F">
      <w:pPr>
        <w:pStyle w:val="HHeading5"/>
        <w:rPr>
          <w:color w:val="A5A5A5" w:themeColor="accent3"/>
          <w:highlight w:val="yellow"/>
        </w:rPr>
      </w:pPr>
      <w:bookmarkStart w:id="77" w:name="_Toc391484185"/>
      <w:r w:rsidRPr="00EF56D0">
        <w:rPr>
          <w:color w:val="A5A5A5" w:themeColor="accent3"/>
          <w:highlight w:val="yellow"/>
        </w:rPr>
        <w:t>Kto powinien zapoznać się z CZĘŚCIĄ I?</w:t>
      </w:r>
    </w:p>
    <w:p w:rsidR="001924CD" w:rsidRPr="00EF56D0" w:rsidRDefault="001924CD" w:rsidP="00461BF0">
      <w:pPr>
        <w:pStyle w:val="HStandard"/>
        <w:spacing w:after="0"/>
        <w:rPr>
          <w:highlight w:val="yellow"/>
        </w:rPr>
      </w:pPr>
      <w:r w:rsidRPr="00EF56D0">
        <w:rPr>
          <w:b/>
          <w:color w:val="E7E6E6" w:themeColor="background2"/>
          <w:highlight w:val="yellow"/>
        </w:rPr>
        <w:t>CZĘŚĆ I</w:t>
      </w:r>
      <w:r w:rsidRPr="00EF56D0">
        <w:rPr>
          <w:highlight w:val="yellow"/>
        </w:rPr>
        <w:t xml:space="preserve"> skierowana jest głównie do instytucji zarządzających i jednostek JWS jako zamawiających ewaluację KSOW, ale również do innych podmiotów mających interes w planowaniu i opracowywaniu ewaluacji KSOW. Ponadto jej treść może być szczególnie interesująca dla urzędników i ekspertów uczestniczących w sporządzaniu specyfikacji istotnych warunków zamówienia (SIWZ) dla ewaluacji oraz dla osób uczestniczących w zarządzaniu KSOW.</w:t>
      </w:r>
    </w:p>
    <w:p w:rsidR="001924CD" w:rsidRPr="00EF56D0" w:rsidRDefault="001924CD" w:rsidP="00BF5E8F">
      <w:pPr>
        <w:pStyle w:val="HHeading5"/>
        <w:rPr>
          <w:color w:val="A5A5A5" w:themeColor="accent3"/>
          <w:highlight w:val="yellow"/>
        </w:rPr>
      </w:pPr>
      <w:r w:rsidRPr="00EF56D0">
        <w:rPr>
          <w:color w:val="A5A5A5" w:themeColor="accent3"/>
          <w:highlight w:val="yellow"/>
        </w:rPr>
        <w:t>Jaką strukturę ma CZĘŚĆ I?</w:t>
      </w:r>
    </w:p>
    <w:p w:rsidR="001924CD" w:rsidRPr="00EF56D0" w:rsidRDefault="001924CD" w:rsidP="00470DEA">
      <w:pPr>
        <w:pStyle w:val="HStandard"/>
        <w:spacing w:after="0"/>
        <w:rPr>
          <w:highlight w:val="yellow"/>
        </w:rPr>
      </w:pPr>
      <w:r w:rsidRPr="00EF56D0">
        <w:rPr>
          <w:b/>
          <w:color w:val="E7E6E6" w:themeColor="background2"/>
          <w:highlight w:val="yellow"/>
        </w:rPr>
        <w:t>CZĘŚĆ I</w:t>
      </w:r>
      <w:r w:rsidRPr="00EF56D0">
        <w:rPr>
          <w:highlight w:val="yellow"/>
        </w:rPr>
        <w:t xml:space="preserve"> wyjaśnia role i obowiązki wszystkich zainteresowanych stron, które są lub mogą być zaangażowane w ewaluację KSOW. Opisano także główne etapy ewaluacji KSOW, takie jak planowanie, przygotowanie i przeprowadzenie ewaluacji, a także rozpowszechnianie, komunikowanie i monitorowanie jej wyników. </w:t>
      </w:r>
    </w:p>
    <w:p w:rsidR="001924CD" w:rsidRPr="00EF56D0" w:rsidRDefault="001924CD" w:rsidP="00680DA9">
      <w:pPr>
        <w:pStyle w:val="HHeading2"/>
        <w:rPr>
          <w:highlight w:val="yellow"/>
        </w:rPr>
      </w:pPr>
      <w:bookmarkStart w:id="78" w:name="_Toc453079754"/>
      <w:bookmarkStart w:id="79" w:name="_Toc461807115"/>
      <w:r w:rsidRPr="00EF56D0">
        <w:rPr>
          <w:highlight w:val="yellow"/>
        </w:rPr>
        <w:t>Kto i w jakim charakterze bierze udział w ewaluacji KSOW?</w:t>
      </w:r>
      <w:bookmarkEnd w:id="77"/>
      <w:bookmarkEnd w:id="78"/>
      <w:bookmarkEnd w:id="79"/>
    </w:p>
    <w:p w:rsidR="001924CD" w:rsidRPr="00EF56D0" w:rsidRDefault="001924CD" w:rsidP="00DC0897">
      <w:pPr>
        <w:pStyle w:val="HStandard"/>
        <w:rPr>
          <w:highlight w:val="yellow"/>
        </w:rPr>
      </w:pPr>
      <w:r w:rsidRPr="00EF56D0">
        <w:rPr>
          <w:highlight w:val="yellow"/>
        </w:rPr>
        <w:t xml:space="preserve">Wiele podmiotów współdziała ze sobą w ramach różnych struktur KSOW w poszczególnych państwach członkowskich. W związku z tym bardzo zróżnicowane są kategorie podmiotów, które mogą co do zasady uczestniczyć w ewaluacji KSOW, czyli podmiotów zarządzające siecią, uczestniczących w jej działalności i ją oceniających. </w:t>
      </w:r>
    </w:p>
    <w:p w:rsidR="001924CD" w:rsidRPr="00EF56D0" w:rsidRDefault="001924CD" w:rsidP="007134D0">
      <w:pPr>
        <w:pStyle w:val="HStandard"/>
        <w:rPr>
          <w:highlight w:val="yellow"/>
        </w:rPr>
      </w:pPr>
      <w:r w:rsidRPr="00EF56D0">
        <w:rPr>
          <w:highlight w:val="yellow"/>
        </w:rPr>
        <w:t xml:space="preserve">Należy zauważyć, że w ramach sieci niektóre podmioty mogą pełnić kilka ról – na przykład przedstawiciel partnera społecznego może być jednocześnie członkiem LGD. Na tej samej zasadzie komitet monitorujący, któremu powierzono zadanie monitorowania PROW, w tym KSOW, może być zarazem członkiem sieci. </w:t>
      </w:r>
    </w:p>
    <w:p w:rsidR="001924CD" w:rsidRPr="00EF56D0" w:rsidRDefault="001924CD" w:rsidP="007134D0">
      <w:pPr>
        <w:pStyle w:val="HStandard"/>
        <w:rPr>
          <w:highlight w:val="yellow"/>
        </w:rPr>
      </w:pPr>
      <w:r w:rsidRPr="00EF56D0">
        <w:rPr>
          <w:highlight w:val="yellow"/>
        </w:rPr>
        <w:t>Funkcje podmiotów zależą również od tego, czy ewaluacja polega na ocenie KSOW w ramach PROW, czy też ma samodzielny charakter. Jako że w tym drugim przypadku ewaluacja w większym stopniu skupia się na KSOW, podmioty zarządzające siecią i w niej uczestniczące będą miały większą rolę i odpowiedzialność niż w przypadku, gdy ocena sieci następuje w ramach ewaluacji PROW. Różnią się także role instytucji zarządzającej i JWS w zależności od tego, który z tych podmiotów zleca ewaluację. To z kolei determinuje, kto odpowiada za ewaluację KSOW i kto jest dysponentem budżetu na ten cel. Może również być tak, że JWS dysponuje niewielkim budżetem ewaluacyjnym, który ogranicza skalę oceny, ale koszty ogólnej ewaluacji KSOW pokrywane są z budżetu ewaluacyjnego instytucji zarządzającej.</w:t>
      </w:r>
    </w:p>
    <w:p w:rsidR="001924CD" w:rsidRPr="00EF56D0" w:rsidRDefault="001924CD" w:rsidP="00B35926">
      <w:pPr>
        <w:pStyle w:val="HHeading3"/>
        <w:rPr>
          <w:highlight w:val="yellow"/>
        </w:rPr>
      </w:pPr>
      <w:bookmarkStart w:id="80" w:name="_Toc453079755"/>
      <w:bookmarkStart w:id="81" w:name="_Toc461807116"/>
      <w:r w:rsidRPr="00EF56D0">
        <w:rPr>
          <w:highlight w:val="yellow"/>
        </w:rPr>
        <w:t>Podmioty zaangażowane w działalność sieci</w:t>
      </w:r>
      <w:bookmarkEnd w:id="80"/>
      <w:bookmarkEnd w:id="81"/>
    </w:p>
    <w:p w:rsidR="001924CD" w:rsidRPr="00EF56D0" w:rsidRDefault="001924CD" w:rsidP="00B35926">
      <w:pPr>
        <w:pStyle w:val="HHeading5"/>
        <w:rPr>
          <w:highlight w:val="yellow"/>
        </w:rPr>
      </w:pPr>
      <w:r w:rsidRPr="00EF56D0">
        <w:rPr>
          <w:highlight w:val="yellow"/>
        </w:rPr>
        <w:t>Instytucja zarządzająca</w:t>
      </w:r>
      <w:r w:rsidRPr="00EF56D0">
        <w:rPr>
          <w:rFonts w:ascii="ZWAdobeF" w:hAnsi="ZWAdobeF"/>
          <w:b w:val="0"/>
          <w:color w:val="auto"/>
          <w:sz w:val="2"/>
          <w:highlight w:val="yellow"/>
        </w:rPr>
        <w:t>47F</w:t>
      </w:r>
      <w:r w:rsidRPr="00EF56D0">
        <w:rPr>
          <w:rStyle w:val="FootnoteReference"/>
          <w:highlight w:val="yellow"/>
        </w:rPr>
        <w:footnoteReference w:id="48"/>
      </w:r>
    </w:p>
    <w:p w:rsidR="001924CD" w:rsidRPr="00EF56D0" w:rsidRDefault="001924CD" w:rsidP="007134D0">
      <w:pPr>
        <w:pStyle w:val="HStandard"/>
        <w:rPr>
          <w:highlight w:val="yellow"/>
        </w:rPr>
      </w:pPr>
      <w:r w:rsidRPr="00EF56D0">
        <w:rPr>
          <w:highlight w:val="yellow"/>
        </w:rPr>
        <w:t xml:space="preserve">Instytucja zarządzająca (IZ) PROW i PKSOW odpowiada za opracowanie i wdrożenie planu ewaluacji, zarządzanie nim i zapewnienie środków na jego realizację. Plan ewaluacji PROW zawiera zapisy dotyczące oceny KSOW. Instytucja zarządzająca jest również odpowiedzialna za jakość i terminowość wyników ewaluacji KSOW oraz ich komunikowanie (w ramach oceny PROW lub na zasadzie samodzielnej ewaluacji), a także za monitorowanie funkcjonowania sieci. W przypadku gdy ewaluacja KSOW odbywa się w ramach PROW lub na zasadzie samodzielnej oceny zleconej przez instytucję zarządzającą, instytucja ta pełni rolę zamawiającego ewaluację, a zatem ponosi odpowiedzialność za jej zaplanowanie i przygotowanie oraz kontrolę jakości. </w:t>
      </w:r>
    </w:p>
    <w:p w:rsidR="001924CD" w:rsidRPr="00EF56D0" w:rsidRDefault="001924CD" w:rsidP="007134D0">
      <w:pPr>
        <w:pStyle w:val="HStandard"/>
        <w:rPr>
          <w:highlight w:val="yellow"/>
        </w:rPr>
      </w:pPr>
      <w:r w:rsidRPr="00EF56D0">
        <w:rPr>
          <w:highlight w:val="yellow"/>
        </w:rPr>
        <w:lastRenderedPageBreak/>
        <w:t>W niektórych państwach członkowskich ministerstwo odpowiedzialne za PROW może posiadać inne niż instytucja zarządzająca jednostki, które mogłyby przejąć część zadań z zakresu ewaluacji KSOW. Zadania jednostki ewaluacyjnej mogłyby przykładowo dotyczyć zarządzania, przygotowania, zlecenia i kontroli jakości ewaluacji KSOW. Jednostka ds. komunikacji, o ile istnieje, mogłaby współpracować z KSOW przy rozpowszechnianiu wyników ewaluacji.</w:t>
      </w:r>
    </w:p>
    <w:p w:rsidR="001924CD" w:rsidRPr="00EF56D0" w:rsidRDefault="001924CD" w:rsidP="00B35926">
      <w:pPr>
        <w:pStyle w:val="HHeading5"/>
        <w:rPr>
          <w:highlight w:val="yellow"/>
        </w:rPr>
      </w:pPr>
      <w:r w:rsidRPr="00EF56D0">
        <w:rPr>
          <w:highlight w:val="yellow"/>
        </w:rPr>
        <w:t>Jednostka wsparcia sieci (JWS)</w:t>
      </w:r>
      <w:r w:rsidRPr="00EF56D0">
        <w:rPr>
          <w:rFonts w:ascii="ZWAdobeF" w:hAnsi="ZWAdobeF"/>
          <w:b w:val="0"/>
          <w:color w:val="auto"/>
          <w:sz w:val="2"/>
          <w:highlight w:val="yellow"/>
        </w:rPr>
        <w:t>48F</w:t>
      </w:r>
      <w:r w:rsidRPr="00EF56D0">
        <w:rPr>
          <w:rStyle w:val="FootnoteReference"/>
          <w:highlight w:val="yellow"/>
        </w:rPr>
        <w:footnoteReference w:id="49"/>
      </w:r>
    </w:p>
    <w:p w:rsidR="001924CD" w:rsidRPr="00EF56D0" w:rsidRDefault="001924CD" w:rsidP="007134D0">
      <w:pPr>
        <w:pStyle w:val="HStandard"/>
        <w:rPr>
          <w:highlight w:val="yellow"/>
        </w:rPr>
      </w:pPr>
      <w:r w:rsidRPr="00EF56D0">
        <w:rPr>
          <w:highlight w:val="yellow"/>
        </w:rPr>
        <w:t>W niektórych państwach członkowskich jednostki wsparcia sieci stanowią część struktur instytucji zarządzającej, w innych zaś pełnione przez nie funkcje są zlecane na zewnątrz (instytucjom publicznym</w:t>
      </w:r>
      <w:r w:rsidRPr="00EF56D0">
        <w:rPr>
          <w:rFonts w:ascii="ZWAdobeF" w:hAnsi="ZWAdobeF"/>
          <w:color w:val="auto"/>
          <w:sz w:val="2"/>
          <w:highlight w:val="yellow"/>
        </w:rPr>
        <w:t>49F</w:t>
      </w:r>
      <w:r w:rsidRPr="00EF56D0">
        <w:rPr>
          <w:rStyle w:val="FootnoteReference"/>
          <w:highlight w:val="yellow"/>
        </w:rPr>
        <w:footnoteReference w:id="50"/>
      </w:r>
      <w:r w:rsidRPr="00EF56D0">
        <w:rPr>
          <w:highlight w:val="yellow"/>
        </w:rPr>
        <w:t>, prywatnym firmom konsultingowym</w:t>
      </w:r>
      <w:r w:rsidRPr="00EF56D0">
        <w:rPr>
          <w:rFonts w:ascii="ZWAdobeF" w:hAnsi="ZWAdobeF"/>
          <w:color w:val="auto"/>
          <w:sz w:val="2"/>
          <w:highlight w:val="yellow"/>
        </w:rPr>
        <w:t>50F</w:t>
      </w:r>
      <w:r w:rsidRPr="00EF56D0">
        <w:rPr>
          <w:rStyle w:val="FootnoteReference"/>
          <w:highlight w:val="yellow"/>
        </w:rPr>
        <w:footnoteReference w:id="51"/>
      </w:r>
      <w:r w:rsidRPr="00EF56D0">
        <w:rPr>
          <w:highlight w:val="yellow"/>
        </w:rPr>
        <w:t xml:space="preserve"> itp.). W krajach, w których KSOW posiada zregionalizowaną postać, JWS ma znaczenie dla funkcjonowania sieci na poziomie regionalnym. Jednostki te odgrywają zasadniczą rolę w zakresie animowania i prowadzenia działalności sieci oraz angażowania zainteresowanych stron. Powołanie do życia JWS samo w sobie jednak nie powoduje powstania sieci, ani nie zapewnia automatycznie współpracy sieciowej</w:t>
      </w:r>
      <w:r w:rsidRPr="00EF56D0">
        <w:rPr>
          <w:rFonts w:ascii="ZWAdobeF" w:hAnsi="ZWAdobeF"/>
          <w:color w:val="auto"/>
          <w:sz w:val="2"/>
          <w:highlight w:val="yellow"/>
        </w:rPr>
        <w:t>51F</w:t>
      </w:r>
      <w:r w:rsidRPr="00EF56D0">
        <w:rPr>
          <w:rStyle w:val="FootnoteReference"/>
          <w:highlight w:val="yellow"/>
        </w:rPr>
        <w:footnoteReference w:id="52"/>
      </w:r>
      <w:r w:rsidRPr="00EF56D0">
        <w:rPr>
          <w:highlight w:val="yellow"/>
        </w:rPr>
        <w:t xml:space="preserve">. </w:t>
      </w:r>
    </w:p>
    <w:p w:rsidR="001924CD" w:rsidRPr="00EF56D0" w:rsidRDefault="001924CD" w:rsidP="007134D0">
      <w:pPr>
        <w:pStyle w:val="HStandard"/>
        <w:rPr>
          <w:highlight w:val="yellow"/>
        </w:rPr>
      </w:pPr>
      <w:r w:rsidRPr="00EF56D0">
        <w:rPr>
          <w:highlight w:val="yellow"/>
        </w:rPr>
        <w:t xml:space="preserve">JWS może również decydować o opracowaniu i przeprowadzeniu opcjonalnej samooceny KSOW w celu poprawy działalności i wyników KSOW. Może ponadto zlecać samodzielną ewaluację KSOW, w którym to przypadku ponosi odpowiedzialność za jej zaplanowanie i przygotowanie. Aby zlecić ewaluację, JWS musi dysponować wystarczającymi mocami i środkami na przygotowanie, zarządzanie i kontrolę jakości niezależnej oceny. Jeśli ewaluacja została zlecona przez instytucję zarządzającą, JWS pełni rolę głównego interesariusza i wspiera tę instytucję w zakresie planowania i przygotowania ewaluacji. JWS jest ważnym dostawcą danych do celów ewaluacji KSOW/PKSOW. </w:t>
      </w:r>
    </w:p>
    <w:p w:rsidR="001924CD" w:rsidRPr="00EF56D0" w:rsidRDefault="001924CD" w:rsidP="00B35926">
      <w:pPr>
        <w:pStyle w:val="HHeading5"/>
        <w:rPr>
          <w:highlight w:val="yellow"/>
        </w:rPr>
      </w:pPr>
      <w:r w:rsidRPr="00EF56D0">
        <w:rPr>
          <w:highlight w:val="yellow"/>
        </w:rPr>
        <w:t>Agencja płatnicza</w:t>
      </w:r>
      <w:r w:rsidRPr="00EF56D0">
        <w:rPr>
          <w:rFonts w:ascii="ZWAdobeF" w:hAnsi="ZWAdobeF"/>
          <w:b w:val="0"/>
          <w:color w:val="auto"/>
          <w:sz w:val="2"/>
          <w:highlight w:val="yellow"/>
        </w:rPr>
        <w:t>52F</w:t>
      </w:r>
      <w:r w:rsidRPr="00EF56D0">
        <w:rPr>
          <w:rStyle w:val="FootnoteReference"/>
          <w:highlight w:val="yellow"/>
        </w:rPr>
        <w:footnoteReference w:id="53"/>
      </w:r>
    </w:p>
    <w:p w:rsidR="001924CD" w:rsidRPr="00EF56D0" w:rsidRDefault="001924CD" w:rsidP="007134D0">
      <w:pPr>
        <w:pStyle w:val="HStandard"/>
        <w:rPr>
          <w:highlight w:val="yellow"/>
        </w:rPr>
      </w:pPr>
      <w:r w:rsidRPr="00EF56D0">
        <w:rPr>
          <w:highlight w:val="yellow"/>
        </w:rPr>
        <w:t>Agencja płatnicza (AP) stanowi ważne źródło danych do celów ewaluacji KSOW, jako że zazwyczaj jest w posiadaniu informacji na temat realizacji programu (płatności, beneficjenci, dane z monitoringu, kontrole), w tym informacji dotyczących KSOW. W zależności od państwa członkowskiego funkcjonuje jedna lub kilka agencji płatniczych.</w:t>
      </w:r>
    </w:p>
    <w:p w:rsidR="001924CD" w:rsidRPr="00EF56D0" w:rsidRDefault="001924CD" w:rsidP="00B35926">
      <w:pPr>
        <w:pStyle w:val="HHeading5"/>
        <w:rPr>
          <w:highlight w:val="yellow"/>
        </w:rPr>
      </w:pPr>
      <w:r w:rsidRPr="00EF56D0">
        <w:rPr>
          <w:highlight w:val="yellow"/>
        </w:rPr>
        <w:t>Komitet monitorujący</w:t>
      </w:r>
      <w:r w:rsidRPr="00EF56D0">
        <w:rPr>
          <w:rFonts w:ascii="ZWAdobeF" w:hAnsi="ZWAdobeF"/>
          <w:b w:val="0"/>
          <w:color w:val="auto"/>
          <w:sz w:val="2"/>
          <w:highlight w:val="yellow"/>
        </w:rPr>
        <w:t>53F</w:t>
      </w:r>
      <w:r w:rsidRPr="00EF56D0">
        <w:rPr>
          <w:rStyle w:val="FootnoteReference"/>
          <w:highlight w:val="yellow"/>
        </w:rPr>
        <w:footnoteReference w:id="54"/>
      </w:r>
    </w:p>
    <w:p w:rsidR="001924CD" w:rsidRPr="00EF56D0" w:rsidRDefault="001924CD" w:rsidP="007134D0">
      <w:pPr>
        <w:pStyle w:val="HStandard"/>
        <w:rPr>
          <w:highlight w:val="yellow"/>
        </w:rPr>
      </w:pPr>
      <w:r w:rsidRPr="00EF56D0">
        <w:rPr>
          <w:highlight w:val="yellow"/>
        </w:rPr>
        <w:t>Komitet monitorujący jest odpowiedzialny za monitorowanie wykonania programu</w:t>
      </w:r>
      <w:r w:rsidRPr="00EF56D0">
        <w:rPr>
          <w:rFonts w:ascii="ZWAdobeF" w:hAnsi="ZWAdobeF"/>
          <w:color w:val="auto"/>
          <w:sz w:val="2"/>
          <w:highlight w:val="yellow"/>
        </w:rPr>
        <w:t>54F</w:t>
      </w:r>
      <w:r w:rsidRPr="00EF56D0">
        <w:rPr>
          <w:rStyle w:val="FootnoteReference"/>
          <w:highlight w:val="yellow"/>
        </w:rPr>
        <w:footnoteReference w:id="55"/>
      </w:r>
      <w:r w:rsidRPr="00EF56D0">
        <w:rPr>
          <w:highlight w:val="yellow"/>
        </w:rPr>
        <w:t xml:space="preserve">, jak również jakości i skuteczności jego realizacji. PKSOW ma własny komitet monitorujący. Jeśli KSOW jest częścią PROW, komitet monitorujący program odpowiada także za monitorowanie KSOW. </w:t>
      </w:r>
    </w:p>
    <w:p w:rsidR="001924CD" w:rsidRPr="008A4203" w:rsidRDefault="001924CD" w:rsidP="007134D0">
      <w:pPr>
        <w:pStyle w:val="HStandard"/>
      </w:pPr>
      <w:r w:rsidRPr="00EF56D0">
        <w:rPr>
          <w:highlight w:val="yellow"/>
        </w:rPr>
        <w:t>Ponadto komitet monitorujący analizuje działalność i produkty związane z postępami we wdrażaniu planu ewaluacji programu, w tym czynności z zakresu ewaluacji KSOW. Z drugiej strony członkowie komitetu monitorującego często uczestniczą w pracach KSOW, aby wymieniać informacje na temat realizacji programu</w:t>
      </w:r>
      <w:r w:rsidRPr="00EF56D0">
        <w:rPr>
          <w:rFonts w:ascii="ZWAdobeF" w:hAnsi="ZWAdobeF"/>
          <w:color w:val="auto"/>
          <w:sz w:val="2"/>
          <w:highlight w:val="yellow"/>
        </w:rPr>
        <w:t>55F</w:t>
      </w:r>
      <w:r w:rsidRPr="00EF56D0">
        <w:rPr>
          <w:rStyle w:val="FootnoteReference"/>
          <w:highlight w:val="yellow"/>
        </w:rPr>
        <w:footnoteReference w:id="56"/>
      </w:r>
      <w:r w:rsidRPr="00EF56D0">
        <w:rPr>
          <w:highlight w:val="yellow"/>
        </w:rPr>
        <w:t>, w tym działalności KSOW.</w:t>
      </w:r>
    </w:p>
    <w:p w:rsidR="001924CD" w:rsidRPr="00EF56D0" w:rsidRDefault="001924CD" w:rsidP="00B35926">
      <w:pPr>
        <w:pStyle w:val="HHeading5"/>
        <w:rPr>
          <w:highlight w:val="yellow"/>
        </w:rPr>
      </w:pPr>
      <w:r w:rsidRPr="00EF56D0">
        <w:rPr>
          <w:highlight w:val="yellow"/>
        </w:rPr>
        <w:lastRenderedPageBreak/>
        <w:t>Jednostka koordynująca KSOW</w:t>
      </w:r>
      <w:r w:rsidRPr="00EF56D0">
        <w:rPr>
          <w:rFonts w:ascii="ZWAdobeF" w:hAnsi="ZWAdobeF"/>
          <w:b w:val="0"/>
          <w:color w:val="auto"/>
          <w:sz w:val="2"/>
          <w:highlight w:val="yellow"/>
        </w:rPr>
        <w:t>56F</w:t>
      </w:r>
      <w:r w:rsidRPr="00EF56D0">
        <w:rPr>
          <w:rStyle w:val="FootnoteReference"/>
          <w:highlight w:val="yellow"/>
        </w:rPr>
        <w:footnoteReference w:id="57"/>
      </w:r>
    </w:p>
    <w:p w:rsidR="001924CD" w:rsidRPr="00EF56D0" w:rsidRDefault="001924CD" w:rsidP="007134D0">
      <w:pPr>
        <w:pStyle w:val="HStandard"/>
        <w:rPr>
          <w:highlight w:val="yellow"/>
        </w:rPr>
      </w:pPr>
      <w:r w:rsidRPr="00EF56D0">
        <w:rPr>
          <w:highlight w:val="yellow"/>
        </w:rPr>
        <w:t>Niektóre krajowe sieci obszarów wiejskich powołały do życia organ koordynujący, który składa się z wybranych członków sieci. W takich przypadkach organ koordynujący KSOW jest zaangażowany w planowanie działalności sieci i kieruje jej planem działania. Może on podjąć decyzję o przeprowadzeniu samooceny i wsparciu ewaluacji KSOW poprzez dostarczanie informacji. Ważnym zadaniem jednostki koordynującej jest zapewnienie, by wyniki samooceny i ewaluacji były brane pod uwagę w celu poprawy wdrażania planu działania KSOW.</w:t>
      </w:r>
    </w:p>
    <w:p w:rsidR="001924CD" w:rsidRPr="00EF56D0" w:rsidRDefault="001924CD" w:rsidP="009918A8">
      <w:pPr>
        <w:pStyle w:val="HHeadingboxes"/>
        <w:rPr>
          <w:highlight w:val="yellow"/>
        </w:rPr>
      </w:pPr>
      <w:bookmarkStart w:id="82" w:name="_Toc451781951"/>
      <w:bookmarkStart w:id="83" w:name="_Toc461807154"/>
      <w:r w:rsidRPr="00EF56D0">
        <w:rPr>
          <w:highlight w:val="yellow"/>
        </w:rPr>
        <w:t>Grupa sterująca ds. ewaluacji jako narzędzie zarządzania procesem ewaluacji</w:t>
      </w:r>
      <w:bookmarkEnd w:id="82"/>
      <w:bookmarkEnd w:id="83"/>
    </w:p>
    <w:p w:rsidR="001924CD" w:rsidRPr="00EF56D0" w:rsidRDefault="001924C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sidRPr="00EF56D0">
        <w:rPr>
          <w:color w:val="576C88" w:themeColor="text2" w:themeTint="D9"/>
          <w:highlight w:val="yellow"/>
        </w:rPr>
        <w:t xml:space="preserve">Ustanowienie grupy sterującej ds. ewaluacji (GS) uznaje się za dobrą praktykę służącą ułatwieniu i koordynacji procesu konsultacji z zainteresowanymi stronami oraz zarządzaniu procesem ewaluacji. Członkowie grupy wspierają instytucję zarządzającą w wyznaczeniu kierunków ewaluacji, jak również w okresowej kontroli postępów i jakości. Dzięki specjalistycznym umiejętnościom i wiedzy pomagają oni zapewnić ewaluatorowi dostęp do danych, informacji i odpowiednich kontaktów. </w:t>
      </w:r>
    </w:p>
    <w:p w:rsidR="001924CD" w:rsidRPr="00EF56D0" w:rsidRDefault="001924C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1924CD" w:rsidRPr="00EF56D0" w:rsidRDefault="001924C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sidRPr="00EF56D0">
        <w:rPr>
          <w:color w:val="576C88" w:themeColor="text2" w:themeTint="D9"/>
          <w:highlight w:val="yellow"/>
        </w:rPr>
        <w:t>Grupa sterująca ds. ewaluacji jest zazwyczaj powoływana przez instytucję zarządzającą, która zarazem przewodniczy jej pracom i określa procedury operacyjne. Grupę należy powołać do życia na wczesnym etapie, jako że proces jej formowania może być czasochłonny. Skład grupy zależy od przypisanych jej zadań i specyfiki KSOW. Powinni do niej należeć do najmniej przedstawiciele instytucji zarządzającej (reprezentujący odpowiednie działy/jednostki) i innych osób zaangażowanych w działalność KSOW oraz agencji płatniczej, a w stosownych przypadkach także członkowie jednostki ewaluacyjnej. Nie da się określić idealnej wielkości składu grupy sterującej; powinna on być na tyle duża, by dysponować koniecznymi umiejętnościami i wiedzą, ale też na tyle mała, by mogła efektywnie pracować.</w:t>
      </w:r>
    </w:p>
    <w:p w:rsidR="001924CD" w:rsidRPr="00EF56D0" w:rsidRDefault="001924C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1924CD" w:rsidRPr="00EF56D0" w:rsidRDefault="001924CD"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sidRPr="00EF56D0">
        <w:rPr>
          <w:color w:val="576C88" w:themeColor="text2" w:themeTint="D9"/>
          <w:highlight w:val="yellow"/>
        </w:rPr>
        <w:t>Grupa sterująca ds. ewaluacji nie jest obowiązkowa i nie odpowiada za wdrażanie zaleceń z ewaluacji. Władza w tym zakresie spoczywa w rękach instytucji zarządzającej, jednostki wsparcia sieci i organów zarządzających KSOW.</w:t>
      </w:r>
    </w:p>
    <w:p w:rsidR="001924CD" w:rsidRPr="00EF56D0" w:rsidRDefault="001924CD" w:rsidP="00B35926">
      <w:pPr>
        <w:pStyle w:val="HHeading3"/>
        <w:rPr>
          <w:highlight w:val="yellow"/>
        </w:rPr>
      </w:pPr>
      <w:bookmarkStart w:id="84" w:name="_Toc453079756"/>
      <w:bookmarkStart w:id="85" w:name="_Toc461807117"/>
      <w:r w:rsidRPr="00EF56D0">
        <w:rPr>
          <w:highlight w:val="yellow"/>
        </w:rPr>
        <w:t>Członkowie sieci</w:t>
      </w:r>
      <w:bookmarkEnd w:id="84"/>
      <w:bookmarkEnd w:id="85"/>
    </w:p>
    <w:p w:rsidR="001924CD" w:rsidRPr="00EF56D0" w:rsidRDefault="001924CD" w:rsidP="007134D0">
      <w:pPr>
        <w:pStyle w:val="HStandard"/>
        <w:rPr>
          <w:highlight w:val="yellow"/>
        </w:rPr>
      </w:pPr>
      <w:r w:rsidRPr="00EF56D0">
        <w:rPr>
          <w:highlight w:val="yellow"/>
        </w:rPr>
        <w:t>Członkostwo w KSOW różni się w poszczególnych państwach członkowskich w zależności od przepisów i praktyk krajowych (np. członkostwo otwarte/ograniczone). Członkowie sieci mają znaczenie dla ewaluacji, jako że są zarazem jej beneficjentami, jak i potencjalnymi uczestnikami badań ankietowych, grup fokusowych oraz warsztatów ewaluacyjnych dotyczących działalności KSOW. Wielu członków sieci to jednocześnie beneficjenci PROW. Ponadto członkowie sieci mogą pełnić aktywną rolę w prowadzeniu działalności KSOW, zwłaszcza w państwach członkowskich, w których działania sieci nie ograniczają się do tych organizowanych przez JWS. Członkowie sieci mogą zgłosić propozycję przeprowadzenia samooceny i w niej aktywnie uczestniczyć. Poniżej znajduje się niewyczerpujący wykaz typowych członków KSOW.</w:t>
      </w:r>
    </w:p>
    <w:p w:rsidR="001924CD" w:rsidRPr="00EF56D0" w:rsidRDefault="001924CD" w:rsidP="00B35926">
      <w:pPr>
        <w:pStyle w:val="HHeading5"/>
        <w:rPr>
          <w:highlight w:val="yellow"/>
        </w:rPr>
      </w:pPr>
      <w:r w:rsidRPr="00EF56D0">
        <w:rPr>
          <w:highlight w:val="yellow"/>
        </w:rPr>
        <w:t>Lokalne grupy działania (LGD)</w:t>
      </w:r>
    </w:p>
    <w:p w:rsidR="001924CD" w:rsidRPr="00EF56D0" w:rsidRDefault="001924CD" w:rsidP="007134D0">
      <w:pPr>
        <w:pStyle w:val="HStandard"/>
        <w:rPr>
          <w:highlight w:val="yellow"/>
        </w:rPr>
      </w:pPr>
      <w:r w:rsidRPr="00EF56D0">
        <w:rPr>
          <w:highlight w:val="yellow"/>
        </w:rPr>
        <w:t xml:space="preserve">LGD stanowią ważną część KSOW. Są one również beneficjentami szkoleń KSOW oraz działań sieciowych </w:t>
      </w:r>
      <w:r w:rsidRPr="00EF56D0">
        <w:rPr>
          <w:rFonts w:ascii="ZWAdobeF" w:hAnsi="ZWAdobeF"/>
          <w:color w:val="auto"/>
          <w:sz w:val="2"/>
          <w:highlight w:val="yellow"/>
        </w:rPr>
        <w:t>57F</w:t>
      </w:r>
      <w:r w:rsidRPr="00EF56D0">
        <w:rPr>
          <w:rStyle w:val="FootnoteReference"/>
          <w:highlight w:val="yellow"/>
        </w:rPr>
        <w:footnoteReference w:id="58"/>
      </w:r>
      <w:r w:rsidRPr="00EF56D0">
        <w:rPr>
          <w:highlight w:val="yellow"/>
        </w:rPr>
        <w:t xml:space="preserve">, co czyni je ważnym źródłem informacji na potrzeby ewaluacji KSOW. Mogą one wnosić cenny wkład w proces ewaluacji w postaci lokalnej wiedzy i kontaktów. LGD mogą prowadzić samoocenę, które obejmie zagadnienia z zakresu współpracy sieciowej i może być przydatna do celów ewaluacji KSOW. </w:t>
      </w:r>
    </w:p>
    <w:p w:rsidR="001924CD" w:rsidRPr="00EF56D0" w:rsidRDefault="001924CD" w:rsidP="00B35926">
      <w:pPr>
        <w:pStyle w:val="HHeading5"/>
        <w:rPr>
          <w:highlight w:val="yellow"/>
        </w:rPr>
      </w:pPr>
      <w:r w:rsidRPr="00EF56D0">
        <w:rPr>
          <w:highlight w:val="yellow"/>
        </w:rPr>
        <w:lastRenderedPageBreak/>
        <w:t xml:space="preserve"> Instytucje zarządzające regionalnymi programami rozwoju obszarów wiejskich w przypadku PKSOW </w:t>
      </w:r>
    </w:p>
    <w:p w:rsidR="001924CD" w:rsidRPr="00EF56D0" w:rsidRDefault="001924CD" w:rsidP="007134D0">
      <w:pPr>
        <w:pStyle w:val="HStandard"/>
        <w:rPr>
          <w:highlight w:val="yellow"/>
        </w:rPr>
      </w:pPr>
      <w:r w:rsidRPr="00EF56D0">
        <w:rPr>
          <w:highlight w:val="yellow"/>
        </w:rPr>
        <w:t xml:space="preserve">Programy PKSOW w multiregionalnych państwach członkowskich stwarzają okazję do współpracy sieciowej instytucji zarządzających wszystkimi programami rozwoju obszarów wiejskich w danym kraju. Instytucje zarządzające mogą zaoferować cenną wiedzę i kontakty, które pomogą ocenić wpływ KSOW/PKSOW na poszczególne regionalne programy rozwoju obszarów wiejskich. Regionalne instytucje zarządzające pełnią również rolę ważnych węzłów sieci. </w:t>
      </w:r>
    </w:p>
    <w:p w:rsidR="001924CD" w:rsidRPr="00EF56D0" w:rsidRDefault="001924CD" w:rsidP="00B35926">
      <w:pPr>
        <w:pStyle w:val="HHeading5"/>
        <w:rPr>
          <w:highlight w:val="yellow"/>
        </w:rPr>
      </w:pPr>
      <w:r w:rsidRPr="00EF56D0">
        <w:rPr>
          <w:highlight w:val="yellow"/>
        </w:rPr>
        <w:t>Inni członkowie sieci</w:t>
      </w:r>
    </w:p>
    <w:p w:rsidR="001924CD" w:rsidRPr="00EF56D0" w:rsidRDefault="001924CD" w:rsidP="007134D0">
      <w:pPr>
        <w:pStyle w:val="HStandard"/>
        <w:rPr>
          <w:highlight w:val="yellow"/>
        </w:rPr>
      </w:pPr>
      <w:r w:rsidRPr="00EF56D0">
        <w:rPr>
          <w:highlight w:val="yellow"/>
        </w:rPr>
        <w:t>Innymi członkami sieci są zazwyczaj władze lokalne, partnerzy społeczni i gospodarczy (w tym organizacje reprezentujące beneficjentów), organy reprezentujące instytucje społeczeństwa obywatelskiego, organizacje pozarządowe, edukacyjne i badawcze, przedstawiciele innych europejskich funduszy strukturalnych i inwestycyjnych, inne sieci mające znaczenie dla obszarów wiejskich, lokalne sojusze i inicjatywy oddolne. W niektórych państwach członkowskich dopuszcza się również członkostwo osób prywatnych, które pełnią ważną rolę w ocenie funkcjonowania i efektów KSOW jako uczestnicy ankiet/grup fokusowych.</w:t>
      </w:r>
    </w:p>
    <w:p w:rsidR="001924CD" w:rsidRPr="00EF56D0" w:rsidRDefault="001924CD" w:rsidP="00DC0897">
      <w:pPr>
        <w:pStyle w:val="HHeading3"/>
        <w:rPr>
          <w:highlight w:val="yellow"/>
        </w:rPr>
      </w:pPr>
      <w:bookmarkStart w:id="86" w:name="_Toc453079757"/>
      <w:bookmarkStart w:id="87" w:name="_Toc461807118"/>
      <w:r w:rsidRPr="00EF56D0">
        <w:rPr>
          <w:highlight w:val="yellow"/>
        </w:rPr>
        <w:t>Podmioty dokonujące ewaluacji sieci</w:t>
      </w:r>
      <w:bookmarkEnd w:id="86"/>
      <w:bookmarkEnd w:id="87"/>
    </w:p>
    <w:p w:rsidR="001924CD" w:rsidRPr="00EF56D0" w:rsidRDefault="001924CD" w:rsidP="00B35926">
      <w:pPr>
        <w:pStyle w:val="HHeading5"/>
        <w:rPr>
          <w:highlight w:val="yellow"/>
        </w:rPr>
      </w:pPr>
      <w:r w:rsidRPr="00EF56D0">
        <w:rPr>
          <w:highlight w:val="yellow"/>
        </w:rPr>
        <w:t>Ewaluator</w:t>
      </w:r>
    </w:p>
    <w:p w:rsidR="001924CD" w:rsidRPr="00EF56D0" w:rsidRDefault="001924CD" w:rsidP="007134D0">
      <w:pPr>
        <w:pStyle w:val="HStandard"/>
        <w:rPr>
          <w:highlight w:val="yellow"/>
        </w:rPr>
      </w:pPr>
      <w:r w:rsidRPr="00EF56D0">
        <w:rPr>
          <w:highlight w:val="yellow"/>
        </w:rPr>
        <w:t>Ewaluację przeprowadza podmiot, który jest funkcjonalnie niezależny od instytucji odpowiedzialnych za realizację programu</w:t>
      </w:r>
      <w:r w:rsidRPr="00EF56D0">
        <w:rPr>
          <w:rFonts w:ascii="ZWAdobeF" w:hAnsi="ZWAdobeF"/>
          <w:color w:val="auto"/>
          <w:sz w:val="2"/>
          <w:highlight w:val="yellow"/>
        </w:rPr>
        <w:t>58F</w:t>
      </w:r>
      <w:r w:rsidRPr="00EF56D0">
        <w:rPr>
          <w:rStyle w:val="FootnoteReference"/>
          <w:highlight w:val="yellow"/>
        </w:rPr>
        <w:footnoteReference w:id="59"/>
      </w:r>
      <w:r w:rsidRPr="00EF56D0">
        <w:rPr>
          <w:highlight w:val="yellow"/>
        </w:rPr>
        <w:t>. Dotyczy to ewaluacji KSOW zarówno w ramach PROW, jak i na zasadzie samodzielnej oceny. Ewaluatorem jest zazwyczaj zewnętrzny krajowy lub międzynarodowy</w:t>
      </w:r>
      <w:r w:rsidRPr="00EF56D0">
        <w:rPr>
          <w:rFonts w:ascii="ZWAdobeF" w:hAnsi="ZWAdobeF"/>
          <w:color w:val="auto"/>
          <w:sz w:val="2"/>
          <w:highlight w:val="yellow"/>
        </w:rPr>
        <w:t>59F</w:t>
      </w:r>
      <w:r w:rsidRPr="00EF56D0">
        <w:rPr>
          <w:rStyle w:val="FootnoteReference"/>
          <w:highlight w:val="yellow"/>
        </w:rPr>
        <w:footnoteReference w:id="60"/>
      </w:r>
      <w:r w:rsidRPr="00EF56D0">
        <w:rPr>
          <w:highlight w:val="yellow"/>
        </w:rPr>
        <w:t xml:space="preserve"> ekspert (np. firma lub instytucja badawcza bądź konsorcjum firm/instytucji badawczych), który został wybrany w drodze przetargu na wykonanie odrębnego zadania ewaluacyjnego (np. część złożonego w 2017 lub 2019 r. rocznego sprawozdania z wykonania dotycząca ewaluacji) lub na zasadzie ciągłej ewaluacji trwającej przez cały okres programowania. Ewaluatorem może zarazem być instytucja publiczna lub funkcjonalnie niezależny dział w obrębie tego samego organu, którego część stanowi instytucja zarządzająca.</w:t>
      </w:r>
    </w:p>
    <w:p w:rsidR="001924CD" w:rsidRPr="00EF56D0" w:rsidRDefault="001924CD" w:rsidP="00680DA9">
      <w:pPr>
        <w:pStyle w:val="HHeading2"/>
        <w:rPr>
          <w:highlight w:val="yellow"/>
        </w:rPr>
      </w:pPr>
      <w:bookmarkStart w:id="88" w:name="_Toc382312193"/>
      <w:bookmarkStart w:id="89" w:name="_Toc382409613"/>
      <w:bookmarkStart w:id="90" w:name="_Toc453079758"/>
      <w:bookmarkStart w:id="91" w:name="_Toc461807119"/>
      <w:r w:rsidRPr="00EF56D0">
        <w:rPr>
          <w:highlight w:val="yellow"/>
        </w:rPr>
        <w:t>Główne etapy</w:t>
      </w:r>
      <w:bookmarkEnd w:id="88"/>
      <w:bookmarkEnd w:id="89"/>
      <w:r w:rsidRPr="00EF56D0">
        <w:rPr>
          <w:highlight w:val="yellow"/>
        </w:rPr>
        <w:t xml:space="preserve"> oceny KSOW</w:t>
      </w:r>
      <w:bookmarkEnd w:id="90"/>
      <w:bookmarkEnd w:id="91"/>
    </w:p>
    <w:p w:rsidR="001924CD" w:rsidRPr="00EF56D0" w:rsidRDefault="001924CD" w:rsidP="007134D0">
      <w:pPr>
        <w:pStyle w:val="HStandard"/>
        <w:rPr>
          <w:highlight w:val="yellow"/>
        </w:rPr>
      </w:pPr>
      <w:r w:rsidRPr="00EF56D0">
        <w:rPr>
          <w:highlight w:val="yellow"/>
        </w:rPr>
        <w:t xml:space="preserve">Ocena KSOW jest procesem ciągłym, który należy rozpatrywać w kontekście całego okresu programowania. Należy ją zaplanować i przygotować na cały ten okres. Im dokładniej zostanie to zrobione, tym łatwiej będzie zlecić i przeprowadzić ewaluację KSOW. Planowanie i przygotowanie ewaluacji dla całego okresu programowania odbywa się na stosunkowo podobnych zasadach co w przypadku jednorazowej oceny. </w:t>
      </w:r>
    </w:p>
    <w:p w:rsidR="001924CD" w:rsidRPr="00EF56D0" w:rsidRDefault="001924CD" w:rsidP="007134D0">
      <w:pPr>
        <w:pStyle w:val="HStandard"/>
        <w:rPr>
          <w:highlight w:val="yellow"/>
        </w:rPr>
      </w:pPr>
      <w:r w:rsidRPr="00EF56D0">
        <w:rPr>
          <w:highlight w:val="yellow"/>
        </w:rPr>
        <w:t>Plan ewaluacji przedłożony w ramach PROW/PKSOW musi zawierać orientacyjny wykaz tematów oceny. Sieć, która stanowi część PROW, powinna być uwzględniona w planie ewaluacji jako temat oceny</w:t>
      </w:r>
      <w:r w:rsidRPr="00EF56D0">
        <w:rPr>
          <w:rFonts w:ascii="ZWAdobeF" w:hAnsi="ZWAdobeF"/>
          <w:color w:val="auto"/>
          <w:sz w:val="2"/>
          <w:highlight w:val="yellow"/>
        </w:rPr>
        <w:t>60F</w:t>
      </w:r>
      <w:r w:rsidRPr="00EF56D0">
        <w:rPr>
          <w:rStyle w:val="FootnoteReference"/>
          <w:highlight w:val="yellow"/>
        </w:rPr>
        <w:footnoteReference w:id="61"/>
      </w:r>
      <w:r w:rsidRPr="00EF56D0">
        <w:rPr>
          <w:highlight w:val="yellow"/>
        </w:rPr>
        <w:t>. Niektóre państwa członkowskie uzupełniają plan ewaluacji o wewnętrzny, bardziej szczegółowy dokument, który zawiera kompleksowy plan działań ewaluacyjnych, harmonogram i środki przeznaczone na ich realizację. Dokumenty te powinny dawać ogólny pogląd na działania ewaluacyjne związane z KSOW (ewaluacja samodzielna i w ramach PROW) oraz ich harmonogram. Plan wewnętrzny może również obejmować wymóg przeprowadzenia samooceny przez KSOW wraz z określeniem planowanych zasobów i wkładu w działania ewaluacyjne PROW. W planie działania KSOW należy również uwzględnić szczegółowe działania z zakresu ewaluacji i samooceny, związane</w:t>
      </w:r>
      <w:r w:rsidRPr="008A4203">
        <w:t xml:space="preserve"> </w:t>
      </w:r>
      <w:r w:rsidRPr="00EF56D0">
        <w:rPr>
          <w:highlight w:val="yellow"/>
        </w:rPr>
        <w:lastRenderedPageBreak/>
        <w:t xml:space="preserve">z ewaluacją imprezy na rzecz budowania zdolności oraz działania związane z upowszechnianiem wyników ewaluacji. </w:t>
      </w:r>
    </w:p>
    <w:p w:rsidR="001924CD" w:rsidRPr="00EF56D0" w:rsidRDefault="001924CD" w:rsidP="007134D0">
      <w:pPr>
        <w:pStyle w:val="HStandard"/>
        <w:rPr>
          <w:highlight w:val="yellow"/>
        </w:rPr>
      </w:pPr>
      <w:r w:rsidRPr="00EF56D0">
        <w:rPr>
          <w:highlight w:val="yellow"/>
        </w:rPr>
        <w:t xml:space="preserve">Przygotowując ewaluację KSOW/PKSOW dla całego okresu programowania, odpowiednie zainteresowane strony (IZ, JWS i inne odpowiedzialne zainteresowane strony KSOW), powinny zapewnić, by opracowana została logika interwencji KSOW (cele i spodziewane produkty, rezultaty i oddziaływanie KSOW). Następnie należy opracować pytania ewaluacyjne i wskaźniki (rezultatu i oddziaływania) specyficzne dla programu na zasadzie uzupełnienia wspólnych pytań ewaluacyjnych i wskaźników produktu. Należy ponadto przeanalizować źródła danych dla wskaźników oraz uzgodnić obowiązki i metody w zakresie gromadzenia danych. Na tym etapie ważne jest również, aby skonkretyzować plany komunikacji, zapewnienia jakości i budowania zdolności przez cały okres programowania. </w:t>
      </w:r>
    </w:p>
    <w:p w:rsidR="001924CD" w:rsidRPr="00EF56D0" w:rsidRDefault="001924CD" w:rsidP="007134D0">
      <w:pPr>
        <w:pStyle w:val="HStandard"/>
        <w:rPr>
          <w:highlight w:val="yellow"/>
        </w:rPr>
      </w:pPr>
      <w:r w:rsidRPr="00EF56D0">
        <w:rPr>
          <w:highlight w:val="yellow"/>
        </w:rPr>
        <w:t xml:space="preserve">Najlepiej jest przygotować ewaluację KSOW na wczesnym etapie planowania lub realizacji działań KSOW, aby dane mogły być gromadzone od początku i służyły pozyskaniu pożądanych informacji. </w:t>
      </w:r>
    </w:p>
    <w:p w:rsidR="001924CD" w:rsidRPr="00EF56D0" w:rsidRDefault="001924CD" w:rsidP="007134D0">
      <w:pPr>
        <w:pStyle w:val="HStandard"/>
        <w:rPr>
          <w:highlight w:val="yellow"/>
        </w:rPr>
      </w:pPr>
      <w:r w:rsidRPr="00EF56D0">
        <w:rPr>
          <w:highlight w:val="yellow"/>
        </w:rPr>
        <w:t xml:space="preserve">Plan ewaluacji, plan działań KSOW i inne ogólne dokumenty planistyczne dają ogląd działań i tematów ewaluacyjnych związanych z KSOW w całym okresie programowania. Ponadto każdą ewaluację należy zaplanować na zasadzie odrębnego projektu, jak pokazano na </w:t>
      </w:r>
      <w:r w:rsidRPr="00EF56D0">
        <w:rPr>
          <w:highlight w:val="yellow"/>
        </w:rPr>
        <w:fldChar w:fldCharType="begin" w:fldLock="1"/>
      </w:r>
      <w:r w:rsidRPr="00EF56D0">
        <w:rPr>
          <w:highlight w:val="yellow"/>
        </w:rPr>
        <w:instrText xml:space="preserve"> REF _Ref435790626 \r \h  \* MERGEFORMAT </w:instrText>
      </w:r>
      <w:r w:rsidRPr="00EF56D0">
        <w:rPr>
          <w:highlight w:val="yellow"/>
        </w:rPr>
      </w:r>
      <w:r w:rsidRPr="00EF56D0">
        <w:rPr>
          <w:highlight w:val="yellow"/>
        </w:rPr>
        <w:fldChar w:fldCharType="separate"/>
      </w:r>
      <w:r w:rsidRPr="00EF56D0">
        <w:rPr>
          <w:highlight w:val="yellow"/>
        </w:rPr>
        <w:t>Figure 10</w:t>
      </w:r>
      <w:r w:rsidRPr="00EF56D0">
        <w:rPr>
          <w:highlight w:val="yellow"/>
        </w:rPr>
        <w:fldChar w:fldCharType="end"/>
      </w:r>
      <w:r w:rsidRPr="00EF56D0">
        <w:rPr>
          <w:highlight w:val="yellow"/>
        </w:rPr>
        <w:t xml:space="preserve">. Ewaluację można podzielić na odrębne etapy złożone z następującym kolejno po sobie zadań. Głównymi etapami ewaluacji są: planowanie, przygotowanie, strukturyzacja, prowadzenie i rozpowszechnianie. Każdy krok zawiera kilka zadań, które zostaną omówione poniżej wraz z obowiązkami głównych zaangażowanych podmiotów. </w:t>
      </w:r>
    </w:p>
    <w:p w:rsidR="001924CD" w:rsidRPr="00EF56D0" w:rsidRDefault="001924CD" w:rsidP="00922CBE">
      <w:pPr>
        <w:pStyle w:val="HHeadingfigures"/>
        <w:rPr>
          <w:highlight w:val="yellow"/>
        </w:rPr>
      </w:pPr>
      <w:bookmarkStart w:id="92" w:name="_Ref435790626"/>
      <w:bookmarkStart w:id="93" w:name="_Toc445465126"/>
      <w:bookmarkStart w:id="94" w:name="_Toc451781929"/>
      <w:bookmarkStart w:id="95" w:name="_Toc461807147"/>
      <w:r w:rsidRPr="00EF56D0">
        <w:rPr>
          <w:highlight w:val="yellow"/>
        </w:rPr>
        <w:t>Etapy ewaluacji KSOW</w:t>
      </w:r>
      <w:bookmarkEnd w:id="92"/>
      <w:bookmarkEnd w:id="93"/>
      <w:bookmarkEnd w:id="94"/>
      <w:bookmarkEnd w:id="95"/>
    </w:p>
    <w:p w:rsidR="001924CD" w:rsidRPr="008A4203" w:rsidRDefault="001924CD" w:rsidP="00C71F5E">
      <w:pPr>
        <w:pStyle w:val="HStandard"/>
        <w:jc w:val="center"/>
      </w:pPr>
      <w:r w:rsidRPr="008A4203">
        <w:rPr>
          <w:noProof/>
          <w:lang w:val="en-GB" w:eastAsia="en-GB" w:bidi="ar-SA"/>
        </w:rPr>
        <w:drawing>
          <wp:inline distT="0" distB="0" distL="0" distR="0" wp14:anchorId="6D3297D7" wp14:editId="48F7FF87">
            <wp:extent cx="6180316" cy="2711302"/>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98555" cy="2719303"/>
                    </a:xfrm>
                    <a:prstGeom prst="rect">
                      <a:avLst/>
                    </a:prstGeom>
                    <a:noFill/>
                    <a:ln>
                      <a:noFill/>
                    </a:ln>
                  </pic:spPr>
                </pic:pic>
              </a:graphicData>
            </a:graphic>
          </wp:inline>
        </w:drawing>
      </w:r>
      <w:r w:rsidRPr="008A4203">
        <w:t xml:space="preserve"> </w:t>
      </w:r>
    </w:p>
    <w:p w:rsidR="001924CD" w:rsidRPr="00EF56D0" w:rsidRDefault="001924CD" w:rsidP="004615A0">
      <w:pPr>
        <w:pStyle w:val="HSource"/>
        <w:rPr>
          <w:highlight w:val="yellow"/>
        </w:rPr>
      </w:pPr>
      <w:r w:rsidRPr="00EF56D0">
        <w:rPr>
          <w:highlight w:val="yellow"/>
        </w:rPr>
        <w:t>Źródło: Europejskie Biuro Pomocy ds. Ewaluacji Rozwoju Obszarów Wiejskich, 2016 r.</w:t>
      </w:r>
    </w:p>
    <w:p w:rsidR="001924CD" w:rsidRPr="00EF56D0" w:rsidRDefault="001924CD" w:rsidP="00680DA9">
      <w:pPr>
        <w:pStyle w:val="HHeading3"/>
        <w:rPr>
          <w:highlight w:val="yellow"/>
        </w:rPr>
      </w:pPr>
      <w:bookmarkStart w:id="96" w:name="_Toc453079759"/>
      <w:bookmarkStart w:id="97" w:name="_Toc461807120"/>
      <w:r w:rsidRPr="00EF56D0">
        <w:rPr>
          <w:highlight w:val="yellow"/>
        </w:rPr>
        <w:t>Planowanie ewaluacji KSOW</w:t>
      </w:r>
      <w:bookmarkEnd w:id="96"/>
      <w:bookmarkEnd w:id="97"/>
      <w:r w:rsidRPr="00EF56D0">
        <w:rPr>
          <w:highlight w:val="yellow"/>
        </w:rPr>
        <w:t xml:space="preserve"> </w:t>
      </w:r>
    </w:p>
    <w:p w:rsidR="001924CD" w:rsidRPr="00EF56D0" w:rsidRDefault="001924CD" w:rsidP="00B62FBF">
      <w:pPr>
        <w:pStyle w:val="HStandard"/>
        <w:rPr>
          <w:highlight w:val="yellow"/>
        </w:rPr>
      </w:pPr>
      <w:r w:rsidRPr="00EF56D0">
        <w:rPr>
          <w:highlight w:val="yellow"/>
        </w:rPr>
        <w:t xml:space="preserve">Jeżeli KSOW jest częścią PROW, ocena działalności sieci zazwyczaj odbywa się w ramach ewaluacji programu (w latach 2017 i 2019 oraz ex post), a w pojedynczych przypadkach ma postać samodzielnej ewaluacji. Z kolei PKSOW zawsze podlega osobnej ocenie. Ilekroć instytucja zarządzająca zleca ewaluację KSOW (w ramach PROW lub na zasadzie samodzielnej oceny), odpowiada ona za zaplanowanie i przygotowanie procesu i harmonogramu ewaluacji KSOW/PKSOW. Zadanie to może być realizowane we współpracy z JWS i innymi zainteresowanymi stronami (np. jednostką ewaluacyjną, </w:t>
      </w:r>
      <w:r w:rsidRPr="00EF56D0">
        <w:rPr>
          <w:highlight w:val="yellow"/>
        </w:rPr>
        <w:lastRenderedPageBreak/>
        <w:t>agencją płatniczą itp.)</w:t>
      </w:r>
      <w:r w:rsidRPr="00EF56D0">
        <w:rPr>
          <w:rFonts w:ascii="ZWAdobeF" w:hAnsi="ZWAdobeF"/>
          <w:color w:val="auto"/>
          <w:sz w:val="2"/>
          <w:highlight w:val="yellow"/>
        </w:rPr>
        <w:t>61F</w:t>
      </w:r>
      <w:r w:rsidRPr="00EF56D0">
        <w:rPr>
          <w:rStyle w:val="FootnoteReference"/>
          <w:highlight w:val="yellow"/>
        </w:rPr>
        <w:footnoteReference w:id="62"/>
      </w:r>
      <w:r w:rsidRPr="00EF56D0">
        <w:rPr>
          <w:highlight w:val="yellow"/>
        </w:rPr>
        <w:t xml:space="preserve">. Ewaluacje są zazwyczaj finansowane ze środków pomocy technicznej, a procesem z reguły kieruje IZ z pomocą JWS i innych zainteresowanych stron. Odpowiedzialność za planowanie i przygotowanie samodzielnej ewaluacji spoczywa również na JWS, jeśli występuje w charakterze zamawiającego. </w:t>
      </w:r>
    </w:p>
    <w:p w:rsidR="001924CD" w:rsidRPr="00EF56D0" w:rsidRDefault="001924CD" w:rsidP="00B62FBF">
      <w:pPr>
        <w:pStyle w:val="HStandard"/>
        <w:rPr>
          <w:highlight w:val="yellow"/>
        </w:rPr>
      </w:pPr>
      <w:r w:rsidRPr="00EF56D0">
        <w:rPr>
          <w:highlight w:val="yellow"/>
        </w:rPr>
        <w:t>Etapy planowania ewaluacji są następujące:</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924CD" w:rsidRPr="00EF56D0" w:rsidTr="00FC0A30">
        <w:trPr>
          <w:trHeight w:val="405"/>
        </w:trPr>
        <w:tc>
          <w:tcPr>
            <w:tcW w:w="988" w:type="dxa"/>
            <w:shd w:val="clear" w:color="auto" w:fill="E7E6E6" w:themeFill="background2"/>
          </w:tcPr>
          <w:p w:rsidR="001924CD" w:rsidRPr="00EF56D0" w:rsidRDefault="001924CD" w:rsidP="00FC0A30">
            <w:pPr>
              <w:pStyle w:val="HStandard"/>
              <w:jc w:val="center"/>
              <w:rPr>
                <w:b/>
                <w:color w:val="5B9BD5" w:themeColor="accent1"/>
                <w:sz w:val="18"/>
                <w:szCs w:val="18"/>
                <w:highlight w:val="yellow"/>
              </w:rPr>
            </w:pPr>
            <w:r w:rsidRPr="00EF56D0">
              <w:rPr>
                <w:b/>
                <w:color w:val="5B9BD5" w:themeColor="accent1"/>
                <w:sz w:val="18"/>
                <w:highlight w:val="yellow"/>
              </w:rPr>
              <w:t>1</w:t>
            </w:r>
          </w:p>
        </w:tc>
        <w:tc>
          <w:tcPr>
            <w:tcW w:w="8028" w:type="dxa"/>
          </w:tcPr>
          <w:p w:rsidR="001924CD" w:rsidRPr="00EF56D0" w:rsidRDefault="001924CD" w:rsidP="00937568">
            <w:pPr>
              <w:pStyle w:val="HStandard"/>
              <w:rPr>
                <w:sz w:val="18"/>
                <w:szCs w:val="18"/>
                <w:highlight w:val="yellow"/>
              </w:rPr>
            </w:pPr>
            <w:r w:rsidRPr="00EF56D0">
              <w:rPr>
                <w:sz w:val="18"/>
                <w:highlight w:val="yellow"/>
              </w:rPr>
              <w:t xml:space="preserve">Wskazanie, na jakie potrzeby powinna odpowiadać ewaluacja i jakich informacji ma dostarczać </w:t>
            </w:r>
          </w:p>
        </w:tc>
      </w:tr>
      <w:tr w:rsidR="001924CD" w:rsidRPr="00EF56D0" w:rsidTr="00FC0A30">
        <w:tc>
          <w:tcPr>
            <w:tcW w:w="988" w:type="dxa"/>
            <w:shd w:val="clear" w:color="auto" w:fill="E7E6E6" w:themeFill="background2"/>
          </w:tcPr>
          <w:p w:rsidR="001924CD" w:rsidRPr="00EF56D0" w:rsidRDefault="001924CD" w:rsidP="00FC0A30">
            <w:pPr>
              <w:pStyle w:val="HStandard"/>
              <w:jc w:val="center"/>
              <w:rPr>
                <w:b/>
                <w:color w:val="5B9BD5" w:themeColor="accent1"/>
                <w:sz w:val="18"/>
                <w:szCs w:val="18"/>
                <w:highlight w:val="yellow"/>
              </w:rPr>
            </w:pPr>
            <w:r w:rsidRPr="00EF56D0">
              <w:rPr>
                <w:b/>
                <w:color w:val="5B9BD5" w:themeColor="accent1"/>
                <w:sz w:val="18"/>
                <w:highlight w:val="yellow"/>
              </w:rPr>
              <w:t>2</w:t>
            </w:r>
          </w:p>
        </w:tc>
        <w:tc>
          <w:tcPr>
            <w:tcW w:w="8028" w:type="dxa"/>
          </w:tcPr>
          <w:p w:rsidR="001924CD" w:rsidRPr="00EF56D0" w:rsidRDefault="001924CD" w:rsidP="0017693D">
            <w:pPr>
              <w:pStyle w:val="HStandard"/>
              <w:rPr>
                <w:sz w:val="18"/>
                <w:szCs w:val="18"/>
                <w:highlight w:val="yellow"/>
              </w:rPr>
            </w:pPr>
            <w:r w:rsidRPr="00EF56D0">
              <w:rPr>
                <w:sz w:val="18"/>
                <w:highlight w:val="yellow"/>
              </w:rPr>
              <w:t>Wybór formy ewaluacji</w:t>
            </w:r>
          </w:p>
        </w:tc>
      </w:tr>
      <w:tr w:rsidR="001924CD" w:rsidRPr="00EF56D0" w:rsidTr="00FC0A30">
        <w:tc>
          <w:tcPr>
            <w:tcW w:w="988" w:type="dxa"/>
            <w:shd w:val="clear" w:color="auto" w:fill="E7E6E6" w:themeFill="background2"/>
          </w:tcPr>
          <w:p w:rsidR="001924CD" w:rsidRPr="00EF56D0" w:rsidRDefault="001924CD" w:rsidP="00FC0A30">
            <w:pPr>
              <w:pStyle w:val="HStandard"/>
              <w:jc w:val="center"/>
              <w:rPr>
                <w:b/>
                <w:color w:val="5B9BD5" w:themeColor="accent1"/>
                <w:sz w:val="18"/>
                <w:szCs w:val="18"/>
                <w:highlight w:val="yellow"/>
              </w:rPr>
            </w:pPr>
            <w:r w:rsidRPr="00EF56D0">
              <w:rPr>
                <w:b/>
                <w:color w:val="5B9BD5" w:themeColor="accent1"/>
                <w:sz w:val="18"/>
                <w:highlight w:val="yellow"/>
              </w:rPr>
              <w:t>3</w:t>
            </w:r>
          </w:p>
        </w:tc>
        <w:tc>
          <w:tcPr>
            <w:tcW w:w="8028" w:type="dxa"/>
          </w:tcPr>
          <w:p w:rsidR="001924CD" w:rsidRPr="00EF56D0" w:rsidRDefault="001924CD" w:rsidP="00D549E5">
            <w:pPr>
              <w:pStyle w:val="HStandard"/>
              <w:rPr>
                <w:sz w:val="18"/>
                <w:szCs w:val="18"/>
                <w:highlight w:val="yellow"/>
              </w:rPr>
            </w:pPr>
            <w:r w:rsidRPr="00EF56D0">
              <w:rPr>
                <w:sz w:val="18"/>
                <w:highlight w:val="yellow"/>
              </w:rPr>
              <w:t xml:space="preserve">Zaplanowanie procesu i harmonogramu ewaluacji </w:t>
            </w:r>
          </w:p>
        </w:tc>
      </w:tr>
      <w:tr w:rsidR="001924CD" w:rsidRPr="00EF56D0" w:rsidTr="00FC0A30">
        <w:tc>
          <w:tcPr>
            <w:tcW w:w="988" w:type="dxa"/>
            <w:shd w:val="clear" w:color="auto" w:fill="E7E6E6" w:themeFill="background2"/>
          </w:tcPr>
          <w:p w:rsidR="001924CD" w:rsidRPr="00EF56D0" w:rsidRDefault="001924CD" w:rsidP="00FC0A30">
            <w:pPr>
              <w:pStyle w:val="HStandard"/>
              <w:jc w:val="center"/>
              <w:rPr>
                <w:b/>
                <w:color w:val="5B9BD5" w:themeColor="accent1"/>
                <w:sz w:val="18"/>
                <w:szCs w:val="18"/>
                <w:highlight w:val="yellow"/>
              </w:rPr>
            </w:pPr>
            <w:r w:rsidRPr="00EF56D0">
              <w:rPr>
                <w:b/>
                <w:color w:val="5B9BD5" w:themeColor="accent1"/>
                <w:sz w:val="18"/>
                <w:highlight w:val="yellow"/>
              </w:rPr>
              <w:t>4</w:t>
            </w:r>
          </w:p>
        </w:tc>
        <w:tc>
          <w:tcPr>
            <w:tcW w:w="8028" w:type="dxa"/>
          </w:tcPr>
          <w:p w:rsidR="001924CD" w:rsidRPr="00EF56D0" w:rsidRDefault="001924CD" w:rsidP="00B62FBF">
            <w:pPr>
              <w:pStyle w:val="HStandard"/>
              <w:rPr>
                <w:sz w:val="18"/>
                <w:szCs w:val="18"/>
                <w:highlight w:val="yellow"/>
              </w:rPr>
            </w:pPr>
            <w:r w:rsidRPr="00EF56D0">
              <w:rPr>
                <w:sz w:val="18"/>
                <w:highlight w:val="yellow"/>
              </w:rPr>
              <w:t>Sporządzenie planów komunikacji i budowania zdolności</w:t>
            </w:r>
          </w:p>
        </w:tc>
      </w:tr>
    </w:tbl>
    <w:p w:rsidR="001924CD" w:rsidRPr="00EF56D0" w:rsidRDefault="001924CD" w:rsidP="0079494B">
      <w:pPr>
        <w:pStyle w:val="HHeading5"/>
        <w:rPr>
          <w:highlight w:val="yellow"/>
        </w:rPr>
      </w:pPr>
      <w:r w:rsidRPr="00EF56D0">
        <w:rPr>
          <w:highlight w:val="yellow"/>
        </w:rPr>
        <w:t xml:space="preserve">Krok 1 – Wskazanie, na jakie potrzeby powinna odpowiadać ewaluacja (co należy ocenić) i jakich informacji ma dostarczać </w:t>
      </w:r>
    </w:p>
    <w:p w:rsidR="001924CD" w:rsidRPr="00EF56D0" w:rsidRDefault="001924CD" w:rsidP="003E2220">
      <w:pPr>
        <w:pStyle w:val="HStandard"/>
        <w:rPr>
          <w:highlight w:val="yellow"/>
        </w:rPr>
      </w:pPr>
      <w:r w:rsidRPr="00EF56D0">
        <w:rPr>
          <w:highlight w:val="yellow"/>
        </w:rPr>
        <w:t>Zamawiający (IZ lub JWS) może przygotować opis koncepcji, aby skonkretyzować przedmiot ewaluacji i przygotować podstawę dla SIWZ. Opis koncepcji z reguły obejmuje wskazanie ram politycznych, tematyki oceny, ram czasowych, zakresu, celu i uzasadnienia, ról zainteresowanych podmiotów w procesie oceny, a także nawiązania do źródeł informacji i poprzednich ocen. Koncepcję można opracowywać w trakcie całego procesu, czyli można zacząć na etapie planowania, a następnie wprowadzać poprawki w miarę krystalizowania się poszczególnych kwestii.</w:t>
      </w:r>
    </w:p>
    <w:p w:rsidR="001924CD" w:rsidRPr="00EF56D0" w:rsidRDefault="001924CD" w:rsidP="0079494B">
      <w:pPr>
        <w:pStyle w:val="HHeading5"/>
        <w:rPr>
          <w:highlight w:val="yellow"/>
        </w:rPr>
      </w:pPr>
      <w:r w:rsidRPr="00EF56D0">
        <w:rPr>
          <w:highlight w:val="yellow"/>
        </w:rPr>
        <w:t>Krok 2 – Wybór formy ewaluacji</w:t>
      </w:r>
    </w:p>
    <w:p w:rsidR="001924CD" w:rsidRPr="00EF56D0" w:rsidRDefault="001924CD" w:rsidP="003E2220">
      <w:pPr>
        <w:pStyle w:val="HStandard"/>
        <w:rPr>
          <w:b/>
          <w:highlight w:val="yellow"/>
        </w:rPr>
      </w:pPr>
      <w:r w:rsidRPr="00EF56D0">
        <w:rPr>
          <w:highlight w:val="yellow"/>
        </w:rPr>
        <w:t xml:space="preserve">Ewaluacja KSOW może przybierać różne formy w zależności od tego, na ile ma być dogłębna: </w:t>
      </w:r>
    </w:p>
    <w:p w:rsidR="001924CD" w:rsidRPr="00EF56D0" w:rsidRDefault="001924CD" w:rsidP="00E36BC6">
      <w:pPr>
        <w:pStyle w:val="HHeading5"/>
        <w:rPr>
          <w:color w:val="auto"/>
          <w:highlight w:val="yellow"/>
        </w:rPr>
      </w:pPr>
      <w:r w:rsidRPr="00EF56D0">
        <w:rPr>
          <w:color w:val="auto"/>
          <w:highlight w:val="yellow"/>
        </w:rPr>
        <w:t>Ewaluacja KSOW w ramach PROW</w:t>
      </w:r>
    </w:p>
    <w:p w:rsidR="001924CD" w:rsidRPr="00EF56D0" w:rsidRDefault="001924CD" w:rsidP="00E36BC6">
      <w:pPr>
        <w:pStyle w:val="HStandard"/>
        <w:rPr>
          <w:highlight w:val="yellow"/>
        </w:rPr>
      </w:pPr>
      <w:r w:rsidRPr="00EF56D0">
        <w:rPr>
          <w:highlight w:val="yellow"/>
        </w:rPr>
        <w:t xml:space="preserve">Sieci stanowiące część PROW muszą być uwzględnione w ewaluacji programu na zasadzie osobnego tematu oceny. Oznacza to, że działania ewaluacyjne związane z KSOW są już opisane w planie ewaluacji PROW i uszczegółowione w SIWZ do celów wyboru ewaluatora zewnętrznego. Działania ewaluacyjne związane z KSOW są omawiane w części 2 standardowego rocznego sprawozdania z wykonania (RSW). Konkretne oceny KSOW są następnie ujmowane w rozszerzonych rocznych sprawozdaniach z wykonania w latach 2017 i 2019, a na późniejszym etapie podlegają ocenie </w:t>
      </w:r>
      <w:r w:rsidRPr="00EF56D0">
        <w:rPr>
          <w:i/>
          <w:highlight w:val="yellow"/>
        </w:rPr>
        <w:t>ex post</w:t>
      </w:r>
      <w:r w:rsidRPr="00EF56D0">
        <w:rPr>
          <w:highlight w:val="yellow"/>
        </w:rPr>
        <w:t>. W tym kontekście należy odpowiedzieć na wspólne pytania ewaluacyjne związane z KSOW i zastosować wspólne wskaźniki dla KSOW</w:t>
      </w:r>
      <w:r w:rsidRPr="00EF56D0">
        <w:rPr>
          <w:rFonts w:ascii="ZWAdobeF" w:hAnsi="ZWAdobeF"/>
          <w:color w:val="auto"/>
          <w:sz w:val="2"/>
          <w:highlight w:val="yellow"/>
        </w:rPr>
        <w:t>62F</w:t>
      </w:r>
      <w:r w:rsidRPr="00EF56D0">
        <w:rPr>
          <w:rStyle w:val="FootnoteReference"/>
          <w:highlight w:val="yellow"/>
        </w:rPr>
        <w:footnoteReference w:id="63"/>
      </w:r>
      <w:r w:rsidRPr="00EF56D0">
        <w:rPr>
          <w:highlight w:val="yellow"/>
        </w:rPr>
        <w:t>.</w:t>
      </w:r>
    </w:p>
    <w:p w:rsidR="001924CD" w:rsidRPr="00EF56D0" w:rsidRDefault="001924CD" w:rsidP="00E36BC6">
      <w:pPr>
        <w:pStyle w:val="HStandard"/>
        <w:rPr>
          <w:highlight w:val="yellow"/>
        </w:rPr>
      </w:pPr>
      <w:r w:rsidRPr="00EF56D0">
        <w:rPr>
          <w:highlight w:val="yellow"/>
        </w:rPr>
        <w:t>Gdy sieć jest objęta ewaluacją PROW, ocena zazwyczaj daje jedynie ogólny pogląd na jej operacje, osiągnięcia i wyniki. Ewaluacja KSOW w ramach PROW z reguły dostarcza zaleceń mających znaczenie dla decydentów, nie tyle zaś dla samej sieci, jeśli chodzi o praktyczne sposoby udoskonalenia jej procesów, działań i ukierunkowania. Zastosowana metodologia może również nie uwzględniać specyfiki sieci i jej funkcjonowania. Ten rodzaj ewaluacji jest niemniej przydatny w tym sensie, że daje pogląd na funkcjonowanie KSOW w systemie PROW. Może również prowadzić do sformułowania dodatkowych, bardziej szczegółowych pytań ewaluacyjnych, które będą przedmiotem samodzielnej ewaluacji KSOW lub samooceny.</w:t>
      </w:r>
    </w:p>
    <w:p w:rsidR="001924CD" w:rsidRPr="00EF56D0" w:rsidRDefault="001924CD" w:rsidP="00E36BC6">
      <w:pPr>
        <w:pStyle w:val="HHeading5"/>
        <w:rPr>
          <w:color w:val="auto"/>
          <w:highlight w:val="yellow"/>
        </w:rPr>
      </w:pPr>
      <w:r w:rsidRPr="00EF56D0">
        <w:rPr>
          <w:color w:val="auto"/>
          <w:highlight w:val="yellow"/>
        </w:rPr>
        <w:lastRenderedPageBreak/>
        <w:t xml:space="preserve">Samodzielna ewaluacja KSOW/PKSOW </w:t>
      </w:r>
    </w:p>
    <w:p w:rsidR="001924CD" w:rsidRPr="00EF56D0" w:rsidRDefault="001924CD" w:rsidP="00E36BC6">
      <w:pPr>
        <w:pStyle w:val="HStandard"/>
        <w:rPr>
          <w:highlight w:val="yellow"/>
        </w:rPr>
      </w:pPr>
      <w:r w:rsidRPr="00EF56D0">
        <w:rPr>
          <w:highlight w:val="yellow"/>
        </w:rPr>
        <w:t>Jako że PKSOW są odrębnymi programami, należy je oceniać na takiej samej zasadzie, co dowolny inny program EFSI</w:t>
      </w:r>
      <w:r w:rsidRPr="00EF56D0">
        <w:rPr>
          <w:rFonts w:ascii="ZWAdobeF" w:hAnsi="ZWAdobeF"/>
          <w:color w:val="auto"/>
          <w:sz w:val="2"/>
          <w:highlight w:val="yellow"/>
        </w:rPr>
        <w:t>63F</w:t>
      </w:r>
      <w:r w:rsidRPr="00EF56D0">
        <w:rPr>
          <w:rStyle w:val="FootnoteReference"/>
          <w:highlight w:val="yellow"/>
        </w:rPr>
        <w:footnoteReference w:id="64"/>
      </w:r>
      <w:r w:rsidRPr="00EF56D0">
        <w:rPr>
          <w:highlight w:val="yellow"/>
        </w:rPr>
        <w:t>. Jednak nawet państwa członkowskie, w których KSOW są zintegrowane z PROW, mogą zdecydować się na przeprowadzenie samodzielnej ewaluacji, która zapewni lepszy wgląd w osiągnięcia, rezultaty, oddziaływanie, wartość dodaną, skuteczność i efektywność sieci. Tego typu ocena może również zapewnić większą liczbę praktycznych zaleceń dotyczących sposobów poprawy funkcjonowania KSOW, a także odpowiedzieć na bardziej szczegółowe pytania ewaluacyjne lub zbadać konkretne zagadnienia. Może ona wreszcie dostarczyć informacji na potrzeby oceny KSOW prowadzonej w ramach ewaluacji PROW.</w:t>
      </w:r>
    </w:p>
    <w:p w:rsidR="001924CD" w:rsidRPr="00EF56D0" w:rsidRDefault="001924CD" w:rsidP="00E36BC6">
      <w:pPr>
        <w:pStyle w:val="HStandard"/>
        <w:rPr>
          <w:highlight w:val="yellow"/>
        </w:rPr>
      </w:pPr>
      <w:r w:rsidRPr="00EF56D0">
        <w:rPr>
          <w:highlight w:val="yellow"/>
        </w:rPr>
        <w:t>Samodzielna ewaluacja KSOW/PKSOW powinna skupiać się na:</w:t>
      </w:r>
    </w:p>
    <w:p w:rsidR="001924CD" w:rsidRPr="00EF56D0" w:rsidRDefault="001924CD" w:rsidP="00E36BC6">
      <w:pPr>
        <w:pStyle w:val="Hlistbullet"/>
        <w:rPr>
          <w:highlight w:val="yellow"/>
        </w:rPr>
      </w:pPr>
      <w:r w:rsidRPr="00EF56D0">
        <w:rPr>
          <w:highlight w:val="yellow"/>
        </w:rPr>
        <w:t>adekwatności, skuteczność, efektywności, produktach, rezultatach, oddziaływaniu, a także czynnikach sukcesu i porażki (czyli na ogólnej ewaluacji KSOW),</w:t>
      </w:r>
    </w:p>
    <w:p w:rsidR="001924CD" w:rsidRPr="00EF56D0" w:rsidRDefault="001924CD" w:rsidP="00E36BC6">
      <w:pPr>
        <w:pStyle w:val="Hlistbullet"/>
        <w:rPr>
          <w:highlight w:val="yellow"/>
        </w:rPr>
      </w:pPr>
      <w:r w:rsidRPr="00EF56D0">
        <w:rPr>
          <w:highlight w:val="yellow"/>
        </w:rPr>
        <w:t>logice interwencji,</w:t>
      </w:r>
    </w:p>
    <w:p w:rsidR="001924CD" w:rsidRPr="00EF56D0" w:rsidRDefault="001924CD" w:rsidP="00E36BC6">
      <w:pPr>
        <w:pStyle w:val="Hlistbullet"/>
        <w:rPr>
          <w:highlight w:val="yellow"/>
        </w:rPr>
      </w:pPr>
      <w:r w:rsidRPr="00EF56D0">
        <w:rPr>
          <w:highlight w:val="yellow"/>
        </w:rPr>
        <w:t xml:space="preserve">planie działania i działaniach, </w:t>
      </w:r>
    </w:p>
    <w:p w:rsidR="001924CD" w:rsidRPr="00EF56D0" w:rsidRDefault="001924CD" w:rsidP="00E36BC6">
      <w:pPr>
        <w:pStyle w:val="Hlistbullet"/>
        <w:rPr>
          <w:highlight w:val="yellow"/>
        </w:rPr>
      </w:pPr>
      <w:r w:rsidRPr="00EF56D0">
        <w:rPr>
          <w:highlight w:val="yellow"/>
        </w:rPr>
        <w:t>sieciach regionalnych,</w:t>
      </w:r>
    </w:p>
    <w:p w:rsidR="001924CD" w:rsidRPr="00EF56D0" w:rsidRDefault="001924CD" w:rsidP="00E36BC6">
      <w:pPr>
        <w:pStyle w:val="Hlistbullet2"/>
        <w:rPr>
          <w:highlight w:val="yellow"/>
        </w:rPr>
      </w:pPr>
      <w:r w:rsidRPr="00EF56D0">
        <w:rPr>
          <w:highlight w:val="yellow"/>
        </w:rPr>
        <w:t>strukturze sieci.</w:t>
      </w:r>
    </w:p>
    <w:p w:rsidR="001924CD" w:rsidRPr="00EF56D0" w:rsidRDefault="001924CD" w:rsidP="00E36BC6">
      <w:pPr>
        <w:pStyle w:val="HStandard"/>
        <w:rPr>
          <w:highlight w:val="yellow"/>
        </w:rPr>
      </w:pPr>
      <w:r w:rsidRPr="00EF56D0">
        <w:rPr>
          <w:highlight w:val="yellow"/>
        </w:rPr>
        <w:t>Przeprowadzenie samodzielnej ewaluacji KSOW/PKSOW wymaga pełnego planu oceny i procesu wdrażania, w tym etapów roboczych, takich jak przegląd logiki interwencji KSOW (o ile już istnieje) lub jej stworzenie, jak również opracowanie pytań ewaluacyjnych i wskaźników specyficznych dla programu. Jeśli jedynym tematem ewaluacji jest KSOW/PKSOW, jej zakres powinien objąć JWS oraz członków i działalność KSOW.</w:t>
      </w:r>
    </w:p>
    <w:p w:rsidR="001924CD" w:rsidRPr="00EF56D0" w:rsidRDefault="001924CD" w:rsidP="0079494B">
      <w:pPr>
        <w:pStyle w:val="HHeading5"/>
        <w:rPr>
          <w:highlight w:val="yellow"/>
        </w:rPr>
      </w:pPr>
      <w:r w:rsidRPr="00EF56D0">
        <w:rPr>
          <w:highlight w:val="yellow"/>
        </w:rPr>
        <w:t xml:space="preserve">Krok 3 – Zaplanowanie procesu i harmonogramu ewaluacji </w:t>
      </w:r>
    </w:p>
    <w:p w:rsidR="001924CD" w:rsidRPr="00EF56D0" w:rsidRDefault="001924CD" w:rsidP="00E36BC6">
      <w:pPr>
        <w:pStyle w:val="HStandard"/>
        <w:rPr>
          <w:highlight w:val="yellow"/>
        </w:rPr>
      </w:pPr>
      <w:r w:rsidRPr="00EF56D0">
        <w:rPr>
          <w:highlight w:val="yellow"/>
        </w:rPr>
        <w:t xml:space="preserve">Obejmuje to zaplanowanie czasu realizacji czynności związanych z poszczególnymi etapami ewaluacji (przygotowanie, strukturyzacja, obserwacja, analiza, ocena, rozpowszechnienie i śledzenie wyników ewaluacji), jak również udziału innych zaangażowanych podmiotów. Proces ten obejmuje cały czas trwania ewaluacji. </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8A4203" w:rsidTr="00FC0A30">
        <w:trPr>
          <w:jc w:val="center"/>
        </w:trPr>
        <w:tc>
          <w:tcPr>
            <w:tcW w:w="9016" w:type="dxa"/>
            <w:shd w:val="clear" w:color="auto" w:fill="F5F4F4" w:themeFill="background2" w:themeFillTint="66"/>
          </w:tcPr>
          <w:p w:rsidR="001924CD" w:rsidRPr="00EF56D0" w:rsidRDefault="001924CD" w:rsidP="00BE7FA8">
            <w:pPr>
              <w:pStyle w:val="HStandard"/>
              <w:rPr>
                <w:highlight w:val="yellow"/>
              </w:rPr>
            </w:pPr>
            <w:r w:rsidRPr="00EF56D0">
              <w:rPr>
                <w:highlight w:val="yellow"/>
              </w:rPr>
              <w:t xml:space="preserve">Poniższe pytania mogą być pomocne w realizacji tego zadania: </w:t>
            </w:r>
          </w:p>
          <w:p w:rsidR="001924CD" w:rsidRPr="00EF56D0" w:rsidRDefault="001924CD" w:rsidP="001924CD">
            <w:pPr>
              <w:pStyle w:val="Hlistbullet"/>
              <w:rPr>
                <w:highlight w:val="yellow"/>
              </w:rPr>
            </w:pPr>
            <w:r w:rsidRPr="00EF56D0">
              <w:rPr>
                <w:highlight w:val="yellow"/>
              </w:rPr>
              <w:t>Czego chcemy się dowiedzieć (jakie są tematy oceny, np. realizacja celów sieci, realizacja działań KSOW/PKSOW, skuteczność, efektywność, struktura sieci, wpływ na realizację programu, rezultaty)?</w:t>
            </w:r>
          </w:p>
          <w:p w:rsidR="001924CD" w:rsidRPr="00EF56D0" w:rsidRDefault="001924CD" w:rsidP="001924CD">
            <w:pPr>
              <w:pStyle w:val="Hlistbullet"/>
              <w:rPr>
                <w:highlight w:val="yellow"/>
              </w:rPr>
            </w:pPr>
            <w:r w:rsidRPr="00EF56D0">
              <w:rPr>
                <w:highlight w:val="yellow"/>
              </w:rPr>
              <w:t>Dlaczego tak ważne jest, aby ocenić te zagadnienia?</w:t>
            </w:r>
          </w:p>
          <w:p w:rsidR="001924CD" w:rsidRPr="00EF56D0" w:rsidRDefault="001924CD" w:rsidP="001924CD">
            <w:pPr>
              <w:pStyle w:val="Hlistbullet"/>
              <w:rPr>
                <w:highlight w:val="yellow"/>
              </w:rPr>
            </w:pPr>
            <w:r w:rsidRPr="00EF56D0">
              <w:rPr>
                <w:highlight w:val="yellow"/>
              </w:rPr>
              <w:t xml:space="preserve">Jakie są wymagania prawne dotyczące treści ewaluacji i wybranych tematów? </w:t>
            </w:r>
          </w:p>
          <w:p w:rsidR="001924CD" w:rsidRPr="00EF56D0" w:rsidRDefault="001924CD" w:rsidP="001924CD">
            <w:pPr>
              <w:pStyle w:val="Hlistbullet"/>
              <w:rPr>
                <w:highlight w:val="yellow"/>
              </w:rPr>
            </w:pPr>
            <w:r w:rsidRPr="00EF56D0">
              <w:rPr>
                <w:highlight w:val="yellow"/>
              </w:rPr>
              <w:t xml:space="preserve">Czy wybrane tematy były uprzednio przedmiotem ewaluacji, oceny lub badania? </w:t>
            </w:r>
          </w:p>
          <w:p w:rsidR="001924CD" w:rsidRPr="00EF56D0" w:rsidRDefault="001924CD" w:rsidP="001924CD">
            <w:pPr>
              <w:pStyle w:val="Hlistbullet2"/>
              <w:rPr>
                <w:highlight w:val="yellow"/>
              </w:rPr>
            </w:pPr>
            <w:r w:rsidRPr="00EF56D0">
              <w:rPr>
                <w:highlight w:val="yellow"/>
              </w:rPr>
              <w:t xml:space="preserve">Jakie są główne braki w wiedzy związanej z KSOW/PKSOW oraz wybranymi tematami? </w:t>
            </w:r>
          </w:p>
        </w:tc>
      </w:tr>
    </w:tbl>
    <w:p w:rsidR="001924CD" w:rsidRPr="008A4203" w:rsidRDefault="001924CD" w:rsidP="00FC0A30">
      <w:pPr>
        <w:pStyle w:val="HHeading5"/>
      </w:pPr>
      <w:r w:rsidRPr="00EF56D0">
        <w:rPr>
          <w:highlight w:val="yellow"/>
        </w:rPr>
        <w:t>Krok 4 – Sporządzenie planów komunikacji i budowania zdolności</w:t>
      </w:r>
    </w:p>
    <w:p w:rsidR="001924CD" w:rsidRPr="00EF56D0" w:rsidRDefault="001924CD" w:rsidP="003E2220">
      <w:pPr>
        <w:pStyle w:val="HStandard"/>
        <w:rPr>
          <w:b/>
          <w:highlight w:val="yellow"/>
        </w:rPr>
      </w:pPr>
      <w:r w:rsidRPr="00EF56D0">
        <w:rPr>
          <w:b/>
          <w:highlight w:val="yellow"/>
        </w:rPr>
        <w:t>Plan komunikacji</w:t>
      </w:r>
    </w:p>
    <w:p w:rsidR="001924CD" w:rsidRPr="00EF56D0" w:rsidRDefault="001924CD" w:rsidP="003E2220">
      <w:pPr>
        <w:pStyle w:val="HStandard"/>
        <w:rPr>
          <w:highlight w:val="yellow"/>
        </w:rPr>
      </w:pPr>
      <w:r w:rsidRPr="00EF56D0">
        <w:rPr>
          <w:highlight w:val="yellow"/>
        </w:rPr>
        <w:t xml:space="preserve">Komunikacja jest kluczowym elementem ewaluacji. Działania komunikacyjne należy zatem zaplanować już na jej wczesnym etapie. Rozliczalność wobec zainteresowanych podmiotów i szerzej rozumianej opinii publicznej jest jednym z głównych powodów, dla których przeprowadza się ewaluację. W związku z tym wyniki ewaluacji należy przedstawić docelowym odbiorcom. W tym celu każdej ewaluacji powinien towarzyszyć plan komunikacji. Powinien on powstać na początku procesu ewaluacji, a jego wdrażanie </w:t>
      </w:r>
      <w:r w:rsidRPr="00EF56D0">
        <w:rPr>
          <w:highlight w:val="yellow"/>
        </w:rPr>
        <w:lastRenderedPageBreak/>
        <w:t>powinno rozpocząć się natychmiast po zakończeniu ewaluacji. Zamawiający odpowiada za opracowanie i wdrożenie planu komunikacji ustaleń i wniosków z ewaluacji. Podmiot odpowiedzialny za ogólną komunikację w ramach PROW (jednostka w ministerstwie lub IZ, JWS, wykonawca itp.) jest zwykle wystarczająco dobrze wyposażony, by móc przekazywać wyniki ewaluacji szerszej publiczności. JWS, członkowie sieci i grupa sterująca ds. ewaluacji może wesprzeć IZ w komunikowaniu wyników ewaluacji zainteresowanym stronom PROW. Informowanie o wynikach ewaluacji należy uwzględnić w planie komunikacji KSOW/PKSOW, który jest wymaganym elementem planu działania sieci.</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EF56D0" w:rsidTr="00FC0A30">
        <w:trPr>
          <w:jc w:val="center"/>
        </w:trPr>
        <w:tc>
          <w:tcPr>
            <w:tcW w:w="9016" w:type="dxa"/>
            <w:shd w:val="clear" w:color="auto" w:fill="F5F4F4" w:themeFill="background2" w:themeFillTint="66"/>
          </w:tcPr>
          <w:p w:rsidR="001924CD" w:rsidRPr="00EF56D0" w:rsidRDefault="001924CD" w:rsidP="00F26F45">
            <w:pPr>
              <w:pStyle w:val="HStandard"/>
              <w:rPr>
                <w:highlight w:val="yellow"/>
              </w:rPr>
            </w:pPr>
            <w:r w:rsidRPr="00EF56D0">
              <w:rPr>
                <w:highlight w:val="yellow"/>
              </w:rPr>
              <w:t xml:space="preserve">Przy opracowywaniu metodologii komunikacji należy odpowiedzieć na następujące główne pytania: </w:t>
            </w:r>
          </w:p>
          <w:p w:rsidR="001924CD" w:rsidRPr="00EF56D0" w:rsidRDefault="001924CD" w:rsidP="001924CD">
            <w:pPr>
              <w:pStyle w:val="Hlistbullet"/>
              <w:rPr>
                <w:highlight w:val="yellow"/>
              </w:rPr>
            </w:pPr>
            <w:r w:rsidRPr="00EF56D0">
              <w:rPr>
                <w:highlight w:val="yellow"/>
              </w:rPr>
              <w:t>Kim są odbiorcy docelowi? Kto jest zainteresowany ewaluacją KSOW?</w:t>
            </w:r>
          </w:p>
          <w:p w:rsidR="001924CD" w:rsidRPr="00EF56D0" w:rsidRDefault="001924CD" w:rsidP="001924CD">
            <w:pPr>
              <w:pStyle w:val="Hlistbullet"/>
              <w:rPr>
                <w:highlight w:val="yellow"/>
              </w:rPr>
            </w:pPr>
            <w:r w:rsidRPr="00EF56D0">
              <w:rPr>
                <w:highlight w:val="yellow"/>
              </w:rPr>
              <w:t>Co konkretnie ich interesuje?</w:t>
            </w:r>
          </w:p>
          <w:p w:rsidR="001924CD" w:rsidRPr="00EF56D0" w:rsidRDefault="001924CD" w:rsidP="001924CD">
            <w:pPr>
              <w:pStyle w:val="Hlistbullet"/>
              <w:rPr>
                <w:highlight w:val="yellow"/>
              </w:rPr>
            </w:pPr>
            <w:r w:rsidRPr="00EF56D0">
              <w:rPr>
                <w:highlight w:val="yellow"/>
              </w:rPr>
              <w:t>Które kanały komunikacji pozwalają najlepiej dotrzeć do poszczególnych grup docelowych?</w:t>
            </w:r>
          </w:p>
          <w:p w:rsidR="001924CD" w:rsidRPr="00EF56D0" w:rsidRDefault="001924CD" w:rsidP="001924CD">
            <w:pPr>
              <w:pStyle w:val="Hlistbullet"/>
              <w:rPr>
                <w:highlight w:val="yellow"/>
              </w:rPr>
            </w:pPr>
            <w:r w:rsidRPr="00EF56D0">
              <w:rPr>
                <w:highlight w:val="yellow"/>
              </w:rPr>
              <w:t>Jaki styl komunikacji jest wymagany dla każdej z grup docelowych?</w:t>
            </w:r>
          </w:p>
          <w:p w:rsidR="001924CD" w:rsidRPr="00EF56D0" w:rsidRDefault="001924CD" w:rsidP="001924CD">
            <w:pPr>
              <w:pStyle w:val="Hlistbullet"/>
              <w:rPr>
                <w:highlight w:val="yellow"/>
              </w:rPr>
            </w:pPr>
            <w:r w:rsidRPr="00EF56D0">
              <w:rPr>
                <w:highlight w:val="yellow"/>
              </w:rPr>
              <w:t>Kiedy komunikacja powinna mieć miejsce?</w:t>
            </w:r>
          </w:p>
          <w:p w:rsidR="001924CD" w:rsidRPr="00EF56D0" w:rsidRDefault="001924CD" w:rsidP="001924CD">
            <w:pPr>
              <w:pStyle w:val="Hlistbullet2"/>
              <w:rPr>
                <w:highlight w:val="yellow"/>
              </w:rPr>
            </w:pPr>
            <w:r w:rsidRPr="00EF56D0">
              <w:rPr>
                <w:highlight w:val="yellow"/>
              </w:rPr>
              <w:t>Kto odpowiada za przekazywanie poszczególnych informacji różnym grupom docelowym?</w:t>
            </w:r>
          </w:p>
        </w:tc>
      </w:tr>
    </w:tbl>
    <w:p w:rsidR="001924CD" w:rsidRPr="00EF56D0" w:rsidRDefault="001924CD" w:rsidP="000C5FAA">
      <w:pPr>
        <w:pStyle w:val="HStandard"/>
        <w:rPr>
          <w:highlight w:val="yellow"/>
        </w:rPr>
      </w:pPr>
      <w:r w:rsidRPr="00EF56D0">
        <w:rPr>
          <w:highlight w:val="yellow"/>
        </w:rPr>
        <w:t>Plan komunikacji można podsumować w formie tabeli (</w:t>
      </w:r>
      <w:r w:rsidRPr="00EF56D0">
        <w:rPr>
          <w:highlight w:val="yellow"/>
        </w:rPr>
        <w:fldChar w:fldCharType="begin" w:fldLock="1"/>
      </w:r>
      <w:r w:rsidRPr="00EF56D0">
        <w:rPr>
          <w:highlight w:val="yellow"/>
        </w:rPr>
        <w:instrText xml:space="preserve"> REF _Ref435790833 \r \h  \* MERGEFORMAT </w:instrText>
      </w:r>
      <w:r w:rsidRPr="00EF56D0">
        <w:rPr>
          <w:highlight w:val="yellow"/>
        </w:rPr>
      </w:r>
      <w:r w:rsidRPr="00EF56D0">
        <w:rPr>
          <w:highlight w:val="yellow"/>
        </w:rPr>
        <w:fldChar w:fldCharType="separate"/>
      </w:r>
      <w:r w:rsidRPr="00EF56D0">
        <w:rPr>
          <w:highlight w:val="yellow"/>
        </w:rPr>
        <w:t>Table 2</w:t>
      </w:r>
      <w:r w:rsidRPr="00EF56D0">
        <w:rPr>
          <w:highlight w:val="yellow"/>
        </w:rPr>
        <w:fldChar w:fldCharType="end"/>
      </w:r>
      <w:r w:rsidRPr="00EF56D0">
        <w:rPr>
          <w:highlight w:val="yellow"/>
        </w:rPr>
        <w:t>). Dalsze informacje na temat opracowania planu komunikacji można znaleźć w przewodniku KSOW</w:t>
      </w:r>
      <w:r w:rsidRPr="00EF56D0">
        <w:rPr>
          <w:rFonts w:ascii="ZWAdobeF" w:hAnsi="ZWAdobeF"/>
          <w:color w:val="auto"/>
          <w:sz w:val="2"/>
          <w:highlight w:val="yellow"/>
        </w:rPr>
        <w:t>64F</w:t>
      </w:r>
      <w:r w:rsidRPr="00EF56D0">
        <w:rPr>
          <w:rStyle w:val="FootnoteReference"/>
          <w:highlight w:val="yellow"/>
        </w:rPr>
        <w:footnoteReference w:id="65"/>
      </w:r>
      <w:r w:rsidRPr="00EF56D0">
        <w:rPr>
          <w:highlight w:val="yellow"/>
        </w:rPr>
        <w:t xml:space="preserve">. </w:t>
      </w:r>
    </w:p>
    <w:p w:rsidR="001924CD" w:rsidRPr="00EF56D0" w:rsidRDefault="001924CD" w:rsidP="001249DA">
      <w:pPr>
        <w:pStyle w:val="HHeadingtables"/>
        <w:rPr>
          <w:highlight w:val="yellow"/>
        </w:rPr>
      </w:pPr>
      <w:bookmarkStart w:id="98" w:name="_Ref435790833"/>
      <w:bookmarkStart w:id="99" w:name="_Toc436383143"/>
      <w:bookmarkStart w:id="100" w:name="_Toc451781906"/>
      <w:bookmarkStart w:id="101" w:name="_Toc461807129"/>
      <w:r w:rsidRPr="00EF56D0">
        <w:rPr>
          <w:highlight w:val="yellow"/>
        </w:rPr>
        <w:t>Plan komunikacji dotyczący ewaluacji</w:t>
      </w:r>
      <w:bookmarkEnd w:id="98"/>
      <w:bookmarkEnd w:id="99"/>
      <w:bookmarkEnd w:id="100"/>
      <w:bookmarkEnd w:id="101"/>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54"/>
        <w:gridCol w:w="1683"/>
        <w:gridCol w:w="1683"/>
        <w:gridCol w:w="1683"/>
        <w:gridCol w:w="1683"/>
      </w:tblGrid>
      <w:tr w:rsidR="001924CD" w:rsidRPr="00EF56D0" w:rsidTr="00387681">
        <w:trPr>
          <w:trHeight w:val="372"/>
          <w:jc w:val="center"/>
        </w:trPr>
        <w:tc>
          <w:tcPr>
            <w:tcW w:w="2254" w:type="dxa"/>
            <w:shd w:val="clear" w:color="auto" w:fill="E7E6E6" w:themeFill="background2"/>
          </w:tcPr>
          <w:p w:rsidR="001924CD" w:rsidRPr="00EF56D0" w:rsidRDefault="001924CD" w:rsidP="006A75AC">
            <w:pPr>
              <w:pStyle w:val="Htableleftbolt"/>
              <w:rPr>
                <w:rFonts w:cs="Arial"/>
                <w:color w:val="5B9BD5" w:themeColor="accent1"/>
                <w:highlight w:val="yellow"/>
              </w:rPr>
            </w:pPr>
            <w:r w:rsidRPr="00EF56D0">
              <w:rPr>
                <w:color w:val="5B9BD5" w:themeColor="accent1"/>
                <w:highlight w:val="yellow"/>
              </w:rPr>
              <w:t>Kto?</w:t>
            </w:r>
          </w:p>
        </w:tc>
        <w:tc>
          <w:tcPr>
            <w:tcW w:w="1683" w:type="dxa"/>
            <w:shd w:val="clear" w:color="auto" w:fill="E7E6E6" w:themeFill="background2"/>
          </w:tcPr>
          <w:p w:rsidR="001924CD" w:rsidRPr="00EF56D0" w:rsidRDefault="001924CD" w:rsidP="006A75AC">
            <w:pPr>
              <w:pStyle w:val="Htableleftbolt"/>
              <w:rPr>
                <w:rFonts w:cs="Arial"/>
                <w:color w:val="5B9BD5" w:themeColor="accent1"/>
                <w:highlight w:val="yellow"/>
              </w:rPr>
            </w:pPr>
            <w:r w:rsidRPr="00EF56D0">
              <w:rPr>
                <w:color w:val="5B9BD5" w:themeColor="accent1"/>
                <w:highlight w:val="yellow"/>
              </w:rPr>
              <w:t>Co?</w:t>
            </w:r>
          </w:p>
        </w:tc>
        <w:tc>
          <w:tcPr>
            <w:tcW w:w="1683" w:type="dxa"/>
            <w:shd w:val="clear" w:color="auto" w:fill="E7E6E6" w:themeFill="background2"/>
          </w:tcPr>
          <w:p w:rsidR="001924CD" w:rsidRPr="00EF56D0" w:rsidRDefault="001924CD" w:rsidP="006A75AC">
            <w:pPr>
              <w:pStyle w:val="Htableleftbolt"/>
              <w:rPr>
                <w:rFonts w:cs="Arial"/>
                <w:color w:val="5B9BD5" w:themeColor="accent1"/>
                <w:highlight w:val="yellow"/>
              </w:rPr>
            </w:pPr>
            <w:r w:rsidRPr="00EF56D0">
              <w:rPr>
                <w:color w:val="5B9BD5" w:themeColor="accent1"/>
                <w:highlight w:val="yellow"/>
              </w:rPr>
              <w:t>Jak?</w:t>
            </w:r>
          </w:p>
        </w:tc>
        <w:tc>
          <w:tcPr>
            <w:tcW w:w="1683" w:type="dxa"/>
            <w:shd w:val="clear" w:color="auto" w:fill="E7E6E6" w:themeFill="background2"/>
          </w:tcPr>
          <w:p w:rsidR="001924CD" w:rsidRPr="00EF56D0" w:rsidRDefault="001924CD" w:rsidP="006A75AC">
            <w:pPr>
              <w:pStyle w:val="Htableleftbolt"/>
              <w:rPr>
                <w:rFonts w:cs="Arial"/>
                <w:color w:val="5B9BD5" w:themeColor="accent1"/>
                <w:highlight w:val="yellow"/>
              </w:rPr>
            </w:pPr>
            <w:r w:rsidRPr="00EF56D0">
              <w:rPr>
                <w:color w:val="5B9BD5" w:themeColor="accent1"/>
                <w:highlight w:val="yellow"/>
              </w:rPr>
              <w:t>Kiedy?</w:t>
            </w:r>
          </w:p>
        </w:tc>
        <w:tc>
          <w:tcPr>
            <w:tcW w:w="1683" w:type="dxa"/>
            <w:shd w:val="clear" w:color="auto" w:fill="E7E6E6" w:themeFill="background2"/>
          </w:tcPr>
          <w:p w:rsidR="001924CD" w:rsidRPr="00EF56D0" w:rsidRDefault="001924CD" w:rsidP="006A75AC">
            <w:pPr>
              <w:pStyle w:val="Htableleftbolt"/>
              <w:rPr>
                <w:rFonts w:cs="Arial"/>
                <w:color w:val="5B9BD5" w:themeColor="accent1"/>
                <w:highlight w:val="yellow"/>
              </w:rPr>
            </w:pPr>
            <w:r w:rsidRPr="00EF56D0">
              <w:rPr>
                <w:color w:val="5B9BD5" w:themeColor="accent1"/>
                <w:highlight w:val="yellow"/>
              </w:rPr>
              <w:t>Przez kogo realizowany?</w:t>
            </w:r>
          </w:p>
        </w:tc>
      </w:tr>
      <w:tr w:rsidR="001924CD" w:rsidRPr="00EF56D0" w:rsidTr="00387681">
        <w:trPr>
          <w:trHeight w:val="1233"/>
          <w:jc w:val="center"/>
        </w:trPr>
        <w:tc>
          <w:tcPr>
            <w:tcW w:w="2254" w:type="dxa"/>
            <w:shd w:val="clear" w:color="auto" w:fill="auto"/>
          </w:tcPr>
          <w:p w:rsidR="001924CD" w:rsidRPr="00EF56D0" w:rsidRDefault="001924CD" w:rsidP="00B62FBF">
            <w:pPr>
              <w:pStyle w:val="Htableleft"/>
              <w:rPr>
                <w:rFonts w:cs="Arial"/>
                <w:color w:val="576C88" w:themeColor="text2" w:themeTint="D9"/>
                <w:highlight w:val="yellow"/>
              </w:rPr>
            </w:pPr>
            <w:r w:rsidRPr="00EF56D0">
              <w:rPr>
                <w:color w:val="576C88" w:themeColor="text2" w:themeTint="D9"/>
                <w:highlight w:val="yellow"/>
              </w:rPr>
              <w:t xml:space="preserve">Grupa docelowa (np. decydenci, zainteresowane strony, opinia publiczna) </w:t>
            </w:r>
          </w:p>
        </w:tc>
        <w:tc>
          <w:tcPr>
            <w:tcW w:w="1683" w:type="dxa"/>
            <w:shd w:val="clear" w:color="auto" w:fill="auto"/>
          </w:tcPr>
          <w:p w:rsidR="001924CD" w:rsidRPr="00EF56D0" w:rsidRDefault="001924CD" w:rsidP="00B62FBF">
            <w:pPr>
              <w:pStyle w:val="Htableleft"/>
              <w:rPr>
                <w:rFonts w:cs="Arial"/>
                <w:color w:val="576C88" w:themeColor="text2" w:themeTint="D9"/>
                <w:highlight w:val="yellow"/>
              </w:rPr>
            </w:pPr>
            <w:r w:rsidRPr="00EF56D0">
              <w:rPr>
                <w:color w:val="576C88" w:themeColor="text2" w:themeTint="D9"/>
                <w:highlight w:val="yellow"/>
              </w:rPr>
              <w:t>Temat interesujący dla grupy docelowej</w:t>
            </w:r>
          </w:p>
        </w:tc>
        <w:tc>
          <w:tcPr>
            <w:tcW w:w="1683" w:type="dxa"/>
            <w:shd w:val="clear" w:color="auto" w:fill="auto"/>
          </w:tcPr>
          <w:p w:rsidR="001924CD" w:rsidRPr="00EF56D0" w:rsidRDefault="001924CD" w:rsidP="00B62FBF">
            <w:pPr>
              <w:pStyle w:val="Htableleft"/>
              <w:rPr>
                <w:rFonts w:cs="Arial"/>
                <w:color w:val="576C88" w:themeColor="text2" w:themeTint="D9"/>
                <w:highlight w:val="yellow"/>
              </w:rPr>
            </w:pPr>
            <w:r w:rsidRPr="00EF56D0">
              <w:rPr>
                <w:color w:val="576C88" w:themeColor="text2" w:themeTint="D9"/>
                <w:highlight w:val="yellow"/>
              </w:rPr>
              <w:t>Kanał(y) komunikacji</w:t>
            </w:r>
          </w:p>
        </w:tc>
        <w:tc>
          <w:tcPr>
            <w:tcW w:w="1683" w:type="dxa"/>
            <w:shd w:val="clear" w:color="auto" w:fill="auto"/>
          </w:tcPr>
          <w:p w:rsidR="001924CD" w:rsidRPr="00EF56D0" w:rsidRDefault="001924CD" w:rsidP="00B62FBF">
            <w:pPr>
              <w:pStyle w:val="Htableleft"/>
              <w:rPr>
                <w:rFonts w:cs="Arial"/>
                <w:color w:val="576C88" w:themeColor="text2" w:themeTint="D9"/>
                <w:highlight w:val="yellow"/>
              </w:rPr>
            </w:pPr>
            <w:r w:rsidRPr="00EF56D0">
              <w:rPr>
                <w:color w:val="576C88" w:themeColor="text2" w:themeTint="D9"/>
                <w:highlight w:val="yellow"/>
              </w:rPr>
              <w:t>Harmonogram i częstotliwość komunikacji</w:t>
            </w:r>
          </w:p>
        </w:tc>
        <w:tc>
          <w:tcPr>
            <w:tcW w:w="1683" w:type="dxa"/>
            <w:shd w:val="clear" w:color="auto" w:fill="auto"/>
          </w:tcPr>
          <w:p w:rsidR="001924CD" w:rsidRPr="00EF56D0" w:rsidRDefault="001924CD" w:rsidP="00B62FBF">
            <w:pPr>
              <w:pStyle w:val="Htableleft"/>
              <w:rPr>
                <w:rFonts w:cs="Arial"/>
                <w:color w:val="576C88" w:themeColor="text2" w:themeTint="D9"/>
                <w:highlight w:val="yellow"/>
              </w:rPr>
            </w:pPr>
            <w:r w:rsidRPr="00EF56D0">
              <w:rPr>
                <w:color w:val="576C88" w:themeColor="text2" w:themeTint="D9"/>
                <w:highlight w:val="yellow"/>
              </w:rPr>
              <w:t xml:space="preserve">Odpowiedzialność za komunikację </w:t>
            </w:r>
          </w:p>
        </w:tc>
      </w:tr>
    </w:tbl>
    <w:p w:rsidR="001924CD" w:rsidRPr="00EF56D0" w:rsidRDefault="001924CD" w:rsidP="008768CB">
      <w:pPr>
        <w:pStyle w:val="HStandard"/>
        <w:rPr>
          <w:b/>
          <w:highlight w:val="yellow"/>
        </w:rPr>
      </w:pPr>
      <w:r w:rsidRPr="00EF56D0">
        <w:rPr>
          <w:b/>
          <w:highlight w:val="yellow"/>
        </w:rPr>
        <w:t>Plan budowania zdolności</w:t>
      </w:r>
    </w:p>
    <w:p w:rsidR="001924CD" w:rsidRPr="00EF56D0" w:rsidRDefault="001924CD" w:rsidP="008768CB">
      <w:pPr>
        <w:pStyle w:val="HStandard"/>
        <w:rPr>
          <w:highlight w:val="yellow"/>
        </w:rPr>
      </w:pPr>
      <w:r w:rsidRPr="00EF56D0">
        <w:rPr>
          <w:highlight w:val="yellow"/>
        </w:rPr>
        <w:t>Budowanie zdolności zazwyczaj definiuje się jako wzmocnienie i rozwijanie zasobów ludzkich i instytucjonalnych. Budowanie zdolności ewaluacyjnych łączy zatem doskonalenie wiedzy i umiejętności poszczególnych osób ze wzmocnieniem mechanizmów organizacyjnych związanych z ewaluacją, czyli wprowadzonych systemów i procesów.</w:t>
      </w:r>
    </w:p>
    <w:p w:rsidR="001924CD" w:rsidRPr="00EF56D0" w:rsidRDefault="001924CD" w:rsidP="008768CB">
      <w:pPr>
        <w:pStyle w:val="HStandard"/>
        <w:rPr>
          <w:highlight w:val="yellow"/>
        </w:rPr>
      </w:pPr>
      <w:r w:rsidRPr="00EF56D0">
        <w:rPr>
          <w:highlight w:val="yellow"/>
        </w:rPr>
        <w:t>Budowanie zdolności ewaluacyjnych w zakresie zasobów ludzkich rozpoczyna się od określenia grup docelowych (np. IZ, AP, decydenci, JWS, LGD i inni członkowie KSOW) oraz oceny ich umiejętności ewaluacyjnych, zapotrzebowania na informacje i poziomu wiedzy (</w:t>
      </w:r>
      <w:r w:rsidRPr="00EF56D0">
        <w:rPr>
          <w:highlight w:val="yellow"/>
        </w:rPr>
        <w:fldChar w:fldCharType="begin" w:fldLock="1"/>
      </w:r>
      <w:r w:rsidRPr="00EF56D0">
        <w:rPr>
          <w:highlight w:val="yellow"/>
        </w:rPr>
        <w:instrText xml:space="preserve"> REF _Ref451784915 \r \h  \* MERGEFORMAT </w:instrText>
      </w:r>
      <w:r w:rsidRPr="00EF56D0">
        <w:rPr>
          <w:highlight w:val="yellow"/>
        </w:rPr>
      </w:r>
      <w:r w:rsidRPr="00EF56D0">
        <w:rPr>
          <w:highlight w:val="yellow"/>
        </w:rPr>
        <w:fldChar w:fldCharType="separate"/>
      </w:r>
      <w:r w:rsidRPr="00EF56D0">
        <w:rPr>
          <w:highlight w:val="yellow"/>
        </w:rPr>
        <w:t>Table 4</w:t>
      </w:r>
      <w:r w:rsidRPr="00EF56D0">
        <w:rPr>
          <w:highlight w:val="yellow"/>
        </w:rPr>
        <w:fldChar w:fldCharType="end"/>
      </w:r>
      <w:r w:rsidRPr="00EF56D0">
        <w:rPr>
          <w:highlight w:val="yellow"/>
        </w:rPr>
        <w:t>). W niektórych państwach członkowskich KSOW ma za zadanie zwiększyć zdolności ewaluacyjne LGD. W takim przypadku LGD musi być uwzględniona w każdym planie budowania zdolności.</w:t>
      </w:r>
    </w:p>
    <w:p w:rsidR="001924CD" w:rsidRPr="00EF56D0" w:rsidRDefault="001924CD" w:rsidP="008768CB">
      <w:pPr>
        <w:pStyle w:val="HStandard"/>
        <w:rPr>
          <w:highlight w:val="yellow"/>
        </w:rPr>
      </w:pPr>
      <w:r w:rsidRPr="00EF56D0">
        <w:rPr>
          <w:highlight w:val="yellow"/>
        </w:rPr>
        <w:t xml:space="preserve">Budowanie zdolności ewaluacyjnych w odniesieniu do organizacji wiąże się natomiast z udoskonalaniem procesu uczenia się organizacyjnego i mechanizmów wsparcia ewaluacji. Uczenie się organizacyjne oznacza, że organizacja obserwuje swoje działania i stara się je doskonalić we wszystkich aspektach. Dokumentacja prowadzonych działań ma również na celu zapewnienie, by procesy i zadania były jasno określone, a wiedza pozostała w obrębie organizacji nawet w przypadku zmiany personelu. Zapewnienie jakości (zob. rozdział 2.2.3) i wykorzystanie wyników ewaluacji (zob. rozdział 2.2.4) są integralną częścią procesu uczenia się organizacyjnego. </w:t>
      </w:r>
    </w:p>
    <w:p w:rsidR="001924CD" w:rsidRPr="00EF56D0" w:rsidRDefault="001924CD" w:rsidP="008768CB">
      <w:pPr>
        <w:pStyle w:val="HStandard"/>
        <w:rPr>
          <w:highlight w:val="yellow"/>
        </w:rPr>
      </w:pPr>
      <w:r w:rsidRPr="00EF56D0">
        <w:rPr>
          <w:highlight w:val="yellow"/>
        </w:rPr>
        <w:lastRenderedPageBreak/>
        <w:t xml:space="preserve">Gdy ustalone zostaną główne potrzeby w zakresie budowania zdolności ewaluacyjnych, możliwe jest zaprojektowanie działań na rzecz rozwijania takich zdolności, uzgodnienie terminów ich realizacji oraz osób odpowiedzialnych. Plan budowania zdolności ewaluacyjnych powinien być opracowany przez zamawiającego (IZ lub JWS). </w:t>
      </w:r>
    </w:p>
    <w:tbl>
      <w:tblPr>
        <w:tblStyle w:val="TableGrid"/>
        <w:tblW w:w="0" w:type="auto"/>
        <w:tblInd w:w="-5"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21"/>
      </w:tblGrid>
      <w:tr w:rsidR="001924CD" w:rsidRPr="00EF56D0" w:rsidTr="00FC0A30">
        <w:tc>
          <w:tcPr>
            <w:tcW w:w="9021" w:type="dxa"/>
            <w:shd w:val="clear" w:color="auto" w:fill="F5F4F4" w:themeFill="background2" w:themeFillTint="66"/>
          </w:tcPr>
          <w:p w:rsidR="001924CD" w:rsidRPr="00EF56D0" w:rsidRDefault="001924CD" w:rsidP="00F26F45">
            <w:pPr>
              <w:pStyle w:val="HStandard"/>
              <w:rPr>
                <w:highlight w:val="yellow"/>
              </w:rPr>
            </w:pPr>
            <w:r w:rsidRPr="00EF56D0">
              <w:rPr>
                <w:highlight w:val="yellow"/>
              </w:rPr>
              <w:t xml:space="preserve">Pytania dotyczące budowania zdolności ewaluacyjnych w odniesieniu do </w:t>
            </w:r>
          </w:p>
          <w:p w:rsidR="001924CD" w:rsidRPr="00EF56D0" w:rsidRDefault="001924CD" w:rsidP="00F26F45">
            <w:pPr>
              <w:pStyle w:val="HStandard"/>
              <w:rPr>
                <w:highlight w:val="yellow"/>
              </w:rPr>
            </w:pPr>
            <w:r w:rsidRPr="00EF56D0">
              <w:rPr>
                <w:highlight w:val="yellow"/>
              </w:rPr>
              <w:t>Osób fizycznych:</w:t>
            </w:r>
          </w:p>
          <w:p w:rsidR="001924CD" w:rsidRPr="00EF56D0" w:rsidRDefault="001924CD" w:rsidP="001924CD">
            <w:pPr>
              <w:pStyle w:val="Hlistbullet"/>
              <w:rPr>
                <w:highlight w:val="yellow"/>
              </w:rPr>
            </w:pPr>
            <w:r w:rsidRPr="00EF56D0">
              <w:rPr>
                <w:highlight w:val="yellow"/>
              </w:rPr>
              <w:t>Kim są główne osoby związane z ewaluacją KSOW?</w:t>
            </w:r>
          </w:p>
          <w:p w:rsidR="001924CD" w:rsidRPr="00EF56D0" w:rsidRDefault="001924CD" w:rsidP="001924CD">
            <w:pPr>
              <w:pStyle w:val="Hlistbullet"/>
              <w:rPr>
                <w:highlight w:val="yellow"/>
              </w:rPr>
            </w:pPr>
            <w:r w:rsidRPr="00EF56D0">
              <w:rPr>
                <w:highlight w:val="yellow"/>
              </w:rPr>
              <w:t>Co muszą wiedzieć o ewaluacji?</w:t>
            </w:r>
          </w:p>
          <w:p w:rsidR="001924CD" w:rsidRPr="00EF56D0" w:rsidRDefault="001924CD" w:rsidP="001924CD">
            <w:pPr>
              <w:pStyle w:val="Hlistbullet"/>
              <w:rPr>
                <w:highlight w:val="yellow"/>
              </w:rPr>
            </w:pPr>
            <w:r w:rsidRPr="00EF56D0">
              <w:rPr>
                <w:highlight w:val="yellow"/>
              </w:rPr>
              <w:t>Jaki jest ich obecny poziom wiedzy na temat ewaluacji?</w:t>
            </w:r>
          </w:p>
          <w:p w:rsidR="001924CD" w:rsidRPr="00EF56D0" w:rsidRDefault="001924CD" w:rsidP="001924CD">
            <w:pPr>
              <w:pStyle w:val="Hlistbullet"/>
              <w:rPr>
                <w:highlight w:val="yellow"/>
              </w:rPr>
            </w:pPr>
            <w:r w:rsidRPr="00EF56D0">
              <w:rPr>
                <w:highlight w:val="yellow"/>
              </w:rPr>
              <w:t>Jaka wiedza jest wciąż potrzebna? Jakie są najważniejsze potrzeby w zakresie budowania zdolności?</w:t>
            </w:r>
          </w:p>
          <w:p w:rsidR="001924CD" w:rsidRPr="00EF56D0" w:rsidRDefault="001924CD" w:rsidP="001924CD">
            <w:pPr>
              <w:pStyle w:val="Hlistbullet"/>
              <w:rPr>
                <w:highlight w:val="yellow"/>
              </w:rPr>
            </w:pPr>
            <w:r w:rsidRPr="00EF56D0">
              <w:rPr>
                <w:highlight w:val="yellow"/>
              </w:rPr>
              <w:t>Które formy budowania zdolności najlepiej odpowiadają określonym potrzebom?</w:t>
            </w:r>
          </w:p>
          <w:p w:rsidR="001924CD" w:rsidRPr="00EF56D0" w:rsidRDefault="001924CD" w:rsidP="001924CD">
            <w:pPr>
              <w:pStyle w:val="Hlistbullet"/>
              <w:rPr>
                <w:highlight w:val="yellow"/>
              </w:rPr>
            </w:pPr>
            <w:r w:rsidRPr="00EF56D0">
              <w:rPr>
                <w:highlight w:val="yellow"/>
              </w:rPr>
              <w:t>Kiedy powinny być realizowane działania z zakresu budowania zdolności?</w:t>
            </w:r>
          </w:p>
          <w:p w:rsidR="001924CD" w:rsidRPr="00EF56D0" w:rsidRDefault="001924CD" w:rsidP="001924CD">
            <w:pPr>
              <w:pStyle w:val="Hlistbullet"/>
              <w:rPr>
                <w:highlight w:val="yellow"/>
              </w:rPr>
            </w:pPr>
            <w:r w:rsidRPr="00EF56D0">
              <w:rPr>
                <w:highlight w:val="yellow"/>
              </w:rPr>
              <w:t>Kto odpowiada za organizowanie działań z zakresu budowania zdolności? Kto je prowadzi? Czy potrzebni są trenerzy zewnętrzni?</w:t>
            </w:r>
          </w:p>
          <w:p w:rsidR="001924CD" w:rsidRPr="00EF56D0" w:rsidRDefault="001924CD" w:rsidP="00F26F45">
            <w:pPr>
              <w:pStyle w:val="HStandard"/>
              <w:rPr>
                <w:highlight w:val="yellow"/>
              </w:rPr>
            </w:pPr>
            <w:r w:rsidRPr="00EF56D0">
              <w:rPr>
                <w:highlight w:val="yellow"/>
              </w:rPr>
              <w:t xml:space="preserve">Organizacji: </w:t>
            </w:r>
          </w:p>
          <w:p w:rsidR="001924CD" w:rsidRPr="00EF56D0" w:rsidRDefault="001924CD" w:rsidP="001924CD">
            <w:pPr>
              <w:pStyle w:val="Hlistbullet"/>
              <w:rPr>
                <w:highlight w:val="yellow"/>
              </w:rPr>
            </w:pPr>
            <w:r w:rsidRPr="00EF56D0">
              <w:rPr>
                <w:highlight w:val="yellow"/>
              </w:rPr>
              <w:t xml:space="preserve">W jaki sposób możemy wykorzystać ewaluację do poprawy polityki? </w:t>
            </w:r>
          </w:p>
          <w:p w:rsidR="001924CD" w:rsidRPr="00EF56D0" w:rsidRDefault="001924CD" w:rsidP="001924CD">
            <w:pPr>
              <w:pStyle w:val="Hlistbullet"/>
              <w:rPr>
                <w:highlight w:val="yellow"/>
              </w:rPr>
            </w:pPr>
            <w:r w:rsidRPr="00EF56D0">
              <w:rPr>
                <w:highlight w:val="yellow"/>
              </w:rPr>
              <w:t>W jaki sposób możemy uczynić ewaluację integralną częścią procesu rocznego planowania?</w:t>
            </w:r>
          </w:p>
          <w:p w:rsidR="001924CD" w:rsidRPr="00EF56D0" w:rsidRDefault="001924CD" w:rsidP="001924CD">
            <w:pPr>
              <w:pStyle w:val="Hlistbullet"/>
              <w:rPr>
                <w:highlight w:val="yellow"/>
              </w:rPr>
            </w:pPr>
            <w:r w:rsidRPr="00EF56D0">
              <w:rPr>
                <w:highlight w:val="yellow"/>
              </w:rPr>
              <w:t xml:space="preserve">Jakie są konkretne kroki monitorowania realizacji wniosków z ewaluacji? </w:t>
            </w:r>
          </w:p>
          <w:p w:rsidR="001924CD" w:rsidRPr="00EF56D0" w:rsidRDefault="001924CD" w:rsidP="001924CD">
            <w:pPr>
              <w:pStyle w:val="Hlistbullet"/>
              <w:rPr>
                <w:highlight w:val="yellow"/>
              </w:rPr>
            </w:pPr>
            <w:r w:rsidRPr="00EF56D0">
              <w:rPr>
                <w:highlight w:val="yellow"/>
              </w:rPr>
              <w:t>Jakie są nasze główne procesy związane z ewaluacją? Jak możemy je poprawić?</w:t>
            </w:r>
          </w:p>
          <w:p w:rsidR="001924CD" w:rsidRPr="00EF56D0" w:rsidRDefault="001924CD" w:rsidP="001924CD">
            <w:pPr>
              <w:pStyle w:val="Hlistbullet2"/>
              <w:rPr>
                <w:highlight w:val="yellow"/>
              </w:rPr>
            </w:pPr>
            <w:r w:rsidRPr="00EF56D0">
              <w:rPr>
                <w:highlight w:val="yellow"/>
              </w:rPr>
              <w:t>Jak możemy zapewnić dobrej jakości procesy ewaluacji? Jakie narzędzia i zadania są potrzebne?</w:t>
            </w:r>
          </w:p>
        </w:tc>
      </w:tr>
    </w:tbl>
    <w:p w:rsidR="001924CD" w:rsidRPr="00EF56D0" w:rsidRDefault="001924CD" w:rsidP="001249DA">
      <w:pPr>
        <w:pStyle w:val="HHeadingtables"/>
        <w:rPr>
          <w:highlight w:val="yellow"/>
        </w:rPr>
      </w:pPr>
      <w:bookmarkStart w:id="102" w:name="_Toc436383144"/>
      <w:bookmarkStart w:id="103" w:name="_Toc451781907"/>
      <w:bookmarkStart w:id="104" w:name="_Toc461807130"/>
      <w:r w:rsidRPr="00EF56D0">
        <w:rPr>
          <w:highlight w:val="yellow"/>
        </w:rPr>
        <w:t>Budowanie zdolności ewaluacyjnych: zasoby ludzkie</w:t>
      </w:r>
      <w:bookmarkEnd w:id="102"/>
      <w:bookmarkEnd w:id="103"/>
      <w:bookmarkEnd w:id="104"/>
    </w:p>
    <w:tbl>
      <w:tblPr>
        <w:tblStyle w:val="TableGrid"/>
        <w:tblW w:w="90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511"/>
        <w:gridCol w:w="1511"/>
        <w:gridCol w:w="1511"/>
        <w:gridCol w:w="1511"/>
        <w:gridCol w:w="1511"/>
        <w:gridCol w:w="1512"/>
      </w:tblGrid>
      <w:tr w:rsidR="001924CD" w:rsidRPr="00EF56D0" w:rsidTr="008768CB">
        <w:trPr>
          <w:trHeight w:val="372"/>
          <w:jc w:val="center"/>
        </w:trPr>
        <w:tc>
          <w:tcPr>
            <w:tcW w:w="1511" w:type="dxa"/>
            <w:shd w:val="clear" w:color="auto" w:fill="E7E6E6" w:themeFill="background2"/>
          </w:tcPr>
          <w:p w:rsidR="001924CD" w:rsidRPr="00EF56D0" w:rsidRDefault="001924CD" w:rsidP="006A75AC">
            <w:pPr>
              <w:pStyle w:val="Htableleftbolt"/>
              <w:rPr>
                <w:rFonts w:cs="Arial"/>
                <w:color w:val="5B9BD5" w:themeColor="accent1"/>
                <w:highlight w:val="yellow"/>
              </w:rPr>
            </w:pPr>
            <w:r w:rsidRPr="00EF56D0">
              <w:rPr>
                <w:color w:val="5B9BD5" w:themeColor="accent1"/>
                <w:highlight w:val="yellow"/>
              </w:rPr>
              <w:t>Kto?</w:t>
            </w:r>
          </w:p>
        </w:tc>
        <w:tc>
          <w:tcPr>
            <w:tcW w:w="1511" w:type="dxa"/>
            <w:shd w:val="clear" w:color="auto" w:fill="E7E6E6" w:themeFill="background2"/>
          </w:tcPr>
          <w:p w:rsidR="001924CD" w:rsidRPr="00EF56D0" w:rsidRDefault="001924CD" w:rsidP="006A75AC">
            <w:pPr>
              <w:pStyle w:val="Htableleftbolt"/>
              <w:rPr>
                <w:rFonts w:cs="Arial"/>
                <w:color w:val="5B9BD5" w:themeColor="accent1"/>
                <w:highlight w:val="yellow"/>
              </w:rPr>
            </w:pPr>
            <w:r w:rsidRPr="00EF56D0">
              <w:rPr>
                <w:color w:val="5B9BD5" w:themeColor="accent1"/>
                <w:highlight w:val="yellow"/>
              </w:rPr>
              <w:t>Co muszą wiedzieć o ewaluacji?</w:t>
            </w:r>
          </w:p>
        </w:tc>
        <w:tc>
          <w:tcPr>
            <w:tcW w:w="1511" w:type="dxa"/>
            <w:shd w:val="clear" w:color="auto" w:fill="E7E6E6" w:themeFill="background2"/>
          </w:tcPr>
          <w:p w:rsidR="001924CD" w:rsidRPr="00EF56D0" w:rsidRDefault="001924CD" w:rsidP="006A75AC">
            <w:pPr>
              <w:pStyle w:val="Htableleftbolt"/>
              <w:rPr>
                <w:rFonts w:cs="Arial"/>
                <w:color w:val="5B9BD5" w:themeColor="accent1"/>
                <w:highlight w:val="yellow"/>
              </w:rPr>
            </w:pPr>
            <w:r w:rsidRPr="00EF56D0">
              <w:rPr>
                <w:color w:val="5B9BD5" w:themeColor="accent1"/>
                <w:highlight w:val="yellow"/>
              </w:rPr>
              <w:t>Jaki jest ich obecny poziom wiedzy na temat ewaluacji?</w:t>
            </w:r>
          </w:p>
        </w:tc>
        <w:tc>
          <w:tcPr>
            <w:tcW w:w="1511" w:type="dxa"/>
            <w:shd w:val="clear" w:color="auto" w:fill="E7E6E6" w:themeFill="background2"/>
          </w:tcPr>
          <w:p w:rsidR="001924CD" w:rsidRPr="00EF56D0" w:rsidRDefault="001924CD" w:rsidP="006A75AC">
            <w:pPr>
              <w:pStyle w:val="Htableleftbolt"/>
              <w:rPr>
                <w:rFonts w:cs="Arial"/>
                <w:color w:val="5B9BD5" w:themeColor="accent1"/>
                <w:highlight w:val="yellow"/>
              </w:rPr>
            </w:pPr>
            <w:r w:rsidRPr="00EF56D0">
              <w:rPr>
                <w:color w:val="5B9BD5" w:themeColor="accent1"/>
                <w:highlight w:val="yellow"/>
              </w:rPr>
              <w:t>Jak?</w:t>
            </w:r>
          </w:p>
        </w:tc>
        <w:tc>
          <w:tcPr>
            <w:tcW w:w="1511" w:type="dxa"/>
            <w:shd w:val="clear" w:color="auto" w:fill="E7E6E6" w:themeFill="background2"/>
          </w:tcPr>
          <w:p w:rsidR="001924CD" w:rsidRPr="00EF56D0" w:rsidRDefault="001924CD" w:rsidP="006A75AC">
            <w:pPr>
              <w:pStyle w:val="Htableleftbolt"/>
              <w:rPr>
                <w:rFonts w:cs="Arial"/>
                <w:color w:val="5B9BD5" w:themeColor="accent1"/>
                <w:highlight w:val="yellow"/>
              </w:rPr>
            </w:pPr>
            <w:r w:rsidRPr="00EF56D0">
              <w:rPr>
                <w:color w:val="5B9BD5" w:themeColor="accent1"/>
                <w:highlight w:val="yellow"/>
              </w:rPr>
              <w:t>Kiedy?</w:t>
            </w:r>
          </w:p>
        </w:tc>
        <w:tc>
          <w:tcPr>
            <w:tcW w:w="1512" w:type="dxa"/>
            <w:shd w:val="clear" w:color="auto" w:fill="E7E6E6" w:themeFill="background2"/>
          </w:tcPr>
          <w:p w:rsidR="001924CD" w:rsidRPr="00EF56D0" w:rsidRDefault="001924CD" w:rsidP="006A75AC">
            <w:pPr>
              <w:pStyle w:val="Htableleftbolt"/>
              <w:rPr>
                <w:rFonts w:cs="Arial"/>
                <w:color w:val="5B9BD5" w:themeColor="accent1"/>
                <w:highlight w:val="yellow"/>
              </w:rPr>
            </w:pPr>
            <w:r w:rsidRPr="00EF56D0">
              <w:rPr>
                <w:color w:val="5B9BD5" w:themeColor="accent1"/>
                <w:highlight w:val="yellow"/>
              </w:rPr>
              <w:t>Przez kogo realizowany?</w:t>
            </w:r>
          </w:p>
        </w:tc>
      </w:tr>
      <w:tr w:rsidR="001924CD" w:rsidRPr="00EF56D0" w:rsidTr="008768CB">
        <w:trPr>
          <w:trHeight w:val="464"/>
          <w:jc w:val="center"/>
        </w:trPr>
        <w:tc>
          <w:tcPr>
            <w:tcW w:w="1511" w:type="dxa"/>
            <w:shd w:val="clear" w:color="auto" w:fill="auto"/>
          </w:tcPr>
          <w:p w:rsidR="001924CD" w:rsidRPr="00EF56D0" w:rsidRDefault="001924CD" w:rsidP="006A75AC">
            <w:pPr>
              <w:pStyle w:val="Htableleft"/>
              <w:rPr>
                <w:rFonts w:cs="Arial"/>
                <w:color w:val="576C88" w:themeColor="text2" w:themeTint="D9"/>
                <w:highlight w:val="yellow"/>
              </w:rPr>
            </w:pPr>
            <w:r w:rsidRPr="00EF56D0">
              <w:rPr>
                <w:color w:val="576C88" w:themeColor="text2" w:themeTint="D9"/>
                <w:highlight w:val="yellow"/>
              </w:rPr>
              <w:t>Podmioty (np. IZ, AP, JWS, LGD)</w:t>
            </w:r>
          </w:p>
        </w:tc>
        <w:tc>
          <w:tcPr>
            <w:tcW w:w="1511" w:type="dxa"/>
            <w:shd w:val="clear" w:color="auto" w:fill="auto"/>
          </w:tcPr>
          <w:p w:rsidR="001924CD" w:rsidRPr="00EF56D0" w:rsidRDefault="001924CD" w:rsidP="00B62FBF">
            <w:pPr>
              <w:pStyle w:val="Htableleft"/>
              <w:rPr>
                <w:rFonts w:cs="Arial"/>
                <w:color w:val="576C88" w:themeColor="text2" w:themeTint="D9"/>
                <w:highlight w:val="yellow"/>
              </w:rPr>
            </w:pPr>
            <w:r w:rsidRPr="00EF56D0">
              <w:rPr>
                <w:color w:val="576C88" w:themeColor="text2" w:themeTint="D9"/>
                <w:highlight w:val="yellow"/>
              </w:rPr>
              <w:t>Wykaz zagadnień technicznych i merytorycznych związanych z ewaluacją</w:t>
            </w:r>
          </w:p>
          <w:p w:rsidR="001924CD" w:rsidRPr="00EF56D0" w:rsidRDefault="001924CD" w:rsidP="00B62FBF">
            <w:pPr>
              <w:pStyle w:val="Htableleft"/>
              <w:rPr>
                <w:rFonts w:cs="Arial"/>
                <w:color w:val="576C88" w:themeColor="text2" w:themeTint="D9"/>
                <w:highlight w:val="yellow"/>
              </w:rPr>
            </w:pPr>
            <w:r w:rsidRPr="00EF56D0">
              <w:rPr>
                <w:color w:val="576C88" w:themeColor="text2" w:themeTint="D9"/>
                <w:highlight w:val="yellow"/>
              </w:rPr>
              <w:t>np. matryca logiczna, hierarchia celów, logika interwencji, monitoring, wskaźniki, procedura przetargowa, proces ewaluacji</w:t>
            </w:r>
          </w:p>
        </w:tc>
        <w:tc>
          <w:tcPr>
            <w:tcW w:w="1511" w:type="dxa"/>
            <w:shd w:val="clear" w:color="auto" w:fill="auto"/>
          </w:tcPr>
          <w:p w:rsidR="001924CD" w:rsidRPr="00EF56D0" w:rsidRDefault="001924CD" w:rsidP="008768CB">
            <w:pPr>
              <w:pStyle w:val="Htableleft"/>
              <w:rPr>
                <w:rFonts w:cs="Arial"/>
                <w:color w:val="576C88" w:themeColor="text2" w:themeTint="D9"/>
                <w:highlight w:val="yellow"/>
              </w:rPr>
            </w:pPr>
            <w:r w:rsidRPr="00EF56D0">
              <w:rPr>
                <w:color w:val="576C88" w:themeColor="text2" w:themeTint="D9"/>
                <w:highlight w:val="yellow"/>
              </w:rPr>
              <w:t>Ocena wiedzy w zakresie stwierdzonych kwestii technicznych i merytorycznych związanych z ewaluacją (i luk w wiedzy) w oparciu o ankiety lub badania. Ustalenie najważniejszych potrzeb w zakresie budowania zdolności</w:t>
            </w:r>
          </w:p>
        </w:tc>
        <w:tc>
          <w:tcPr>
            <w:tcW w:w="1511" w:type="dxa"/>
            <w:shd w:val="clear" w:color="auto" w:fill="auto"/>
          </w:tcPr>
          <w:p w:rsidR="001924CD" w:rsidRPr="00EF56D0" w:rsidRDefault="001924CD" w:rsidP="006A75AC">
            <w:pPr>
              <w:pStyle w:val="Htableleft"/>
              <w:rPr>
                <w:rFonts w:cs="Arial"/>
                <w:color w:val="576C88" w:themeColor="text2" w:themeTint="D9"/>
                <w:highlight w:val="yellow"/>
              </w:rPr>
            </w:pPr>
            <w:r w:rsidRPr="00EF56D0">
              <w:rPr>
                <w:color w:val="576C88" w:themeColor="text2" w:themeTint="D9"/>
                <w:highlight w:val="yellow"/>
              </w:rPr>
              <w:t>Działania mające na celu zbudowanie niezbędnych zdolności (np. warsztaty, seminaria, prezentacje, szkolenia, arkusze informacyjne, biuletyny, e-szkolenia)</w:t>
            </w:r>
          </w:p>
        </w:tc>
        <w:tc>
          <w:tcPr>
            <w:tcW w:w="1511" w:type="dxa"/>
            <w:shd w:val="clear" w:color="auto" w:fill="auto"/>
          </w:tcPr>
          <w:p w:rsidR="001924CD" w:rsidRPr="00EF56D0" w:rsidRDefault="001924CD" w:rsidP="006A75AC">
            <w:pPr>
              <w:pStyle w:val="Htableleft"/>
              <w:rPr>
                <w:rFonts w:cs="Arial"/>
                <w:color w:val="576C88" w:themeColor="text2" w:themeTint="D9"/>
                <w:highlight w:val="yellow"/>
              </w:rPr>
            </w:pPr>
            <w:r w:rsidRPr="00EF56D0">
              <w:rPr>
                <w:color w:val="576C88" w:themeColor="text2" w:themeTint="D9"/>
                <w:highlight w:val="yellow"/>
              </w:rPr>
              <w:t>Harmonogram i częstotliwość działań na rzecz budowania zdolności</w:t>
            </w:r>
          </w:p>
        </w:tc>
        <w:tc>
          <w:tcPr>
            <w:tcW w:w="1512" w:type="dxa"/>
            <w:shd w:val="clear" w:color="auto" w:fill="auto"/>
          </w:tcPr>
          <w:p w:rsidR="001924CD" w:rsidRPr="00EF56D0" w:rsidRDefault="001924CD" w:rsidP="00B62FBF">
            <w:pPr>
              <w:pStyle w:val="Htableleft"/>
              <w:rPr>
                <w:rFonts w:cs="Arial"/>
                <w:color w:val="576C88" w:themeColor="text2" w:themeTint="D9"/>
                <w:highlight w:val="yellow"/>
              </w:rPr>
            </w:pPr>
            <w:r w:rsidRPr="00EF56D0">
              <w:rPr>
                <w:color w:val="576C88" w:themeColor="text2" w:themeTint="D9"/>
                <w:highlight w:val="yellow"/>
              </w:rPr>
              <w:t>Odpowiedzialność za działania na rzecz budowania zdolności</w:t>
            </w:r>
          </w:p>
          <w:p w:rsidR="001924CD" w:rsidRPr="00EF56D0" w:rsidRDefault="001924CD" w:rsidP="00B62FBF">
            <w:pPr>
              <w:pStyle w:val="Htableleft"/>
              <w:rPr>
                <w:rFonts w:cs="Arial"/>
                <w:color w:val="576C88" w:themeColor="text2" w:themeTint="D9"/>
                <w:highlight w:val="yellow"/>
              </w:rPr>
            </w:pPr>
            <w:r w:rsidRPr="00EF56D0">
              <w:rPr>
                <w:color w:val="576C88" w:themeColor="text2" w:themeTint="D9"/>
                <w:highlight w:val="yellow"/>
              </w:rPr>
              <w:t>(organizacja i wdrożenie)</w:t>
            </w:r>
          </w:p>
        </w:tc>
      </w:tr>
    </w:tbl>
    <w:p w:rsidR="001924CD" w:rsidRPr="00EF56D0" w:rsidRDefault="001924CD" w:rsidP="00923616">
      <w:pPr>
        <w:pStyle w:val="HStandard"/>
        <w:rPr>
          <w:highlight w:val="yellow"/>
        </w:rPr>
      </w:pPr>
      <w:r w:rsidRPr="00EF56D0">
        <w:rPr>
          <w:highlight w:val="yellow"/>
        </w:rPr>
        <w:t xml:space="preserve">Obowiązki różnych podmiotów w zakresie planowania ewaluacji KSOW przedstawia </w:t>
      </w:r>
      <w:r w:rsidRPr="00EF56D0">
        <w:rPr>
          <w:highlight w:val="yellow"/>
        </w:rPr>
        <w:fldChar w:fldCharType="begin" w:fldLock="1"/>
      </w:r>
      <w:r w:rsidRPr="00EF56D0">
        <w:rPr>
          <w:highlight w:val="yellow"/>
        </w:rPr>
        <w:instrText xml:space="preserve"> REF _Ref451784925 \r \h  \* MERGEFORMAT </w:instrText>
      </w:r>
      <w:r w:rsidRPr="00EF56D0">
        <w:rPr>
          <w:highlight w:val="yellow"/>
        </w:rPr>
      </w:r>
      <w:r w:rsidRPr="00EF56D0">
        <w:rPr>
          <w:highlight w:val="yellow"/>
        </w:rPr>
        <w:fldChar w:fldCharType="separate"/>
      </w:r>
      <w:r w:rsidRPr="00EF56D0">
        <w:rPr>
          <w:highlight w:val="yellow"/>
        </w:rPr>
        <w:t>Table 4</w:t>
      </w:r>
      <w:r w:rsidRPr="00EF56D0">
        <w:rPr>
          <w:highlight w:val="yellow"/>
        </w:rPr>
        <w:fldChar w:fldCharType="end"/>
      </w:r>
      <w:r w:rsidRPr="00EF56D0">
        <w:rPr>
          <w:highlight w:val="yellow"/>
        </w:rPr>
        <w:t xml:space="preserve"> poniżej.</w:t>
      </w:r>
    </w:p>
    <w:p w:rsidR="001924CD" w:rsidRPr="00EF56D0" w:rsidRDefault="001924CD" w:rsidP="001249DA">
      <w:pPr>
        <w:pStyle w:val="HHeadingtables"/>
        <w:rPr>
          <w:highlight w:val="yellow"/>
        </w:rPr>
      </w:pPr>
      <w:bookmarkStart w:id="105" w:name="_Toc451781908"/>
      <w:bookmarkStart w:id="106" w:name="_Ref451784915"/>
      <w:bookmarkStart w:id="107" w:name="_Ref451784925"/>
      <w:bookmarkStart w:id="108" w:name="_Toc461807131"/>
      <w:r w:rsidRPr="00EF56D0">
        <w:rPr>
          <w:highlight w:val="yellow"/>
        </w:rPr>
        <w:t>Obowiązki zainteresowanych podmiotów w zakresie planowania ewaluacji KSOW</w:t>
      </w:r>
      <w:bookmarkEnd w:id="105"/>
      <w:bookmarkEnd w:id="106"/>
      <w:bookmarkEnd w:id="107"/>
      <w:bookmarkEnd w:id="108"/>
      <w:r w:rsidRPr="00EF56D0">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60"/>
        <w:gridCol w:w="1635"/>
        <w:gridCol w:w="1731"/>
        <w:gridCol w:w="1918"/>
        <w:gridCol w:w="1695"/>
        <w:gridCol w:w="1582"/>
      </w:tblGrid>
      <w:tr w:rsidR="001924CD" w:rsidRPr="00EF56D0" w:rsidTr="00FC0A30">
        <w:trPr>
          <w:trHeight w:val="581"/>
        </w:trPr>
        <w:tc>
          <w:tcPr>
            <w:tcW w:w="0" w:type="auto"/>
            <w:tcBorders>
              <w:top w:val="nil"/>
              <w:left w:val="nil"/>
              <w:bottom w:val="single" w:sz="4" w:space="0" w:color="000000" w:themeColor="text1"/>
            </w:tcBorders>
          </w:tcPr>
          <w:p w:rsidR="001924CD" w:rsidRPr="00EF56D0" w:rsidRDefault="001924CD" w:rsidP="008B1515">
            <w:pPr>
              <w:jc w:val="right"/>
              <w:rPr>
                <w:b/>
                <w:color w:val="576C88" w:themeColor="text2" w:themeTint="D9"/>
                <w:szCs w:val="18"/>
                <w:highlight w:val="yellow"/>
              </w:rPr>
            </w:pPr>
          </w:p>
        </w:tc>
        <w:tc>
          <w:tcPr>
            <w:tcW w:w="0" w:type="auto"/>
            <w:shd w:val="clear" w:color="auto" w:fill="E7E6E6" w:themeFill="background2"/>
          </w:tcPr>
          <w:p w:rsidR="001924CD" w:rsidRPr="00EF56D0" w:rsidRDefault="001924CD" w:rsidP="00FC0A30">
            <w:pPr>
              <w:jc w:val="center"/>
              <w:rPr>
                <w:b/>
                <w:color w:val="5B9BD5" w:themeColor="accent1"/>
                <w:szCs w:val="18"/>
                <w:highlight w:val="yellow"/>
              </w:rPr>
            </w:pPr>
            <w:r w:rsidRPr="00EF56D0">
              <w:rPr>
                <w:b/>
                <w:color w:val="5B9BD5" w:themeColor="accent1"/>
                <w:highlight w:val="yellow"/>
              </w:rPr>
              <w:t>Działania</w:t>
            </w:r>
          </w:p>
        </w:tc>
        <w:tc>
          <w:tcPr>
            <w:tcW w:w="0" w:type="auto"/>
            <w:gridSpan w:val="4"/>
            <w:shd w:val="clear" w:color="auto" w:fill="E7E6E6" w:themeFill="background2"/>
          </w:tcPr>
          <w:p w:rsidR="001924CD" w:rsidRPr="00EF56D0" w:rsidRDefault="001924CD" w:rsidP="00FC0A30">
            <w:pPr>
              <w:jc w:val="center"/>
              <w:rPr>
                <w:b/>
                <w:color w:val="5B9BD5" w:themeColor="accent1"/>
                <w:szCs w:val="18"/>
                <w:highlight w:val="yellow"/>
              </w:rPr>
            </w:pPr>
            <w:r w:rsidRPr="00EF56D0">
              <w:rPr>
                <w:b/>
                <w:color w:val="5B9BD5" w:themeColor="accent1"/>
                <w:highlight w:val="yellow"/>
              </w:rPr>
              <w:t>Podmioty</w:t>
            </w:r>
          </w:p>
        </w:tc>
      </w:tr>
      <w:tr w:rsidR="001924CD" w:rsidRPr="00EF56D0" w:rsidTr="00937568">
        <w:trPr>
          <w:cantSplit/>
          <w:trHeight w:val="829"/>
        </w:trPr>
        <w:tc>
          <w:tcPr>
            <w:tcW w:w="0" w:type="auto"/>
            <w:shd w:val="clear" w:color="auto" w:fill="E7E6E6" w:themeFill="background2"/>
            <w:textDirection w:val="tbRl"/>
          </w:tcPr>
          <w:p w:rsidR="001924CD" w:rsidRPr="00EF56D0" w:rsidRDefault="001924CD" w:rsidP="00FC0A30">
            <w:pPr>
              <w:ind w:left="113" w:right="113"/>
              <w:jc w:val="center"/>
              <w:rPr>
                <w:b/>
                <w:color w:val="5B9BD5" w:themeColor="accent1"/>
                <w:szCs w:val="18"/>
                <w:highlight w:val="yellow"/>
              </w:rPr>
            </w:pPr>
            <w:r w:rsidRPr="00EF56D0">
              <w:rPr>
                <w:b/>
                <w:color w:val="5B9BD5" w:themeColor="accent1"/>
                <w:highlight w:val="yellow"/>
              </w:rPr>
              <w:lastRenderedPageBreak/>
              <w:t>Faza</w:t>
            </w:r>
          </w:p>
        </w:tc>
        <w:tc>
          <w:tcPr>
            <w:tcW w:w="0" w:type="auto"/>
          </w:tcPr>
          <w:p w:rsidR="001924CD" w:rsidRPr="00EF56D0" w:rsidRDefault="001924CD" w:rsidP="008B1515">
            <w:pPr>
              <w:rPr>
                <w:b/>
                <w:color w:val="E7E6E6" w:themeColor="background2"/>
                <w:szCs w:val="18"/>
                <w:highlight w:val="yellow"/>
              </w:rPr>
            </w:pPr>
            <w:r w:rsidRPr="00EF56D0">
              <w:rPr>
                <w:b/>
                <w:color w:val="E7E6E6" w:themeColor="background2"/>
                <w:highlight w:val="yellow"/>
              </w:rPr>
              <w:t>Etap</w:t>
            </w:r>
          </w:p>
        </w:tc>
        <w:tc>
          <w:tcPr>
            <w:tcW w:w="0" w:type="auto"/>
          </w:tcPr>
          <w:p w:rsidR="001924CD" w:rsidRPr="00EF56D0" w:rsidRDefault="001924CD" w:rsidP="008B1515">
            <w:pPr>
              <w:rPr>
                <w:i/>
                <w:color w:val="576C88" w:themeColor="text2" w:themeTint="D9"/>
                <w:szCs w:val="18"/>
                <w:highlight w:val="yellow"/>
              </w:rPr>
            </w:pPr>
            <w:r w:rsidRPr="00EF56D0">
              <w:rPr>
                <w:i/>
                <w:color w:val="576C88" w:themeColor="text2" w:themeTint="D9"/>
                <w:highlight w:val="yellow"/>
              </w:rPr>
              <w:t>IZ</w:t>
            </w:r>
          </w:p>
        </w:tc>
        <w:tc>
          <w:tcPr>
            <w:tcW w:w="0" w:type="auto"/>
          </w:tcPr>
          <w:p w:rsidR="001924CD" w:rsidRPr="00EF56D0" w:rsidRDefault="001924CD" w:rsidP="008B1515">
            <w:pPr>
              <w:rPr>
                <w:i/>
                <w:color w:val="576C88" w:themeColor="text2" w:themeTint="D9"/>
                <w:szCs w:val="18"/>
                <w:highlight w:val="yellow"/>
              </w:rPr>
            </w:pPr>
            <w:r w:rsidRPr="00EF56D0">
              <w:rPr>
                <w:i/>
                <w:color w:val="576C88" w:themeColor="text2" w:themeTint="D9"/>
                <w:highlight w:val="yellow"/>
              </w:rPr>
              <w:t>inne jednostki IZ</w:t>
            </w:r>
          </w:p>
        </w:tc>
        <w:tc>
          <w:tcPr>
            <w:tcW w:w="0" w:type="auto"/>
          </w:tcPr>
          <w:p w:rsidR="001924CD" w:rsidRPr="00EF56D0" w:rsidRDefault="001924CD" w:rsidP="008B1515">
            <w:pPr>
              <w:rPr>
                <w:i/>
                <w:color w:val="576C88" w:themeColor="text2" w:themeTint="D9"/>
                <w:szCs w:val="18"/>
                <w:highlight w:val="yellow"/>
              </w:rPr>
            </w:pPr>
            <w:r w:rsidRPr="00EF56D0">
              <w:rPr>
                <w:i/>
                <w:color w:val="576C88" w:themeColor="text2" w:themeTint="D9"/>
                <w:highlight w:val="yellow"/>
              </w:rPr>
              <w:t>JWS</w:t>
            </w:r>
          </w:p>
        </w:tc>
        <w:tc>
          <w:tcPr>
            <w:tcW w:w="0" w:type="auto"/>
          </w:tcPr>
          <w:p w:rsidR="001924CD" w:rsidRPr="00EF56D0" w:rsidRDefault="001924CD" w:rsidP="008B1515">
            <w:pPr>
              <w:rPr>
                <w:i/>
                <w:color w:val="576C88" w:themeColor="text2" w:themeTint="D9"/>
                <w:szCs w:val="18"/>
                <w:highlight w:val="yellow"/>
              </w:rPr>
            </w:pPr>
            <w:r w:rsidRPr="00EF56D0">
              <w:rPr>
                <w:i/>
                <w:color w:val="576C88" w:themeColor="text2" w:themeTint="D9"/>
                <w:highlight w:val="yellow"/>
              </w:rPr>
              <w:t>Inne</w:t>
            </w:r>
          </w:p>
        </w:tc>
      </w:tr>
      <w:tr w:rsidR="001924CD" w:rsidRPr="00EF56D0" w:rsidTr="00FC0A30">
        <w:tc>
          <w:tcPr>
            <w:tcW w:w="0" w:type="auto"/>
            <w:vMerge w:val="restart"/>
            <w:shd w:val="clear" w:color="auto" w:fill="E7E6E6" w:themeFill="background2"/>
            <w:textDirection w:val="tbRl"/>
          </w:tcPr>
          <w:p w:rsidR="001924CD" w:rsidRPr="00EF56D0" w:rsidRDefault="001924CD" w:rsidP="00FC0A30">
            <w:pPr>
              <w:ind w:left="113" w:right="113"/>
              <w:jc w:val="center"/>
              <w:rPr>
                <w:b/>
                <w:color w:val="5B9BD5" w:themeColor="accent1"/>
                <w:szCs w:val="18"/>
                <w:highlight w:val="yellow"/>
              </w:rPr>
            </w:pPr>
            <w:r w:rsidRPr="00EF56D0">
              <w:rPr>
                <w:b/>
                <w:color w:val="5B9BD5" w:themeColor="accent1"/>
                <w:highlight w:val="yellow"/>
              </w:rPr>
              <w:t>Planowanie</w:t>
            </w:r>
          </w:p>
        </w:tc>
        <w:tc>
          <w:tcPr>
            <w:tcW w:w="0" w:type="auto"/>
          </w:tcPr>
          <w:p w:rsidR="001924CD" w:rsidRPr="00EF56D0" w:rsidRDefault="001924CD" w:rsidP="008B1515">
            <w:pPr>
              <w:rPr>
                <w:b/>
                <w:color w:val="E7E6E6" w:themeColor="background2"/>
                <w:szCs w:val="18"/>
                <w:highlight w:val="yellow"/>
              </w:rPr>
            </w:pPr>
            <w:r w:rsidRPr="00EF56D0">
              <w:rPr>
                <w:b/>
                <w:color w:val="E7E6E6" w:themeColor="background2"/>
                <w:highlight w:val="yellow"/>
              </w:rPr>
              <w:t>Proces i harmonogram</w:t>
            </w:r>
          </w:p>
        </w:tc>
        <w:tc>
          <w:tcPr>
            <w:tcW w:w="0" w:type="auto"/>
          </w:tcPr>
          <w:p w:rsidR="001924CD" w:rsidRPr="00EF56D0" w:rsidRDefault="001924CD" w:rsidP="008B1515">
            <w:pPr>
              <w:rPr>
                <w:color w:val="576C88" w:themeColor="text2" w:themeTint="D9"/>
                <w:szCs w:val="18"/>
                <w:highlight w:val="yellow"/>
              </w:rPr>
            </w:pPr>
            <w:r w:rsidRPr="00EF56D0">
              <w:rPr>
                <w:color w:val="576C88" w:themeColor="text2" w:themeTint="D9"/>
                <w:highlight w:val="yellow"/>
              </w:rPr>
              <w:t>Odpowiedzialna / uczestniczy</w:t>
            </w:r>
          </w:p>
        </w:tc>
        <w:tc>
          <w:tcPr>
            <w:tcW w:w="0" w:type="auto"/>
          </w:tcPr>
          <w:p w:rsidR="001924CD" w:rsidRPr="00EF56D0" w:rsidRDefault="001924CD" w:rsidP="008B1515">
            <w:pPr>
              <w:rPr>
                <w:color w:val="576C88" w:themeColor="text2" w:themeTint="D9"/>
                <w:szCs w:val="18"/>
                <w:highlight w:val="yellow"/>
              </w:rPr>
            </w:pPr>
          </w:p>
        </w:tc>
        <w:tc>
          <w:tcPr>
            <w:tcW w:w="0" w:type="auto"/>
          </w:tcPr>
          <w:p w:rsidR="001924CD" w:rsidRPr="00EF56D0" w:rsidRDefault="001924CD" w:rsidP="008B1515">
            <w:pPr>
              <w:rPr>
                <w:color w:val="576C88" w:themeColor="text2" w:themeTint="D9"/>
                <w:szCs w:val="18"/>
                <w:highlight w:val="yellow"/>
              </w:rPr>
            </w:pPr>
            <w:r w:rsidRPr="00EF56D0">
              <w:rPr>
                <w:color w:val="576C88" w:themeColor="text2" w:themeTint="D9"/>
                <w:highlight w:val="yellow"/>
              </w:rPr>
              <w:t>Uczestniczy / odpowiedzialna</w:t>
            </w:r>
          </w:p>
        </w:tc>
        <w:tc>
          <w:tcPr>
            <w:tcW w:w="0" w:type="auto"/>
          </w:tcPr>
          <w:p w:rsidR="001924CD" w:rsidRPr="00EF56D0" w:rsidRDefault="001924CD" w:rsidP="008B1515">
            <w:pPr>
              <w:rPr>
                <w:color w:val="576C88" w:themeColor="text2" w:themeTint="D9"/>
                <w:szCs w:val="18"/>
                <w:highlight w:val="yellow"/>
              </w:rPr>
            </w:pPr>
            <w:r w:rsidRPr="00EF56D0">
              <w:rPr>
                <w:color w:val="576C88" w:themeColor="text2" w:themeTint="D9"/>
                <w:highlight w:val="yellow"/>
              </w:rPr>
              <w:t>Ew. GS, AP uczestniczy</w:t>
            </w:r>
          </w:p>
        </w:tc>
      </w:tr>
      <w:tr w:rsidR="001924CD" w:rsidRPr="00EF56D0" w:rsidTr="00FC0A30">
        <w:tc>
          <w:tcPr>
            <w:tcW w:w="0" w:type="auto"/>
            <w:vMerge/>
            <w:shd w:val="clear" w:color="auto" w:fill="E7E6E6" w:themeFill="background2"/>
            <w:textDirection w:val="tbRl"/>
          </w:tcPr>
          <w:p w:rsidR="001924CD" w:rsidRPr="00EF56D0" w:rsidRDefault="001924CD" w:rsidP="008B1515">
            <w:pPr>
              <w:ind w:left="113" w:right="113"/>
              <w:rPr>
                <w:color w:val="576C88" w:themeColor="text2" w:themeTint="D9"/>
                <w:szCs w:val="18"/>
                <w:highlight w:val="yellow"/>
              </w:rPr>
            </w:pPr>
          </w:p>
        </w:tc>
        <w:tc>
          <w:tcPr>
            <w:tcW w:w="0" w:type="auto"/>
          </w:tcPr>
          <w:p w:rsidR="001924CD" w:rsidRPr="00EF56D0" w:rsidRDefault="001924CD" w:rsidP="008B1515">
            <w:pPr>
              <w:rPr>
                <w:b/>
                <w:color w:val="E7E6E6" w:themeColor="background2"/>
                <w:szCs w:val="18"/>
                <w:highlight w:val="yellow"/>
              </w:rPr>
            </w:pPr>
            <w:r w:rsidRPr="00EF56D0">
              <w:rPr>
                <w:b/>
                <w:color w:val="E7E6E6" w:themeColor="background2"/>
                <w:highlight w:val="yellow"/>
              </w:rPr>
              <w:t>Potrzeby ewaluacyjne</w:t>
            </w:r>
          </w:p>
        </w:tc>
        <w:tc>
          <w:tcPr>
            <w:tcW w:w="0" w:type="auto"/>
          </w:tcPr>
          <w:p w:rsidR="001924CD" w:rsidRPr="00EF56D0" w:rsidRDefault="001924CD" w:rsidP="008B1515">
            <w:pPr>
              <w:rPr>
                <w:color w:val="576C88" w:themeColor="text2" w:themeTint="D9"/>
                <w:szCs w:val="18"/>
                <w:highlight w:val="yellow"/>
              </w:rPr>
            </w:pPr>
            <w:r w:rsidRPr="00EF56D0">
              <w:rPr>
                <w:color w:val="576C88" w:themeColor="text2" w:themeTint="D9"/>
                <w:highlight w:val="yellow"/>
              </w:rPr>
              <w:t>Odpowiedzialna / uczestniczy</w:t>
            </w:r>
          </w:p>
        </w:tc>
        <w:tc>
          <w:tcPr>
            <w:tcW w:w="0" w:type="auto"/>
          </w:tcPr>
          <w:p w:rsidR="001924CD" w:rsidRPr="00EF56D0" w:rsidRDefault="001924CD" w:rsidP="008B1515">
            <w:pPr>
              <w:rPr>
                <w:color w:val="576C88" w:themeColor="text2" w:themeTint="D9"/>
                <w:szCs w:val="18"/>
                <w:highlight w:val="yellow"/>
              </w:rPr>
            </w:pPr>
            <w:r w:rsidRPr="00EF56D0">
              <w:rPr>
                <w:color w:val="576C88" w:themeColor="text2" w:themeTint="D9"/>
                <w:highlight w:val="yellow"/>
              </w:rPr>
              <w:t>Może uczestniczyć, jeśli jest jednostką ds. ewaluacji</w:t>
            </w:r>
          </w:p>
        </w:tc>
        <w:tc>
          <w:tcPr>
            <w:tcW w:w="0" w:type="auto"/>
          </w:tcPr>
          <w:p w:rsidR="001924CD" w:rsidRPr="00EF56D0" w:rsidRDefault="001924CD" w:rsidP="008B1515">
            <w:pPr>
              <w:rPr>
                <w:color w:val="576C88" w:themeColor="text2" w:themeTint="D9"/>
                <w:szCs w:val="18"/>
                <w:highlight w:val="yellow"/>
              </w:rPr>
            </w:pPr>
            <w:r w:rsidRPr="00EF56D0">
              <w:rPr>
                <w:color w:val="576C88" w:themeColor="text2" w:themeTint="D9"/>
                <w:highlight w:val="yellow"/>
              </w:rPr>
              <w:t>Uczestniczy / odpowiedzialna</w:t>
            </w:r>
          </w:p>
        </w:tc>
        <w:tc>
          <w:tcPr>
            <w:tcW w:w="0" w:type="auto"/>
          </w:tcPr>
          <w:p w:rsidR="001924CD" w:rsidRPr="00EF56D0" w:rsidRDefault="001924CD" w:rsidP="008B1515">
            <w:pPr>
              <w:rPr>
                <w:color w:val="576C88" w:themeColor="text2" w:themeTint="D9"/>
                <w:szCs w:val="18"/>
                <w:highlight w:val="yellow"/>
              </w:rPr>
            </w:pPr>
            <w:r w:rsidRPr="00EF56D0">
              <w:rPr>
                <w:color w:val="576C88" w:themeColor="text2" w:themeTint="D9"/>
                <w:highlight w:val="yellow"/>
              </w:rPr>
              <w:t>Jednostka koordynująca KSOW</w:t>
            </w:r>
          </w:p>
        </w:tc>
      </w:tr>
      <w:tr w:rsidR="001924CD" w:rsidRPr="00EF56D0" w:rsidTr="00FC0A30">
        <w:tc>
          <w:tcPr>
            <w:tcW w:w="0" w:type="auto"/>
            <w:vMerge/>
            <w:shd w:val="clear" w:color="auto" w:fill="E7E6E6" w:themeFill="background2"/>
            <w:textDirection w:val="tbRl"/>
          </w:tcPr>
          <w:p w:rsidR="001924CD" w:rsidRPr="00EF56D0" w:rsidRDefault="001924CD" w:rsidP="008B1515">
            <w:pPr>
              <w:ind w:left="113" w:right="113"/>
              <w:rPr>
                <w:color w:val="576C88" w:themeColor="text2" w:themeTint="D9"/>
                <w:szCs w:val="18"/>
                <w:highlight w:val="yellow"/>
              </w:rPr>
            </w:pPr>
          </w:p>
        </w:tc>
        <w:tc>
          <w:tcPr>
            <w:tcW w:w="0" w:type="auto"/>
          </w:tcPr>
          <w:p w:rsidR="001924CD" w:rsidRPr="00EF56D0" w:rsidRDefault="001924CD" w:rsidP="008B1515">
            <w:pPr>
              <w:rPr>
                <w:b/>
                <w:color w:val="E7E6E6" w:themeColor="background2"/>
                <w:szCs w:val="18"/>
                <w:highlight w:val="yellow"/>
              </w:rPr>
            </w:pPr>
            <w:r w:rsidRPr="00EF56D0">
              <w:rPr>
                <w:b/>
                <w:color w:val="E7E6E6" w:themeColor="background2"/>
                <w:highlight w:val="yellow"/>
              </w:rPr>
              <w:t>Plan komunikacji</w:t>
            </w:r>
          </w:p>
        </w:tc>
        <w:tc>
          <w:tcPr>
            <w:tcW w:w="0" w:type="auto"/>
          </w:tcPr>
          <w:p w:rsidR="001924CD" w:rsidRPr="00EF56D0" w:rsidRDefault="001924CD" w:rsidP="008B1515">
            <w:pPr>
              <w:rPr>
                <w:color w:val="576C88" w:themeColor="text2" w:themeTint="D9"/>
                <w:szCs w:val="18"/>
                <w:highlight w:val="yellow"/>
              </w:rPr>
            </w:pPr>
            <w:r w:rsidRPr="00EF56D0">
              <w:rPr>
                <w:color w:val="576C88" w:themeColor="text2" w:themeTint="D9"/>
                <w:highlight w:val="yellow"/>
              </w:rPr>
              <w:t>Odpowiedzialna / uczestniczy</w:t>
            </w:r>
          </w:p>
        </w:tc>
        <w:tc>
          <w:tcPr>
            <w:tcW w:w="0" w:type="auto"/>
          </w:tcPr>
          <w:p w:rsidR="001924CD" w:rsidRPr="00EF56D0" w:rsidRDefault="001924CD" w:rsidP="008B1515">
            <w:pPr>
              <w:rPr>
                <w:color w:val="576C88" w:themeColor="text2" w:themeTint="D9"/>
                <w:szCs w:val="18"/>
                <w:highlight w:val="yellow"/>
              </w:rPr>
            </w:pPr>
            <w:r w:rsidRPr="00EF56D0">
              <w:rPr>
                <w:color w:val="576C88" w:themeColor="text2" w:themeTint="D9"/>
                <w:highlight w:val="yellow"/>
              </w:rPr>
              <w:t>Może uczestniczyć, jeśli jest jednostką ds. komunikacji</w:t>
            </w:r>
          </w:p>
        </w:tc>
        <w:tc>
          <w:tcPr>
            <w:tcW w:w="0" w:type="auto"/>
          </w:tcPr>
          <w:p w:rsidR="001924CD" w:rsidRPr="00EF56D0" w:rsidRDefault="001924CD" w:rsidP="008B1515">
            <w:pPr>
              <w:rPr>
                <w:color w:val="576C88" w:themeColor="text2" w:themeTint="D9"/>
                <w:szCs w:val="18"/>
                <w:highlight w:val="yellow"/>
              </w:rPr>
            </w:pPr>
            <w:r w:rsidRPr="00EF56D0">
              <w:rPr>
                <w:color w:val="576C88" w:themeColor="text2" w:themeTint="D9"/>
                <w:highlight w:val="yellow"/>
              </w:rPr>
              <w:t>Uczestniczy / odpowiedzialna</w:t>
            </w:r>
          </w:p>
        </w:tc>
        <w:tc>
          <w:tcPr>
            <w:tcW w:w="0" w:type="auto"/>
          </w:tcPr>
          <w:p w:rsidR="001924CD" w:rsidRPr="00EF56D0" w:rsidRDefault="001924CD" w:rsidP="008B1515">
            <w:pPr>
              <w:rPr>
                <w:color w:val="576C88" w:themeColor="text2" w:themeTint="D9"/>
                <w:szCs w:val="18"/>
                <w:highlight w:val="yellow"/>
              </w:rPr>
            </w:pPr>
          </w:p>
        </w:tc>
      </w:tr>
      <w:tr w:rsidR="001924CD" w:rsidRPr="00EF56D0" w:rsidTr="00FC0A30">
        <w:tc>
          <w:tcPr>
            <w:tcW w:w="0" w:type="auto"/>
            <w:vMerge/>
            <w:shd w:val="clear" w:color="auto" w:fill="E7E6E6" w:themeFill="background2"/>
            <w:textDirection w:val="tbRl"/>
          </w:tcPr>
          <w:p w:rsidR="001924CD" w:rsidRPr="00EF56D0" w:rsidRDefault="001924CD" w:rsidP="008B1515">
            <w:pPr>
              <w:ind w:left="113" w:right="113"/>
              <w:rPr>
                <w:color w:val="576C88" w:themeColor="text2" w:themeTint="D9"/>
                <w:szCs w:val="18"/>
                <w:highlight w:val="yellow"/>
              </w:rPr>
            </w:pPr>
          </w:p>
        </w:tc>
        <w:tc>
          <w:tcPr>
            <w:tcW w:w="0" w:type="auto"/>
          </w:tcPr>
          <w:p w:rsidR="001924CD" w:rsidRPr="00EF56D0" w:rsidRDefault="001924CD" w:rsidP="008B1515">
            <w:pPr>
              <w:rPr>
                <w:b/>
                <w:color w:val="E7E6E6" w:themeColor="background2"/>
                <w:szCs w:val="18"/>
                <w:highlight w:val="yellow"/>
              </w:rPr>
            </w:pPr>
            <w:r w:rsidRPr="00EF56D0">
              <w:rPr>
                <w:b/>
                <w:color w:val="E7E6E6" w:themeColor="background2"/>
                <w:highlight w:val="yellow"/>
              </w:rPr>
              <w:t>Plan budowania zdolności</w:t>
            </w:r>
          </w:p>
        </w:tc>
        <w:tc>
          <w:tcPr>
            <w:tcW w:w="0" w:type="auto"/>
          </w:tcPr>
          <w:p w:rsidR="001924CD" w:rsidRPr="00EF56D0" w:rsidRDefault="001924CD" w:rsidP="008B1515">
            <w:pPr>
              <w:rPr>
                <w:color w:val="576C88" w:themeColor="text2" w:themeTint="D9"/>
                <w:szCs w:val="18"/>
                <w:highlight w:val="yellow"/>
              </w:rPr>
            </w:pPr>
            <w:r w:rsidRPr="00EF56D0">
              <w:rPr>
                <w:color w:val="576C88" w:themeColor="text2" w:themeTint="D9"/>
                <w:highlight w:val="yellow"/>
              </w:rPr>
              <w:t>Odpowiedzialna / uczestniczy</w:t>
            </w:r>
          </w:p>
        </w:tc>
        <w:tc>
          <w:tcPr>
            <w:tcW w:w="0" w:type="auto"/>
          </w:tcPr>
          <w:p w:rsidR="001924CD" w:rsidRPr="00EF56D0" w:rsidRDefault="001924CD" w:rsidP="008B1515">
            <w:pPr>
              <w:rPr>
                <w:color w:val="576C88" w:themeColor="text2" w:themeTint="D9"/>
                <w:szCs w:val="18"/>
                <w:highlight w:val="yellow"/>
              </w:rPr>
            </w:pPr>
          </w:p>
        </w:tc>
        <w:tc>
          <w:tcPr>
            <w:tcW w:w="0" w:type="auto"/>
          </w:tcPr>
          <w:p w:rsidR="001924CD" w:rsidRPr="00EF56D0" w:rsidRDefault="001924CD" w:rsidP="008B1515">
            <w:pPr>
              <w:rPr>
                <w:color w:val="576C88" w:themeColor="text2" w:themeTint="D9"/>
                <w:szCs w:val="18"/>
                <w:highlight w:val="yellow"/>
              </w:rPr>
            </w:pPr>
            <w:r w:rsidRPr="00EF56D0">
              <w:rPr>
                <w:color w:val="576C88" w:themeColor="text2" w:themeTint="D9"/>
                <w:highlight w:val="yellow"/>
              </w:rPr>
              <w:t>Uczestniczy / odpowiedzialna</w:t>
            </w:r>
          </w:p>
        </w:tc>
        <w:tc>
          <w:tcPr>
            <w:tcW w:w="0" w:type="auto"/>
          </w:tcPr>
          <w:p w:rsidR="001924CD" w:rsidRPr="00EF56D0" w:rsidRDefault="001924CD" w:rsidP="008B1515">
            <w:pPr>
              <w:rPr>
                <w:color w:val="576C88" w:themeColor="text2" w:themeTint="D9"/>
                <w:szCs w:val="18"/>
                <w:highlight w:val="yellow"/>
              </w:rPr>
            </w:pPr>
          </w:p>
        </w:tc>
      </w:tr>
    </w:tbl>
    <w:p w:rsidR="001924CD" w:rsidRPr="00EF56D0" w:rsidRDefault="001924CD" w:rsidP="00992336">
      <w:pPr>
        <w:pStyle w:val="HStandard"/>
        <w:rPr>
          <w:highlight w:val="yellow"/>
        </w:rPr>
      </w:pPr>
    </w:p>
    <w:p w:rsidR="001924CD" w:rsidRPr="00EF56D0" w:rsidRDefault="001924CD" w:rsidP="00FC0A30">
      <w:pPr>
        <w:pStyle w:val="HHeading3"/>
        <w:rPr>
          <w:highlight w:val="yellow"/>
        </w:rPr>
      </w:pPr>
      <w:r w:rsidRPr="00EF56D0">
        <w:rPr>
          <w:highlight w:val="yellow"/>
        </w:rPr>
        <w:br w:type="column"/>
      </w:r>
      <w:bookmarkStart w:id="109" w:name="_Toc453079760"/>
      <w:bookmarkStart w:id="110" w:name="_Toc461807121"/>
      <w:r w:rsidRPr="00EF56D0">
        <w:rPr>
          <w:highlight w:val="yellow"/>
        </w:rPr>
        <w:lastRenderedPageBreak/>
        <w:t>Przygotowanie ewaluacji KSOW</w:t>
      </w:r>
      <w:bookmarkEnd w:id="109"/>
      <w:bookmarkEnd w:id="110"/>
    </w:p>
    <w:p w:rsidR="001924CD" w:rsidRPr="00EF56D0" w:rsidRDefault="001924CD" w:rsidP="00FC0A30">
      <w:pPr>
        <w:pStyle w:val="HStandard"/>
        <w:rPr>
          <w:highlight w:val="yellow"/>
        </w:rPr>
      </w:pPr>
      <w:r w:rsidRPr="00EF56D0">
        <w:rPr>
          <w:highlight w:val="yellow"/>
        </w:rPr>
        <w:t xml:space="preserve">Przygotowując ewaluację KSOW, należy zwrócić szczególną uwagę, aby stworzyć podstawę dla wszystkich rodzajów ocen: logikę interwencji KSOW i system ewaluacji złożony ze wspólnych i specyficznych dla programu pytań ewaluacyjnych i wskaźników KSOW. Ponadto istotne jest, aby wskazać, jakie dowody należy zebrać i w jaki sposób ewaluacja ma dostarczać informacji potrzebnych zainteresowanym stronom. Najlepiej byłoby, gdy logika interwencji KSOW i system ewaluacji zostały opracowane przed wdrożeniem KSOW dla całego okresu programowania (w odniesieniu do wszystkich ocen KSOW) lub przed pojedynczą ewaluacją KSOW przeprowadzoną w dowolnym momencie w trakcie okresu programowania. </w:t>
      </w:r>
    </w:p>
    <w:p w:rsidR="001924CD" w:rsidRPr="00EF56D0" w:rsidRDefault="001924CD" w:rsidP="00FC0A30">
      <w:pPr>
        <w:pStyle w:val="HStandard"/>
        <w:rPr>
          <w:highlight w:val="yellow"/>
        </w:rPr>
      </w:pPr>
      <w:r w:rsidRPr="00EF56D0">
        <w:rPr>
          <w:b/>
          <w:highlight w:val="yellow"/>
        </w:rPr>
        <w:t>Faza przygotowawcza składa się z następujących głównych etapów</w:t>
      </w:r>
      <w:r w:rsidRPr="00EF56D0">
        <w:rPr>
          <w:highlight w:val="yellow"/>
        </w:rPr>
        <w:t>:</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1924CD" w:rsidRPr="00EF56D0" w:rsidTr="00406CAA">
        <w:trPr>
          <w:trHeight w:val="488"/>
        </w:trPr>
        <w:tc>
          <w:tcPr>
            <w:tcW w:w="846" w:type="dxa"/>
            <w:shd w:val="clear" w:color="auto" w:fill="E7E6E6" w:themeFill="background2"/>
          </w:tcPr>
          <w:p w:rsidR="001924CD" w:rsidRPr="00EF56D0" w:rsidRDefault="001924CD" w:rsidP="00406CAA">
            <w:pPr>
              <w:pStyle w:val="HStandard"/>
              <w:jc w:val="center"/>
              <w:rPr>
                <w:b/>
                <w:color w:val="5B9BD5" w:themeColor="accent1"/>
                <w:sz w:val="18"/>
                <w:szCs w:val="18"/>
                <w:highlight w:val="yellow"/>
              </w:rPr>
            </w:pPr>
            <w:r w:rsidRPr="00EF56D0">
              <w:rPr>
                <w:b/>
                <w:color w:val="5B9BD5" w:themeColor="accent1"/>
                <w:sz w:val="18"/>
                <w:highlight w:val="yellow"/>
              </w:rPr>
              <w:t>1</w:t>
            </w:r>
          </w:p>
        </w:tc>
        <w:tc>
          <w:tcPr>
            <w:tcW w:w="8170" w:type="dxa"/>
          </w:tcPr>
          <w:p w:rsidR="001924CD" w:rsidRPr="00EF56D0" w:rsidRDefault="001924CD" w:rsidP="00FC0A30">
            <w:pPr>
              <w:pStyle w:val="HStandard"/>
              <w:rPr>
                <w:sz w:val="18"/>
                <w:szCs w:val="18"/>
                <w:highlight w:val="yellow"/>
              </w:rPr>
            </w:pPr>
            <w:r w:rsidRPr="00EF56D0">
              <w:rPr>
                <w:sz w:val="18"/>
                <w:highlight w:val="yellow"/>
              </w:rPr>
              <w:t>Budowa logiki interwencji KSOW</w:t>
            </w:r>
          </w:p>
        </w:tc>
      </w:tr>
      <w:tr w:rsidR="001924CD" w:rsidRPr="00EF56D0" w:rsidTr="00406CAA">
        <w:tc>
          <w:tcPr>
            <w:tcW w:w="846" w:type="dxa"/>
            <w:shd w:val="clear" w:color="auto" w:fill="E7E6E6" w:themeFill="background2"/>
          </w:tcPr>
          <w:p w:rsidR="001924CD" w:rsidRPr="00EF56D0" w:rsidRDefault="001924CD" w:rsidP="00406CAA">
            <w:pPr>
              <w:pStyle w:val="HStandard"/>
              <w:jc w:val="center"/>
              <w:rPr>
                <w:b/>
                <w:color w:val="5B9BD5" w:themeColor="accent1"/>
                <w:sz w:val="18"/>
                <w:szCs w:val="18"/>
                <w:highlight w:val="yellow"/>
              </w:rPr>
            </w:pPr>
            <w:r w:rsidRPr="00EF56D0">
              <w:rPr>
                <w:b/>
                <w:color w:val="5B9BD5" w:themeColor="accent1"/>
                <w:sz w:val="18"/>
                <w:highlight w:val="yellow"/>
              </w:rPr>
              <w:t>2</w:t>
            </w:r>
          </w:p>
        </w:tc>
        <w:tc>
          <w:tcPr>
            <w:tcW w:w="8170" w:type="dxa"/>
          </w:tcPr>
          <w:p w:rsidR="001924CD" w:rsidRPr="00EF56D0" w:rsidRDefault="001924CD" w:rsidP="005E5B66">
            <w:pPr>
              <w:pStyle w:val="HStandard"/>
              <w:rPr>
                <w:sz w:val="18"/>
                <w:szCs w:val="18"/>
                <w:highlight w:val="yellow"/>
              </w:rPr>
            </w:pPr>
            <w:r w:rsidRPr="00EF56D0">
              <w:rPr>
                <w:sz w:val="18"/>
                <w:highlight w:val="yellow"/>
              </w:rPr>
              <w:t>Weryfikacja/opracowanie pytań ewaluacyjnych i wskaźników dotyczących KSOW oraz sprawdzenie ich spójności z logiką interwencji</w:t>
            </w:r>
          </w:p>
        </w:tc>
      </w:tr>
      <w:tr w:rsidR="001924CD" w:rsidRPr="00EF56D0" w:rsidTr="00406CAA">
        <w:tc>
          <w:tcPr>
            <w:tcW w:w="846" w:type="dxa"/>
            <w:shd w:val="clear" w:color="auto" w:fill="E7E6E6" w:themeFill="background2"/>
          </w:tcPr>
          <w:p w:rsidR="001924CD" w:rsidRPr="00EF56D0" w:rsidRDefault="001924CD" w:rsidP="00406CAA">
            <w:pPr>
              <w:pStyle w:val="HStandard"/>
              <w:jc w:val="center"/>
              <w:rPr>
                <w:b/>
                <w:color w:val="5B9BD5" w:themeColor="accent1"/>
                <w:sz w:val="18"/>
                <w:szCs w:val="18"/>
                <w:highlight w:val="yellow"/>
              </w:rPr>
            </w:pPr>
            <w:r w:rsidRPr="00EF56D0">
              <w:rPr>
                <w:b/>
                <w:color w:val="5B9BD5" w:themeColor="accent1"/>
                <w:sz w:val="18"/>
                <w:highlight w:val="yellow"/>
              </w:rPr>
              <w:t>3</w:t>
            </w:r>
          </w:p>
        </w:tc>
        <w:tc>
          <w:tcPr>
            <w:tcW w:w="8170" w:type="dxa"/>
          </w:tcPr>
          <w:p w:rsidR="001924CD" w:rsidRPr="00EF56D0" w:rsidRDefault="001924CD" w:rsidP="00FC0A30">
            <w:pPr>
              <w:pStyle w:val="HStandard"/>
              <w:rPr>
                <w:sz w:val="18"/>
                <w:szCs w:val="18"/>
                <w:highlight w:val="yellow"/>
              </w:rPr>
            </w:pPr>
            <w:r w:rsidRPr="00EF56D0">
              <w:rPr>
                <w:sz w:val="18"/>
                <w:highlight w:val="yellow"/>
              </w:rPr>
              <w:t>Wybór preferowanego podejścia ewaluacyjnego</w:t>
            </w:r>
          </w:p>
        </w:tc>
      </w:tr>
      <w:tr w:rsidR="001924CD" w:rsidRPr="00EF56D0" w:rsidTr="00406CAA">
        <w:tc>
          <w:tcPr>
            <w:tcW w:w="846" w:type="dxa"/>
            <w:shd w:val="clear" w:color="auto" w:fill="E7E6E6" w:themeFill="background2"/>
          </w:tcPr>
          <w:p w:rsidR="001924CD" w:rsidRPr="00EF56D0" w:rsidRDefault="001924CD" w:rsidP="00406CAA">
            <w:pPr>
              <w:pStyle w:val="HStandard"/>
              <w:jc w:val="center"/>
              <w:rPr>
                <w:b/>
                <w:color w:val="5B9BD5" w:themeColor="accent1"/>
                <w:sz w:val="18"/>
                <w:szCs w:val="18"/>
                <w:highlight w:val="yellow"/>
              </w:rPr>
            </w:pPr>
            <w:r w:rsidRPr="00EF56D0">
              <w:rPr>
                <w:b/>
                <w:color w:val="5B9BD5" w:themeColor="accent1"/>
                <w:sz w:val="18"/>
                <w:highlight w:val="yellow"/>
              </w:rPr>
              <w:t>4</w:t>
            </w:r>
          </w:p>
        </w:tc>
        <w:tc>
          <w:tcPr>
            <w:tcW w:w="8170" w:type="dxa"/>
          </w:tcPr>
          <w:p w:rsidR="001924CD" w:rsidRPr="00EF56D0" w:rsidRDefault="001924CD" w:rsidP="00FC0A30">
            <w:pPr>
              <w:pStyle w:val="HStandard"/>
              <w:rPr>
                <w:sz w:val="18"/>
                <w:szCs w:val="18"/>
                <w:highlight w:val="yellow"/>
              </w:rPr>
            </w:pPr>
            <w:r w:rsidRPr="00EF56D0">
              <w:rPr>
                <w:sz w:val="18"/>
                <w:highlight w:val="yellow"/>
              </w:rPr>
              <w:t>Przeanalizowanie potrzeb w zakresie informacji i danych oraz ich potencjalnych źródeł</w:t>
            </w:r>
          </w:p>
        </w:tc>
      </w:tr>
      <w:tr w:rsidR="001924CD" w:rsidRPr="00EF56D0" w:rsidTr="00406CAA">
        <w:tc>
          <w:tcPr>
            <w:tcW w:w="846" w:type="dxa"/>
            <w:shd w:val="clear" w:color="auto" w:fill="E7E6E6" w:themeFill="background2"/>
          </w:tcPr>
          <w:p w:rsidR="001924CD" w:rsidRPr="00EF56D0" w:rsidRDefault="001924CD" w:rsidP="00406CAA">
            <w:pPr>
              <w:pStyle w:val="HStandard"/>
              <w:jc w:val="center"/>
              <w:rPr>
                <w:b/>
                <w:color w:val="5B9BD5" w:themeColor="accent1"/>
                <w:sz w:val="18"/>
                <w:szCs w:val="18"/>
                <w:highlight w:val="yellow"/>
              </w:rPr>
            </w:pPr>
            <w:r w:rsidRPr="00EF56D0">
              <w:rPr>
                <w:b/>
                <w:color w:val="5B9BD5" w:themeColor="accent1"/>
                <w:sz w:val="18"/>
                <w:highlight w:val="yellow"/>
              </w:rPr>
              <w:t>5</w:t>
            </w:r>
          </w:p>
        </w:tc>
        <w:tc>
          <w:tcPr>
            <w:tcW w:w="8170" w:type="dxa"/>
          </w:tcPr>
          <w:p w:rsidR="001924CD" w:rsidRPr="00EF56D0" w:rsidRDefault="001924CD" w:rsidP="00FC0A30">
            <w:pPr>
              <w:pStyle w:val="HStandard"/>
              <w:rPr>
                <w:sz w:val="18"/>
                <w:szCs w:val="18"/>
                <w:highlight w:val="yellow"/>
              </w:rPr>
            </w:pPr>
            <w:r w:rsidRPr="00EF56D0">
              <w:rPr>
                <w:sz w:val="18"/>
                <w:highlight w:val="yellow"/>
              </w:rPr>
              <w:t>Procedura przetargowa i wybór zewnętrznego ewaluatora</w:t>
            </w:r>
          </w:p>
        </w:tc>
      </w:tr>
    </w:tbl>
    <w:p w:rsidR="001924CD" w:rsidRPr="00EF56D0" w:rsidRDefault="001924CD" w:rsidP="00FC0A30">
      <w:pPr>
        <w:pStyle w:val="HHeading5"/>
        <w:rPr>
          <w:highlight w:val="yellow"/>
        </w:rPr>
      </w:pPr>
      <w:r w:rsidRPr="00EF56D0">
        <w:rPr>
          <w:highlight w:val="yellow"/>
        </w:rPr>
        <w:t>Krok 1 – Budowa logiki interwencji KSOW</w:t>
      </w:r>
    </w:p>
    <w:p w:rsidR="001924CD" w:rsidRPr="00EF56D0" w:rsidRDefault="001924CD" w:rsidP="00FC0A30">
      <w:pPr>
        <w:pStyle w:val="HStandard"/>
        <w:rPr>
          <w:highlight w:val="yellow"/>
        </w:rPr>
      </w:pPr>
      <w:r w:rsidRPr="00EF56D0">
        <w:rPr>
          <w:highlight w:val="yellow"/>
        </w:rPr>
        <w:t>Logika interwencja KSOW w ramach PROW lub oddzielnego programu (PKSOW) stanowi fundament zarówno funkcjonowania, jak i oceny sieci. Logika interwencji jest metodologicznym narzędziem, które łączy analizę SWOT, potrzeby terytorium objętego programem związane z KSOW, cele sieci, jej działania/budżet oraz oczekiwane efekty w postaci produktów, rezultatów i oddziaływania</w:t>
      </w:r>
      <w:r w:rsidRPr="00EF56D0">
        <w:rPr>
          <w:rFonts w:ascii="ZWAdobeF" w:hAnsi="ZWAdobeF"/>
          <w:color w:val="auto"/>
          <w:sz w:val="2"/>
          <w:highlight w:val="yellow"/>
        </w:rPr>
        <w:t>65F</w:t>
      </w:r>
      <w:r w:rsidRPr="00EF56D0">
        <w:rPr>
          <w:rStyle w:val="FootnoteReference"/>
          <w:highlight w:val="yellow"/>
        </w:rPr>
        <w:footnoteReference w:id="66"/>
      </w:r>
      <w:r w:rsidRPr="00EF56D0">
        <w:rPr>
          <w:highlight w:val="yellow"/>
        </w:rPr>
        <w:t xml:space="preserve">. (Zob. </w:t>
      </w:r>
      <w:r w:rsidRPr="00EF56D0">
        <w:rPr>
          <w:highlight w:val="yellow"/>
        </w:rPr>
        <w:fldChar w:fldCharType="begin" w:fldLock="1"/>
      </w:r>
      <w:r w:rsidRPr="00EF56D0">
        <w:rPr>
          <w:highlight w:val="yellow"/>
        </w:rPr>
        <w:instrText xml:space="preserve"> REF _Ref451784505 \r \h  \* MERGEFORMAT </w:instrText>
      </w:r>
      <w:r w:rsidRPr="00EF56D0">
        <w:rPr>
          <w:highlight w:val="yellow"/>
        </w:rPr>
      </w:r>
      <w:r w:rsidRPr="00EF56D0">
        <w:rPr>
          <w:highlight w:val="yellow"/>
        </w:rPr>
        <w:fldChar w:fldCharType="separate"/>
      </w:r>
      <w:r w:rsidRPr="00EF56D0">
        <w:rPr>
          <w:highlight w:val="yellow"/>
        </w:rPr>
        <w:t>Figure 6</w:t>
      </w:r>
      <w:r w:rsidRPr="00EF56D0">
        <w:rPr>
          <w:highlight w:val="yellow"/>
        </w:rPr>
        <w:fldChar w:fldCharType="end"/>
      </w:r>
      <w:r w:rsidRPr="00EF56D0">
        <w:rPr>
          <w:highlight w:val="yellow"/>
        </w:rPr>
        <w:t xml:space="preserve"> w rozdziale 1.4.2) </w:t>
      </w:r>
      <w:bookmarkStart w:id="111" w:name="_Ref434414555"/>
    </w:p>
    <w:bookmarkEnd w:id="111"/>
    <w:p w:rsidR="001924CD" w:rsidRPr="00EF56D0" w:rsidRDefault="001924CD" w:rsidP="00FC0A30">
      <w:pPr>
        <w:pStyle w:val="HStandard"/>
        <w:rPr>
          <w:highlight w:val="yellow"/>
        </w:rPr>
      </w:pPr>
      <w:r w:rsidRPr="00EF56D0">
        <w:rPr>
          <w:highlight w:val="yellow"/>
        </w:rPr>
        <w:t>Logika interwencji PKSOWs powinna powstać na etapie projektowania programu, a jej spójność i adekwatność powinny podlegać ocenie w ramach ewaluacji ex ante. Logika interwencji KSOW w ramach PROW z kolei zazwyczaj nie jest w pełni rozwinięta: PROW często zawiera tylko cztery wspólne cele KSOW oraz wspólne grupy działań. Logika interwencji KSOW stanowi jednak podstawę oceny sieci i powinna być ustalona/sfinalizowana przed rozpoczęciem ewaluacji.</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EF56D0" w:rsidTr="00406CAA">
        <w:tc>
          <w:tcPr>
            <w:tcW w:w="9016" w:type="dxa"/>
            <w:shd w:val="clear" w:color="auto" w:fill="F5F4F4" w:themeFill="background2" w:themeFillTint="66"/>
          </w:tcPr>
          <w:p w:rsidR="001924CD" w:rsidRPr="00EF56D0" w:rsidRDefault="001924CD" w:rsidP="00FC0A30">
            <w:pPr>
              <w:pStyle w:val="HStandard"/>
              <w:rPr>
                <w:highlight w:val="yellow"/>
              </w:rPr>
            </w:pPr>
            <w:r w:rsidRPr="00EF56D0">
              <w:rPr>
                <w:highlight w:val="yellow"/>
              </w:rPr>
              <w:t xml:space="preserve">Poniższe pytania mogą być pomocne w opracowywaniu logiki interwencji: </w:t>
            </w:r>
          </w:p>
          <w:p w:rsidR="001924CD" w:rsidRPr="00EF56D0" w:rsidRDefault="001924CD" w:rsidP="001924CD">
            <w:pPr>
              <w:pStyle w:val="Hlistbullet"/>
              <w:tabs>
                <w:tab w:val="left" w:pos="567"/>
              </w:tabs>
              <w:rPr>
                <w:highlight w:val="yellow"/>
              </w:rPr>
            </w:pPr>
            <w:r w:rsidRPr="00EF56D0">
              <w:rPr>
                <w:highlight w:val="yellow"/>
              </w:rPr>
              <w:t>Jakie są potrzeby obszaru objętego programem, które mogłyby zostać zaspokojone przez KSOW?</w:t>
            </w:r>
          </w:p>
          <w:p w:rsidR="001924CD" w:rsidRPr="00EF56D0" w:rsidRDefault="001924CD" w:rsidP="001924CD">
            <w:pPr>
              <w:pStyle w:val="Hlistbullet"/>
              <w:tabs>
                <w:tab w:val="left" w:pos="567"/>
              </w:tabs>
              <w:rPr>
                <w:highlight w:val="yellow"/>
              </w:rPr>
            </w:pPr>
            <w:r w:rsidRPr="00EF56D0">
              <w:rPr>
                <w:highlight w:val="yellow"/>
              </w:rPr>
              <w:t xml:space="preserve">Jakie są specyficzne dla programu cele KSOW, które odpowiadają stwierdzonym potrzebom? </w:t>
            </w:r>
          </w:p>
          <w:p w:rsidR="001924CD" w:rsidRPr="00EF56D0" w:rsidRDefault="001924CD" w:rsidP="001924CD">
            <w:pPr>
              <w:pStyle w:val="Hlistbullet"/>
              <w:tabs>
                <w:tab w:val="left" w:pos="567"/>
              </w:tabs>
              <w:rPr>
                <w:highlight w:val="yellow"/>
              </w:rPr>
            </w:pPr>
            <w:r w:rsidRPr="00EF56D0">
              <w:rPr>
                <w:highlight w:val="yellow"/>
              </w:rPr>
              <w:t xml:space="preserve">Jakie działania należy wdrożyć, aby osiągnąć specyficzne dla programu cele KSOW? </w:t>
            </w:r>
          </w:p>
          <w:p w:rsidR="001924CD" w:rsidRPr="00EF56D0" w:rsidRDefault="001924CD" w:rsidP="001924CD">
            <w:pPr>
              <w:pStyle w:val="Hlistbullet"/>
              <w:tabs>
                <w:tab w:val="left" w:pos="567"/>
              </w:tabs>
              <w:rPr>
                <w:highlight w:val="yellow"/>
              </w:rPr>
            </w:pPr>
            <w:r w:rsidRPr="00EF56D0">
              <w:rPr>
                <w:highlight w:val="yellow"/>
              </w:rPr>
              <w:t>Jakie działania specyficzne dla KSOW należy wdrożyć, jeśli wspólne działania nie wystarczają do osiągnięcia specyficznych dla programu celów KSOW?</w:t>
            </w:r>
          </w:p>
        </w:tc>
      </w:tr>
    </w:tbl>
    <w:p w:rsidR="001924CD" w:rsidRPr="00EF56D0" w:rsidRDefault="001924CD" w:rsidP="00FC0A30">
      <w:pPr>
        <w:pStyle w:val="HStandard"/>
        <w:rPr>
          <w:highlight w:val="yellow"/>
        </w:rPr>
      </w:pPr>
      <w:r w:rsidRPr="00EF56D0">
        <w:rPr>
          <w:highlight w:val="yellow"/>
        </w:rPr>
        <w:t xml:space="preserve">Logikę interwencji KSOW należy opracowywać w </w:t>
      </w:r>
      <w:r w:rsidRPr="00EF56D0">
        <w:rPr>
          <w:b/>
          <w:highlight w:val="yellow"/>
        </w:rPr>
        <w:t>następującej kolejności</w:t>
      </w:r>
      <w:r w:rsidRPr="00EF56D0">
        <w:rPr>
          <w:highlight w:val="yellow"/>
        </w:rPr>
        <w:t xml:space="preserve">: </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924CD" w:rsidRPr="00EF56D0" w:rsidTr="009A7C06">
        <w:trPr>
          <w:jc w:val="center"/>
        </w:trPr>
        <w:tc>
          <w:tcPr>
            <w:tcW w:w="988" w:type="dxa"/>
            <w:shd w:val="clear" w:color="auto" w:fill="E7E6E6" w:themeFill="background2"/>
          </w:tcPr>
          <w:p w:rsidR="001924CD" w:rsidRPr="00EF56D0" w:rsidRDefault="001924CD" w:rsidP="009A7C06">
            <w:pPr>
              <w:pStyle w:val="HStandard"/>
              <w:jc w:val="center"/>
              <w:rPr>
                <w:b/>
                <w:color w:val="FFFFFF"/>
                <w:sz w:val="18"/>
                <w:szCs w:val="18"/>
                <w:highlight w:val="yellow"/>
              </w:rPr>
            </w:pPr>
            <w:r w:rsidRPr="00EF56D0">
              <w:rPr>
                <w:b/>
                <w:color w:val="FFFFFF"/>
                <w:sz w:val="18"/>
                <w:highlight w:val="yellow"/>
              </w:rPr>
              <w:t>a.</w:t>
            </w:r>
          </w:p>
        </w:tc>
        <w:tc>
          <w:tcPr>
            <w:tcW w:w="8028" w:type="dxa"/>
          </w:tcPr>
          <w:p w:rsidR="001924CD" w:rsidRPr="00EF56D0" w:rsidRDefault="001924CD" w:rsidP="009A7C06">
            <w:pPr>
              <w:pStyle w:val="Hlistbullet"/>
              <w:numPr>
                <w:ilvl w:val="0"/>
                <w:numId w:val="0"/>
              </w:numPr>
              <w:spacing w:before="0" w:line="280" w:lineRule="atLeast"/>
              <w:jc w:val="left"/>
              <w:rPr>
                <w:sz w:val="18"/>
                <w:szCs w:val="18"/>
                <w:highlight w:val="yellow"/>
              </w:rPr>
            </w:pPr>
            <w:r w:rsidRPr="00EF56D0">
              <w:rPr>
                <w:sz w:val="18"/>
                <w:highlight w:val="yellow"/>
              </w:rPr>
              <w:t>Przeprowadzenie oceny potrzeb i analizy kontekstowej sieci.</w:t>
            </w:r>
          </w:p>
        </w:tc>
      </w:tr>
      <w:tr w:rsidR="001924CD" w:rsidRPr="00EF56D0" w:rsidTr="009A7C06">
        <w:trPr>
          <w:jc w:val="center"/>
        </w:trPr>
        <w:tc>
          <w:tcPr>
            <w:tcW w:w="988" w:type="dxa"/>
            <w:shd w:val="clear" w:color="auto" w:fill="E7E6E6" w:themeFill="background2"/>
          </w:tcPr>
          <w:p w:rsidR="001924CD" w:rsidRPr="00EF56D0" w:rsidRDefault="001924CD" w:rsidP="009A7C06">
            <w:pPr>
              <w:pStyle w:val="HStandard"/>
              <w:jc w:val="center"/>
              <w:rPr>
                <w:b/>
                <w:color w:val="FFFFFF"/>
                <w:sz w:val="18"/>
                <w:szCs w:val="18"/>
                <w:highlight w:val="yellow"/>
              </w:rPr>
            </w:pPr>
            <w:r w:rsidRPr="00EF56D0">
              <w:rPr>
                <w:b/>
                <w:color w:val="FFFFFF"/>
                <w:sz w:val="18"/>
                <w:highlight w:val="yellow"/>
              </w:rPr>
              <w:lastRenderedPageBreak/>
              <w:t>b.</w:t>
            </w:r>
          </w:p>
        </w:tc>
        <w:tc>
          <w:tcPr>
            <w:tcW w:w="8028" w:type="dxa"/>
          </w:tcPr>
          <w:p w:rsidR="001924CD" w:rsidRPr="00EF56D0" w:rsidRDefault="001924CD" w:rsidP="009A7C06">
            <w:pPr>
              <w:pStyle w:val="HStandard"/>
              <w:jc w:val="left"/>
              <w:rPr>
                <w:b/>
                <w:i/>
                <w:sz w:val="18"/>
                <w:szCs w:val="18"/>
                <w:highlight w:val="yellow"/>
              </w:rPr>
            </w:pPr>
            <w:r w:rsidRPr="00EF56D0">
              <w:rPr>
                <w:sz w:val="18"/>
                <w:highlight w:val="yellow"/>
              </w:rPr>
              <w:t>Przegląd wspólnych celów sieci</w:t>
            </w:r>
            <w:r w:rsidRPr="00EF56D0">
              <w:rPr>
                <w:rFonts w:ascii="ZWAdobeF" w:hAnsi="ZWAdobeF"/>
                <w:color w:val="auto"/>
                <w:sz w:val="2"/>
                <w:highlight w:val="yellow"/>
              </w:rPr>
              <w:t>66F</w:t>
            </w:r>
            <w:r w:rsidRPr="00EF56D0">
              <w:rPr>
                <w:sz w:val="18"/>
                <w:highlight w:val="yellow"/>
                <w:vertAlign w:val="superscript"/>
              </w:rPr>
              <w:footnoteReference w:id="67"/>
            </w:r>
            <w:r w:rsidRPr="00EF56D0">
              <w:rPr>
                <w:sz w:val="18"/>
                <w:highlight w:val="yellow"/>
                <w:vertAlign w:val="superscript"/>
              </w:rPr>
              <w:t xml:space="preserve"> </w:t>
            </w:r>
            <w:r w:rsidRPr="00EF56D0">
              <w:rPr>
                <w:sz w:val="18"/>
                <w:highlight w:val="yellow"/>
              </w:rPr>
              <w:t>i grup działań</w:t>
            </w:r>
            <w:r w:rsidRPr="00EF56D0">
              <w:rPr>
                <w:rFonts w:ascii="ZWAdobeF" w:hAnsi="ZWAdobeF"/>
                <w:color w:val="auto"/>
                <w:sz w:val="2"/>
                <w:highlight w:val="yellow"/>
              </w:rPr>
              <w:t>67F</w:t>
            </w:r>
            <w:r w:rsidRPr="00EF56D0">
              <w:rPr>
                <w:sz w:val="18"/>
                <w:highlight w:val="yellow"/>
                <w:vertAlign w:val="superscript"/>
              </w:rPr>
              <w:footnoteReference w:id="68"/>
            </w:r>
            <w:r w:rsidRPr="00EF56D0">
              <w:rPr>
                <w:sz w:val="18"/>
                <w:highlight w:val="yellow"/>
              </w:rPr>
              <w:t xml:space="preserve"> pod względem ich adekwatności z punktu widzenia realizacji potrzeb stwierdzonych w analizie kontekstowej i SWOT.</w:t>
            </w:r>
          </w:p>
        </w:tc>
      </w:tr>
      <w:tr w:rsidR="001924CD" w:rsidRPr="00EF56D0" w:rsidTr="009A7C06">
        <w:trPr>
          <w:jc w:val="center"/>
        </w:trPr>
        <w:tc>
          <w:tcPr>
            <w:tcW w:w="988" w:type="dxa"/>
            <w:shd w:val="clear" w:color="auto" w:fill="E7E6E6" w:themeFill="background2"/>
          </w:tcPr>
          <w:p w:rsidR="001924CD" w:rsidRPr="00EF56D0" w:rsidRDefault="001924CD" w:rsidP="009A7C06">
            <w:pPr>
              <w:pStyle w:val="HStandard"/>
              <w:jc w:val="center"/>
              <w:rPr>
                <w:b/>
                <w:color w:val="FFFFFF"/>
                <w:sz w:val="18"/>
                <w:szCs w:val="18"/>
                <w:highlight w:val="yellow"/>
              </w:rPr>
            </w:pPr>
            <w:r w:rsidRPr="00EF56D0">
              <w:rPr>
                <w:b/>
                <w:color w:val="FFFFFF"/>
                <w:sz w:val="18"/>
                <w:highlight w:val="yellow"/>
              </w:rPr>
              <w:t>c.</w:t>
            </w:r>
          </w:p>
        </w:tc>
        <w:tc>
          <w:tcPr>
            <w:tcW w:w="8028" w:type="dxa"/>
          </w:tcPr>
          <w:p w:rsidR="001924CD" w:rsidRPr="00EF56D0" w:rsidRDefault="001924CD" w:rsidP="009A7C06">
            <w:pPr>
              <w:pStyle w:val="Hlistbullet"/>
              <w:numPr>
                <w:ilvl w:val="0"/>
                <w:numId w:val="0"/>
              </w:numPr>
              <w:spacing w:before="0" w:line="280" w:lineRule="atLeast"/>
              <w:jc w:val="left"/>
              <w:rPr>
                <w:sz w:val="18"/>
                <w:szCs w:val="18"/>
                <w:highlight w:val="yellow"/>
              </w:rPr>
            </w:pPr>
            <w:r w:rsidRPr="00EF56D0">
              <w:rPr>
                <w:sz w:val="18"/>
                <w:highlight w:val="yellow"/>
              </w:rPr>
              <w:t>Określenie i sformułowanie specyficznych dla programu celów KSOW.</w:t>
            </w:r>
          </w:p>
        </w:tc>
      </w:tr>
      <w:tr w:rsidR="001924CD" w:rsidRPr="00EF56D0" w:rsidTr="009A7C06">
        <w:trPr>
          <w:jc w:val="center"/>
        </w:trPr>
        <w:tc>
          <w:tcPr>
            <w:tcW w:w="988" w:type="dxa"/>
            <w:shd w:val="clear" w:color="auto" w:fill="E7E6E6" w:themeFill="background2"/>
          </w:tcPr>
          <w:p w:rsidR="001924CD" w:rsidRPr="00EF56D0" w:rsidRDefault="001924CD" w:rsidP="009A7C06">
            <w:pPr>
              <w:pStyle w:val="HStandard"/>
              <w:jc w:val="center"/>
              <w:rPr>
                <w:b/>
                <w:color w:val="FFFFFF"/>
                <w:sz w:val="18"/>
                <w:szCs w:val="18"/>
                <w:highlight w:val="yellow"/>
              </w:rPr>
            </w:pPr>
            <w:r w:rsidRPr="00EF56D0">
              <w:rPr>
                <w:b/>
                <w:color w:val="FFFFFF"/>
                <w:sz w:val="18"/>
                <w:highlight w:val="yellow"/>
              </w:rPr>
              <w:t>d.</w:t>
            </w:r>
          </w:p>
        </w:tc>
        <w:tc>
          <w:tcPr>
            <w:tcW w:w="8028" w:type="dxa"/>
          </w:tcPr>
          <w:p w:rsidR="001924CD" w:rsidRPr="00EF56D0" w:rsidRDefault="001924CD" w:rsidP="009A7C06">
            <w:pPr>
              <w:pStyle w:val="Hlistbullet"/>
              <w:numPr>
                <w:ilvl w:val="0"/>
                <w:numId w:val="0"/>
              </w:numPr>
              <w:tabs>
                <w:tab w:val="left" w:pos="317"/>
              </w:tabs>
              <w:spacing w:before="0" w:line="280" w:lineRule="atLeast"/>
              <w:jc w:val="left"/>
              <w:rPr>
                <w:sz w:val="18"/>
                <w:szCs w:val="18"/>
                <w:highlight w:val="yellow"/>
              </w:rPr>
            </w:pPr>
            <w:r w:rsidRPr="00EF56D0">
              <w:rPr>
                <w:sz w:val="18"/>
                <w:highlight w:val="yellow"/>
              </w:rPr>
              <w:t>Określenie oczekiwanych produktów, rezultatów i oddziaływania KSOW w zakresie wspierania rozwoju obszarów wiejskich oraz w odniesieniu do obszarów wiejskich objętych programem, jak również kapitału ludzkiego i społecznego.</w:t>
            </w:r>
          </w:p>
        </w:tc>
      </w:tr>
      <w:tr w:rsidR="001924CD" w:rsidRPr="00EF56D0" w:rsidTr="009A7C06">
        <w:trPr>
          <w:jc w:val="center"/>
        </w:trPr>
        <w:tc>
          <w:tcPr>
            <w:tcW w:w="988" w:type="dxa"/>
            <w:shd w:val="clear" w:color="auto" w:fill="E7E6E6" w:themeFill="background2"/>
          </w:tcPr>
          <w:p w:rsidR="001924CD" w:rsidRPr="00EF56D0" w:rsidRDefault="001924CD" w:rsidP="009A7C06">
            <w:pPr>
              <w:pStyle w:val="HStandard"/>
              <w:jc w:val="center"/>
              <w:rPr>
                <w:b/>
                <w:color w:val="FFFFFF"/>
                <w:sz w:val="18"/>
                <w:szCs w:val="18"/>
                <w:highlight w:val="yellow"/>
              </w:rPr>
            </w:pPr>
            <w:r w:rsidRPr="00EF56D0">
              <w:rPr>
                <w:b/>
                <w:color w:val="FFFFFF"/>
                <w:sz w:val="18"/>
                <w:highlight w:val="yellow"/>
              </w:rPr>
              <w:t>e.</w:t>
            </w:r>
          </w:p>
        </w:tc>
        <w:tc>
          <w:tcPr>
            <w:tcW w:w="8028" w:type="dxa"/>
          </w:tcPr>
          <w:p w:rsidR="001924CD" w:rsidRPr="00EF56D0" w:rsidRDefault="001924CD" w:rsidP="009A7C06">
            <w:pPr>
              <w:pStyle w:val="Hlistbullet"/>
              <w:numPr>
                <w:ilvl w:val="0"/>
                <w:numId w:val="0"/>
              </w:numPr>
              <w:spacing w:before="0" w:line="280" w:lineRule="atLeast"/>
              <w:jc w:val="left"/>
              <w:rPr>
                <w:sz w:val="18"/>
                <w:szCs w:val="18"/>
                <w:highlight w:val="yellow"/>
              </w:rPr>
            </w:pPr>
            <w:r w:rsidRPr="00EF56D0">
              <w:rPr>
                <w:sz w:val="18"/>
                <w:highlight w:val="yellow"/>
              </w:rPr>
              <w:t>Opracowanie logiki interwencji KSOW oraz sprawdzenie jej spójności wertykalnej i horyzontalnej.</w:t>
            </w:r>
          </w:p>
        </w:tc>
      </w:tr>
      <w:tr w:rsidR="001924CD" w:rsidRPr="00EF56D0" w:rsidTr="009A7C06">
        <w:trPr>
          <w:jc w:val="center"/>
        </w:trPr>
        <w:tc>
          <w:tcPr>
            <w:tcW w:w="9016" w:type="dxa"/>
            <w:gridSpan w:val="2"/>
            <w:shd w:val="clear" w:color="auto" w:fill="auto"/>
          </w:tcPr>
          <w:p w:rsidR="001924CD" w:rsidRPr="00EF56D0" w:rsidRDefault="001924CD" w:rsidP="009A7C06">
            <w:pPr>
              <w:pStyle w:val="HStandard"/>
              <w:jc w:val="left"/>
              <w:rPr>
                <w:sz w:val="18"/>
                <w:szCs w:val="18"/>
                <w:highlight w:val="yellow"/>
              </w:rPr>
            </w:pPr>
            <w:r w:rsidRPr="00EF56D0">
              <w:rPr>
                <w:b/>
                <w:sz w:val="18"/>
                <w:highlight w:val="yellow"/>
              </w:rPr>
              <w:t>Oczekiwany wynik:</w:t>
            </w:r>
            <w:r w:rsidRPr="00EF56D0">
              <w:rPr>
                <w:highlight w:val="yellow"/>
              </w:rPr>
              <w:t xml:space="preserve"> </w:t>
            </w:r>
            <w:r w:rsidRPr="00EF56D0">
              <w:rPr>
                <w:sz w:val="18"/>
                <w:highlight w:val="yellow"/>
              </w:rPr>
              <w:t>spójna pod względem wertykalnym i horyzontalnym logika interwencji KSOW</w:t>
            </w:r>
          </w:p>
        </w:tc>
      </w:tr>
    </w:tbl>
    <w:p w:rsidR="001924CD" w:rsidRPr="00EF56D0" w:rsidRDefault="001924CD" w:rsidP="00D7626C">
      <w:pPr>
        <w:pStyle w:val="Heading6"/>
        <w:rPr>
          <w:highlight w:val="yellow"/>
        </w:rPr>
      </w:pPr>
      <w:r w:rsidRPr="00EF56D0">
        <w:rPr>
          <w:highlight w:val="yellow"/>
        </w:rPr>
        <w:t>Przeprowadzenie oceny potrzeb i analizy kontekstowej sieci</w:t>
      </w:r>
    </w:p>
    <w:p w:rsidR="001924CD" w:rsidRPr="00EF56D0" w:rsidRDefault="001924CD" w:rsidP="00FC0A30">
      <w:pPr>
        <w:pStyle w:val="HStandard"/>
        <w:rPr>
          <w:highlight w:val="yellow"/>
        </w:rPr>
      </w:pPr>
      <w:r w:rsidRPr="00EF56D0">
        <w:rPr>
          <w:highlight w:val="yellow"/>
        </w:rPr>
        <w:t xml:space="preserve">Przed przystąpieniem do opracowywania logiki interwencji KSOW należy dokonać oceny sytuacji na obszarze objętym programem i wskazać potrzeby, które można zaspokoić poprzez działalność sieci obszarów wiejskich. Na etapie tym należy również ocenić potrzeby w zakresie współpracy sieciowej (networking) z wykorzystaniem parametrów sieci. Zainteresowane strony w państwach członkowskich mogą same zdecydować o wyborze parametrów kontekstowych sieci do celów oceny środowiska KSOW w zależności od konkretnej sytuacji na obszarze objętym PROW. Przykłady parametrów kontekstowych są przedstawione poniżej: </w:t>
      </w:r>
    </w:p>
    <w:p w:rsidR="001924CD" w:rsidRPr="00EF56D0" w:rsidRDefault="001924CD" w:rsidP="005368DC">
      <w:pPr>
        <w:pStyle w:val="Hlistbullet2"/>
        <w:rPr>
          <w:highlight w:val="yellow"/>
        </w:rPr>
      </w:pPr>
      <w:r w:rsidRPr="00EF56D0">
        <w:rPr>
          <w:highlight w:val="yellow"/>
        </w:rPr>
        <w:t>Różnorodność podmiotów zainteresowanych rozwojem obszarów wiejskich: stworzenie mapy istniejących grup zainteresowanych stron działających na poziomie lokalnym, regionalnym i krajowym i/lub potencjalnych członków KSOW reprezentujących: (i) szeroko rozumianą społeczność wiejską, (ii) beneficjentów programu rozwoju obszarów wiejskich zgodnie z definicją zawartą w przepisach i programach, w tym w odniesieniu do lokalnych grup działania (LGD), (iii) inne podmioty, np. różne organizacje pozarządowe, środowiska akademickie i badawcze związane z rozwojem obszarów wiejskich, w tym osoby działające w dziedzinach związanych z innowacją itp.</w:t>
      </w:r>
    </w:p>
    <w:p w:rsidR="001924CD" w:rsidRPr="00EF56D0" w:rsidRDefault="001924CD" w:rsidP="005368DC">
      <w:pPr>
        <w:pStyle w:val="Hlistbullet2"/>
        <w:rPr>
          <w:highlight w:val="yellow"/>
        </w:rPr>
      </w:pPr>
      <w:r w:rsidRPr="00EF56D0">
        <w:rPr>
          <w:highlight w:val="yellow"/>
        </w:rPr>
        <w:t>Związki pomiędzy zainteresowanymi stronami: stworzenie mapy istniejących powiązań i związków między zainteresowanymi stronami, w tym istniejących i planowanych projektów współpracy i działań wśród uczestników istniejących sieci (powiązania wewnętrzne) oraz pomiędzy sieciami (powiązania zewnętrzne).</w:t>
      </w:r>
    </w:p>
    <w:p w:rsidR="001924CD" w:rsidRPr="00EF56D0" w:rsidRDefault="001924CD" w:rsidP="005368DC">
      <w:pPr>
        <w:pStyle w:val="Hlistbullet2"/>
        <w:rPr>
          <w:highlight w:val="yellow"/>
        </w:rPr>
      </w:pPr>
      <w:r w:rsidRPr="00EF56D0">
        <w:rPr>
          <w:highlight w:val="yellow"/>
        </w:rPr>
        <w:t xml:space="preserve">Poziom decentralizacji struktur operacyjnych sieci obszarów wiejskich: Opis i analiza istniejących struktur operacyjnych i koordynacyjnych KSOW z uwzględnieniem poziomu krajowego i regionalnego oraz podziału obowiązków (decentralizacja). </w:t>
      </w:r>
    </w:p>
    <w:p w:rsidR="001924CD" w:rsidRPr="00EF56D0" w:rsidRDefault="001924CD" w:rsidP="005368DC">
      <w:pPr>
        <w:pStyle w:val="Hlistbullet2"/>
        <w:rPr>
          <w:highlight w:val="yellow"/>
        </w:rPr>
      </w:pPr>
      <w:r w:rsidRPr="00EF56D0">
        <w:rPr>
          <w:highlight w:val="yellow"/>
        </w:rPr>
        <w:t>Poziom otwartości KSOW: Opis i analiza otwartość obecnej sieci KSOW na udział szerszego kręgu zainteresowanych stron z obszarów wiejskich (np. poprzez członkostwo formalne/nieformalne, możliwość dołączania do sieci na bieżąco itp.) oraz przepisów stosowanych przez sieci w tym zakresie.</w:t>
      </w:r>
    </w:p>
    <w:p w:rsidR="001924CD" w:rsidRPr="00EF56D0" w:rsidRDefault="001924CD" w:rsidP="005368DC">
      <w:pPr>
        <w:pStyle w:val="Hlistbullet2"/>
        <w:rPr>
          <w:highlight w:val="yellow"/>
        </w:rPr>
      </w:pPr>
      <w:r w:rsidRPr="00EF56D0">
        <w:rPr>
          <w:highlight w:val="yellow"/>
        </w:rPr>
        <w:t>Struktura i treść PROW, w ramach którego sieć będzie funkcjonować: Analiza działań i związanych z nimi przydziałów środków finansowych w ramach PROW, które będą związane z działalnością</w:t>
      </w:r>
      <w:r w:rsidRPr="00EF56D0">
        <w:rPr>
          <w:rFonts w:ascii="ZWAdobeF" w:hAnsi="ZWAdobeF"/>
          <w:color w:val="auto"/>
          <w:sz w:val="2"/>
          <w:highlight w:val="yellow"/>
        </w:rPr>
        <w:t>KSOW</w:t>
      </w:r>
      <w:r w:rsidRPr="00EF56D0">
        <w:rPr>
          <w:rStyle w:val="FootnoteReference"/>
          <w:highlight w:val="yellow"/>
        </w:rPr>
        <w:footnoteReference w:id="69"/>
      </w:r>
      <w:r w:rsidRPr="00EF56D0">
        <w:rPr>
          <w:highlight w:val="yellow"/>
        </w:rPr>
        <w:t xml:space="preserve"> oraz mogą wzajemnie uzupełniać się lub wykluczać bądź zapewniać efekt synergii. Pozwoli to ocenić, czy działania KSOW są potrzebne i czy cel został osiągnięty poprzez działania PROW.</w:t>
      </w:r>
    </w:p>
    <w:p w:rsidR="001924CD" w:rsidRPr="00EF56D0" w:rsidRDefault="001924CD" w:rsidP="005368DC">
      <w:pPr>
        <w:pStyle w:val="Hlistbullet2"/>
        <w:rPr>
          <w:highlight w:val="yellow"/>
        </w:rPr>
      </w:pPr>
      <w:r w:rsidRPr="00EF56D0">
        <w:rPr>
          <w:highlight w:val="yellow"/>
        </w:rPr>
        <w:t>Analiza JWS (bez względu na to, czy funkcjonuje w ramach IZ, została oddelegowana do agencji rządowej/innej instytucji publicznej czy zlecona na zewnątrz) wskazująca mocne i słabe strony istniejącego układu oraz wnioski na przyszłość.</w:t>
      </w:r>
    </w:p>
    <w:p w:rsidR="001924CD" w:rsidRPr="00EF56D0" w:rsidRDefault="001924CD" w:rsidP="00C72F66">
      <w:pPr>
        <w:pStyle w:val="Heading6"/>
        <w:rPr>
          <w:highlight w:val="yellow"/>
        </w:rPr>
      </w:pPr>
      <w:r w:rsidRPr="00EF56D0">
        <w:rPr>
          <w:highlight w:val="yellow"/>
        </w:rPr>
        <w:lastRenderedPageBreak/>
        <w:t xml:space="preserve">Przegląd wspólnych celów sieci i grup działań </w:t>
      </w:r>
    </w:p>
    <w:p w:rsidR="001924CD" w:rsidRPr="00EF56D0" w:rsidRDefault="001924CD" w:rsidP="00FC0A30">
      <w:pPr>
        <w:pStyle w:val="HStandard"/>
        <w:rPr>
          <w:highlight w:val="yellow"/>
        </w:rPr>
      </w:pPr>
      <w:r w:rsidRPr="00EF56D0">
        <w:rPr>
          <w:highlight w:val="yellow"/>
        </w:rPr>
        <w:t>Przepisy prawa określają wspólne elementy konstrukcji logiki interwencji KSOW:</w:t>
      </w:r>
    </w:p>
    <w:p w:rsidR="001924CD" w:rsidRPr="00EF56D0" w:rsidRDefault="001924CD" w:rsidP="00406CAA">
      <w:pPr>
        <w:pStyle w:val="Hlistbullet"/>
        <w:rPr>
          <w:highlight w:val="yellow"/>
        </w:rPr>
      </w:pPr>
      <w:r w:rsidRPr="00EF56D0">
        <w:rPr>
          <w:highlight w:val="yellow"/>
        </w:rPr>
        <w:t>cztery wspólne cele KSOW</w:t>
      </w:r>
      <w:r w:rsidRPr="00EF56D0">
        <w:rPr>
          <w:rFonts w:ascii="ZWAdobeF" w:hAnsi="ZWAdobeF"/>
          <w:color w:val="auto"/>
          <w:sz w:val="2"/>
          <w:highlight w:val="yellow"/>
        </w:rPr>
        <w:t>69F</w:t>
      </w:r>
      <w:r w:rsidRPr="00EF56D0">
        <w:rPr>
          <w:rStyle w:val="FootnoteReference"/>
          <w:highlight w:val="yellow"/>
        </w:rPr>
        <w:footnoteReference w:id="70"/>
      </w:r>
      <w:r w:rsidRPr="00EF56D0">
        <w:rPr>
          <w:highlight w:val="yellow"/>
        </w:rPr>
        <w:t xml:space="preserve"> i </w:t>
      </w:r>
    </w:p>
    <w:p w:rsidR="001924CD" w:rsidRPr="00EF56D0" w:rsidRDefault="001924CD" w:rsidP="00406CAA">
      <w:pPr>
        <w:pStyle w:val="Hlistbullet"/>
        <w:rPr>
          <w:highlight w:val="yellow"/>
        </w:rPr>
      </w:pPr>
      <w:r w:rsidRPr="00EF56D0">
        <w:rPr>
          <w:highlight w:val="yellow"/>
        </w:rPr>
        <w:t>siedem wspólnych grup działań</w:t>
      </w:r>
      <w:r w:rsidRPr="00EF56D0">
        <w:rPr>
          <w:rFonts w:ascii="ZWAdobeF" w:hAnsi="ZWAdobeF"/>
          <w:color w:val="auto"/>
          <w:sz w:val="2"/>
          <w:highlight w:val="yellow"/>
        </w:rPr>
        <w:t>70F</w:t>
      </w:r>
      <w:r w:rsidRPr="00EF56D0">
        <w:rPr>
          <w:rStyle w:val="FootnoteReference"/>
          <w:highlight w:val="yellow"/>
        </w:rPr>
        <w:footnoteReference w:id="71"/>
      </w:r>
      <w:r w:rsidRPr="00EF56D0">
        <w:rPr>
          <w:highlight w:val="yellow"/>
        </w:rPr>
        <w:t>.</w:t>
      </w:r>
    </w:p>
    <w:p w:rsidR="001924CD" w:rsidRPr="00EF56D0" w:rsidRDefault="001924CD" w:rsidP="00FC0A30">
      <w:pPr>
        <w:pStyle w:val="HStandard"/>
        <w:rPr>
          <w:highlight w:val="yellow"/>
        </w:rPr>
      </w:pPr>
      <w:r w:rsidRPr="00EF56D0">
        <w:rPr>
          <w:highlight w:val="yellow"/>
        </w:rPr>
        <w:t xml:space="preserve">Wytyczne dotyczące ustanowienia i funkcjonowania krajowych sieci obszarów wiejskich zawierają propozycję następujących powiązań pomiędzy czterema wspólnymi celami KSOW i siedmioma wspólnymi grupami działań (zob. </w:t>
      </w:r>
      <w:r w:rsidRPr="00EF56D0">
        <w:rPr>
          <w:highlight w:val="yellow"/>
        </w:rPr>
        <w:fldChar w:fldCharType="begin" w:fldLock="1"/>
      </w:r>
      <w:r w:rsidRPr="00EF56D0">
        <w:rPr>
          <w:highlight w:val="yellow"/>
        </w:rPr>
        <w:instrText xml:space="preserve"> REF _Ref451784531 \r \h  \* MERGEFORMAT </w:instrText>
      </w:r>
      <w:r w:rsidRPr="00EF56D0">
        <w:rPr>
          <w:highlight w:val="yellow"/>
        </w:rPr>
      </w:r>
      <w:r w:rsidRPr="00EF56D0">
        <w:rPr>
          <w:highlight w:val="yellow"/>
        </w:rPr>
        <w:fldChar w:fldCharType="separate"/>
      </w:r>
      <w:r w:rsidRPr="00EF56D0">
        <w:rPr>
          <w:highlight w:val="yellow"/>
        </w:rPr>
        <w:t>Figure 12</w:t>
      </w:r>
      <w:r w:rsidRPr="00EF56D0">
        <w:rPr>
          <w:highlight w:val="yellow"/>
        </w:rPr>
        <w:fldChar w:fldCharType="end"/>
      </w:r>
      <w:r w:rsidRPr="00EF56D0">
        <w:rPr>
          <w:highlight w:val="yellow"/>
        </w:rPr>
        <w:t xml:space="preserve">). Zainteresowane podmioty w państwach członkowskich mogą jednakże wskazać własne powiązania odpowiadające konkretnej logice interwencji KSOW. </w:t>
      </w:r>
    </w:p>
    <w:p w:rsidR="001924CD" w:rsidRPr="00EF56D0" w:rsidRDefault="001924CD" w:rsidP="00922CBE">
      <w:pPr>
        <w:pStyle w:val="HHeadingfigures"/>
        <w:rPr>
          <w:highlight w:val="yellow"/>
        </w:rPr>
      </w:pPr>
      <w:bookmarkStart w:id="112" w:name="_Toc445465127"/>
      <w:bookmarkStart w:id="113" w:name="_Toc451781930"/>
      <w:bookmarkStart w:id="114" w:name="_Toc461807148"/>
      <w:r w:rsidRPr="00EF56D0">
        <w:rPr>
          <w:highlight w:val="yellow"/>
        </w:rPr>
        <w:t xml:space="preserve">Możliwe powiązania pomiędzy wspólnymi celami KSOW i grupami </w:t>
      </w:r>
      <w:bookmarkEnd w:id="112"/>
      <w:r w:rsidRPr="00EF56D0">
        <w:rPr>
          <w:highlight w:val="yellow"/>
        </w:rPr>
        <w:t>działań</w:t>
      </w:r>
      <w:bookmarkEnd w:id="113"/>
      <w:bookmarkEnd w:id="114"/>
    </w:p>
    <w:p w:rsidR="001924CD" w:rsidRPr="00EF56D0" w:rsidRDefault="001924CD" w:rsidP="00DB1A74">
      <w:pPr>
        <w:pStyle w:val="HStandard"/>
        <w:jc w:val="center"/>
        <w:rPr>
          <w:highlight w:val="yellow"/>
        </w:rPr>
      </w:pPr>
      <w:r w:rsidRPr="00EF56D0">
        <w:rPr>
          <w:noProof/>
          <w:highlight w:val="yellow"/>
          <w:lang w:val="en-GB" w:eastAsia="en-GB" w:bidi="ar-SA"/>
        </w:rPr>
        <w:drawing>
          <wp:inline distT="0" distB="0" distL="0" distR="0" wp14:anchorId="6D12B196" wp14:editId="0133B5A4">
            <wp:extent cx="6150614" cy="2573079"/>
            <wp:effectExtent l="0" t="0" r="254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71480" cy="2581808"/>
                    </a:xfrm>
                    <a:prstGeom prst="rect">
                      <a:avLst/>
                    </a:prstGeom>
                    <a:noFill/>
                    <a:ln>
                      <a:noFill/>
                    </a:ln>
                  </pic:spPr>
                </pic:pic>
              </a:graphicData>
            </a:graphic>
          </wp:inline>
        </w:drawing>
      </w:r>
      <w:r w:rsidRPr="00EF56D0">
        <w:rPr>
          <w:highlight w:val="yellow"/>
        </w:rPr>
        <w:t xml:space="preserve"> </w:t>
      </w:r>
    </w:p>
    <w:p w:rsidR="001924CD" w:rsidRPr="00EF56D0" w:rsidRDefault="001924CD" w:rsidP="00FC0A30">
      <w:pPr>
        <w:pStyle w:val="HSource"/>
        <w:rPr>
          <w:highlight w:val="yellow"/>
        </w:rPr>
      </w:pPr>
      <w:r w:rsidRPr="00EF56D0">
        <w:rPr>
          <w:highlight w:val="yellow"/>
        </w:rPr>
        <w:t>Źródło: Europejskie Biuro Pomocy ds. Ewaluacji Rozwoju Obszarów Wiejskich, 2016 r.</w:t>
      </w:r>
    </w:p>
    <w:p w:rsidR="001924CD" w:rsidRPr="00EF56D0" w:rsidRDefault="001924CD" w:rsidP="00406CAA">
      <w:pPr>
        <w:pStyle w:val="HStandard"/>
        <w:rPr>
          <w:highlight w:val="yellow"/>
        </w:rPr>
      </w:pPr>
      <w:r w:rsidRPr="00EF56D0">
        <w:rPr>
          <w:highlight w:val="yellow"/>
        </w:rPr>
        <w:t xml:space="preserve">Powyższe wspólne cele, grup działań i powiązania są rudymentarnym, ale zarazem wystarczającym fundamentem dla skonstruowania logiki interwencji KSOW. Zainteresowane strony w państwie członkowskim muszą uzupełnić te elementy wspólne elementami specyficznych dla programu. </w:t>
      </w:r>
    </w:p>
    <w:p w:rsidR="001924CD" w:rsidRPr="00EF56D0" w:rsidRDefault="001924CD" w:rsidP="00406CAA">
      <w:pPr>
        <w:pStyle w:val="HStandard"/>
        <w:rPr>
          <w:highlight w:val="yellow"/>
        </w:rPr>
      </w:pPr>
      <w:r w:rsidRPr="00EF56D0">
        <w:rPr>
          <w:highlight w:val="yellow"/>
        </w:rPr>
        <w:t xml:space="preserve">Praktyka pokazuje, że wiele sieci przygotowuje plan działania, nie opracowawszy wcześniej logiki interwencji. W takim przypadku należy sprawdzić, które grupy działań – wspólnych i specyficznych dla programu – są zawarte w planie działania KSOW, połączyć je z czterema wspólnymi celami, sformułować specyficzne dla programu cele KSOW oraz zdefiniować oczekiwane produkty, rezultaty i oddziaływanie. </w:t>
      </w:r>
    </w:p>
    <w:p w:rsidR="001924CD" w:rsidRPr="00EF56D0" w:rsidRDefault="001924CD" w:rsidP="00C72F66">
      <w:pPr>
        <w:pStyle w:val="Heading6"/>
        <w:rPr>
          <w:highlight w:val="yellow"/>
        </w:rPr>
      </w:pPr>
      <w:r w:rsidRPr="00EF56D0">
        <w:rPr>
          <w:highlight w:val="yellow"/>
        </w:rPr>
        <w:t xml:space="preserve">Określenie i sformułowanie specyficznych dla programu celów KSOW </w:t>
      </w:r>
    </w:p>
    <w:p w:rsidR="001924CD" w:rsidRPr="00EF56D0" w:rsidRDefault="001924CD" w:rsidP="00FC0A30">
      <w:pPr>
        <w:pStyle w:val="HStandard"/>
        <w:rPr>
          <w:highlight w:val="yellow"/>
        </w:rPr>
      </w:pPr>
      <w:r w:rsidRPr="00EF56D0">
        <w:rPr>
          <w:highlight w:val="yellow"/>
        </w:rPr>
        <w:t xml:space="preserve">Specyficzne dla programu cele KSOW mogą być formułowane na poziomie celów ogólnych lub szczegółowych. Specyficzne dla programu cele KSOW można określić w następujący sposób: </w:t>
      </w:r>
    </w:p>
    <w:p w:rsidR="001924CD" w:rsidRPr="00EF56D0" w:rsidRDefault="001924CD" w:rsidP="005368DC">
      <w:pPr>
        <w:pStyle w:val="Hlistbullet2"/>
        <w:rPr>
          <w:highlight w:val="yellow"/>
        </w:rPr>
      </w:pPr>
      <w:r w:rsidRPr="00EF56D0">
        <w:rPr>
          <w:highlight w:val="yellow"/>
        </w:rPr>
        <w:t xml:space="preserve">Analiza sytuacyjna, analiza SWOT oraz ocena potrzeb pozwalają ustalić specyficzne dla programu potrzeby, które mogą zostać zaspokojone poprzez interwencje KSOW i nie wchodzą w zakres czterech wspólnych celów, np. budowania zdolności w celu poprawy rządzenia na obszarach wiejskich. Stwierdzone potrzeby są przekładane na ogólne, specyficzne dla programu cele KSOW. </w:t>
      </w:r>
    </w:p>
    <w:p w:rsidR="001924CD" w:rsidRPr="00EF56D0" w:rsidRDefault="001924CD" w:rsidP="005368DC">
      <w:pPr>
        <w:pStyle w:val="Hlistbullet2"/>
        <w:rPr>
          <w:highlight w:val="yellow"/>
        </w:rPr>
      </w:pPr>
      <w:r w:rsidRPr="00EF56D0">
        <w:rPr>
          <w:highlight w:val="yellow"/>
        </w:rPr>
        <w:lastRenderedPageBreak/>
        <w:t>Cztery wspólne cele KSOW są dodatkowo konkretyzowane poprzez cele specyficzne dla KSOW. Na przykład wspieranie innowacji może mieć miejsce, jeśli następuje transfer innowacyjnych praktyk między zainteresowanymi stronami.</w:t>
      </w:r>
    </w:p>
    <w:p w:rsidR="001924CD" w:rsidRPr="00EF56D0" w:rsidRDefault="001924CD" w:rsidP="005368DC">
      <w:pPr>
        <w:pStyle w:val="Hlistbullet2"/>
        <w:rPr>
          <w:highlight w:val="yellow"/>
        </w:rPr>
      </w:pPr>
      <w:r w:rsidRPr="00EF56D0">
        <w:rPr>
          <w:highlight w:val="yellow"/>
        </w:rPr>
        <w:t xml:space="preserve">Łańcuch produkt–rezultat–oddziaływanie KSOW również prowadzi do sformułowania celów KSOW specyficznych dla programu. Oczekiwane rezultaty KSOW definiowane jako oczekiwane rezultaty specyficzne dla programu stanowią podstawę do sformułowania celów specyficznych dla KSOW oraz oczekiwanego oddziaływania, które pozwolą określić ogólne cele KSOW. </w:t>
      </w:r>
    </w:p>
    <w:p w:rsidR="001924CD" w:rsidRPr="00EF56D0" w:rsidRDefault="001924CD" w:rsidP="005368DC">
      <w:pPr>
        <w:pStyle w:val="Hlistbullet2"/>
        <w:rPr>
          <w:highlight w:val="yellow"/>
        </w:rPr>
      </w:pPr>
      <w:r w:rsidRPr="00EF56D0">
        <w:rPr>
          <w:highlight w:val="yellow"/>
        </w:rPr>
        <w:t>Grupa działań określonych w planie działania KSOW, zarówno wspólnych, jak i specyficznych, stanowi podstawę do sformułowania celów operacyjnych KSOW, które są połączone z produktami KSOW.</w:t>
      </w:r>
    </w:p>
    <w:p w:rsidR="001924CD" w:rsidRPr="00EF56D0" w:rsidRDefault="001924CD" w:rsidP="00FC0A30">
      <w:pPr>
        <w:pStyle w:val="HStandard"/>
        <w:rPr>
          <w:highlight w:val="yellow"/>
        </w:rPr>
      </w:pPr>
      <w:r w:rsidRPr="00EF56D0">
        <w:rPr>
          <w:highlight w:val="yellow"/>
        </w:rPr>
        <w:t>Specyficzne dla programu cele KSOW należy określić w formie celów SMART</w:t>
      </w:r>
      <w:r w:rsidRPr="00EF56D0">
        <w:rPr>
          <w:rFonts w:ascii="ZWAdobeF" w:hAnsi="ZWAdobeF"/>
          <w:color w:val="auto"/>
          <w:sz w:val="2"/>
          <w:highlight w:val="yellow"/>
        </w:rPr>
        <w:t>71F</w:t>
      </w:r>
      <w:r w:rsidRPr="00EF56D0">
        <w:rPr>
          <w:rStyle w:val="FootnoteReference"/>
          <w:highlight w:val="yellow"/>
        </w:rPr>
        <w:footnoteReference w:id="72"/>
      </w:r>
      <w:r w:rsidRPr="00EF56D0">
        <w:rPr>
          <w:highlight w:val="yellow"/>
        </w:rPr>
        <w:t xml:space="preserve">, zachowując hierarchię celów ogólnych, specyficznych i operacyjnych. </w:t>
      </w:r>
    </w:p>
    <w:p w:rsidR="001924CD" w:rsidRPr="00EF56D0" w:rsidRDefault="001924CD" w:rsidP="00FC0A30">
      <w:pPr>
        <w:pStyle w:val="HStandard"/>
        <w:rPr>
          <w:highlight w:val="yellow"/>
        </w:rPr>
      </w:pPr>
      <w:r w:rsidRPr="00EF56D0">
        <w:rPr>
          <w:highlight w:val="yellow"/>
        </w:rPr>
        <w:t xml:space="preserve">Specyficzne dla programu cele KSOW można formułować w odniesieniu do roli KSOW we wdrażaniu polityki rozwoju obszarów wiejskich lub w powiązaniu z szerszymi aspektami sieci obszarów wiejskich dotyczącymi kapitału ludzkiego i społecznego (np. sprawowanie rządów, zmiana zachowania, budowanie umiejętności i wiedzy itp.; zob. też </w:t>
      </w:r>
      <w:r w:rsidRPr="00EF56D0">
        <w:rPr>
          <w:highlight w:val="yellow"/>
        </w:rPr>
        <w:fldChar w:fldCharType="begin" w:fldLock="1"/>
      </w:r>
      <w:r w:rsidRPr="00EF56D0">
        <w:rPr>
          <w:highlight w:val="yellow"/>
        </w:rPr>
        <w:instrText xml:space="preserve"> REF _Ref451784562 \r \h  \* MERGEFORMAT </w:instrText>
      </w:r>
      <w:r w:rsidRPr="00EF56D0">
        <w:rPr>
          <w:highlight w:val="yellow"/>
        </w:rPr>
      </w:r>
      <w:r w:rsidRPr="00EF56D0">
        <w:rPr>
          <w:highlight w:val="yellow"/>
        </w:rPr>
        <w:fldChar w:fldCharType="separate"/>
      </w:r>
      <w:r w:rsidRPr="00EF56D0">
        <w:rPr>
          <w:highlight w:val="yellow"/>
        </w:rPr>
        <w:t>Figure 7</w:t>
      </w:r>
      <w:r w:rsidRPr="00EF56D0">
        <w:rPr>
          <w:highlight w:val="yellow"/>
        </w:rPr>
        <w:fldChar w:fldCharType="end"/>
      </w:r>
      <w:r w:rsidRPr="00EF56D0">
        <w:rPr>
          <w:highlight w:val="yellow"/>
        </w:rPr>
        <w:t xml:space="preserve"> w rozdziale 1.4.2).</w:t>
      </w:r>
    </w:p>
    <w:p w:rsidR="001924CD" w:rsidRPr="00EF56D0" w:rsidRDefault="001924CD" w:rsidP="00FC0A30">
      <w:pPr>
        <w:pStyle w:val="HStandard"/>
        <w:rPr>
          <w:highlight w:val="yellow"/>
        </w:rPr>
      </w:pPr>
      <w:r w:rsidRPr="00EF56D0">
        <w:rPr>
          <w:highlight w:val="yellow"/>
        </w:rPr>
        <w:t>W przypadku PKSOW cele i działania specyficzne dla programu są określane na etapie jego projektowania. Najlepiej byłoby, gdyby cele KSOW w ramach PROW zostały sformułowane na początku działalności KSOW lub na późniejszym etapie przygotowań do ewaluacji. Można je jednak także określić dodatkowo w ramach przygotowań do ewaluacji lub gdy zmiany otoczenia powodują powstanie nowych potrzeb.</w:t>
      </w:r>
    </w:p>
    <w:p w:rsidR="001924CD" w:rsidRPr="00EF56D0" w:rsidRDefault="001924CD" w:rsidP="00C72F66">
      <w:pPr>
        <w:pStyle w:val="Heading6"/>
        <w:rPr>
          <w:highlight w:val="yellow"/>
        </w:rPr>
      </w:pPr>
      <w:r w:rsidRPr="00EF56D0">
        <w:rPr>
          <w:highlight w:val="yellow"/>
        </w:rPr>
        <w:t xml:space="preserve">Określenie oczekiwanych wyników, rezultatów i oddziaływania KSOW </w:t>
      </w:r>
    </w:p>
    <w:p w:rsidR="001924CD" w:rsidRPr="00EF56D0" w:rsidRDefault="001924CD" w:rsidP="00FC0A30">
      <w:pPr>
        <w:pStyle w:val="HStandard"/>
        <w:rPr>
          <w:highlight w:val="yellow"/>
        </w:rPr>
      </w:pPr>
      <w:r w:rsidRPr="00EF56D0">
        <w:rPr>
          <w:highlight w:val="yellow"/>
        </w:rPr>
        <w:t>Działania KSOW, zarówno wspólne, jak i specyficzne dla programu, powinny skutkować powstaniem:</w:t>
      </w:r>
    </w:p>
    <w:p w:rsidR="001924CD" w:rsidRPr="00EF56D0" w:rsidRDefault="001924CD" w:rsidP="00406CAA">
      <w:pPr>
        <w:pStyle w:val="Hlistbullet"/>
        <w:rPr>
          <w:highlight w:val="yellow"/>
        </w:rPr>
      </w:pPr>
      <w:r w:rsidRPr="00EF56D0">
        <w:rPr>
          <w:highlight w:val="yellow"/>
        </w:rPr>
        <w:t xml:space="preserve">produktów (np. liczba szkoleń, wymian analitycznych, zebranych przykładów itp.), </w:t>
      </w:r>
    </w:p>
    <w:p w:rsidR="001924CD" w:rsidRPr="00EF56D0" w:rsidRDefault="001924CD" w:rsidP="00406CAA">
      <w:pPr>
        <w:pStyle w:val="Hlistbullet"/>
        <w:rPr>
          <w:highlight w:val="yellow"/>
        </w:rPr>
      </w:pPr>
      <w:r w:rsidRPr="00EF56D0">
        <w:rPr>
          <w:highlight w:val="yellow"/>
        </w:rPr>
        <w:t xml:space="preserve">rezultatów w obrębie grupy członków KSOW i beneficjentów programu (np. lepszej wiedzy i umiejętności w zakresie realizacji PROW, bardziej innowacyjnych projektów, zmiany zachowań decyzyjnych itp.) oraz </w:t>
      </w:r>
    </w:p>
    <w:p w:rsidR="001924CD" w:rsidRPr="00EF56D0" w:rsidRDefault="001924CD" w:rsidP="00406CAA">
      <w:pPr>
        <w:pStyle w:val="Hlistbullet"/>
        <w:rPr>
          <w:highlight w:val="yellow"/>
        </w:rPr>
      </w:pPr>
      <w:r w:rsidRPr="00EF56D0">
        <w:rPr>
          <w:highlight w:val="yellow"/>
        </w:rPr>
        <w:t xml:space="preserve">oddziaływania na obszar objętym programem (np. lepszego zarządzanie programem, silniejsza współpraca w ramach sieci itp.). </w:t>
      </w:r>
    </w:p>
    <w:p w:rsidR="001924CD" w:rsidRPr="00EF56D0" w:rsidRDefault="001924CD" w:rsidP="00FC0A30">
      <w:pPr>
        <w:pStyle w:val="HStandard"/>
        <w:rPr>
          <w:highlight w:val="yellow"/>
        </w:rPr>
      </w:pPr>
      <w:r w:rsidRPr="00EF56D0">
        <w:rPr>
          <w:highlight w:val="yellow"/>
        </w:rPr>
        <w:t>Przy opracowywaniu logiki interwencji KSOW określenie oczekiwanych produktów, rezultatów i oddziaływania może odbywać się:</w:t>
      </w:r>
    </w:p>
    <w:p w:rsidR="001924CD" w:rsidRPr="00EF56D0" w:rsidRDefault="001924CD" w:rsidP="00406CAA">
      <w:pPr>
        <w:pStyle w:val="Hlistbullet"/>
        <w:rPr>
          <w:highlight w:val="yellow"/>
        </w:rPr>
      </w:pPr>
      <w:r w:rsidRPr="00EF56D0">
        <w:rPr>
          <w:highlight w:val="yellow"/>
        </w:rPr>
        <w:t>Na zasadzie spójności horyzontalnej ze wspólnymi i specyficznymi dla programu celami KSOW. Na przykład oczekiwane oddziaływanie powinno prowadzić do osiągnięcia ogólnych celów KSOW. Oczekiwane rezultaty powinny być zgodne ze specyficznymi celami KSOW, a oczekiwane produkty powstają, aby służyć osiągnięciu celów operacyjnych.</w:t>
      </w:r>
    </w:p>
    <w:p w:rsidR="001924CD" w:rsidRPr="00EF56D0" w:rsidRDefault="001924CD" w:rsidP="00406CAA">
      <w:pPr>
        <w:pStyle w:val="Hlistbullet"/>
        <w:rPr>
          <w:highlight w:val="yellow"/>
        </w:rPr>
      </w:pPr>
      <w:r w:rsidRPr="00EF56D0">
        <w:rPr>
          <w:highlight w:val="yellow"/>
        </w:rPr>
        <w:t>Na zasadzie spójności wertykalnej, począwszy od grup działań aż po łańcuch produkt–rezultat–oddziaływanie. Na przykład szkolenia dla doradców (produkty) przyczyniają się do upowszechnienia innowacyjnych praktyk wśród rolników (rezultaty) oraz wzmocnienia innowacyjności przedkładanych projektów PROW (oddziaływanie).</w:t>
      </w:r>
    </w:p>
    <w:p w:rsidR="001924CD" w:rsidRPr="00EF56D0" w:rsidRDefault="001924CD" w:rsidP="00C72F66">
      <w:pPr>
        <w:pStyle w:val="Heading6"/>
        <w:rPr>
          <w:highlight w:val="yellow"/>
        </w:rPr>
      </w:pPr>
      <w:r w:rsidRPr="00EF56D0">
        <w:rPr>
          <w:highlight w:val="yellow"/>
        </w:rPr>
        <w:t>Opracowanie logiki interwencji KSOW i sprawdzenie jej spójności wertykalnej i horyzontalnej</w:t>
      </w:r>
    </w:p>
    <w:p w:rsidR="001924CD" w:rsidRPr="00EF56D0" w:rsidRDefault="001924CD" w:rsidP="00FC0A30">
      <w:pPr>
        <w:pStyle w:val="HStandard"/>
        <w:rPr>
          <w:highlight w:val="yellow"/>
        </w:rPr>
      </w:pPr>
      <w:r w:rsidRPr="00EF56D0">
        <w:rPr>
          <w:highlight w:val="yellow"/>
        </w:rPr>
        <w:t xml:space="preserve">Jak wspomniano powyżej, wspólne cele (co również oznacza oczekiwane oddziaływanie), działania i produkty powinny być dodatkowo uzupełnione o specyficzne dla programu cele i działania KSOW, oczekiwane produkty, rezultaty i oddziaływanie. </w:t>
      </w:r>
    </w:p>
    <w:p w:rsidR="001924CD" w:rsidRPr="00EF56D0" w:rsidRDefault="001924CD" w:rsidP="00FC0A30">
      <w:pPr>
        <w:pStyle w:val="HStandard"/>
        <w:rPr>
          <w:highlight w:val="yellow"/>
        </w:rPr>
      </w:pPr>
      <w:r w:rsidRPr="00EF56D0">
        <w:rPr>
          <w:highlight w:val="yellow"/>
        </w:rPr>
        <w:lastRenderedPageBreak/>
        <w:t xml:space="preserve">Poniższy rysunek może służyć jako pomoc w budowaniu logiki interwencji KSOW. Wspólne cele są przedstawione po lewej stronie, wspólne działania pośrodku, a oczekiwane wspólne produkty i oddziaływanie po prawej stronie. Z rysunku jasno wynika, że cztery wspólne cele nie wystarczają, aby wyrazić wszystkie możliwe interwencje KSOW, wspólne produkty nie wyczerpują wszystkich wspólnych działań, a wspólne rezultaty i oddziaływanie nie są zdefiniowane. Z tego powodu na rysunku zawsze zostawia się wolne miejsce, aby można było dopisać specyficzne dla programu cele, działania, produkty, rezultaty i oddziaływanie KSOW. Zadaniem zainteresowanych stron w państwie członkowskim jest zdefiniować brakujące elementy logiki interwencji KSOW oraz ustalić powiązania między nimi na zasadzie spójności </w:t>
      </w:r>
      <w:r w:rsidRPr="00EF56D0">
        <w:rPr>
          <w:b/>
          <w:highlight w:val="yellow"/>
        </w:rPr>
        <w:t>wertykalnej</w:t>
      </w:r>
      <w:r w:rsidRPr="00EF56D0">
        <w:rPr>
          <w:highlight w:val="yellow"/>
        </w:rPr>
        <w:t xml:space="preserve"> (pomiędzy celami i pomiędzy produktami, rezultatami i oddziaływaniem) i </w:t>
      </w:r>
      <w:r w:rsidRPr="00EF56D0">
        <w:rPr>
          <w:b/>
          <w:highlight w:val="yellow"/>
        </w:rPr>
        <w:t>horyzontalnej</w:t>
      </w:r>
      <w:r w:rsidRPr="00EF56D0">
        <w:rPr>
          <w:highlight w:val="yellow"/>
        </w:rPr>
        <w:t xml:space="preserve"> (pomiędzy celami i efektami na każdym poziomie hierarchii logiki interwencji).</w:t>
      </w:r>
    </w:p>
    <w:p w:rsidR="001924CD" w:rsidRPr="00EF56D0" w:rsidRDefault="001924CD">
      <w:pPr>
        <w:spacing w:after="0" w:line="240" w:lineRule="auto"/>
        <w:rPr>
          <w:rFonts w:cs="Arial"/>
          <w:b/>
          <w:color w:val="576C88" w:themeColor="text2" w:themeTint="D9"/>
          <w:sz w:val="16"/>
          <w:szCs w:val="20"/>
          <w:highlight w:val="yellow"/>
        </w:rPr>
      </w:pPr>
      <w:bookmarkStart w:id="115" w:name="_Toc445465128"/>
      <w:bookmarkStart w:id="116" w:name="_Ref435791996"/>
      <w:r w:rsidRPr="00EF56D0">
        <w:rPr>
          <w:highlight w:val="yellow"/>
        </w:rPr>
        <w:br w:type="page"/>
      </w:r>
    </w:p>
    <w:p w:rsidR="001924CD" w:rsidRPr="00EF56D0" w:rsidRDefault="001924CD" w:rsidP="00922CBE">
      <w:pPr>
        <w:pStyle w:val="HHeadingfigures"/>
        <w:rPr>
          <w:highlight w:val="yellow"/>
        </w:rPr>
      </w:pPr>
      <w:bookmarkStart w:id="117" w:name="_Toc451781931"/>
      <w:bookmarkStart w:id="118" w:name="_Ref451784531"/>
      <w:bookmarkStart w:id="119" w:name="_Ref451784607"/>
      <w:bookmarkStart w:id="120" w:name="_Toc461807149"/>
      <w:r w:rsidRPr="00EF56D0">
        <w:rPr>
          <w:highlight w:val="yellow"/>
        </w:rPr>
        <w:lastRenderedPageBreak/>
        <w:t>Ustalenie powiązań pomiędzy wspólnymi i specyficznymi dla programu celami, grupami działań i oczekiwanymi produktami, rezultatami i oddziaływaniem KSOW</w:t>
      </w:r>
      <w:bookmarkEnd w:id="115"/>
      <w:bookmarkEnd w:id="117"/>
      <w:bookmarkEnd w:id="118"/>
      <w:bookmarkEnd w:id="119"/>
      <w:bookmarkEnd w:id="120"/>
    </w:p>
    <w:bookmarkEnd w:id="116"/>
    <w:p w:rsidR="001924CD" w:rsidRPr="00EF56D0" w:rsidRDefault="001924CD" w:rsidP="00FC0A30">
      <w:pPr>
        <w:pStyle w:val="HStandard"/>
        <w:rPr>
          <w:highlight w:val="yellow"/>
        </w:rPr>
      </w:pPr>
      <w:r w:rsidRPr="00EF56D0">
        <w:rPr>
          <w:noProof/>
          <w:highlight w:val="yellow"/>
          <w:lang w:val="en-GB" w:eastAsia="en-GB" w:bidi="ar-SA"/>
        </w:rPr>
        <w:drawing>
          <wp:inline distT="0" distB="0" distL="0" distR="0" wp14:anchorId="37CC0881" wp14:editId="296F11FC">
            <wp:extent cx="5399445" cy="3136605"/>
            <wp:effectExtent l="0" t="0" r="0" b="698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22272" cy="3149865"/>
                    </a:xfrm>
                    <a:prstGeom prst="rect">
                      <a:avLst/>
                    </a:prstGeom>
                    <a:noFill/>
                    <a:ln>
                      <a:noFill/>
                    </a:ln>
                  </pic:spPr>
                </pic:pic>
              </a:graphicData>
            </a:graphic>
          </wp:inline>
        </w:drawing>
      </w:r>
      <w:r w:rsidRPr="00EF56D0">
        <w:rPr>
          <w:highlight w:val="yellow"/>
        </w:rPr>
        <w:t xml:space="preserve"> </w:t>
      </w:r>
    </w:p>
    <w:p w:rsidR="001924CD" w:rsidRPr="00EF56D0" w:rsidRDefault="001924CD" w:rsidP="00FC0A30">
      <w:pPr>
        <w:pStyle w:val="HSource"/>
        <w:rPr>
          <w:highlight w:val="yellow"/>
        </w:rPr>
      </w:pPr>
      <w:r w:rsidRPr="00EF56D0">
        <w:rPr>
          <w:highlight w:val="yellow"/>
        </w:rPr>
        <w:t>Źródło: Europejskie Biuro Pomocy ds. Ewaluacji Rozwoju Obszarów Wiejskich, 2016 r.</w:t>
      </w:r>
    </w:p>
    <w:p w:rsidR="001924CD" w:rsidRPr="00EF56D0" w:rsidRDefault="001924CD" w:rsidP="00FC0A30">
      <w:pPr>
        <w:pStyle w:val="HStandard"/>
        <w:rPr>
          <w:highlight w:val="yellow"/>
        </w:rPr>
      </w:pPr>
      <w:r w:rsidRPr="00EF56D0">
        <w:rPr>
          <w:highlight w:val="yellow"/>
        </w:rPr>
        <w:t xml:space="preserve">Innym użytecznym narzędziem, które może być wykorzystywane do budowy logiki interwencji, jest tabela (zob. </w:t>
      </w:r>
      <w:r w:rsidRPr="00EF56D0">
        <w:rPr>
          <w:highlight w:val="yellow"/>
        </w:rPr>
        <w:fldChar w:fldCharType="begin" w:fldLock="1"/>
      </w:r>
      <w:r w:rsidRPr="00EF56D0">
        <w:rPr>
          <w:highlight w:val="yellow"/>
        </w:rPr>
        <w:instrText xml:space="preserve"> REF _Ref451784947 \r \h  \* MERGEFORMAT </w:instrText>
      </w:r>
      <w:r w:rsidRPr="00EF56D0">
        <w:rPr>
          <w:highlight w:val="yellow"/>
        </w:rPr>
      </w:r>
      <w:r w:rsidRPr="00EF56D0">
        <w:rPr>
          <w:highlight w:val="yellow"/>
        </w:rPr>
        <w:fldChar w:fldCharType="separate"/>
      </w:r>
      <w:r w:rsidRPr="00EF56D0">
        <w:rPr>
          <w:highlight w:val="yellow"/>
        </w:rPr>
        <w:t>Table 5</w:t>
      </w:r>
      <w:r w:rsidRPr="00EF56D0">
        <w:rPr>
          <w:highlight w:val="yellow"/>
        </w:rPr>
        <w:fldChar w:fldCharType="end"/>
      </w:r>
      <w:r w:rsidRPr="00EF56D0">
        <w:rPr>
          <w:highlight w:val="yellow"/>
        </w:rPr>
        <w:t>), która pozwala na stworzenie spójnej wertykalnie i horyzontalnie hierarchii celów i oczekiwanych efektów. Pomaga to doprecyzować logikę, a także znaleźć luki w zakresie ustalania celów. Na tym przykładzie ogólne i szczegółowe cele KSOW są opracowywane w oparciu o cele wspólne i specyficzne dla programu. Proporcje tych celów zależą od kontekstu i potrzeb konkretnego obszaru.</w:t>
      </w:r>
    </w:p>
    <w:p w:rsidR="001924CD" w:rsidRPr="00EF56D0" w:rsidRDefault="001924CD" w:rsidP="001249DA">
      <w:pPr>
        <w:pStyle w:val="HHeadingtables"/>
        <w:rPr>
          <w:highlight w:val="yellow"/>
        </w:rPr>
      </w:pPr>
      <w:bookmarkStart w:id="121" w:name="_Toc436383147"/>
      <w:bookmarkStart w:id="122" w:name="_Toc451781909"/>
      <w:bookmarkStart w:id="123" w:name="_Ref451784947"/>
      <w:bookmarkStart w:id="124" w:name="_Toc461807132"/>
      <w:r w:rsidRPr="00EF56D0">
        <w:rPr>
          <w:highlight w:val="yellow"/>
        </w:rPr>
        <w:t>Hierarchia celów KSOW</w:t>
      </w:r>
      <w:bookmarkEnd w:id="121"/>
      <w:r w:rsidRPr="00EF56D0">
        <w:rPr>
          <w:highlight w:val="yellow"/>
        </w:rPr>
        <w:t xml:space="preserve"> i oczekiwanych efektów</w:t>
      </w:r>
      <w:bookmarkEnd w:id="122"/>
      <w:bookmarkEnd w:id="123"/>
      <w:bookmarkEnd w:id="124"/>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6516"/>
        <w:gridCol w:w="2500"/>
      </w:tblGrid>
      <w:tr w:rsidR="001924CD" w:rsidRPr="00EF56D0" w:rsidTr="00D322AA">
        <w:tc>
          <w:tcPr>
            <w:tcW w:w="6516" w:type="dxa"/>
            <w:shd w:val="clear" w:color="auto" w:fill="F5F4F4" w:themeFill="background2" w:themeFillTint="66"/>
          </w:tcPr>
          <w:p w:rsidR="001924CD" w:rsidRPr="00EF56D0" w:rsidRDefault="001924CD" w:rsidP="00FC0A30">
            <w:pPr>
              <w:pStyle w:val="Htableleft"/>
              <w:spacing w:before="20" w:after="20"/>
              <w:rPr>
                <w:b/>
                <w:color w:val="576C88" w:themeColor="text2" w:themeTint="D9"/>
                <w:highlight w:val="yellow"/>
              </w:rPr>
            </w:pPr>
            <w:r w:rsidRPr="00EF56D0">
              <w:rPr>
                <w:b/>
                <w:color w:val="576C88" w:themeColor="text2" w:themeTint="D9"/>
                <w:highlight w:val="yellow"/>
              </w:rPr>
              <w:t>Ogólne cele KSOW</w:t>
            </w:r>
          </w:p>
          <w:p w:rsidR="001924CD" w:rsidRPr="00EF56D0" w:rsidRDefault="001924CD" w:rsidP="00FC0A30">
            <w:pPr>
              <w:pStyle w:val="Htableleft"/>
              <w:spacing w:before="20" w:after="20"/>
              <w:rPr>
                <w:color w:val="576C88" w:themeColor="text2" w:themeTint="D9"/>
                <w:highlight w:val="yellow"/>
              </w:rPr>
            </w:pPr>
            <w:r w:rsidRPr="00EF56D0">
              <w:rPr>
                <w:color w:val="576C88" w:themeColor="text2" w:themeTint="D9"/>
                <w:highlight w:val="yellow"/>
              </w:rPr>
              <w:t>na podstawie art. 54 rozporządzenia 1305/2015</w:t>
            </w:r>
          </w:p>
          <w:p w:rsidR="001924CD" w:rsidRPr="00EF56D0" w:rsidRDefault="001924CD" w:rsidP="001924CD">
            <w:pPr>
              <w:pStyle w:val="Htablebullet"/>
              <w:spacing w:before="20" w:after="20"/>
              <w:rPr>
                <w:color w:val="576C88" w:themeColor="text2" w:themeTint="D9"/>
                <w:highlight w:val="yellow"/>
              </w:rPr>
            </w:pPr>
            <w:r w:rsidRPr="00EF56D0">
              <w:rPr>
                <w:color w:val="576C88" w:themeColor="text2" w:themeTint="D9"/>
                <w:highlight w:val="yellow"/>
              </w:rPr>
              <w:t>Zwiększenie udziału zainteresowanych stron we wdrażaniu programów rozwoju obszarów wiejskich;</w:t>
            </w:r>
          </w:p>
          <w:p w:rsidR="001924CD" w:rsidRPr="00EF56D0" w:rsidRDefault="001924CD" w:rsidP="001924CD">
            <w:pPr>
              <w:pStyle w:val="Htablebullet"/>
              <w:spacing w:before="20" w:after="20"/>
              <w:rPr>
                <w:color w:val="576C88" w:themeColor="text2" w:themeTint="D9"/>
                <w:highlight w:val="yellow"/>
              </w:rPr>
            </w:pPr>
            <w:r w:rsidRPr="00EF56D0">
              <w:rPr>
                <w:color w:val="576C88" w:themeColor="text2" w:themeTint="D9"/>
                <w:highlight w:val="yellow"/>
              </w:rPr>
              <w:t>Podniesienie jakości wdrażania programów rozwoju obszarów wiejskich</w:t>
            </w:r>
          </w:p>
          <w:p w:rsidR="001924CD" w:rsidRPr="00EF56D0" w:rsidRDefault="001924CD" w:rsidP="001924CD">
            <w:pPr>
              <w:pStyle w:val="Htablebullet"/>
              <w:spacing w:before="20" w:after="20"/>
              <w:rPr>
                <w:color w:val="576C88" w:themeColor="text2" w:themeTint="D9"/>
                <w:highlight w:val="yellow"/>
              </w:rPr>
            </w:pPr>
            <w:r w:rsidRPr="00EF56D0">
              <w:rPr>
                <w:color w:val="576C88" w:themeColor="text2" w:themeTint="D9"/>
                <w:highlight w:val="yellow"/>
              </w:rPr>
              <w:t>Informowanie społeczeństwa i potencjalnych beneficjentów o polityce rozwoju obszarów wiejskich i o możliwościach finansowania</w:t>
            </w:r>
          </w:p>
          <w:p w:rsidR="001924CD" w:rsidRPr="00EF56D0" w:rsidRDefault="001924CD" w:rsidP="001924CD">
            <w:pPr>
              <w:pStyle w:val="Htablebullet"/>
              <w:spacing w:before="20" w:after="20"/>
              <w:rPr>
                <w:color w:val="576C88" w:themeColor="text2" w:themeTint="D9"/>
                <w:highlight w:val="yellow"/>
              </w:rPr>
            </w:pPr>
            <w:r w:rsidRPr="00EF56D0">
              <w:rPr>
                <w:color w:val="576C88" w:themeColor="text2" w:themeTint="D9"/>
                <w:highlight w:val="yellow"/>
              </w:rPr>
              <w:t>Wspieranie innowacji w rolnictwie, produkcji żywności, leśnictwie i na obszarach wiejskich</w:t>
            </w:r>
          </w:p>
          <w:p w:rsidR="001924CD" w:rsidRPr="00EF56D0" w:rsidRDefault="001924CD" w:rsidP="00FC0A30">
            <w:pPr>
              <w:pStyle w:val="Htableleft"/>
              <w:spacing w:before="20" w:after="20"/>
              <w:rPr>
                <w:color w:val="576C88" w:themeColor="text2" w:themeTint="D9"/>
                <w:highlight w:val="yellow"/>
              </w:rPr>
            </w:pPr>
          </w:p>
          <w:p w:rsidR="001924CD" w:rsidRPr="00EF56D0" w:rsidRDefault="001924CD" w:rsidP="00CD2BC2">
            <w:pPr>
              <w:pStyle w:val="Htableleft"/>
              <w:spacing w:before="20" w:after="20"/>
              <w:rPr>
                <w:color w:val="576C88" w:themeColor="text2" w:themeTint="D9"/>
                <w:highlight w:val="yellow"/>
              </w:rPr>
            </w:pPr>
            <w:r w:rsidRPr="00EF56D0">
              <w:rPr>
                <w:color w:val="576C88" w:themeColor="text2" w:themeTint="D9"/>
                <w:highlight w:val="yellow"/>
              </w:rPr>
              <w:t>mogą również obejmować specyficzne dla programu cele KSOW, które wyrażają zmiany wywołane przez działalność KSOW na poziomie obszaru objętego PROW (np. ogólna współpraca sieciowa na obszarach wiejskich, budowanie kapitału społecznego).</w:t>
            </w:r>
          </w:p>
        </w:tc>
        <w:tc>
          <w:tcPr>
            <w:tcW w:w="2500" w:type="dxa"/>
            <w:shd w:val="clear" w:color="auto" w:fill="F5F4F4" w:themeFill="background2" w:themeFillTint="66"/>
          </w:tcPr>
          <w:p w:rsidR="001924CD" w:rsidRPr="00EF56D0" w:rsidRDefault="001924CD" w:rsidP="00FC0A30">
            <w:pPr>
              <w:pStyle w:val="Htableleft"/>
              <w:spacing w:before="20" w:after="20"/>
              <w:rPr>
                <w:b/>
                <w:color w:val="576C88" w:themeColor="text2" w:themeTint="D9"/>
                <w:highlight w:val="yellow"/>
              </w:rPr>
            </w:pPr>
            <w:r w:rsidRPr="00EF56D0">
              <w:rPr>
                <w:b/>
                <w:color w:val="576C88" w:themeColor="text2" w:themeTint="D9"/>
                <w:highlight w:val="yellow"/>
              </w:rPr>
              <w:t>Oczekiwane oddziaływanie</w:t>
            </w:r>
          </w:p>
          <w:p w:rsidR="001924CD" w:rsidRPr="00EF56D0" w:rsidRDefault="001924CD" w:rsidP="00FC0A30">
            <w:pPr>
              <w:pStyle w:val="Htableleft"/>
              <w:spacing w:before="20" w:after="20"/>
              <w:rPr>
                <w:color w:val="576C88" w:themeColor="text2" w:themeTint="D9"/>
                <w:highlight w:val="yellow"/>
              </w:rPr>
            </w:pPr>
            <w:r w:rsidRPr="00EF56D0">
              <w:rPr>
                <w:color w:val="576C88" w:themeColor="text2" w:themeTint="D9"/>
                <w:highlight w:val="yellow"/>
              </w:rPr>
              <w:t xml:space="preserve">związane z ogólnymi (wspólnymi i specyficznymi dla programu) celami KSOW </w:t>
            </w:r>
          </w:p>
          <w:p w:rsidR="001924CD" w:rsidRPr="00EF56D0" w:rsidRDefault="001924CD" w:rsidP="00FC0A30">
            <w:pPr>
              <w:pStyle w:val="Htableleft"/>
              <w:spacing w:before="20" w:after="20"/>
              <w:rPr>
                <w:color w:val="576C88" w:themeColor="text2" w:themeTint="D9"/>
                <w:highlight w:val="yellow"/>
              </w:rPr>
            </w:pPr>
          </w:p>
        </w:tc>
      </w:tr>
      <w:tr w:rsidR="001924CD" w:rsidRPr="00EF56D0" w:rsidTr="00D322AA">
        <w:tc>
          <w:tcPr>
            <w:tcW w:w="6516" w:type="dxa"/>
            <w:shd w:val="clear" w:color="auto" w:fill="F5F4F4" w:themeFill="background2" w:themeFillTint="66"/>
          </w:tcPr>
          <w:p w:rsidR="001924CD" w:rsidRPr="00EF56D0" w:rsidRDefault="001924CD" w:rsidP="00FC0A30">
            <w:pPr>
              <w:pStyle w:val="Htableleft"/>
              <w:spacing w:before="20" w:after="20"/>
              <w:rPr>
                <w:b/>
                <w:color w:val="576C88" w:themeColor="text2" w:themeTint="D9"/>
                <w:highlight w:val="yellow"/>
              </w:rPr>
            </w:pPr>
            <w:r w:rsidRPr="00EF56D0">
              <w:rPr>
                <w:b/>
                <w:color w:val="576C88" w:themeColor="text2" w:themeTint="D9"/>
                <w:highlight w:val="yellow"/>
              </w:rPr>
              <w:t>Specyficzne cele KSOW</w:t>
            </w:r>
          </w:p>
          <w:p w:rsidR="001924CD" w:rsidRPr="00EF56D0" w:rsidRDefault="001924CD" w:rsidP="00FC0A30">
            <w:pPr>
              <w:pStyle w:val="Htableleft"/>
              <w:spacing w:before="20" w:after="20"/>
              <w:rPr>
                <w:color w:val="576C88" w:themeColor="text2" w:themeTint="D9"/>
                <w:highlight w:val="yellow"/>
              </w:rPr>
            </w:pPr>
            <w:r w:rsidRPr="00EF56D0">
              <w:rPr>
                <w:color w:val="576C88" w:themeColor="text2" w:themeTint="D9"/>
                <w:highlight w:val="yellow"/>
              </w:rPr>
              <w:t>mogą obejmować specyficzne dla programu cele KSOW, które wyrażają zmiany w obrębie grupy beneficjentów KSOW (np. wzmocnienie współpracy sieciowej wśród beneficjentów)</w:t>
            </w:r>
          </w:p>
          <w:p w:rsidR="001924CD" w:rsidRPr="00EF56D0" w:rsidRDefault="001924CD" w:rsidP="00FC0A30">
            <w:pPr>
              <w:pStyle w:val="Htableleft"/>
              <w:spacing w:before="20" w:after="20"/>
              <w:rPr>
                <w:color w:val="576C88" w:themeColor="text2" w:themeTint="D9"/>
                <w:highlight w:val="yellow"/>
              </w:rPr>
            </w:pPr>
          </w:p>
          <w:p w:rsidR="001924CD" w:rsidRPr="00EF56D0" w:rsidRDefault="001924CD" w:rsidP="00FC0A30">
            <w:pPr>
              <w:pStyle w:val="Htableleft"/>
              <w:spacing w:before="20" w:after="20"/>
              <w:rPr>
                <w:color w:val="576C88" w:themeColor="text2" w:themeTint="D9"/>
                <w:highlight w:val="yellow"/>
              </w:rPr>
            </w:pPr>
            <w:r w:rsidRPr="00EF56D0">
              <w:rPr>
                <w:color w:val="576C88" w:themeColor="text2" w:themeTint="D9"/>
                <w:highlight w:val="yellow"/>
              </w:rPr>
              <w:t>mogą również obejmować cele cząstkowe, o których mowa w art. 54 rozporządzenia (UE) nr 1305/2015</w:t>
            </w:r>
          </w:p>
        </w:tc>
        <w:tc>
          <w:tcPr>
            <w:tcW w:w="2500" w:type="dxa"/>
            <w:shd w:val="clear" w:color="auto" w:fill="F5F4F4" w:themeFill="background2" w:themeFillTint="66"/>
          </w:tcPr>
          <w:p w:rsidR="001924CD" w:rsidRPr="00EF56D0" w:rsidRDefault="001924CD" w:rsidP="00FC0A30">
            <w:pPr>
              <w:pStyle w:val="Htableleft"/>
              <w:spacing w:before="20" w:after="20"/>
              <w:rPr>
                <w:b/>
                <w:color w:val="576C88" w:themeColor="text2" w:themeTint="D9"/>
                <w:highlight w:val="yellow"/>
              </w:rPr>
            </w:pPr>
            <w:r w:rsidRPr="00EF56D0">
              <w:rPr>
                <w:b/>
                <w:color w:val="576C88" w:themeColor="text2" w:themeTint="D9"/>
                <w:highlight w:val="yellow"/>
              </w:rPr>
              <w:t xml:space="preserve">Oczekiwane rezultaty </w:t>
            </w:r>
          </w:p>
          <w:p w:rsidR="001924CD" w:rsidRPr="00EF56D0" w:rsidRDefault="001924CD" w:rsidP="00FC0A30">
            <w:pPr>
              <w:pStyle w:val="Htableleft"/>
              <w:spacing w:before="20" w:after="20"/>
              <w:rPr>
                <w:color w:val="576C88" w:themeColor="text2" w:themeTint="D9"/>
                <w:highlight w:val="yellow"/>
              </w:rPr>
            </w:pPr>
            <w:r w:rsidRPr="00EF56D0">
              <w:rPr>
                <w:color w:val="576C88" w:themeColor="text2" w:themeTint="D9"/>
                <w:highlight w:val="yellow"/>
              </w:rPr>
              <w:t xml:space="preserve">związane ze specyficznymi (wspólnymi i specyficznymi dla programu) celami KSOW </w:t>
            </w:r>
          </w:p>
          <w:p w:rsidR="001924CD" w:rsidRPr="00EF56D0" w:rsidRDefault="001924CD" w:rsidP="00FC0A30">
            <w:pPr>
              <w:pStyle w:val="Htableleft"/>
              <w:spacing w:before="20" w:after="20"/>
              <w:rPr>
                <w:color w:val="576C88" w:themeColor="text2" w:themeTint="D9"/>
                <w:highlight w:val="yellow"/>
              </w:rPr>
            </w:pPr>
          </w:p>
        </w:tc>
      </w:tr>
      <w:tr w:rsidR="001924CD" w:rsidRPr="00EF56D0" w:rsidTr="00D322AA">
        <w:tc>
          <w:tcPr>
            <w:tcW w:w="6516" w:type="dxa"/>
            <w:shd w:val="clear" w:color="auto" w:fill="F5F4F4" w:themeFill="background2" w:themeFillTint="66"/>
          </w:tcPr>
          <w:p w:rsidR="001924CD" w:rsidRPr="00EF56D0" w:rsidRDefault="001924CD" w:rsidP="00FC0A30">
            <w:pPr>
              <w:pStyle w:val="Htableleft"/>
              <w:spacing w:before="20" w:after="20"/>
              <w:rPr>
                <w:b/>
                <w:color w:val="576C88" w:themeColor="text2" w:themeTint="D9"/>
                <w:highlight w:val="yellow"/>
              </w:rPr>
            </w:pPr>
            <w:r w:rsidRPr="00EF56D0">
              <w:rPr>
                <w:b/>
                <w:color w:val="576C88" w:themeColor="text2" w:themeTint="D9"/>
                <w:highlight w:val="yellow"/>
              </w:rPr>
              <w:t>Cele operacyjne</w:t>
            </w:r>
          </w:p>
          <w:p w:rsidR="001924CD" w:rsidRPr="00EF56D0" w:rsidRDefault="001924CD" w:rsidP="00C72F66">
            <w:pPr>
              <w:pStyle w:val="Htableleft"/>
              <w:spacing w:before="20" w:after="20"/>
              <w:rPr>
                <w:color w:val="576C88" w:themeColor="text2" w:themeTint="D9"/>
                <w:highlight w:val="yellow"/>
              </w:rPr>
            </w:pPr>
            <w:r w:rsidRPr="00EF56D0">
              <w:rPr>
                <w:color w:val="576C88" w:themeColor="text2" w:themeTint="D9"/>
                <w:highlight w:val="yellow"/>
              </w:rPr>
              <w:t>powiązane z działaniami określonymi w planie działalności</w:t>
            </w:r>
          </w:p>
        </w:tc>
        <w:tc>
          <w:tcPr>
            <w:tcW w:w="2500" w:type="dxa"/>
            <w:shd w:val="clear" w:color="auto" w:fill="F5F4F4" w:themeFill="background2" w:themeFillTint="66"/>
          </w:tcPr>
          <w:p w:rsidR="001924CD" w:rsidRPr="00EF56D0" w:rsidRDefault="001924CD" w:rsidP="00FC0A30">
            <w:pPr>
              <w:pStyle w:val="Htableleft"/>
              <w:spacing w:before="20" w:after="20"/>
              <w:rPr>
                <w:b/>
                <w:color w:val="576C88" w:themeColor="text2" w:themeTint="D9"/>
                <w:highlight w:val="yellow"/>
              </w:rPr>
            </w:pPr>
            <w:r w:rsidRPr="00EF56D0">
              <w:rPr>
                <w:b/>
                <w:color w:val="576C88" w:themeColor="text2" w:themeTint="D9"/>
                <w:highlight w:val="yellow"/>
              </w:rPr>
              <w:t>Oczekiwane produkty</w:t>
            </w:r>
          </w:p>
          <w:p w:rsidR="001924CD" w:rsidRPr="00EF56D0" w:rsidRDefault="001924CD" w:rsidP="00FC0A30">
            <w:pPr>
              <w:pStyle w:val="Htableleft"/>
              <w:spacing w:before="20" w:after="20"/>
              <w:rPr>
                <w:color w:val="576C88" w:themeColor="text2" w:themeTint="D9"/>
                <w:highlight w:val="yellow"/>
              </w:rPr>
            </w:pPr>
            <w:r w:rsidRPr="00EF56D0">
              <w:rPr>
                <w:color w:val="576C88" w:themeColor="text2" w:themeTint="D9"/>
                <w:highlight w:val="yellow"/>
              </w:rPr>
              <w:t xml:space="preserve">Wspólne, jak określono w załączniku IV do </w:t>
            </w:r>
            <w:r w:rsidRPr="00EF56D0">
              <w:rPr>
                <w:color w:val="576C88" w:themeColor="text2" w:themeTint="D9"/>
                <w:highlight w:val="yellow"/>
              </w:rPr>
              <w:lastRenderedPageBreak/>
              <w:t xml:space="preserve">rozporządzenia wykonawczego Komisji 808/2014 </w:t>
            </w:r>
          </w:p>
          <w:p w:rsidR="001924CD" w:rsidRPr="00EF56D0" w:rsidRDefault="001924CD" w:rsidP="00FC0A30">
            <w:pPr>
              <w:pStyle w:val="Htableleft"/>
              <w:spacing w:before="20" w:after="20"/>
              <w:rPr>
                <w:color w:val="576C88" w:themeColor="text2" w:themeTint="D9"/>
                <w:highlight w:val="yellow"/>
              </w:rPr>
            </w:pPr>
            <w:r w:rsidRPr="00EF56D0">
              <w:rPr>
                <w:color w:val="576C88" w:themeColor="text2" w:themeTint="D9"/>
                <w:highlight w:val="yellow"/>
              </w:rPr>
              <w:t>Liczba tematycznych i analitycznych wymian zorganizowanych przy wsparciu KSOW (O.24)</w:t>
            </w:r>
          </w:p>
          <w:p w:rsidR="001924CD" w:rsidRPr="00EF56D0" w:rsidRDefault="001924CD" w:rsidP="00FC0A30">
            <w:pPr>
              <w:pStyle w:val="Htableleft"/>
              <w:spacing w:before="20" w:after="20"/>
              <w:rPr>
                <w:color w:val="576C88" w:themeColor="text2" w:themeTint="D9"/>
                <w:highlight w:val="yellow"/>
              </w:rPr>
            </w:pPr>
            <w:r w:rsidRPr="00EF56D0">
              <w:rPr>
                <w:color w:val="576C88" w:themeColor="text2" w:themeTint="D9"/>
                <w:highlight w:val="yellow"/>
              </w:rPr>
              <w:t>Liczba narzędzi komunikacyjnych KSOW (O.25)</w:t>
            </w:r>
          </w:p>
          <w:p w:rsidR="001924CD" w:rsidRPr="00EF56D0" w:rsidRDefault="001924CD" w:rsidP="00FC0A30">
            <w:pPr>
              <w:pStyle w:val="Htableleft"/>
              <w:spacing w:before="20" w:after="20"/>
              <w:rPr>
                <w:color w:val="576C88" w:themeColor="text2" w:themeTint="D9"/>
                <w:highlight w:val="yellow"/>
              </w:rPr>
            </w:pPr>
            <w:r w:rsidRPr="00EF56D0">
              <w:rPr>
                <w:color w:val="576C88" w:themeColor="text2" w:themeTint="D9"/>
                <w:highlight w:val="yellow"/>
              </w:rPr>
              <w:t xml:space="preserve">Liczba działań w ramach Europejskiej Sieci na rzecz Rozwoju Obszarów Wiejskich, w których uczestniczyła KSOW (O.26) </w:t>
            </w:r>
          </w:p>
          <w:p w:rsidR="001924CD" w:rsidRPr="00EF56D0" w:rsidRDefault="001924CD" w:rsidP="00FC0A30">
            <w:pPr>
              <w:pStyle w:val="Htableleft"/>
              <w:spacing w:before="20" w:after="20"/>
              <w:rPr>
                <w:color w:val="576C88" w:themeColor="text2" w:themeTint="D9"/>
                <w:highlight w:val="yellow"/>
              </w:rPr>
            </w:pPr>
          </w:p>
          <w:p w:rsidR="001924CD" w:rsidRPr="00EF56D0" w:rsidRDefault="001924CD" w:rsidP="00FC0A30">
            <w:pPr>
              <w:pStyle w:val="Htableleft"/>
              <w:spacing w:before="20" w:after="20"/>
              <w:rPr>
                <w:color w:val="576C88" w:themeColor="text2" w:themeTint="D9"/>
                <w:highlight w:val="yellow"/>
              </w:rPr>
            </w:pPr>
            <w:r w:rsidRPr="00EF56D0">
              <w:rPr>
                <w:color w:val="576C88" w:themeColor="text2" w:themeTint="D9"/>
                <w:highlight w:val="yellow"/>
              </w:rPr>
              <w:t xml:space="preserve">Specyficzne dla programu, związane ze specyficznymi dla programu działaniami KSOW </w:t>
            </w:r>
          </w:p>
        </w:tc>
      </w:tr>
    </w:tbl>
    <w:p w:rsidR="001924CD" w:rsidRPr="00EF56D0" w:rsidRDefault="001924CD" w:rsidP="00FC0A30">
      <w:pPr>
        <w:pStyle w:val="HStandard"/>
        <w:rPr>
          <w:highlight w:val="yellow"/>
        </w:rPr>
      </w:pPr>
      <w:r w:rsidRPr="00EF56D0">
        <w:rPr>
          <w:highlight w:val="yellow"/>
        </w:rPr>
        <w:lastRenderedPageBreak/>
        <w:t xml:space="preserve">Po opracowaniu logiki interwencji KSOW należy sprawdzić jej spójność wewnętrzną (wertykalną i horyzontalną). </w:t>
      </w:r>
    </w:p>
    <w:p w:rsidR="001924CD" w:rsidRPr="00EF56D0" w:rsidRDefault="001924CD" w:rsidP="00FC0A30">
      <w:pPr>
        <w:pStyle w:val="HStandard"/>
        <w:rPr>
          <w:highlight w:val="yellow"/>
        </w:rPr>
      </w:pPr>
      <w:r w:rsidRPr="00EF56D0">
        <w:rPr>
          <w:b/>
          <w:highlight w:val="yellow"/>
        </w:rPr>
        <w:t>Kontrola spójności horyzontalnej</w:t>
      </w:r>
      <w:r w:rsidRPr="00EF56D0">
        <w:rPr>
          <w:highlight w:val="yellow"/>
        </w:rPr>
        <w:t xml:space="preserve"> polega na sprawdzeniu, czy oczekiwane efekty na każdym poziomie (produktów, rezultatów, oddziaływania) odpowiadają celom określonym na danym poziomie (celom operacyjnym, szczegółowym i ogólnym) oraz czy nie występują sprzeczności lub rozbieżności pomiędzy celami i oczekiwanymi efektami na poszczególnych poziomach. W przypadku PKSOW ryzyko, że cele będą rozbieżne, jest dość ograniczone. Jeśli chodzi o KSOW w ramach PROW, cele powinny być spójne z celami programu jako całości. Sprzeczności mogą wprawdzie się pojawić, ale częstsze będą niespójności, takie jak dublowanie się czy braki w stosunku do innych działań, w szczególności dla priorytetu 1.</w:t>
      </w:r>
    </w:p>
    <w:p w:rsidR="001924CD" w:rsidRPr="00EF56D0" w:rsidRDefault="001924CD" w:rsidP="00FC0A30">
      <w:pPr>
        <w:pStyle w:val="HStandard"/>
        <w:rPr>
          <w:highlight w:val="yellow"/>
        </w:rPr>
      </w:pPr>
      <w:r w:rsidRPr="00EF56D0">
        <w:rPr>
          <w:b/>
          <w:highlight w:val="yellow"/>
        </w:rPr>
        <w:t>Kontrola spójności wertykalnej</w:t>
      </w:r>
      <w:r w:rsidRPr="00EF56D0">
        <w:rPr>
          <w:highlight w:val="yellow"/>
        </w:rPr>
        <w:t xml:space="preserve"> odbywa się poprzez analizę hierarchii celów/oczekiwanych efektów KSOW: </w:t>
      </w:r>
    </w:p>
    <w:p w:rsidR="001924CD" w:rsidRPr="00EF56D0" w:rsidRDefault="001924CD" w:rsidP="00C72F66">
      <w:pPr>
        <w:pStyle w:val="Hlistbullet"/>
        <w:rPr>
          <w:highlight w:val="yellow"/>
        </w:rPr>
      </w:pPr>
      <w:r w:rsidRPr="00EF56D0">
        <w:rPr>
          <w:highlight w:val="yellow"/>
        </w:rPr>
        <w:t>po pierwsze, zadając pytanie, czy założenia leżące u podstaw ram logicznych są wiarygodne (np. „dlaczego lub na jakiej podstawie szkolenie zainteresowanych podmiotów ma prowadzić do zmian ich praktyk?”);</w:t>
      </w:r>
    </w:p>
    <w:p w:rsidR="001924CD" w:rsidRPr="00EF56D0" w:rsidRDefault="001924CD" w:rsidP="000610EA">
      <w:pPr>
        <w:pStyle w:val="Hlistbullet"/>
        <w:rPr>
          <w:b/>
          <w:highlight w:val="yellow"/>
        </w:rPr>
      </w:pPr>
      <w:r w:rsidRPr="00EF56D0">
        <w:rPr>
          <w:highlight w:val="yellow"/>
        </w:rPr>
        <w:t xml:space="preserve">po drugie, sprawdzając, czy wybrane działania i dotacje budżetowe dla każdej grupy działań mają szansę przynieść oczekiwane efekty. </w:t>
      </w:r>
    </w:p>
    <w:p w:rsidR="001924CD" w:rsidRPr="00EF56D0" w:rsidRDefault="001924CD" w:rsidP="00C72F66">
      <w:pPr>
        <w:pStyle w:val="Heading6"/>
        <w:rPr>
          <w:highlight w:val="yellow"/>
        </w:rPr>
      </w:pPr>
      <w:r w:rsidRPr="00EF56D0">
        <w:rPr>
          <w:highlight w:val="yellow"/>
        </w:rPr>
        <w:t>Specyfika konstrukcji logiki interwencji KSOW i PKSOW</w:t>
      </w:r>
    </w:p>
    <w:p w:rsidR="001924CD" w:rsidRPr="00EF56D0" w:rsidRDefault="001924CD" w:rsidP="00FC0A30">
      <w:pPr>
        <w:pStyle w:val="HStandard"/>
        <w:rPr>
          <w:highlight w:val="yellow"/>
        </w:rPr>
      </w:pPr>
      <w:r w:rsidRPr="00EF56D0">
        <w:rPr>
          <w:highlight w:val="yellow"/>
        </w:rPr>
        <w:t>Występują pewne różnice w konstrukcji logiki interwencji pomiędzy PKSOW i KSOW w ramach PROW.</w:t>
      </w:r>
    </w:p>
    <w:p w:rsidR="001924CD" w:rsidRPr="00EF56D0" w:rsidRDefault="001924CD" w:rsidP="00FC0A30">
      <w:pPr>
        <w:pStyle w:val="HStandard"/>
        <w:rPr>
          <w:highlight w:val="yellow"/>
        </w:rPr>
      </w:pPr>
      <w:r w:rsidRPr="00EF56D0">
        <w:rPr>
          <w:highlight w:val="yellow"/>
        </w:rPr>
        <w:t xml:space="preserve">Sieć KSOW, która jest planowana w ramach PROW, wspiera tylko jeden, związany z konkretnym terytorium program (zazwyczaj jest to jedno państwo członkowskie, a przypadku Wielkiej Brytanii – jeden region) oraz jego potrzeby, w tym takie, które mogą być zaspakajane przez KSOW. Z kolei program PKSOW jest zazwyczaj projektowany i wdrażany w kilku państwach członkowskich w wymiarze multiregionalnym, a zatem obsługuje kilka regionalnych programów rozwoju obszarów wiejskich. Regionalne programy PROW mogą obejmować cele specyficzne dla programu, które mogą różnić się od siebie. W takim przypadku można oczekiwać szerszego zakresu rezultatów i oddziaływania PKSOW. Ogólne i szczegółowe cele PKSOW powinny być zatem szersze. </w:t>
      </w:r>
    </w:p>
    <w:p w:rsidR="001924CD" w:rsidRPr="00EF56D0" w:rsidRDefault="001924CD" w:rsidP="00C72F66">
      <w:pPr>
        <w:pStyle w:val="Heading6"/>
        <w:rPr>
          <w:highlight w:val="yellow"/>
        </w:rPr>
      </w:pPr>
      <w:r w:rsidRPr="00EF56D0">
        <w:rPr>
          <w:highlight w:val="yellow"/>
        </w:rPr>
        <w:t xml:space="preserve">Jak należy opracować logikę interwencji KSOW w przypadku, gdy istnieje jedynie plan działania KSOW w PROW? </w:t>
      </w:r>
    </w:p>
    <w:p w:rsidR="001924CD" w:rsidRPr="00EF56D0" w:rsidRDefault="001924CD" w:rsidP="00FC0A30">
      <w:pPr>
        <w:pStyle w:val="HStandard"/>
        <w:rPr>
          <w:highlight w:val="yellow"/>
        </w:rPr>
      </w:pPr>
      <w:r w:rsidRPr="00EF56D0">
        <w:rPr>
          <w:highlight w:val="yellow"/>
        </w:rPr>
        <w:lastRenderedPageBreak/>
        <w:t>Jak wspomniano powyżej, logika interwencji KSOW bardzo często powstaje dopiero po rozpoczęciu wdrażania sieci. Istnieje jedynie plan działania KSOW. W takim przypadku plan działania i cztery wspólne cele są punktem wyjścia dla budowy logiki interwencji KSOW. Logika działania może być opracowana w następujących etapach:</w:t>
      </w:r>
    </w:p>
    <w:p w:rsidR="001924CD" w:rsidRPr="00EF56D0" w:rsidRDefault="001924CD" w:rsidP="00C72F66">
      <w:pPr>
        <w:pStyle w:val="Hlistbullet"/>
        <w:rPr>
          <w:highlight w:val="yellow"/>
        </w:rPr>
      </w:pPr>
      <w:r w:rsidRPr="00EF56D0">
        <w:rPr>
          <w:highlight w:val="yellow"/>
        </w:rPr>
        <w:t xml:space="preserve">wskazanie </w:t>
      </w:r>
      <w:r w:rsidRPr="00EF56D0">
        <w:rPr>
          <w:b/>
          <w:highlight w:val="yellow"/>
        </w:rPr>
        <w:t>wszystkich grup działań</w:t>
      </w:r>
      <w:r w:rsidRPr="00EF56D0">
        <w:rPr>
          <w:highlight w:val="yellow"/>
        </w:rPr>
        <w:t xml:space="preserve"> (wspólnych i specyficznych dla programu) ujętych w planie działania KSOW, </w:t>
      </w:r>
    </w:p>
    <w:p w:rsidR="001924CD" w:rsidRPr="00EF56D0" w:rsidRDefault="001924CD" w:rsidP="00C72F66">
      <w:pPr>
        <w:pStyle w:val="Hlistbullet"/>
        <w:rPr>
          <w:highlight w:val="yellow"/>
        </w:rPr>
      </w:pPr>
      <w:r w:rsidRPr="00EF56D0">
        <w:rPr>
          <w:highlight w:val="yellow"/>
        </w:rPr>
        <w:t xml:space="preserve">określenie wszystkich możliwych </w:t>
      </w:r>
      <w:r w:rsidRPr="00EF56D0">
        <w:rPr>
          <w:b/>
          <w:highlight w:val="yellow"/>
        </w:rPr>
        <w:t>oczekiwanych produktów</w:t>
      </w:r>
      <w:r w:rsidRPr="00EF56D0">
        <w:rPr>
          <w:highlight w:val="yellow"/>
        </w:rPr>
        <w:t xml:space="preserve"> w ramach każdej grupy działań i sformułowanie </w:t>
      </w:r>
      <w:r w:rsidRPr="00EF56D0">
        <w:rPr>
          <w:b/>
          <w:highlight w:val="yellow"/>
        </w:rPr>
        <w:t>celów operacyjnych KSOW</w:t>
      </w:r>
      <w:r w:rsidRPr="00EF56D0">
        <w:rPr>
          <w:highlight w:val="yellow"/>
        </w:rPr>
        <w:t xml:space="preserve"> powiązanych z oczekiwanymi produktami,</w:t>
      </w:r>
    </w:p>
    <w:p w:rsidR="001924CD" w:rsidRPr="00EF56D0" w:rsidRDefault="001924CD" w:rsidP="00C72F66">
      <w:pPr>
        <w:pStyle w:val="Hlistbullet"/>
        <w:rPr>
          <w:highlight w:val="yellow"/>
        </w:rPr>
      </w:pPr>
      <w:r w:rsidRPr="00EF56D0">
        <w:rPr>
          <w:highlight w:val="yellow"/>
        </w:rPr>
        <w:t xml:space="preserve">określenie </w:t>
      </w:r>
      <w:r w:rsidRPr="00EF56D0">
        <w:rPr>
          <w:b/>
          <w:highlight w:val="yellow"/>
        </w:rPr>
        <w:t>oczekiwanych rezultatów i oddziaływania</w:t>
      </w:r>
      <w:r w:rsidRPr="00EF56D0">
        <w:rPr>
          <w:highlight w:val="yellow"/>
        </w:rPr>
        <w:t xml:space="preserve">, jakie oczekiwane produkty mogą powstać w ramach łańcucha produkt–rezultat–oddziaływanie (zob. również grupy działań w przykładach łańcucha produkt–rezultat–oddziaływanie w </w:t>
      </w:r>
      <w:r w:rsidRPr="00EF56D0">
        <w:rPr>
          <w:b/>
          <w:color w:val="E7E6E6" w:themeColor="background2"/>
          <w:highlight w:val="yellow"/>
        </w:rPr>
        <w:t>CZĘŚCI III</w:t>
      </w:r>
      <w:r w:rsidRPr="00EF56D0">
        <w:rPr>
          <w:color w:val="E7E6E6" w:themeColor="background2"/>
          <w:highlight w:val="yellow"/>
        </w:rPr>
        <w:t xml:space="preserve"> </w:t>
      </w:r>
      <w:r w:rsidRPr="00EF56D0">
        <w:rPr>
          <w:highlight w:val="yellow"/>
        </w:rPr>
        <w:t xml:space="preserve">wytycznych), </w:t>
      </w:r>
    </w:p>
    <w:p w:rsidR="001924CD" w:rsidRPr="00EF56D0" w:rsidRDefault="001924CD" w:rsidP="00C72F66">
      <w:pPr>
        <w:pStyle w:val="Hlistbullet"/>
        <w:rPr>
          <w:highlight w:val="yellow"/>
        </w:rPr>
      </w:pPr>
      <w:r w:rsidRPr="00EF56D0">
        <w:rPr>
          <w:highlight w:val="yellow"/>
        </w:rPr>
        <w:t xml:space="preserve">określenie specyficznych dla programu </w:t>
      </w:r>
      <w:r w:rsidRPr="00EF56D0">
        <w:rPr>
          <w:b/>
          <w:highlight w:val="yellow"/>
        </w:rPr>
        <w:t>szczegółowych celów KSOW</w:t>
      </w:r>
      <w:r w:rsidRPr="00EF56D0">
        <w:rPr>
          <w:highlight w:val="yellow"/>
        </w:rPr>
        <w:t xml:space="preserve"> powiązanych z oczekiwanymi rezultatami, </w:t>
      </w:r>
    </w:p>
    <w:p w:rsidR="001924CD" w:rsidRPr="00EF56D0" w:rsidRDefault="001924CD" w:rsidP="00C72F66">
      <w:pPr>
        <w:pStyle w:val="Hlistbullet"/>
        <w:rPr>
          <w:highlight w:val="yellow"/>
        </w:rPr>
      </w:pPr>
      <w:r w:rsidRPr="00EF56D0">
        <w:rPr>
          <w:highlight w:val="yellow"/>
        </w:rPr>
        <w:t xml:space="preserve">ustalenie związków oczekiwanego </w:t>
      </w:r>
      <w:r w:rsidRPr="00EF56D0">
        <w:rPr>
          <w:b/>
          <w:highlight w:val="yellow"/>
        </w:rPr>
        <w:t>oddziaływania z czterema wspólnymi celami</w:t>
      </w:r>
      <w:r w:rsidRPr="00EF56D0">
        <w:rPr>
          <w:highlight w:val="yellow"/>
        </w:rPr>
        <w:t xml:space="preserve"> i sformułowanie specyficznych dla programu </w:t>
      </w:r>
      <w:r w:rsidRPr="00EF56D0">
        <w:rPr>
          <w:b/>
          <w:highlight w:val="yellow"/>
        </w:rPr>
        <w:t>ogólnych celów KSOW</w:t>
      </w:r>
      <w:r w:rsidRPr="00EF56D0">
        <w:rPr>
          <w:highlight w:val="yellow"/>
        </w:rPr>
        <w:t xml:space="preserve">, jeśli nie można powiązać określonego oddziaływania z żadnym z czterech wspólnych celów, </w:t>
      </w:r>
    </w:p>
    <w:p w:rsidR="001924CD" w:rsidRPr="00EF56D0" w:rsidRDefault="001924CD" w:rsidP="00C72F66">
      <w:pPr>
        <w:pStyle w:val="Hlistbullet"/>
        <w:rPr>
          <w:highlight w:val="yellow"/>
        </w:rPr>
      </w:pPr>
      <w:r w:rsidRPr="00EF56D0">
        <w:rPr>
          <w:b/>
          <w:highlight w:val="yellow"/>
        </w:rPr>
        <w:t>sprawdzenie horyzontalnej i wertykalnej spójności</w:t>
      </w:r>
      <w:r w:rsidRPr="00EF56D0">
        <w:rPr>
          <w:highlight w:val="yellow"/>
        </w:rPr>
        <w:t xml:space="preserve"> pomiędzy działaniami KSOW, oczekiwanymi produktami, rezultatami, oddziaływaniem i celami (zob. </w:t>
      </w:r>
      <w:r w:rsidRPr="00EF56D0">
        <w:rPr>
          <w:highlight w:val="yellow"/>
        </w:rPr>
        <w:fldChar w:fldCharType="begin" w:fldLock="1"/>
      </w:r>
      <w:r w:rsidRPr="00EF56D0">
        <w:rPr>
          <w:highlight w:val="yellow"/>
        </w:rPr>
        <w:instrText xml:space="preserve"> REF _Ref451784593 \r \h  \* MERGEFORMAT </w:instrText>
      </w:r>
      <w:r w:rsidRPr="00EF56D0">
        <w:rPr>
          <w:highlight w:val="yellow"/>
        </w:rPr>
      </w:r>
      <w:r w:rsidRPr="00EF56D0">
        <w:rPr>
          <w:highlight w:val="yellow"/>
        </w:rPr>
        <w:fldChar w:fldCharType="separate"/>
      </w:r>
      <w:r w:rsidRPr="00EF56D0">
        <w:rPr>
          <w:highlight w:val="yellow"/>
        </w:rPr>
        <w:t>Figure 6</w:t>
      </w:r>
      <w:r w:rsidRPr="00EF56D0">
        <w:rPr>
          <w:highlight w:val="yellow"/>
        </w:rPr>
        <w:fldChar w:fldCharType="end"/>
      </w:r>
      <w:r w:rsidRPr="00EF56D0">
        <w:rPr>
          <w:highlight w:val="yellow"/>
        </w:rPr>
        <w:t>).</w:t>
      </w:r>
    </w:p>
    <w:p w:rsidR="001924CD" w:rsidRPr="00EF56D0" w:rsidRDefault="001924CD" w:rsidP="00FC0A30">
      <w:pPr>
        <w:pStyle w:val="HStandard"/>
        <w:rPr>
          <w:highlight w:val="yellow"/>
        </w:rPr>
      </w:pPr>
      <w:r w:rsidRPr="00EF56D0">
        <w:rPr>
          <w:highlight w:val="yellow"/>
        </w:rPr>
        <w:fldChar w:fldCharType="begin" w:fldLock="1"/>
      </w:r>
      <w:r w:rsidRPr="00EF56D0">
        <w:rPr>
          <w:highlight w:val="yellow"/>
        </w:rPr>
        <w:instrText xml:space="preserve"> REF _Ref451784607 \r \h  \* MERGEFORMAT </w:instrText>
      </w:r>
      <w:r w:rsidRPr="00EF56D0">
        <w:rPr>
          <w:highlight w:val="yellow"/>
        </w:rPr>
      </w:r>
      <w:r w:rsidRPr="00EF56D0">
        <w:rPr>
          <w:highlight w:val="yellow"/>
        </w:rPr>
        <w:fldChar w:fldCharType="separate"/>
      </w:r>
      <w:r w:rsidRPr="00EF56D0">
        <w:rPr>
          <w:highlight w:val="yellow"/>
        </w:rPr>
        <w:t>Figure 12</w:t>
      </w:r>
      <w:r w:rsidRPr="00EF56D0">
        <w:rPr>
          <w:highlight w:val="yellow"/>
        </w:rPr>
        <w:fldChar w:fldCharType="end"/>
      </w:r>
      <w:r w:rsidRPr="00EF56D0">
        <w:rPr>
          <w:highlight w:val="yellow"/>
        </w:rPr>
        <w:t xml:space="preserve"> może również służyć do zilustrowania procesu opracowywania logiki interwencji KSOW w oparciu o plan działania KSOW.</w:t>
      </w:r>
    </w:p>
    <w:p w:rsidR="001924CD" w:rsidRPr="00EF56D0" w:rsidRDefault="001924CD" w:rsidP="00FC0A30">
      <w:pPr>
        <w:pStyle w:val="HHeading5"/>
        <w:rPr>
          <w:highlight w:val="yellow"/>
        </w:rPr>
      </w:pPr>
      <w:r w:rsidRPr="00EF56D0">
        <w:rPr>
          <w:highlight w:val="yellow"/>
        </w:rPr>
        <w:t xml:space="preserve">Krok 2 – Weryfikacja/opracowanie pytań ewaluacyjnych i wskaźników dotyczących KSOW oraz sprawdzenie ich spójności z logiką interwencji </w:t>
      </w:r>
    </w:p>
    <w:p w:rsidR="001924CD" w:rsidRPr="00EF56D0" w:rsidRDefault="001924CD" w:rsidP="00FC0A30">
      <w:pPr>
        <w:pStyle w:val="HStandard"/>
        <w:rPr>
          <w:highlight w:val="yellow"/>
        </w:rPr>
      </w:pPr>
      <w:r w:rsidRPr="00EF56D0">
        <w:rPr>
          <w:highlight w:val="yellow"/>
        </w:rPr>
        <w:t xml:space="preserve">Etap ten obejmuje przegląd istniejących wspólnych i specyficznych dla programu elementów dotyczących ewaluacji KSOW (pytania ewaluacyjne i wskaźniki) oraz opracowanie nowych elementów ewaluacji.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EF56D0" w:rsidTr="00D322AA">
        <w:tc>
          <w:tcPr>
            <w:tcW w:w="9016" w:type="dxa"/>
            <w:shd w:val="clear" w:color="auto" w:fill="F5F4F4" w:themeFill="background2" w:themeFillTint="66"/>
          </w:tcPr>
          <w:p w:rsidR="001924CD" w:rsidRPr="00EF56D0" w:rsidRDefault="001924CD" w:rsidP="00FC0A30">
            <w:pPr>
              <w:pStyle w:val="HStandard"/>
              <w:rPr>
                <w:highlight w:val="yellow"/>
              </w:rPr>
            </w:pPr>
            <w:r w:rsidRPr="00EF56D0">
              <w:rPr>
                <w:highlight w:val="yellow"/>
              </w:rPr>
              <w:t>Podczas przeglądu lub formułowania pytań ewaluacyjnych i wskaźników należy wziąć pod uwagę następujące pytania pomocnicze:</w:t>
            </w:r>
          </w:p>
          <w:p w:rsidR="001924CD" w:rsidRPr="00EF56D0" w:rsidRDefault="001924CD" w:rsidP="001924CD">
            <w:pPr>
              <w:pStyle w:val="Hlistbullet"/>
              <w:tabs>
                <w:tab w:val="left" w:pos="567"/>
              </w:tabs>
              <w:rPr>
                <w:highlight w:val="yellow"/>
              </w:rPr>
            </w:pPr>
            <w:r w:rsidRPr="00EF56D0">
              <w:rPr>
                <w:highlight w:val="yellow"/>
              </w:rPr>
              <w:t>Za pomocą jakich pytań można ocenić sukces KSOW?</w:t>
            </w:r>
          </w:p>
          <w:p w:rsidR="001924CD" w:rsidRPr="00EF56D0" w:rsidRDefault="001924CD" w:rsidP="001924CD">
            <w:pPr>
              <w:pStyle w:val="Hlistbullet"/>
              <w:tabs>
                <w:tab w:val="left" w:pos="567"/>
              </w:tabs>
              <w:rPr>
                <w:highlight w:val="yellow"/>
              </w:rPr>
            </w:pPr>
            <w:r w:rsidRPr="00EF56D0">
              <w:rPr>
                <w:highlight w:val="yellow"/>
              </w:rPr>
              <w:t>W oparciu o jakie kryteria dokonywane są oceny?</w:t>
            </w:r>
          </w:p>
          <w:p w:rsidR="001924CD" w:rsidRPr="00EF56D0" w:rsidRDefault="001924CD" w:rsidP="001924CD">
            <w:pPr>
              <w:pStyle w:val="Hlistbullet2"/>
              <w:tabs>
                <w:tab w:val="left" w:pos="567"/>
              </w:tabs>
              <w:rPr>
                <w:highlight w:val="yellow"/>
              </w:rPr>
            </w:pPr>
            <w:r w:rsidRPr="00EF56D0">
              <w:rPr>
                <w:highlight w:val="yellow"/>
              </w:rPr>
              <w:t>Których wskaźników należy użyć, aby odpowiedzieć na pytania ewaluacyjne? Czy są one wystarczające, aby uzyskać przekonywujące dowody?</w:t>
            </w:r>
          </w:p>
        </w:tc>
      </w:tr>
    </w:tbl>
    <w:p w:rsidR="001924CD" w:rsidRPr="00EF56D0" w:rsidRDefault="001924CD" w:rsidP="00FC0A30">
      <w:pPr>
        <w:pStyle w:val="HStandard"/>
        <w:rPr>
          <w:highlight w:val="yellow"/>
        </w:rPr>
      </w:pPr>
      <w:r w:rsidRPr="00EF56D0">
        <w:rPr>
          <w:highlight w:val="yellow"/>
        </w:rPr>
        <w:t xml:space="preserve">Etap ten jest realizowany w </w:t>
      </w:r>
      <w:r w:rsidRPr="00EF56D0">
        <w:rPr>
          <w:b/>
          <w:highlight w:val="yellow"/>
        </w:rPr>
        <w:t>następującej kolejności</w:t>
      </w:r>
      <w:r w:rsidRPr="00EF56D0">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924CD" w:rsidRPr="00EF56D0" w:rsidTr="00BE6F49">
        <w:tc>
          <w:tcPr>
            <w:tcW w:w="988" w:type="dxa"/>
            <w:shd w:val="clear" w:color="auto" w:fill="E7E6E6" w:themeFill="background2"/>
          </w:tcPr>
          <w:p w:rsidR="001924CD" w:rsidRPr="00EF56D0" w:rsidRDefault="001924CD" w:rsidP="00BE6F49">
            <w:pPr>
              <w:pStyle w:val="HStandard"/>
              <w:jc w:val="center"/>
              <w:rPr>
                <w:b/>
                <w:color w:val="FFFFFF"/>
                <w:sz w:val="18"/>
                <w:szCs w:val="18"/>
                <w:highlight w:val="yellow"/>
              </w:rPr>
            </w:pPr>
            <w:r w:rsidRPr="00EF56D0">
              <w:rPr>
                <w:b/>
                <w:color w:val="FFFFFF"/>
                <w:sz w:val="18"/>
                <w:highlight w:val="yellow"/>
              </w:rPr>
              <w:t>a.</w:t>
            </w:r>
          </w:p>
        </w:tc>
        <w:tc>
          <w:tcPr>
            <w:tcW w:w="8028" w:type="dxa"/>
          </w:tcPr>
          <w:p w:rsidR="001924CD" w:rsidRPr="00EF56D0" w:rsidRDefault="001924CD" w:rsidP="00BE6F49">
            <w:pPr>
              <w:pStyle w:val="Hlistbullet"/>
              <w:numPr>
                <w:ilvl w:val="0"/>
                <w:numId w:val="0"/>
              </w:numPr>
              <w:spacing w:before="0" w:line="280" w:lineRule="atLeast"/>
              <w:jc w:val="left"/>
              <w:rPr>
                <w:sz w:val="18"/>
                <w:szCs w:val="18"/>
                <w:highlight w:val="yellow"/>
              </w:rPr>
            </w:pPr>
            <w:r w:rsidRPr="00EF56D0">
              <w:rPr>
                <w:sz w:val="18"/>
                <w:highlight w:val="yellow"/>
              </w:rPr>
              <w:t>Przegląd istniejących pytań ewaluacyjnych i opracowanie specyficznych dla programu pytań ewaluacyjnych KSOW.</w:t>
            </w:r>
          </w:p>
        </w:tc>
      </w:tr>
      <w:tr w:rsidR="001924CD" w:rsidRPr="00EF56D0" w:rsidTr="00BE6F49">
        <w:tc>
          <w:tcPr>
            <w:tcW w:w="988" w:type="dxa"/>
            <w:shd w:val="clear" w:color="auto" w:fill="E7E6E6" w:themeFill="background2"/>
          </w:tcPr>
          <w:p w:rsidR="001924CD" w:rsidRPr="00EF56D0" w:rsidRDefault="001924CD" w:rsidP="00BE6F49">
            <w:pPr>
              <w:pStyle w:val="HStandard"/>
              <w:jc w:val="center"/>
              <w:rPr>
                <w:b/>
                <w:color w:val="FFFFFF"/>
                <w:sz w:val="18"/>
                <w:szCs w:val="18"/>
                <w:highlight w:val="yellow"/>
              </w:rPr>
            </w:pPr>
            <w:r w:rsidRPr="00EF56D0">
              <w:rPr>
                <w:b/>
                <w:color w:val="FFFFFF"/>
                <w:sz w:val="18"/>
                <w:highlight w:val="yellow"/>
              </w:rPr>
              <w:t>b.</w:t>
            </w:r>
          </w:p>
        </w:tc>
        <w:tc>
          <w:tcPr>
            <w:tcW w:w="8028" w:type="dxa"/>
          </w:tcPr>
          <w:p w:rsidR="001924CD" w:rsidRPr="00EF56D0" w:rsidRDefault="001924CD" w:rsidP="00BE6F49">
            <w:pPr>
              <w:pStyle w:val="HStandard"/>
              <w:rPr>
                <w:sz w:val="18"/>
                <w:szCs w:val="18"/>
                <w:highlight w:val="yellow"/>
              </w:rPr>
            </w:pPr>
            <w:r w:rsidRPr="00EF56D0">
              <w:rPr>
                <w:sz w:val="18"/>
                <w:highlight w:val="yellow"/>
              </w:rPr>
              <w:t>Opracowanie kryteriów oceny, które określają sukces interwencji KSOW i skupiają się na odpowiedzi na pytania ewaluacyjne.</w:t>
            </w:r>
          </w:p>
        </w:tc>
      </w:tr>
      <w:tr w:rsidR="001924CD" w:rsidRPr="00EF56D0" w:rsidTr="00BE6F49">
        <w:tc>
          <w:tcPr>
            <w:tcW w:w="988" w:type="dxa"/>
            <w:shd w:val="clear" w:color="auto" w:fill="E7E6E6" w:themeFill="background2"/>
          </w:tcPr>
          <w:p w:rsidR="001924CD" w:rsidRPr="00EF56D0" w:rsidRDefault="001924CD" w:rsidP="00BE6F49">
            <w:pPr>
              <w:pStyle w:val="HStandard"/>
              <w:jc w:val="center"/>
              <w:rPr>
                <w:b/>
                <w:color w:val="FFFFFF"/>
                <w:sz w:val="18"/>
                <w:szCs w:val="18"/>
                <w:highlight w:val="yellow"/>
              </w:rPr>
            </w:pPr>
            <w:r w:rsidRPr="00EF56D0">
              <w:rPr>
                <w:b/>
                <w:color w:val="FFFFFF"/>
                <w:sz w:val="18"/>
                <w:highlight w:val="yellow"/>
              </w:rPr>
              <w:t>c.</w:t>
            </w:r>
          </w:p>
        </w:tc>
        <w:tc>
          <w:tcPr>
            <w:tcW w:w="8028" w:type="dxa"/>
          </w:tcPr>
          <w:p w:rsidR="001924CD" w:rsidRPr="00EF56D0" w:rsidRDefault="001924CD" w:rsidP="00BE6F49">
            <w:pPr>
              <w:pStyle w:val="Hlistbullet"/>
              <w:numPr>
                <w:ilvl w:val="0"/>
                <w:numId w:val="0"/>
              </w:numPr>
              <w:spacing w:before="0" w:line="280" w:lineRule="atLeast"/>
              <w:jc w:val="left"/>
              <w:rPr>
                <w:sz w:val="18"/>
                <w:szCs w:val="18"/>
                <w:highlight w:val="yellow"/>
              </w:rPr>
            </w:pPr>
            <w:r w:rsidRPr="00EF56D0">
              <w:rPr>
                <w:sz w:val="18"/>
                <w:highlight w:val="yellow"/>
              </w:rPr>
              <w:t>Określenie specyficznych dla programu wskaźników rezultatu i oddziaływania KSOW.</w:t>
            </w:r>
          </w:p>
        </w:tc>
      </w:tr>
      <w:tr w:rsidR="001924CD" w:rsidRPr="00EF56D0" w:rsidTr="00BE6F49">
        <w:tc>
          <w:tcPr>
            <w:tcW w:w="988" w:type="dxa"/>
            <w:shd w:val="clear" w:color="auto" w:fill="E7E6E6" w:themeFill="background2"/>
          </w:tcPr>
          <w:p w:rsidR="001924CD" w:rsidRPr="00EF56D0" w:rsidRDefault="001924CD" w:rsidP="00BE6F49">
            <w:pPr>
              <w:pStyle w:val="HStandard"/>
              <w:jc w:val="center"/>
              <w:rPr>
                <w:b/>
                <w:color w:val="FFFFFF"/>
                <w:sz w:val="18"/>
                <w:szCs w:val="18"/>
                <w:highlight w:val="yellow"/>
              </w:rPr>
            </w:pPr>
            <w:r w:rsidRPr="00EF56D0">
              <w:rPr>
                <w:b/>
                <w:color w:val="FFFFFF"/>
                <w:sz w:val="18"/>
                <w:highlight w:val="yellow"/>
              </w:rPr>
              <w:t>d.</w:t>
            </w:r>
          </w:p>
        </w:tc>
        <w:tc>
          <w:tcPr>
            <w:tcW w:w="8028" w:type="dxa"/>
          </w:tcPr>
          <w:p w:rsidR="001924CD" w:rsidRPr="00EF56D0" w:rsidRDefault="001924CD" w:rsidP="00BE6F49">
            <w:pPr>
              <w:pStyle w:val="Hlistbullet"/>
              <w:numPr>
                <w:ilvl w:val="0"/>
                <w:numId w:val="0"/>
              </w:numPr>
              <w:tabs>
                <w:tab w:val="left" w:pos="317"/>
              </w:tabs>
              <w:spacing w:before="0" w:line="280" w:lineRule="atLeast"/>
              <w:jc w:val="left"/>
              <w:rPr>
                <w:sz w:val="18"/>
                <w:szCs w:val="18"/>
                <w:highlight w:val="yellow"/>
              </w:rPr>
            </w:pPr>
            <w:r w:rsidRPr="00EF56D0">
              <w:rPr>
                <w:sz w:val="18"/>
                <w:highlight w:val="yellow"/>
              </w:rPr>
              <w:t>Sprawdzenie spójności elementów ewaluacyjnych z logiką interwencji KSOW.</w:t>
            </w:r>
          </w:p>
        </w:tc>
      </w:tr>
      <w:tr w:rsidR="001924CD" w:rsidRPr="00EF56D0" w:rsidTr="00BE6F49">
        <w:tc>
          <w:tcPr>
            <w:tcW w:w="9016" w:type="dxa"/>
            <w:gridSpan w:val="2"/>
            <w:shd w:val="clear" w:color="auto" w:fill="auto"/>
          </w:tcPr>
          <w:p w:rsidR="001924CD" w:rsidRPr="00EF56D0" w:rsidRDefault="001924CD" w:rsidP="00BE6F49">
            <w:pPr>
              <w:pStyle w:val="HStandard"/>
              <w:jc w:val="left"/>
              <w:rPr>
                <w:sz w:val="18"/>
                <w:szCs w:val="18"/>
                <w:highlight w:val="yellow"/>
              </w:rPr>
            </w:pPr>
            <w:r w:rsidRPr="00EF56D0">
              <w:rPr>
                <w:b/>
                <w:sz w:val="18"/>
                <w:highlight w:val="yellow"/>
              </w:rPr>
              <w:t>Oczekiwany wynik:</w:t>
            </w:r>
            <w:r w:rsidRPr="00EF56D0">
              <w:rPr>
                <w:highlight w:val="yellow"/>
              </w:rPr>
              <w:t xml:space="preserve"> </w:t>
            </w:r>
            <w:r w:rsidRPr="00EF56D0">
              <w:rPr>
                <w:sz w:val="18"/>
                <w:highlight w:val="yellow"/>
              </w:rPr>
              <w:t>spójne ramy monitorowania i ewaluacji KSOW.</w:t>
            </w:r>
          </w:p>
        </w:tc>
      </w:tr>
    </w:tbl>
    <w:p w:rsidR="001924CD" w:rsidRPr="00EF56D0" w:rsidRDefault="001924CD" w:rsidP="00D322AA">
      <w:pPr>
        <w:pStyle w:val="Heading6"/>
        <w:rPr>
          <w:highlight w:val="yellow"/>
        </w:rPr>
      </w:pPr>
      <w:r w:rsidRPr="00EF56D0">
        <w:rPr>
          <w:highlight w:val="yellow"/>
        </w:rPr>
        <w:t xml:space="preserve">Wspólne i specyficzne dla programu pytania ewaluacyjne dotyczące KSOW </w:t>
      </w:r>
    </w:p>
    <w:p w:rsidR="001924CD" w:rsidRPr="00EF56D0" w:rsidRDefault="001924CD" w:rsidP="00FC0A30">
      <w:pPr>
        <w:pStyle w:val="HStandard"/>
        <w:rPr>
          <w:highlight w:val="yellow"/>
        </w:rPr>
      </w:pPr>
      <w:r w:rsidRPr="00EF56D0">
        <w:rPr>
          <w:highlight w:val="yellow"/>
        </w:rPr>
        <w:t xml:space="preserve">Po ustaleniu potrzeb i tematów w zakresie ewaluacji zamawiający (IZ lub JWS), we współpracy z innymi podmiotami (jednostka ds. ewaluacji KSOW w ministerstwie i ewentualnie grupa sterująca), powinien rozważyć cele i oczekiwane efekty KSOW oraz zastanowić się, w jaki sposób można uzyskać informacje na temat osiągnięć i efektów KSOW. Odbywa się to poprzez zadawanie odpowiednich pytań </w:t>
      </w:r>
      <w:r w:rsidRPr="00EF56D0">
        <w:rPr>
          <w:highlight w:val="yellow"/>
        </w:rPr>
        <w:lastRenderedPageBreak/>
        <w:t>ewaluacyjnych (PE)</w:t>
      </w:r>
      <w:r w:rsidRPr="00EF56D0">
        <w:rPr>
          <w:rFonts w:ascii="ZWAdobeF" w:hAnsi="ZWAdobeF"/>
          <w:color w:val="auto"/>
          <w:sz w:val="2"/>
          <w:highlight w:val="yellow"/>
        </w:rPr>
        <w:t>72F</w:t>
      </w:r>
      <w:r w:rsidRPr="00EF56D0">
        <w:rPr>
          <w:rStyle w:val="FootnoteReference"/>
          <w:highlight w:val="yellow"/>
        </w:rPr>
        <w:footnoteReference w:id="73"/>
      </w:r>
      <w:r w:rsidRPr="00EF56D0">
        <w:rPr>
          <w:highlight w:val="yellow"/>
        </w:rPr>
        <w:t xml:space="preserve">, które są związane ze wspólnymi lub specyficznymi dla programu celami KSOW. Pytania ewaluacyjne określają przedmiot oceny, ukierunkowując tym samym pracę ewaluatora. </w:t>
      </w:r>
    </w:p>
    <w:p w:rsidR="001924CD" w:rsidRPr="00EF56D0" w:rsidRDefault="001924CD" w:rsidP="00FC0A30">
      <w:pPr>
        <w:pStyle w:val="HStandard"/>
        <w:rPr>
          <w:highlight w:val="yellow"/>
        </w:rPr>
      </w:pPr>
      <w:r w:rsidRPr="00EF56D0">
        <w:rPr>
          <w:highlight w:val="yellow"/>
        </w:rPr>
        <w:t>Na poziomie UE istnieje tylko jedno wspólne pytanie ewaluacyjne służące do oceny KSOW i PKSOW</w:t>
      </w:r>
      <w:r w:rsidRPr="00EF56D0">
        <w:rPr>
          <w:rFonts w:ascii="ZWAdobeF" w:hAnsi="ZWAdobeF"/>
          <w:color w:val="auto"/>
          <w:sz w:val="2"/>
          <w:highlight w:val="yellow"/>
        </w:rPr>
        <w:t>73F</w:t>
      </w:r>
      <w:r w:rsidRPr="00EF56D0">
        <w:rPr>
          <w:rStyle w:val="FootnoteReference"/>
          <w:highlight w:val="yellow"/>
        </w:rPr>
        <w:footnoteReference w:id="74"/>
      </w:r>
      <w:r w:rsidRPr="00EF56D0">
        <w:rPr>
          <w:highlight w:val="yellow"/>
        </w:rPr>
        <w:t>:</w:t>
      </w:r>
    </w:p>
    <w:p w:rsidR="001924CD" w:rsidRPr="00EF56D0" w:rsidRDefault="001924CD" w:rsidP="00FC0A30">
      <w:pPr>
        <w:pStyle w:val="HStandard"/>
        <w:rPr>
          <w:highlight w:val="yellow"/>
        </w:rPr>
      </w:pPr>
      <w:r w:rsidRPr="00EF56D0">
        <w:rPr>
          <w:highlight w:val="yellow"/>
        </w:rPr>
        <w:t>„W jakim stopniu KSOW przyczynia się do osiągnięcia celów, o których mowa w art. 59 rozporządzenia (UE) nr 1303/2013 i w art. 51 ust. 2 rozporządzenia (UE) nr 1305/2013?”</w:t>
      </w:r>
    </w:p>
    <w:p w:rsidR="001924CD" w:rsidRPr="00EF56D0" w:rsidRDefault="001924CD" w:rsidP="00FC0A30">
      <w:pPr>
        <w:pStyle w:val="HStandard"/>
        <w:rPr>
          <w:highlight w:val="yellow"/>
        </w:rPr>
      </w:pPr>
      <w:r w:rsidRPr="00EF56D0">
        <w:rPr>
          <w:highlight w:val="yellow"/>
        </w:rPr>
        <w:t xml:space="preserve">Powyższe wspólne pytanie ewaluacyjne łączy się z wszystkimi czterema wspólnymi celami politycznymi dotyczącymi KSOW i stanowi wspólną podstawę pozwalającą dostrzec korzyści płynące z KSOW w całej UE, zarazem umożliwiając porównywanie osiągnięć KSOW w poszczególnych państwach członkowskich UE. Można je podzielić na cztery pytania ewaluacyjne, z których każde będzie dotyczyło tego, w jakim stopniu poszczególne wspólne cele zostały osiągnięte. </w:t>
      </w:r>
    </w:p>
    <w:p w:rsidR="001924CD" w:rsidRPr="00EF56D0" w:rsidRDefault="001924CD" w:rsidP="00FC0A30">
      <w:pPr>
        <w:pStyle w:val="HStandard"/>
        <w:rPr>
          <w:highlight w:val="yellow"/>
        </w:rPr>
      </w:pPr>
      <w:r w:rsidRPr="00EF56D0">
        <w:rPr>
          <w:highlight w:val="yellow"/>
        </w:rPr>
        <w:t xml:space="preserve">Mając na uwadze zakładany wkład KSOW/PKSOW w poprawę jakości wdrażania programów rozwoju obszarów wiejskich, ewaluacja powinna również dotyczyć tego, w jakim stopniu sieci przyczyniły się do osiągnięcia celów PROW, na przykład wspierając transfer wiedzy, innowacje w rolnictwie, leśnictwie i na obszarach wiejskich lub powiązania między rolnictwem, produkcją żywności i leśnictwem a badaniami i innowacjami. </w:t>
      </w:r>
    </w:p>
    <w:p w:rsidR="001924CD" w:rsidRPr="00EF56D0" w:rsidRDefault="001924CD" w:rsidP="00FC0A30">
      <w:pPr>
        <w:pStyle w:val="HStandard"/>
        <w:rPr>
          <w:highlight w:val="yellow"/>
        </w:rPr>
      </w:pPr>
      <w:r w:rsidRPr="00EF56D0">
        <w:rPr>
          <w:highlight w:val="yellow"/>
        </w:rPr>
        <w:t>Poza wspólnym pytaniem ewaluacyjnym, zachęca się IZ oraz JWS/KSOW do opracowania pytań ewaluacyjnych specyficznych dla programu, które odzwierciedlałyby specyfikę poszczególnych KSOW/PKSOW oraz oczekiwane efekty KSOW. Pytania ewaluacyjne specyficzne dla programu powinny być dostosowane do specyficznych dla programu celów KSOW, które są ujęte w logice interwencji KSOW.</w:t>
      </w:r>
    </w:p>
    <w:p w:rsidR="001924CD" w:rsidRPr="00EF56D0" w:rsidRDefault="001924CD" w:rsidP="00FC0A30">
      <w:pPr>
        <w:pStyle w:val="HStandard"/>
        <w:rPr>
          <w:highlight w:val="yellow"/>
        </w:rPr>
      </w:pPr>
      <w:r w:rsidRPr="00EF56D0">
        <w:rPr>
          <w:highlight w:val="yellow"/>
        </w:rPr>
        <w:t>Aby zapewnić spójność z celami KSOW, specyficzne dla programu pytania ewaluacyjne należy formułować z użyciem terminologii zastosowanej w opisie celu. Na przykład:</w:t>
      </w:r>
    </w:p>
    <w:p w:rsidR="001924CD" w:rsidRPr="00EF56D0" w:rsidRDefault="001924CD" w:rsidP="00975D9B">
      <w:pPr>
        <w:pStyle w:val="Hlistbullet2"/>
        <w:rPr>
          <w:highlight w:val="yellow"/>
        </w:rPr>
      </w:pPr>
      <w:r w:rsidRPr="00EF56D0">
        <w:rPr>
          <w:highlight w:val="yellow"/>
        </w:rPr>
        <w:t>Na poziomie produktów specyficzne dla programu pytania ewaluacyjne powinny odzwierciedlać grupy działań i oczekiwane produkty interwencji KSOW ukierunkowane na osiągnięcie celów operacyjnych. Pytanie ewaluacyjne specyficzne dla programu brzmiałoby „ile bezpośrednich produktów (takich jak wymiany tematyczne w powyższym przykładzie) zostało zrealizowanych dzięki działalności KSOW?"</w:t>
      </w:r>
    </w:p>
    <w:p w:rsidR="001924CD" w:rsidRPr="00EF56D0" w:rsidRDefault="001924CD" w:rsidP="00975D9B">
      <w:pPr>
        <w:pStyle w:val="Hlistbullet2"/>
        <w:rPr>
          <w:highlight w:val="yellow"/>
        </w:rPr>
      </w:pPr>
      <w:r w:rsidRPr="00EF56D0">
        <w:rPr>
          <w:highlight w:val="yellow"/>
        </w:rPr>
        <w:t>Na poziomie rezultatów specyficzne dla programu pytania ewaluacyjne powinny odzwierciedlać realizację specyficznych celów KSOW. Powinny one wyrażać wpływ KSOW na oczekiwaną zmianę dotyczącą beneficjentów, na przykład „w jakim stopniu zmiana (wzrost współpracy w powyższym przykładzie) nastąpiła dzięki działalności KSOW?"</w:t>
      </w:r>
    </w:p>
    <w:p w:rsidR="001924CD" w:rsidRPr="00EF56D0" w:rsidRDefault="001924CD" w:rsidP="00975D9B">
      <w:pPr>
        <w:pStyle w:val="Hlistbullet2"/>
        <w:rPr>
          <w:highlight w:val="yellow"/>
        </w:rPr>
      </w:pPr>
      <w:r w:rsidRPr="00EF56D0">
        <w:rPr>
          <w:highlight w:val="yellow"/>
        </w:rPr>
        <w:t>Na poziomie oddziaływania specyficzne dla programu pytania ewaluacyjne powinny odzwierciedlać realizację celów ogólnych oraz zmiany na obszarze objętym programem. Powinny one umożliwiać przypisanie zaobserwowanych zmian interwencjom KSOW. Na przykład: “w jakim stopniu KSOW przyczyniła się do zaobserwowanej zmiany docelowej zmiennej (wspieranie innowacji w powyższym przykładzie) na obszarze objętym programem?"</w:t>
      </w:r>
    </w:p>
    <w:p w:rsidR="001924CD" w:rsidRPr="00EF56D0" w:rsidRDefault="001924CD" w:rsidP="00FC0A30">
      <w:pPr>
        <w:pStyle w:val="HStandard"/>
        <w:rPr>
          <w:highlight w:val="yellow"/>
        </w:rPr>
      </w:pPr>
      <w:r w:rsidRPr="00EF56D0">
        <w:rPr>
          <w:highlight w:val="yellow"/>
        </w:rPr>
        <w:t xml:space="preserve">IZ, JWS lub eksperci ds. ewaluacji powinni sprawdzić spójność pytań ewaluacyjnych ze wspólnymi lub specyficznymi dla programu celami przed przystąpieniem do ewaluacji. Można to zrobić poprzez zrozumienie relacji pomiędzy specyficznymi dla programu pytaniami ewaluacyjnymi a każdym poziomem celów. </w:t>
      </w:r>
    </w:p>
    <w:p w:rsidR="001924CD" w:rsidRPr="00EF56D0" w:rsidRDefault="001924CD" w:rsidP="00FC0A30">
      <w:pPr>
        <w:pStyle w:val="HStandard"/>
        <w:rPr>
          <w:highlight w:val="yellow"/>
        </w:rPr>
      </w:pPr>
      <w:r w:rsidRPr="00EF56D0">
        <w:rPr>
          <w:highlight w:val="yellow"/>
        </w:rPr>
        <w:t xml:space="preserve">Przykład obrazujący spójność specyficznych dla programu celów KSOW i pytań ewaluacyjnych przedstawiono w poniższej tabeli. Punktem wyjścia jest zapotrzebowanie na innowacyjność w obszarach wiejskich, które przełoży się na nowe produkty i rynki. KSOW powinna odpowiadać na to </w:t>
      </w:r>
      <w:r w:rsidRPr="00EF56D0">
        <w:rPr>
          <w:highlight w:val="yellow"/>
        </w:rPr>
        <w:lastRenderedPageBreak/>
        <w:t>zapotrzebowanie, ułatwiając propagowanie innowacji w celu tworzenia nowych produktów i rynków (cel specyficzny dla programu) oraz wspierając transfer wiedzy i innowacji (wspólny cel).</w:t>
      </w:r>
    </w:p>
    <w:p w:rsidR="001924CD" w:rsidRPr="00EF56D0" w:rsidRDefault="001924CD" w:rsidP="001249DA">
      <w:pPr>
        <w:pStyle w:val="HHeadingtables"/>
        <w:rPr>
          <w:color w:val="262626"/>
          <w:sz w:val="20"/>
          <w:highlight w:val="yellow"/>
        </w:rPr>
      </w:pPr>
      <w:r w:rsidRPr="00EF56D0">
        <w:rPr>
          <w:highlight w:val="yellow"/>
        </w:rPr>
        <w:br w:type="page"/>
      </w:r>
      <w:bookmarkStart w:id="125" w:name="_Toc436383148"/>
      <w:bookmarkStart w:id="126" w:name="_Toc451781910"/>
      <w:bookmarkStart w:id="127" w:name="_Toc461807133"/>
      <w:r w:rsidRPr="00EF56D0">
        <w:rPr>
          <w:highlight w:val="yellow"/>
        </w:rPr>
        <w:lastRenderedPageBreak/>
        <w:t>Powiązania pomiędzy celami i pytaniami ewaluacyjnymi (przykład)</w:t>
      </w:r>
      <w:bookmarkEnd w:id="125"/>
      <w:bookmarkEnd w:id="126"/>
      <w:bookmarkEnd w:id="127"/>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857"/>
        <w:gridCol w:w="3467"/>
        <w:gridCol w:w="3692"/>
      </w:tblGrid>
      <w:tr w:rsidR="001924CD" w:rsidRPr="00EF56D0" w:rsidTr="00FC0A30">
        <w:tc>
          <w:tcPr>
            <w:tcW w:w="1914" w:type="dxa"/>
            <w:shd w:val="clear" w:color="auto" w:fill="E7E6E6" w:themeFill="background2"/>
          </w:tcPr>
          <w:p w:rsidR="001924CD" w:rsidRPr="00EF56D0" w:rsidRDefault="001924CD" w:rsidP="00D322AA">
            <w:pPr>
              <w:pStyle w:val="Htableleftbolt"/>
              <w:jc w:val="center"/>
              <w:rPr>
                <w:color w:val="5B9BD5" w:themeColor="accent1"/>
                <w:highlight w:val="yellow"/>
              </w:rPr>
            </w:pPr>
            <w:r w:rsidRPr="00EF56D0">
              <w:rPr>
                <w:color w:val="5B9BD5" w:themeColor="accent1"/>
                <w:highlight w:val="yellow"/>
              </w:rPr>
              <w:t>Poziom celów w hierarchii</w:t>
            </w:r>
          </w:p>
        </w:tc>
        <w:tc>
          <w:tcPr>
            <w:tcW w:w="3685" w:type="dxa"/>
            <w:shd w:val="clear" w:color="auto" w:fill="E7E6E6" w:themeFill="background2"/>
          </w:tcPr>
          <w:p w:rsidR="001924CD" w:rsidRPr="00EF56D0" w:rsidRDefault="001924CD" w:rsidP="00D322AA">
            <w:pPr>
              <w:pStyle w:val="Htableleftbolt"/>
              <w:jc w:val="center"/>
              <w:rPr>
                <w:color w:val="5B9BD5" w:themeColor="accent1"/>
                <w:highlight w:val="yellow"/>
              </w:rPr>
            </w:pPr>
            <w:r w:rsidRPr="00EF56D0">
              <w:rPr>
                <w:color w:val="5B9BD5" w:themeColor="accent1"/>
                <w:highlight w:val="yellow"/>
              </w:rPr>
              <w:t>Określenie celów</w:t>
            </w:r>
          </w:p>
          <w:p w:rsidR="001924CD" w:rsidRPr="00EF56D0" w:rsidRDefault="001924CD" w:rsidP="00D322AA">
            <w:pPr>
              <w:pStyle w:val="Htableleftbolt"/>
              <w:jc w:val="center"/>
              <w:rPr>
                <w:color w:val="5B9BD5" w:themeColor="accent1"/>
                <w:highlight w:val="yellow"/>
              </w:rPr>
            </w:pPr>
            <w:r w:rsidRPr="00EF56D0">
              <w:rPr>
                <w:color w:val="5B9BD5" w:themeColor="accent1"/>
                <w:highlight w:val="yellow"/>
              </w:rPr>
              <w:t>(WC – wspólny cel</w:t>
            </w:r>
          </w:p>
          <w:p w:rsidR="001924CD" w:rsidRPr="00EF56D0" w:rsidRDefault="001924CD" w:rsidP="00D322AA">
            <w:pPr>
              <w:pStyle w:val="Htableleftbolt"/>
              <w:jc w:val="center"/>
              <w:rPr>
                <w:color w:val="5B9BD5" w:themeColor="accent1"/>
                <w:highlight w:val="yellow"/>
              </w:rPr>
            </w:pPr>
            <w:r w:rsidRPr="00EF56D0">
              <w:rPr>
                <w:color w:val="5B9BD5" w:themeColor="accent1"/>
                <w:highlight w:val="yellow"/>
              </w:rPr>
              <w:t>CSP – cel specyficzny dla programu)</w:t>
            </w:r>
          </w:p>
        </w:tc>
        <w:tc>
          <w:tcPr>
            <w:tcW w:w="3963" w:type="dxa"/>
            <w:shd w:val="clear" w:color="auto" w:fill="E7E6E6" w:themeFill="background2"/>
          </w:tcPr>
          <w:p w:rsidR="001924CD" w:rsidRPr="00EF56D0" w:rsidRDefault="001924CD" w:rsidP="00D322AA">
            <w:pPr>
              <w:pStyle w:val="Htableleftbolt"/>
              <w:jc w:val="center"/>
              <w:rPr>
                <w:color w:val="5B9BD5" w:themeColor="accent1"/>
                <w:highlight w:val="yellow"/>
              </w:rPr>
            </w:pPr>
            <w:r w:rsidRPr="00EF56D0">
              <w:rPr>
                <w:color w:val="5B9BD5" w:themeColor="accent1"/>
                <w:highlight w:val="yellow"/>
              </w:rPr>
              <w:t>Pytania ewaluacyjne</w:t>
            </w:r>
          </w:p>
          <w:p w:rsidR="001924CD" w:rsidRPr="00EF56D0" w:rsidRDefault="001924CD" w:rsidP="00514B11">
            <w:pPr>
              <w:pStyle w:val="Htableleftbolt"/>
              <w:rPr>
                <w:color w:val="5B9BD5" w:themeColor="accent1"/>
                <w:highlight w:val="yellow"/>
              </w:rPr>
            </w:pPr>
            <w:r w:rsidRPr="00EF56D0">
              <w:rPr>
                <w:color w:val="5B9BD5" w:themeColor="accent1"/>
                <w:highlight w:val="yellow"/>
              </w:rPr>
              <w:t>(WPE – wspólne pytania ewaluacyjne</w:t>
            </w:r>
          </w:p>
          <w:p w:rsidR="001924CD" w:rsidRPr="00EF56D0" w:rsidRDefault="001924CD" w:rsidP="00514B11">
            <w:pPr>
              <w:pStyle w:val="Htableleftbolt"/>
              <w:jc w:val="center"/>
              <w:rPr>
                <w:color w:val="5B9BD5" w:themeColor="accent1"/>
                <w:highlight w:val="yellow"/>
              </w:rPr>
            </w:pPr>
            <w:r w:rsidRPr="00EF56D0">
              <w:rPr>
                <w:color w:val="5B9BD5" w:themeColor="accent1"/>
                <w:highlight w:val="yellow"/>
              </w:rPr>
              <w:t>PESP – pytania ewaluacyjne specyficzne dla programu)</w:t>
            </w:r>
          </w:p>
        </w:tc>
      </w:tr>
      <w:tr w:rsidR="001924CD" w:rsidRPr="00EF56D0" w:rsidTr="00FC0A30">
        <w:tc>
          <w:tcPr>
            <w:tcW w:w="1914"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Produkt – cele operacyjne</w:t>
            </w:r>
          </w:p>
        </w:tc>
        <w:tc>
          <w:tcPr>
            <w:tcW w:w="3685"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Ułatwianie tematycznych i analitycznych wymian między zainteresowanymi stronami zaangażowanymi w rozwój obszarów wiejskich</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Zapewnienie działań w zakresie tworzenia sieci kontaktów dla doradców i służb wsparcia innowacji</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Zapewnienie działań w zakresie szkoleń i tworzenia sieci kontaktów dla LGD</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Zebranie przykładów projektów</w:t>
            </w:r>
          </w:p>
        </w:tc>
        <w:tc>
          <w:tcPr>
            <w:tcW w:w="3963"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PESP: Ile tematycznych wymian, dostępnych publicznie baz danych innowacyjnych projektów i szkoleń z zakresu innowacyjności zostało zrealizowanych dzięki działalności KSOW?</w:t>
            </w:r>
          </w:p>
        </w:tc>
      </w:tr>
      <w:tr w:rsidR="001924CD" w:rsidRPr="00EF56D0" w:rsidTr="00FC0A30">
        <w:tc>
          <w:tcPr>
            <w:tcW w:w="1914"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Rezultat – cele szczegółowe</w:t>
            </w:r>
          </w:p>
        </w:tc>
        <w:tc>
          <w:tcPr>
            <w:tcW w:w="3685"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(CSP) Wzmocnienie współpracy, wymian i tworzenia sieci kontaktów między partnerami innowacyjnych projektów na terenach wiejskich dzięki KSOW</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(CSP) Wzrost powstawania innowacyjnych produktów i rynków, procesów i form organizacji</w:t>
            </w:r>
          </w:p>
        </w:tc>
        <w:tc>
          <w:tcPr>
            <w:tcW w:w="3963"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PESP: W jakim stopniu działalność KSOW przyczyniła się do wzrostu współpracy, wymian i tworzenia sieci kontaktów między partnerami innowacyjnych projektów?</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PESP: W jakim stopniu tworzenie i transfer innowacyjnych produktów i rynków, procesów i form organizacji można przypisać działalności KSOW?</w:t>
            </w:r>
          </w:p>
        </w:tc>
      </w:tr>
      <w:tr w:rsidR="001924CD" w:rsidRPr="00EF56D0" w:rsidTr="00FC0A30">
        <w:tc>
          <w:tcPr>
            <w:tcW w:w="1914"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Oddziaływanie – cele ogólne</w:t>
            </w:r>
          </w:p>
        </w:tc>
        <w:tc>
          <w:tcPr>
            <w:tcW w:w="3685"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(WC) Wspieranie innowacji w rolnictwie, produkcji żywności, leśnictwie i na obszarach wiejskich</w:t>
            </w:r>
          </w:p>
        </w:tc>
        <w:tc>
          <w:tcPr>
            <w:tcW w:w="3963"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WPE: W jakim stopniu KSOW przyczyniła się do (celu polityki UE) wspierania innowacji w rolnictwie, produkcji żywności, leśnictwie i na obszarach wiejskich?</w:t>
            </w:r>
          </w:p>
        </w:tc>
      </w:tr>
    </w:tbl>
    <w:p w:rsidR="001924CD" w:rsidRPr="00EF56D0" w:rsidRDefault="001924CD" w:rsidP="00D7626C">
      <w:pPr>
        <w:pStyle w:val="HSource"/>
        <w:jc w:val="left"/>
        <w:rPr>
          <w:highlight w:val="yellow"/>
        </w:rPr>
      </w:pPr>
      <w:r w:rsidRPr="00EF56D0">
        <w:rPr>
          <w:highlight w:val="yellow"/>
        </w:rPr>
        <w:t>Źródło: Europejskie Biuro Pomocy ds. Ewaluacji Rozwoju Obszarów Wiejskich, 2015 r.</w:t>
      </w:r>
    </w:p>
    <w:p w:rsidR="001924CD" w:rsidRPr="00EF56D0" w:rsidRDefault="001924CD" w:rsidP="00FC0A30">
      <w:pPr>
        <w:pStyle w:val="HStandard"/>
        <w:rPr>
          <w:highlight w:val="yellow"/>
        </w:rPr>
      </w:pPr>
      <w:r w:rsidRPr="00EF56D0">
        <w:rPr>
          <w:highlight w:val="yellow"/>
        </w:rPr>
        <w:t>Pytania ewaluacyjne stosowane przy ocenie KSOW/PKSOW w poprzednim okresie programowania, doświadczenia zebrane podczas warsztatów dobrych praktyk KSOW</w:t>
      </w:r>
      <w:r w:rsidRPr="00EF56D0">
        <w:rPr>
          <w:rFonts w:ascii="ZWAdobeF" w:hAnsi="ZWAdobeF"/>
          <w:color w:val="auto"/>
          <w:sz w:val="2"/>
          <w:highlight w:val="yellow"/>
        </w:rPr>
        <w:t>74F</w:t>
      </w:r>
      <w:r w:rsidRPr="00EF56D0">
        <w:rPr>
          <w:rStyle w:val="FootnoteReference"/>
          <w:highlight w:val="yellow"/>
        </w:rPr>
        <w:footnoteReference w:id="75"/>
      </w:r>
      <w:r w:rsidRPr="00EF56D0">
        <w:rPr>
          <w:highlight w:val="yellow"/>
        </w:rPr>
        <w:t xml:space="preserve"> organizowanych przez Europejskie Biuro Pomocy ds. Ewaluacji, a także wytyczne dotyczące ewaluacji oceny PKSOW 2007-2013</w:t>
      </w:r>
      <w:r w:rsidRPr="00EF56D0">
        <w:rPr>
          <w:rFonts w:ascii="ZWAdobeF" w:hAnsi="ZWAdobeF"/>
          <w:color w:val="auto"/>
          <w:sz w:val="2"/>
          <w:highlight w:val="yellow"/>
        </w:rPr>
        <w:t>75F</w:t>
      </w:r>
      <w:r w:rsidRPr="00EF56D0">
        <w:rPr>
          <w:rStyle w:val="FootnoteReference"/>
          <w:highlight w:val="yellow"/>
        </w:rPr>
        <w:footnoteReference w:id="76"/>
      </w:r>
      <w:r w:rsidRPr="00EF56D0">
        <w:rPr>
          <w:highlight w:val="yellow"/>
        </w:rPr>
        <w:t xml:space="preserve"> mogą służyć jako źródło inspiracji</w:t>
      </w:r>
      <w:r w:rsidRPr="00EF56D0">
        <w:rPr>
          <w:rFonts w:ascii="ZWAdobeF" w:hAnsi="ZWAdobeF"/>
          <w:color w:val="auto"/>
          <w:sz w:val="2"/>
          <w:highlight w:val="yellow"/>
        </w:rPr>
        <w:t>76F</w:t>
      </w:r>
      <w:r w:rsidRPr="00EF56D0">
        <w:rPr>
          <w:rStyle w:val="FootnoteReference"/>
          <w:highlight w:val="yellow"/>
        </w:rPr>
        <w:footnoteReference w:id="77"/>
      </w:r>
      <w:r w:rsidRPr="00EF56D0">
        <w:rPr>
          <w:highlight w:val="yellow"/>
        </w:rPr>
        <w:t xml:space="preserve"> przy opracowywaniu specyficznych dla programu pytań ewaluacyjnych KSOW. </w:t>
      </w:r>
    </w:p>
    <w:p w:rsidR="001924CD" w:rsidRPr="00EF56D0" w:rsidRDefault="001924CD" w:rsidP="00D322AA">
      <w:pPr>
        <w:pStyle w:val="Heading6"/>
        <w:rPr>
          <w:highlight w:val="yellow"/>
        </w:rPr>
      </w:pPr>
      <w:r w:rsidRPr="00EF56D0">
        <w:rPr>
          <w:highlight w:val="yellow"/>
        </w:rPr>
        <w:t>Kryteria oceny</w:t>
      </w:r>
    </w:p>
    <w:p w:rsidR="001924CD" w:rsidRPr="00EF56D0" w:rsidRDefault="001924CD" w:rsidP="00FC0A30">
      <w:pPr>
        <w:pStyle w:val="HStandard"/>
        <w:rPr>
          <w:highlight w:val="yellow"/>
        </w:rPr>
      </w:pPr>
      <w:r w:rsidRPr="00EF56D0">
        <w:rPr>
          <w:highlight w:val="yellow"/>
        </w:rPr>
        <w:t>Kryteria oceny określają sukces interwencji i uszczegóławiają pytania ewaluacyjne. Ułatwiają one opracowywanie wskaźników KSOW i odpowiadanie na pytania ewaluacyjne w uporządkowany sposób</w:t>
      </w:r>
      <w:r w:rsidRPr="00EF56D0">
        <w:rPr>
          <w:rFonts w:ascii="ZWAdobeF" w:hAnsi="ZWAdobeF"/>
          <w:color w:val="auto"/>
          <w:sz w:val="2"/>
          <w:highlight w:val="yellow"/>
        </w:rPr>
        <w:t>77F</w:t>
      </w:r>
      <w:r w:rsidRPr="00EF56D0">
        <w:rPr>
          <w:rStyle w:val="FootnoteReference"/>
          <w:highlight w:val="yellow"/>
        </w:rPr>
        <w:footnoteReference w:id="78"/>
      </w:r>
      <w:r w:rsidRPr="00EF56D0">
        <w:rPr>
          <w:highlight w:val="yellow"/>
        </w:rPr>
        <w:t xml:space="preserve">. Kryteria oceny opracowuje się zazwyczaj wraz z pytaniami ewaluacyjnymi. Ich spójność ze wskaźnikami jest podstawowym warunkiem wstępnym formułowania opartych na dowodach odpowiedzi na pytania ewaluacyjne. Poniższy rysunek ilustruje spójność pytań ewaluacyjnych, kryteriów oceny i wskaźników. </w:t>
      </w:r>
    </w:p>
    <w:p w:rsidR="001924CD" w:rsidRPr="00EF56D0" w:rsidRDefault="001924CD">
      <w:pPr>
        <w:spacing w:after="0" w:line="240" w:lineRule="auto"/>
        <w:rPr>
          <w:rFonts w:cs="Arial"/>
          <w:color w:val="576C88" w:themeColor="text2" w:themeTint="D9"/>
          <w:sz w:val="20"/>
          <w:szCs w:val="20"/>
          <w:highlight w:val="yellow"/>
        </w:rPr>
      </w:pPr>
      <w:r w:rsidRPr="00EF56D0">
        <w:rPr>
          <w:highlight w:val="yellow"/>
        </w:rPr>
        <w:br w:type="page"/>
      </w:r>
    </w:p>
    <w:p w:rsidR="001924CD" w:rsidRPr="00EF56D0" w:rsidRDefault="001924CD" w:rsidP="00922CBE">
      <w:pPr>
        <w:pStyle w:val="HHeadingfigures"/>
        <w:rPr>
          <w:highlight w:val="yellow"/>
        </w:rPr>
      </w:pPr>
      <w:bookmarkStart w:id="128" w:name="_Toc445465129"/>
      <w:bookmarkStart w:id="129" w:name="_Toc451781932"/>
      <w:bookmarkStart w:id="130" w:name="_Toc461807150"/>
      <w:r w:rsidRPr="00EF56D0">
        <w:rPr>
          <w:highlight w:val="yellow"/>
        </w:rPr>
        <w:lastRenderedPageBreak/>
        <w:t>Spójność pytań ewaluacyjnych, kryteriów oceny i wskaźników</w:t>
      </w:r>
      <w:bookmarkEnd w:id="128"/>
      <w:bookmarkEnd w:id="129"/>
      <w:bookmarkEnd w:id="130"/>
      <w:r w:rsidRPr="00EF56D0">
        <w:rPr>
          <w:highlight w:val="yellow"/>
        </w:rPr>
        <w:t xml:space="preserve"> </w:t>
      </w:r>
    </w:p>
    <w:p w:rsidR="001924CD" w:rsidRPr="00EF56D0" w:rsidRDefault="001924CD" w:rsidP="00FC0A30">
      <w:pPr>
        <w:jc w:val="center"/>
        <w:rPr>
          <w:highlight w:val="yellow"/>
        </w:rPr>
      </w:pPr>
      <w:r w:rsidRPr="00EF56D0">
        <w:rPr>
          <w:noProof/>
          <w:highlight w:val="yellow"/>
          <w:lang w:eastAsia="en-GB"/>
        </w:rPr>
        <w:drawing>
          <wp:inline distT="0" distB="0" distL="0" distR="0" wp14:anchorId="2511BCAD" wp14:editId="3480014E">
            <wp:extent cx="4335913" cy="1148316"/>
            <wp:effectExtent l="0" t="0" r="762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35862" cy="1174786"/>
                    </a:xfrm>
                    <a:prstGeom prst="rect">
                      <a:avLst/>
                    </a:prstGeom>
                    <a:noFill/>
                    <a:ln>
                      <a:noFill/>
                    </a:ln>
                  </pic:spPr>
                </pic:pic>
              </a:graphicData>
            </a:graphic>
          </wp:inline>
        </w:drawing>
      </w:r>
      <w:r w:rsidRPr="00EF56D0">
        <w:rPr>
          <w:highlight w:val="yellow"/>
        </w:rPr>
        <w:t xml:space="preserve"> </w:t>
      </w:r>
    </w:p>
    <w:p w:rsidR="001924CD" w:rsidRPr="00EF56D0" w:rsidRDefault="001924CD" w:rsidP="00FC0A30">
      <w:pPr>
        <w:pStyle w:val="HSource"/>
        <w:rPr>
          <w:highlight w:val="yellow"/>
        </w:rPr>
      </w:pPr>
      <w:r w:rsidRPr="00EF56D0">
        <w:rPr>
          <w:highlight w:val="yellow"/>
        </w:rPr>
        <w:t>Źródło: Europejskie Biuro Pomocy ds. Ewaluacji Rozwoju Obszarów Wiejskich, 2016 r.</w:t>
      </w:r>
    </w:p>
    <w:p w:rsidR="001924CD" w:rsidRPr="00EF56D0" w:rsidRDefault="001924CD" w:rsidP="00D322AA">
      <w:pPr>
        <w:pStyle w:val="Heading6"/>
        <w:rPr>
          <w:highlight w:val="yellow"/>
        </w:rPr>
      </w:pPr>
      <w:r w:rsidRPr="00EF56D0">
        <w:rPr>
          <w:highlight w:val="yellow"/>
        </w:rPr>
        <w:t>Wspólne i specyficzne dla programu wskaźniki dotyczące KSOW</w:t>
      </w:r>
    </w:p>
    <w:p w:rsidR="001924CD" w:rsidRPr="00EF56D0" w:rsidRDefault="001924CD" w:rsidP="00FC0A30">
      <w:pPr>
        <w:pStyle w:val="HStandard"/>
        <w:rPr>
          <w:highlight w:val="yellow"/>
        </w:rPr>
      </w:pPr>
      <w:r w:rsidRPr="00EF56D0">
        <w:rPr>
          <w:highlight w:val="yellow"/>
        </w:rPr>
        <w:t>Obecnie wyróżnia się tylko trzy wspólne wskaźniki produktu</w:t>
      </w:r>
      <w:r w:rsidRPr="00EF56D0">
        <w:rPr>
          <w:rFonts w:ascii="ZWAdobeF" w:hAnsi="ZWAdobeF"/>
          <w:color w:val="auto"/>
          <w:sz w:val="2"/>
          <w:highlight w:val="yellow"/>
        </w:rPr>
        <w:t>78F</w:t>
      </w:r>
      <w:r w:rsidRPr="00EF56D0">
        <w:rPr>
          <w:rStyle w:val="FootnoteReference"/>
          <w:highlight w:val="yellow"/>
        </w:rPr>
        <w:footnoteReference w:id="79"/>
      </w:r>
      <w:r w:rsidRPr="00EF56D0">
        <w:rPr>
          <w:highlight w:val="yellow"/>
        </w:rPr>
        <w:t xml:space="preserve">, które są definiowane przez grupy działań KSOW, a mianowicie: </w:t>
      </w:r>
    </w:p>
    <w:p w:rsidR="001924CD" w:rsidRPr="00EF56D0" w:rsidRDefault="001924CD" w:rsidP="00D322AA">
      <w:pPr>
        <w:pStyle w:val="Hlistbullet"/>
        <w:rPr>
          <w:highlight w:val="yellow"/>
        </w:rPr>
      </w:pPr>
      <w:r w:rsidRPr="00EF56D0">
        <w:rPr>
          <w:highlight w:val="yellow"/>
        </w:rPr>
        <w:t>Liczba tematycznych i analitycznych wymian zorganizowanych przy wsparciu KSOW;</w:t>
      </w:r>
    </w:p>
    <w:p w:rsidR="001924CD" w:rsidRPr="00EF56D0" w:rsidRDefault="001924CD" w:rsidP="00D322AA">
      <w:pPr>
        <w:pStyle w:val="Hlistbullet"/>
        <w:rPr>
          <w:highlight w:val="yellow"/>
        </w:rPr>
      </w:pPr>
      <w:r w:rsidRPr="00EF56D0">
        <w:rPr>
          <w:highlight w:val="yellow"/>
        </w:rPr>
        <w:t xml:space="preserve">Liczba narzędzi komunikacyjnych KSOW; </w:t>
      </w:r>
    </w:p>
    <w:p w:rsidR="001924CD" w:rsidRPr="00EF56D0" w:rsidRDefault="001924CD" w:rsidP="00D322AA">
      <w:pPr>
        <w:pStyle w:val="Hlistbullet"/>
        <w:rPr>
          <w:highlight w:val="yellow"/>
        </w:rPr>
      </w:pPr>
      <w:r w:rsidRPr="00EF56D0">
        <w:rPr>
          <w:highlight w:val="yellow"/>
        </w:rPr>
        <w:t>Liczba działań w ramach Europejskiej Sieci na rzecz Rozwoju Obszarów Wiejskich, w których uczestniczyła sieć KSOW.</w:t>
      </w:r>
    </w:p>
    <w:p w:rsidR="001924CD" w:rsidRPr="00EF56D0" w:rsidRDefault="001924CD" w:rsidP="00FC0A30">
      <w:pPr>
        <w:pStyle w:val="HStandard"/>
        <w:rPr>
          <w:highlight w:val="yellow"/>
        </w:rPr>
      </w:pPr>
      <w:r w:rsidRPr="00EF56D0">
        <w:rPr>
          <w:highlight w:val="yellow"/>
        </w:rPr>
        <w:t xml:space="preserve">Wspólne wskaźniki nie wystarczają do pomiaru wszystkich oczekiwanych rezultatów i oddziaływania KSOW oraz nie są w stanie dostarczyć dowodów wystarczających do udzielenia odpowiedzi na wspólne i specyficzne dla programu pytania ewaluacyjne. Z tego względu zachęca się władze KSOW/PKSOW do określenia dodatkowych wskaźników rezultatu i oddziaływania, aby odpowiedzieć na wspólne pytanie ewaluacyjne (nr 21), a także specyficzne dla programu wskaźniki rezultatu i oddziaływania KSOW, aby odpowiedzieć na specyficzne dla programu pytania ewaluacyjne. Wskaźniki powinny być formułowane w fazie programowania lub na etapie przygotowywania ewaluacji przez władze programu (IZ, JWS lub oba te podmioty). Oczekiwane rezultaty i oddziaływanie KSOW, które zostały omówione we wcześniejszych częściach niniejszego rozdziału, stanowią podstawę do zdefiniowania specyficznych dla programu wskaźników KSOW. </w:t>
      </w:r>
    </w:p>
    <w:p w:rsidR="001924CD" w:rsidRPr="00EF56D0" w:rsidRDefault="001924CD" w:rsidP="00FC0A30">
      <w:pPr>
        <w:pStyle w:val="HStandard"/>
        <w:rPr>
          <w:highlight w:val="yellow"/>
        </w:rPr>
      </w:pPr>
      <w:r w:rsidRPr="00EF56D0">
        <w:rPr>
          <w:highlight w:val="yellow"/>
        </w:rPr>
        <w:t>Dokument roboczy pt. „Wspólne pytania ewaluacyjne PROW na lata 2014-2020” (ang. Common evaluation questions for 2014-2020 RDPs) dostarcza przykładów dodatkowych informacji, jakie należy uzyskać w odpowiedzi na wspólne pytanie ewaluacyjne, tj.:</w:t>
      </w:r>
    </w:p>
    <w:p w:rsidR="001924CD" w:rsidRPr="00EF56D0" w:rsidRDefault="001924CD" w:rsidP="00975D9B">
      <w:pPr>
        <w:pStyle w:val="Hlistbullet2"/>
        <w:rPr>
          <w:highlight w:val="yellow"/>
        </w:rPr>
      </w:pPr>
      <w:r w:rsidRPr="00EF56D0">
        <w:rPr>
          <w:highlight w:val="yellow"/>
        </w:rPr>
        <w:t>Liczba zainteresowanych podmiotów (wg rodzaju) uczestniczących w realizacji PROW na skutek działalności KSOW (w tym za pośrednictwem LGD)</w:t>
      </w:r>
    </w:p>
    <w:p w:rsidR="001924CD" w:rsidRPr="00EF56D0" w:rsidRDefault="001924CD" w:rsidP="00975D9B">
      <w:pPr>
        <w:pStyle w:val="Hlistbullet2"/>
        <w:rPr>
          <w:highlight w:val="yellow"/>
        </w:rPr>
      </w:pPr>
      <w:r w:rsidRPr="00EF56D0">
        <w:rPr>
          <w:highlight w:val="yellow"/>
        </w:rPr>
        <w:t>Liczba zmian PROW w oparciu o wnioski z ewaluacji i zalecenia tematycznych grup roboczych organizowanych przez KSOW</w:t>
      </w:r>
    </w:p>
    <w:p w:rsidR="001924CD" w:rsidRPr="00EF56D0" w:rsidRDefault="001924CD" w:rsidP="00975D9B">
      <w:pPr>
        <w:pStyle w:val="Hlistbullet2"/>
        <w:rPr>
          <w:highlight w:val="yellow"/>
        </w:rPr>
      </w:pPr>
      <w:r w:rsidRPr="00EF56D0">
        <w:rPr>
          <w:highlight w:val="yellow"/>
        </w:rPr>
        <w:t>% projektów PROW zrealizowanych dzięki działalności KSOW</w:t>
      </w:r>
    </w:p>
    <w:p w:rsidR="001924CD" w:rsidRPr="00EF56D0" w:rsidRDefault="001924CD" w:rsidP="00975D9B">
      <w:pPr>
        <w:pStyle w:val="Hlistbullet2"/>
        <w:rPr>
          <w:highlight w:val="yellow"/>
        </w:rPr>
      </w:pPr>
      <w:r w:rsidRPr="00EF56D0">
        <w:rPr>
          <w:highlight w:val="yellow"/>
        </w:rPr>
        <w:t>Liczba osób, które zostały poinformowane o polityce rozwoju obszarów wiejskich i możliwościach finansowania poprzez narzędzia komunikacyjne KSOW</w:t>
      </w:r>
    </w:p>
    <w:p w:rsidR="001924CD" w:rsidRPr="00EF56D0" w:rsidRDefault="001924CD" w:rsidP="00975D9B">
      <w:pPr>
        <w:pStyle w:val="Hlistbullet2"/>
        <w:rPr>
          <w:highlight w:val="yellow"/>
        </w:rPr>
      </w:pPr>
      <w:r w:rsidRPr="00EF56D0">
        <w:rPr>
          <w:highlight w:val="yellow"/>
        </w:rPr>
        <w:t>% innowacyjnych projektów zrealizowanych dzięki KSOW w stosunku do ogólnej liczby innowacyjnych projektów wspieranych w ramach PROW</w:t>
      </w:r>
    </w:p>
    <w:p w:rsidR="001924CD" w:rsidRPr="00EF56D0" w:rsidRDefault="001924CD" w:rsidP="00FC0A30">
      <w:pPr>
        <w:pStyle w:val="HStandard"/>
        <w:rPr>
          <w:highlight w:val="yellow"/>
        </w:rPr>
      </w:pPr>
      <w:r w:rsidRPr="00EF56D0">
        <w:rPr>
          <w:highlight w:val="yellow"/>
        </w:rPr>
        <w:t xml:space="preserve">Lista ta może służyć za podstawę do określenia dodatkowych wskaźników. Nie jest ona wyczerpująca i można ją rozszerzyć o dodatkowe wskaźniki. Ponadto, w zależności od KSOW, określona logika interwencji i specyficzne dla programu pytania ewaluacyjne mogą wymagać opracowania wskaźników specyficznych dla programu, które zostaną użyte przy udzielaniu odpowiedzi na te pytania. </w:t>
      </w:r>
    </w:p>
    <w:p w:rsidR="001924CD" w:rsidRPr="00EF56D0" w:rsidRDefault="001924CD" w:rsidP="00FC0A30">
      <w:pPr>
        <w:pStyle w:val="HStandard"/>
        <w:rPr>
          <w:highlight w:val="yellow"/>
        </w:rPr>
      </w:pPr>
      <w:r w:rsidRPr="00EF56D0">
        <w:rPr>
          <w:highlight w:val="yellow"/>
        </w:rPr>
        <w:lastRenderedPageBreak/>
        <w:t xml:space="preserve">Praktyczne podejście do opracowywania specyficznych dla programu wskaźników KSOW polega na użyciu tabeli z wykazem celów i pytań ewaluacyjnych na każdym poziomie hierarchii (produktu, rezultatu, oddziaływania). Obrazuje to </w:t>
      </w:r>
      <w:r w:rsidRPr="00EF56D0">
        <w:rPr>
          <w:highlight w:val="yellow"/>
        </w:rPr>
        <w:fldChar w:fldCharType="begin" w:fldLock="1"/>
      </w:r>
      <w:r w:rsidRPr="00EF56D0">
        <w:rPr>
          <w:highlight w:val="yellow"/>
        </w:rPr>
        <w:instrText xml:space="preserve"> REF _Ref451784970 \r \h  \* MERGEFORMAT </w:instrText>
      </w:r>
      <w:r w:rsidRPr="00EF56D0">
        <w:rPr>
          <w:highlight w:val="yellow"/>
        </w:rPr>
      </w:r>
      <w:r w:rsidRPr="00EF56D0">
        <w:rPr>
          <w:highlight w:val="yellow"/>
        </w:rPr>
        <w:fldChar w:fldCharType="separate"/>
      </w:r>
      <w:r w:rsidRPr="00EF56D0">
        <w:rPr>
          <w:highlight w:val="yellow"/>
        </w:rPr>
        <w:t>Table 7</w:t>
      </w:r>
      <w:r w:rsidRPr="00EF56D0">
        <w:rPr>
          <w:highlight w:val="yellow"/>
        </w:rPr>
        <w:fldChar w:fldCharType="end"/>
      </w:r>
      <w:r w:rsidRPr="00EF56D0">
        <w:rPr>
          <w:highlight w:val="yellow"/>
        </w:rPr>
        <w:t xml:space="preserve"> w oparciu o powyższy przykład dotyczący innowacji.</w:t>
      </w:r>
    </w:p>
    <w:p w:rsidR="001924CD" w:rsidRPr="00EF56D0" w:rsidRDefault="001924CD">
      <w:pPr>
        <w:spacing w:after="0" w:line="240" w:lineRule="auto"/>
        <w:rPr>
          <w:rFonts w:cs="Arial"/>
          <w:color w:val="576C88" w:themeColor="text2" w:themeTint="D9"/>
          <w:sz w:val="20"/>
          <w:szCs w:val="20"/>
          <w:highlight w:val="yellow"/>
        </w:rPr>
      </w:pPr>
      <w:r w:rsidRPr="00EF56D0">
        <w:rPr>
          <w:highlight w:val="yellow"/>
        </w:rPr>
        <w:br w:type="page"/>
      </w:r>
    </w:p>
    <w:p w:rsidR="001924CD" w:rsidRPr="00EF56D0" w:rsidRDefault="001924CD" w:rsidP="001249DA">
      <w:pPr>
        <w:pStyle w:val="HHeadingtables"/>
        <w:rPr>
          <w:sz w:val="20"/>
          <w:highlight w:val="yellow"/>
        </w:rPr>
      </w:pPr>
      <w:bookmarkStart w:id="131" w:name="_Toc451781911"/>
      <w:bookmarkStart w:id="132" w:name="_Ref451784970"/>
      <w:bookmarkStart w:id="133" w:name="_Toc461807134"/>
      <w:bookmarkStart w:id="134" w:name="_Ref435792426"/>
      <w:bookmarkStart w:id="135" w:name="_Toc436383149"/>
      <w:r w:rsidRPr="00EF56D0">
        <w:rPr>
          <w:highlight w:val="yellow"/>
        </w:rPr>
        <w:lastRenderedPageBreak/>
        <w:t>Przykład łączenia celów związanych z KSOW, pytań ewaluacyjnych i wskaźników</w:t>
      </w:r>
      <w:bookmarkEnd w:id="131"/>
      <w:bookmarkEnd w:id="132"/>
      <w:bookmarkEnd w:id="133"/>
      <w:r w:rsidRPr="00EF56D0">
        <w:rPr>
          <w:highlight w:val="yellow"/>
        </w:rPr>
        <w:t xml:space="preserve"> </w:t>
      </w:r>
      <w:bookmarkEnd w:id="134"/>
      <w:bookmarkEnd w:id="135"/>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ook w:val="04A0" w:firstRow="1" w:lastRow="0" w:firstColumn="1" w:lastColumn="0" w:noHBand="0" w:noVBand="1"/>
      </w:tblPr>
      <w:tblGrid>
        <w:gridCol w:w="1673"/>
        <w:gridCol w:w="2448"/>
        <w:gridCol w:w="2327"/>
        <w:gridCol w:w="2568"/>
      </w:tblGrid>
      <w:tr w:rsidR="001924CD" w:rsidRPr="00EF56D0" w:rsidTr="00FC0A30">
        <w:tc>
          <w:tcPr>
            <w:tcW w:w="1711" w:type="dxa"/>
            <w:shd w:val="clear" w:color="auto" w:fill="E7E6E6" w:themeFill="background2"/>
          </w:tcPr>
          <w:p w:rsidR="001924CD" w:rsidRPr="00EF56D0" w:rsidRDefault="001924CD" w:rsidP="00D322AA">
            <w:pPr>
              <w:pStyle w:val="Htableleftbolt"/>
              <w:rPr>
                <w:color w:val="5B9BD5" w:themeColor="accent1"/>
                <w:highlight w:val="yellow"/>
              </w:rPr>
            </w:pPr>
            <w:r w:rsidRPr="00EF56D0">
              <w:rPr>
                <w:color w:val="5B9BD5" w:themeColor="accent1"/>
                <w:highlight w:val="yellow"/>
              </w:rPr>
              <w:t>Poziom celów w hierarchii logiki interwencji KSOW</w:t>
            </w:r>
          </w:p>
        </w:tc>
        <w:tc>
          <w:tcPr>
            <w:tcW w:w="2562" w:type="dxa"/>
            <w:shd w:val="clear" w:color="auto" w:fill="E7E6E6" w:themeFill="background2"/>
          </w:tcPr>
          <w:p w:rsidR="001924CD" w:rsidRPr="00EF56D0" w:rsidRDefault="001924CD" w:rsidP="00D322AA">
            <w:pPr>
              <w:pStyle w:val="Htableleftbolt"/>
              <w:rPr>
                <w:color w:val="5B9BD5" w:themeColor="accent1"/>
                <w:highlight w:val="yellow"/>
              </w:rPr>
            </w:pPr>
            <w:r w:rsidRPr="00EF56D0">
              <w:rPr>
                <w:color w:val="5B9BD5" w:themeColor="accent1"/>
                <w:highlight w:val="yellow"/>
              </w:rPr>
              <w:t>Cele KSOW</w:t>
            </w:r>
          </w:p>
          <w:p w:rsidR="001924CD" w:rsidRPr="00EF56D0" w:rsidRDefault="001924CD" w:rsidP="00D322AA">
            <w:pPr>
              <w:pStyle w:val="Htableleftbolt"/>
              <w:rPr>
                <w:b w:val="0"/>
                <w:color w:val="5B9BD5" w:themeColor="accent1"/>
                <w:highlight w:val="yellow"/>
              </w:rPr>
            </w:pPr>
            <w:r w:rsidRPr="00EF56D0">
              <w:rPr>
                <w:b w:val="0"/>
                <w:color w:val="5B9BD5" w:themeColor="accent1"/>
                <w:highlight w:val="yellow"/>
              </w:rPr>
              <w:t>(WC – wspólne cele</w:t>
            </w:r>
          </w:p>
          <w:p w:rsidR="001924CD" w:rsidRPr="00EF56D0" w:rsidRDefault="001924CD" w:rsidP="007E5B15">
            <w:pPr>
              <w:pStyle w:val="Htableleftbolt"/>
              <w:rPr>
                <w:color w:val="5B9BD5" w:themeColor="accent1"/>
                <w:highlight w:val="yellow"/>
              </w:rPr>
            </w:pPr>
            <w:r w:rsidRPr="00EF56D0">
              <w:rPr>
                <w:b w:val="0"/>
                <w:color w:val="5B9BD5" w:themeColor="accent1"/>
                <w:highlight w:val="yellow"/>
              </w:rPr>
              <w:t>CSP – cele specyficzne dla programu)</w:t>
            </w:r>
          </w:p>
        </w:tc>
        <w:tc>
          <w:tcPr>
            <w:tcW w:w="2454" w:type="dxa"/>
            <w:shd w:val="clear" w:color="auto" w:fill="E7E6E6" w:themeFill="background2"/>
          </w:tcPr>
          <w:p w:rsidR="001924CD" w:rsidRPr="00EF56D0" w:rsidRDefault="001924CD" w:rsidP="00D322AA">
            <w:pPr>
              <w:pStyle w:val="Htableleftbolt"/>
              <w:rPr>
                <w:color w:val="5B9BD5" w:themeColor="accent1"/>
                <w:highlight w:val="yellow"/>
              </w:rPr>
            </w:pPr>
            <w:r w:rsidRPr="00EF56D0">
              <w:rPr>
                <w:color w:val="5B9BD5" w:themeColor="accent1"/>
                <w:highlight w:val="yellow"/>
              </w:rPr>
              <w:t>Pytania ewaluacyjne KSOW</w:t>
            </w:r>
          </w:p>
          <w:p w:rsidR="001924CD" w:rsidRPr="00EF56D0" w:rsidRDefault="001924CD" w:rsidP="00D322AA">
            <w:pPr>
              <w:pStyle w:val="Htableleftbolt"/>
              <w:rPr>
                <w:b w:val="0"/>
                <w:color w:val="5B9BD5" w:themeColor="accent1"/>
                <w:highlight w:val="yellow"/>
              </w:rPr>
            </w:pPr>
            <w:r w:rsidRPr="00EF56D0">
              <w:rPr>
                <w:b w:val="0"/>
                <w:color w:val="5B9BD5" w:themeColor="accent1"/>
                <w:highlight w:val="yellow"/>
              </w:rPr>
              <w:t>(WPE – wspólne pytania ewaluacyjne</w:t>
            </w:r>
          </w:p>
          <w:p w:rsidR="001924CD" w:rsidRPr="00EF56D0" w:rsidRDefault="001924CD" w:rsidP="00D322AA">
            <w:pPr>
              <w:pStyle w:val="Htableleftbolt"/>
              <w:rPr>
                <w:color w:val="5B9BD5" w:themeColor="accent1"/>
                <w:highlight w:val="yellow"/>
              </w:rPr>
            </w:pPr>
            <w:r w:rsidRPr="00EF56D0">
              <w:rPr>
                <w:b w:val="0"/>
                <w:color w:val="5B9BD5" w:themeColor="accent1"/>
                <w:highlight w:val="yellow"/>
              </w:rPr>
              <w:t>PESP – pytania ewaluacyjne specyficzne dla programu)</w:t>
            </w:r>
          </w:p>
        </w:tc>
        <w:tc>
          <w:tcPr>
            <w:tcW w:w="2289" w:type="dxa"/>
            <w:shd w:val="clear" w:color="auto" w:fill="E7E6E6" w:themeFill="background2"/>
          </w:tcPr>
          <w:p w:rsidR="001924CD" w:rsidRPr="00EF56D0" w:rsidRDefault="001924CD" w:rsidP="00D322AA">
            <w:pPr>
              <w:pStyle w:val="Htableleftbolt"/>
              <w:rPr>
                <w:color w:val="5B9BD5" w:themeColor="accent1"/>
                <w:highlight w:val="yellow"/>
              </w:rPr>
            </w:pPr>
            <w:r w:rsidRPr="00EF56D0">
              <w:rPr>
                <w:color w:val="5B9BD5" w:themeColor="accent1"/>
                <w:highlight w:val="yellow"/>
              </w:rPr>
              <w:t>Wskaźniki KSOW</w:t>
            </w:r>
          </w:p>
          <w:p w:rsidR="001924CD" w:rsidRPr="00EF56D0" w:rsidRDefault="001924CD" w:rsidP="00D322AA">
            <w:pPr>
              <w:pStyle w:val="Htableleftbolt"/>
              <w:rPr>
                <w:b w:val="0"/>
                <w:color w:val="5B9BD5" w:themeColor="accent1"/>
                <w:szCs w:val="16"/>
                <w:highlight w:val="yellow"/>
              </w:rPr>
            </w:pPr>
            <w:r w:rsidRPr="00EF56D0">
              <w:rPr>
                <w:b w:val="0"/>
                <w:color w:val="5B9BD5" w:themeColor="accent1"/>
                <w:highlight w:val="yellow"/>
              </w:rPr>
              <w:t>(WP – wspólne produkty</w:t>
            </w:r>
          </w:p>
          <w:p w:rsidR="001924CD" w:rsidRPr="00EF56D0" w:rsidRDefault="001924CD" w:rsidP="00D322AA">
            <w:pPr>
              <w:pStyle w:val="Htableleftbolt"/>
              <w:rPr>
                <w:b w:val="0"/>
                <w:color w:val="5B9BD5" w:themeColor="accent1"/>
                <w:szCs w:val="16"/>
                <w:highlight w:val="yellow"/>
              </w:rPr>
            </w:pPr>
            <w:r w:rsidRPr="00EF56D0">
              <w:rPr>
                <w:b w:val="0"/>
                <w:color w:val="5B9BD5" w:themeColor="accent1"/>
                <w:highlight w:val="yellow"/>
              </w:rPr>
              <w:t>RSP – rezultaty specyficzne dla programu</w:t>
            </w:r>
          </w:p>
          <w:p w:rsidR="001924CD" w:rsidRPr="00EF56D0" w:rsidRDefault="001924CD" w:rsidP="007E5B15">
            <w:pPr>
              <w:pStyle w:val="Htableleftbolt"/>
              <w:rPr>
                <w:color w:val="5B9BD5" w:themeColor="accent1"/>
                <w:highlight w:val="yellow"/>
              </w:rPr>
            </w:pPr>
            <w:r w:rsidRPr="00EF56D0">
              <w:rPr>
                <w:b w:val="0"/>
                <w:color w:val="5B9BD5" w:themeColor="accent1"/>
                <w:highlight w:val="yellow"/>
              </w:rPr>
              <w:t>OSP – oddziaływanie specyficzne dla programu)</w:t>
            </w:r>
          </w:p>
        </w:tc>
      </w:tr>
      <w:tr w:rsidR="001924CD" w:rsidRPr="00EF56D0" w:rsidTr="00FC0A30">
        <w:tc>
          <w:tcPr>
            <w:tcW w:w="1711"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Cele operacyjne (poziom działań i produktów)</w:t>
            </w:r>
          </w:p>
        </w:tc>
        <w:tc>
          <w:tcPr>
            <w:tcW w:w="2562"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CSP: Ułatwianie tematycznych i analitycznych wymian między zainteresowanymi stronami zaangażowanymi w rozwój obszarów wiejskich</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CSP: Zapewnienie działań w zakresie tworzenia sieci kontaktów dla doradców i służb wsparcia innowacji</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CSP: Zapewnienie działań w zakresie szkoleń i tworzenia sieci kontaktów dla LGD</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CSP: Zebranie przykładów projektów</w:t>
            </w:r>
          </w:p>
        </w:tc>
        <w:tc>
          <w:tcPr>
            <w:tcW w:w="2454"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PESP: Ile tematycznych wymian, dostępnych publicznie baz danych innowacyjnych projektów i szkoleń z zakresu innowacyjności zostało zrealizowanych dzięki działalności KSOW?</w:t>
            </w:r>
          </w:p>
        </w:tc>
        <w:tc>
          <w:tcPr>
            <w:tcW w:w="2289"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(WP) Liczba tematycznych i analitycznych wymian zorganizowanych przy wsparciu KSOW, w tym liczba szkoleń z zakresu innowacyjności</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(WP) Liczba narzędzi komunikacyjnych, ze szczególnym naciskiem na dostępne publicznie bazy danych projektów innowacyjnych</w:t>
            </w:r>
          </w:p>
        </w:tc>
      </w:tr>
      <w:tr w:rsidR="001924CD" w:rsidRPr="00EF56D0" w:rsidTr="00FC0A30">
        <w:tc>
          <w:tcPr>
            <w:tcW w:w="1711"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Cele szczegółowe (poziom rezultatu)</w:t>
            </w:r>
          </w:p>
        </w:tc>
        <w:tc>
          <w:tcPr>
            <w:tcW w:w="2562"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 xml:space="preserve"> (CSP) Wzmocnienie współpracy, wymian i tworzenia sieci kontaktów między partnerami innowacyjnych projektów na terenach wiejskich dzięki KSOW</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(CSP) Wzrost powstawania innowacyjnych produktów i rynków, procesów i form organizacji</w:t>
            </w:r>
          </w:p>
          <w:p w:rsidR="001924CD" w:rsidRPr="00EF56D0" w:rsidRDefault="001924CD" w:rsidP="00FC0A30">
            <w:pPr>
              <w:pStyle w:val="Htableleft"/>
              <w:rPr>
                <w:color w:val="576C88" w:themeColor="text2" w:themeTint="D9"/>
                <w:highlight w:val="yellow"/>
              </w:rPr>
            </w:pPr>
          </w:p>
        </w:tc>
        <w:tc>
          <w:tcPr>
            <w:tcW w:w="2454"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PESP: W jakim stopniu działalność KSOW przyczyniła się do wzrostu współpracy, wymian i tworzenia sieci kontaktów między partnerami innowacyjnych projektów?</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PESP: W jakim stopniu innowacyjne projekty zostały opracowane przez beneficjentów KSOW?</w:t>
            </w:r>
          </w:p>
        </w:tc>
        <w:tc>
          <w:tcPr>
            <w:tcW w:w="2289"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(RSP) Liczba dodatkowych sieci/partnerstw/grup współpracy między partnerami innowacyjnych projektów, które powstały dzięki zachętom ze strony KSOW</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 xml:space="preserve">(RSP) Liczba innowacyjnych produktów i rynków, procesów i form organizacji opracowanych przez beneficjentów KSOW </w:t>
            </w:r>
          </w:p>
        </w:tc>
      </w:tr>
      <w:tr w:rsidR="001924CD" w:rsidRPr="00EF56D0" w:rsidTr="00FC0A30">
        <w:tc>
          <w:tcPr>
            <w:tcW w:w="1711"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Cele ogólne (poziom oddziaływania)</w:t>
            </w:r>
          </w:p>
        </w:tc>
        <w:tc>
          <w:tcPr>
            <w:tcW w:w="2562"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(WC) Wspieranie innowacji w rolnictwie, produkcji żywności, leśnictwie i na obszarach wiejskich</w:t>
            </w:r>
          </w:p>
        </w:tc>
        <w:tc>
          <w:tcPr>
            <w:tcW w:w="2454"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 xml:space="preserve">WPE: W jakim stopniu KSOW przyczyniła się do (celu polityki UE) wspierania innowacji w rolnictwie, produkcji żywności, leśnictwie i na obszarach wiejskich? </w:t>
            </w:r>
          </w:p>
        </w:tc>
        <w:tc>
          <w:tcPr>
            <w:tcW w:w="2289" w:type="dxa"/>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(OSP) Odsetek innowacyjnych produktów i rynków, procesów i nowych form organizacji w całym łańcuchu wartości i na obszarach wiejskich, jakie powstały i rozprzestrzeniły się na obszarach wiejskich ze względu na działalność KSOW</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(OSP) Liczba patentów, prototypów opracowanych/realizowanych w rolnictwie i leśnictwie dzięki KSOW</w:t>
            </w:r>
          </w:p>
        </w:tc>
      </w:tr>
    </w:tbl>
    <w:p w:rsidR="001924CD" w:rsidRPr="00EF56D0" w:rsidRDefault="001924CD" w:rsidP="00FC0A30">
      <w:pPr>
        <w:pStyle w:val="HSource"/>
        <w:rPr>
          <w:highlight w:val="yellow"/>
        </w:rPr>
      </w:pPr>
      <w:r w:rsidRPr="00EF56D0">
        <w:rPr>
          <w:highlight w:val="yellow"/>
        </w:rPr>
        <w:t>Źródło: Europejskie Biuro Pomocy ds. Ewaluacji Rozwoju Obszarów Wiejskich, 2016 r.</w:t>
      </w:r>
    </w:p>
    <w:p w:rsidR="001924CD" w:rsidRPr="00EF56D0" w:rsidRDefault="001924CD" w:rsidP="00FC0A30">
      <w:pPr>
        <w:pStyle w:val="HStandard"/>
        <w:rPr>
          <w:highlight w:val="yellow"/>
        </w:rPr>
      </w:pPr>
      <w:r w:rsidRPr="00EF56D0">
        <w:rPr>
          <w:highlight w:val="yellow"/>
        </w:rPr>
        <w:t xml:space="preserve">Specyficzne dla programu wskaźniki KSOW muszą być opracowane w sposób zapewniający spójność z celami politycznymi związanymi z KSOW oraz pytaniami ewaluacyjnymi/kryteriami oceny. Przy </w:t>
      </w:r>
      <w:r w:rsidRPr="00EF56D0">
        <w:rPr>
          <w:highlight w:val="yellow"/>
        </w:rPr>
        <w:lastRenderedPageBreak/>
        <w:t>opracowywaniu specyficznych dla programu wskaźników KSOW należy zastosować kryteria RACER</w:t>
      </w:r>
      <w:r w:rsidRPr="00EF56D0">
        <w:rPr>
          <w:rFonts w:ascii="ZWAdobeF" w:hAnsi="ZWAdobeF"/>
          <w:color w:val="auto"/>
          <w:sz w:val="2"/>
          <w:highlight w:val="yellow"/>
        </w:rPr>
        <w:t>79F</w:t>
      </w:r>
      <w:r w:rsidRPr="00EF56D0">
        <w:rPr>
          <w:rStyle w:val="FootnoteReference"/>
          <w:highlight w:val="yellow"/>
        </w:rPr>
        <w:footnoteReference w:id="80"/>
      </w:r>
      <w:r w:rsidRPr="00EF56D0">
        <w:rPr>
          <w:highlight w:val="yellow"/>
        </w:rPr>
        <w:t>, czyli:</w:t>
      </w:r>
    </w:p>
    <w:p w:rsidR="001924CD" w:rsidRPr="00EF56D0" w:rsidRDefault="001924CD">
      <w:pPr>
        <w:spacing w:after="0" w:line="240" w:lineRule="auto"/>
        <w:rPr>
          <w:rFonts w:cs="Arial"/>
          <w:color w:val="576C88" w:themeColor="text2" w:themeTint="D9"/>
          <w:sz w:val="20"/>
          <w:szCs w:val="20"/>
          <w:highlight w:val="yellow"/>
        </w:rPr>
      </w:pPr>
      <w:r w:rsidRPr="00EF56D0">
        <w:rPr>
          <w:highlight w:val="yellow"/>
        </w:rPr>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637"/>
        <w:gridCol w:w="7379"/>
      </w:tblGrid>
      <w:tr w:rsidR="001924CD" w:rsidRPr="00EF56D0" w:rsidTr="00D322AA">
        <w:trPr>
          <w:trHeight w:val="780"/>
        </w:trPr>
        <w:tc>
          <w:tcPr>
            <w:tcW w:w="1467" w:type="dxa"/>
            <w:shd w:val="clear" w:color="auto" w:fill="E7E6E6" w:themeFill="background2"/>
          </w:tcPr>
          <w:p w:rsidR="001924CD" w:rsidRPr="00EF56D0" w:rsidRDefault="001924CD" w:rsidP="00A80588">
            <w:pPr>
              <w:pStyle w:val="Default"/>
              <w:jc w:val="center"/>
              <w:rPr>
                <w:rFonts w:ascii="Arial" w:hAnsi="Arial" w:cs="Arial"/>
                <w:b/>
                <w:color w:val="5B9BD5" w:themeColor="accent1"/>
                <w:sz w:val="18"/>
                <w:szCs w:val="18"/>
                <w:highlight w:val="yellow"/>
              </w:rPr>
            </w:pPr>
            <w:r w:rsidRPr="00EF56D0">
              <w:rPr>
                <w:rFonts w:ascii="Arial" w:hAnsi="Arial"/>
                <w:b/>
                <w:color w:val="5B9BD5" w:themeColor="accent1"/>
                <w:sz w:val="18"/>
                <w:highlight w:val="yellow"/>
              </w:rPr>
              <w:lastRenderedPageBreak/>
              <w:t>Adekwatność (Relevant)</w:t>
            </w:r>
          </w:p>
        </w:tc>
        <w:tc>
          <w:tcPr>
            <w:tcW w:w="7549" w:type="dxa"/>
          </w:tcPr>
          <w:p w:rsidR="001924CD" w:rsidRPr="00EF56D0" w:rsidRDefault="001924CD" w:rsidP="00FC0A30">
            <w:pPr>
              <w:pStyle w:val="Default"/>
              <w:rPr>
                <w:rFonts w:ascii="Arial" w:hAnsi="Arial" w:cs="Arial"/>
                <w:color w:val="576C88" w:themeColor="text2" w:themeTint="D9"/>
                <w:sz w:val="18"/>
                <w:szCs w:val="18"/>
                <w:highlight w:val="yellow"/>
              </w:rPr>
            </w:pPr>
            <w:r w:rsidRPr="00EF56D0">
              <w:rPr>
                <w:rFonts w:ascii="Arial" w:hAnsi="Arial"/>
                <w:color w:val="576C88" w:themeColor="text2" w:themeTint="D9"/>
                <w:sz w:val="18"/>
                <w:highlight w:val="yellow"/>
              </w:rPr>
              <w:t xml:space="preserve">Czy wskaźniki są ściśle związane z celami, które mają być osiągnięte? Czy wskaźniki są ustalone na odpowiednim poziomie? Czy wskaźniki oddziaływania są naprawdę dotyczą oddziaływania, a wskaźniki wyników odnoszą się do wyników? </w:t>
            </w:r>
          </w:p>
        </w:tc>
      </w:tr>
      <w:tr w:rsidR="001924CD" w:rsidRPr="00EF56D0" w:rsidTr="001249DA">
        <w:trPr>
          <w:trHeight w:val="376"/>
        </w:trPr>
        <w:tc>
          <w:tcPr>
            <w:tcW w:w="1467" w:type="dxa"/>
            <w:shd w:val="clear" w:color="auto" w:fill="E7E6E6" w:themeFill="background2"/>
          </w:tcPr>
          <w:p w:rsidR="001924CD" w:rsidRPr="00EF56D0" w:rsidRDefault="001924CD" w:rsidP="00A80588">
            <w:pPr>
              <w:pStyle w:val="Default"/>
              <w:jc w:val="center"/>
              <w:rPr>
                <w:rFonts w:ascii="Arial" w:hAnsi="Arial" w:cs="Arial"/>
                <w:b/>
                <w:color w:val="5B9BD5" w:themeColor="accent1"/>
                <w:sz w:val="18"/>
                <w:szCs w:val="18"/>
                <w:highlight w:val="yellow"/>
              </w:rPr>
            </w:pPr>
            <w:r w:rsidRPr="00EF56D0">
              <w:rPr>
                <w:rFonts w:ascii="Arial" w:hAnsi="Arial"/>
                <w:b/>
                <w:color w:val="5B9BD5" w:themeColor="accent1"/>
                <w:sz w:val="18"/>
                <w:highlight w:val="yellow"/>
              </w:rPr>
              <w:t>Akceptowalność (Accepted)</w:t>
            </w:r>
          </w:p>
        </w:tc>
        <w:tc>
          <w:tcPr>
            <w:tcW w:w="7549" w:type="dxa"/>
          </w:tcPr>
          <w:p w:rsidR="001924CD" w:rsidRPr="00EF56D0" w:rsidRDefault="001924CD" w:rsidP="00FC0A30">
            <w:pPr>
              <w:pStyle w:val="Default"/>
              <w:rPr>
                <w:rFonts w:ascii="Arial" w:hAnsi="Arial" w:cs="Arial"/>
                <w:color w:val="576C88" w:themeColor="text2" w:themeTint="D9"/>
                <w:sz w:val="18"/>
                <w:szCs w:val="18"/>
                <w:highlight w:val="yellow"/>
              </w:rPr>
            </w:pPr>
            <w:r w:rsidRPr="00EF56D0">
              <w:rPr>
                <w:rFonts w:ascii="Arial" w:hAnsi="Arial"/>
                <w:color w:val="576C88" w:themeColor="text2" w:themeTint="D9"/>
                <w:sz w:val="18"/>
                <w:highlight w:val="yellow"/>
              </w:rPr>
              <w:t>Czy wskaźniki są akceptowane przez zainteresowane strony?</w:t>
            </w:r>
          </w:p>
        </w:tc>
      </w:tr>
      <w:tr w:rsidR="001924CD" w:rsidRPr="00EF56D0" w:rsidTr="001249DA">
        <w:trPr>
          <w:trHeight w:val="523"/>
        </w:trPr>
        <w:tc>
          <w:tcPr>
            <w:tcW w:w="1467" w:type="dxa"/>
            <w:shd w:val="clear" w:color="auto" w:fill="E7E6E6" w:themeFill="background2"/>
          </w:tcPr>
          <w:p w:rsidR="001924CD" w:rsidRPr="00EF56D0" w:rsidRDefault="001924CD" w:rsidP="00A80588">
            <w:pPr>
              <w:pStyle w:val="Default"/>
              <w:jc w:val="center"/>
              <w:rPr>
                <w:rFonts w:ascii="Arial" w:hAnsi="Arial" w:cs="Arial"/>
                <w:b/>
                <w:color w:val="5B9BD5" w:themeColor="accent1"/>
                <w:sz w:val="18"/>
                <w:szCs w:val="18"/>
                <w:highlight w:val="yellow"/>
              </w:rPr>
            </w:pPr>
            <w:r w:rsidRPr="00EF56D0">
              <w:rPr>
                <w:rFonts w:ascii="Arial" w:hAnsi="Arial"/>
                <w:b/>
                <w:color w:val="5B9BD5" w:themeColor="accent1"/>
                <w:sz w:val="18"/>
                <w:highlight w:val="yellow"/>
              </w:rPr>
              <w:t>Wiarygodność (Credible)</w:t>
            </w:r>
          </w:p>
        </w:tc>
        <w:tc>
          <w:tcPr>
            <w:tcW w:w="7549" w:type="dxa"/>
          </w:tcPr>
          <w:p w:rsidR="001924CD" w:rsidRPr="00EF56D0" w:rsidRDefault="001924CD" w:rsidP="00FC0A30">
            <w:pPr>
              <w:pStyle w:val="Default"/>
              <w:rPr>
                <w:rFonts w:ascii="Arial" w:hAnsi="Arial" w:cs="Arial"/>
                <w:color w:val="576C88" w:themeColor="text2" w:themeTint="D9"/>
                <w:sz w:val="18"/>
                <w:szCs w:val="18"/>
                <w:highlight w:val="yellow"/>
              </w:rPr>
            </w:pPr>
            <w:r w:rsidRPr="00EF56D0">
              <w:rPr>
                <w:rFonts w:ascii="Arial" w:hAnsi="Arial"/>
                <w:color w:val="576C88" w:themeColor="text2" w:themeTint="D9"/>
                <w:sz w:val="18"/>
                <w:highlight w:val="yellow"/>
              </w:rPr>
              <w:t>Czy wskaźniki są akceptowane również na zewnątrz, a zarazem jasne i zrozumiałe dla osób, które nie są ekspertami?</w:t>
            </w:r>
          </w:p>
        </w:tc>
      </w:tr>
      <w:tr w:rsidR="001924CD" w:rsidRPr="00EF56D0" w:rsidTr="00D322AA">
        <w:trPr>
          <w:trHeight w:val="525"/>
        </w:trPr>
        <w:tc>
          <w:tcPr>
            <w:tcW w:w="1467" w:type="dxa"/>
            <w:shd w:val="clear" w:color="auto" w:fill="E7E6E6" w:themeFill="background2"/>
          </w:tcPr>
          <w:p w:rsidR="001924CD" w:rsidRPr="00EF56D0" w:rsidRDefault="001924CD" w:rsidP="00D322AA">
            <w:pPr>
              <w:pStyle w:val="Default"/>
              <w:jc w:val="center"/>
              <w:rPr>
                <w:rFonts w:ascii="Arial" w:hAnsi="Arial" w:cs="Arial"/>
                <w:b/>
                <w:color w:val="5B9BD5" w:themeColor="accent1"/>
                <w:sz w:val="18"/>
                <w:szCs w:val="18"/>
                <w:highlight w:val="yellow"/>
              </w:rPr>
            </w:pPr>
            <w:r w:rsidRPr="00EF56D0">
              <w:rPr>
                <w:rFonts w:ascii="Arial" w:hAnsi="Arial"/>
                <w:b/>
                <w:color w:val="5B9BD5" w:themeColor="accent1"/>
                <w:sz w:val="18"/>
                <w:highlight w:val="yellow"/>
              </w:rPr>
              <w:t>Łatwość (Easy)</w:t>
            </w:r>
          </w:p>
        </w:tc>
        <w:tc>
          <w:tcPr>
            <w:tcW w:w="7549" w:type="dxa"/>
          </w:tcPr>
          <w:p w:rsidR="001924CD" w:rsidRPr="00EF56D0" w:rsidRDefault="001924CD" w:rsidP="00FC0A30">
            <w:pPr>
              <w:pStyle w:val="Default"/>
              <w:rPr>
                <w:rFonts w:ascii="Arial" w:hAnsi="Arial" w:cs="Arial"/>
                <w:color w:val="576C88" w:themeColor="text2" w:themeTint="D9"/>
                <w:sz w:val="18"/>
                <w:szCs w:val="18"/>
                <w:highlight w:val="yellow"/>
              </w:rPr>
            </w:pPr>
            <w:r w:rsidRPr="00EF56D0">
              <w:rPr>
                <w:rFonts w:ascii="Arial" w:hAnsi="Arial"/>
                <w:color w:val="576C88" w:themeColor="text2" w:themeTint="D9"/>
                <w:sz w:val="18"/>
                <w:highlight w:val="yellow"/>
              </w:rPr>
              <w:t>Czy wskaźniki można łatwo monitorować?</w:t>
            </w:r>
          </w:p>
        </w:tc>
      </w:tr>
      <w:tr w:rsidR="001924CD" w:rsidRPr="00EF56D0" w:rsidTr="001249DA">
        <w:trPr>
          <w:trHeight w:val="389"/>
        </w:trPr>
        <w:tc>
          <w:tcPr>
            <w:tcW w:w="1467" w:type="dxa"/>
            <w:shd w:val="clear" w:color="auto" w:fill="E7E6E6" w:themeFill="background2"/>
          </w:tcPr>
          <w:p w:rsidR="001924CD" w:rsidRPr="00EF56D0" w:rsidRDefault="001924CD" w:rsidP="00D322AA">
            <w:pPr>
              <w:pStyle w:val="Default"/>
              <w:jc w:val="center"/>
              <w:rPr>
                <w:rFonts w:ascii="Arial" w:hAnsi="Arial" w:cs="Arial"/>
                <w:b/>
                <w:color w:val="5B9BD5" w:themeColor="accent1"/>
                <w:sz w:val="18"/>
                <w:szCs w:val="18"/>
                <w:highlight w:val="yellow"/>
              </w:rPr>
            </w:pPr>
            <w:r w:rsidRPr="00EF56D0">
              <w:rPr>
                <w:rFonts w:ascii="Arial" w:hAnsi="Arial"/>
                <w:b/>
                <w:color w:val="5B9BD5" w:themeColor="accent1"/>
                <w:sz w:val="18"/>
                <w:highlight w:val="yellow"/>
              </w:rPr>
              <w:t>Solidność (Robust)</w:t>
            </w:r>
          </w:p>
        </w:tc>
        <w:tc>
          <w:tcPr>
            <w:tcW w:w="7549" w:type="dxa"/>
          </w:tcPr>
          <w:p w:rsidR="001924CD" w:rsidRPr="00EF56D0" w:rsidRDefault="001924CD" w:rsidP="00FC0A30">
            <w:pPr>
              <w:pStyle w:val="Default"/>
              <w:rPr>
                <w:rFonts w:ascii="Arial" w:hAnsi="Arial" w:cs="Arial"/>
                <w:color w:val="576C88" w:themeColor="text2" w:themeTint="D9"/>
                <w:sz w:val="18"/>
                <w:szCs w:val="18"/>
                <w:highlight w:val="yellow"/>
              </w:rPr>
            </w:pPr>
            <w:r w:rsidRPr="00EF56D0">
              <w:rPr>
                <w:rFonts w:ascii="Arial" w:hAnsi="Arial"/>
                <w:color w:val="576C88" w:themeColor="text2" w:themeTint="D9"/>
                <w:sz w:val="18"/>
                <w:highlight w:val="yellow"/>
              </w:rPr>
              <w:t>Czy wskaźniki będą nadal przydatne i czy posiadają cechy uniemożliwiające łatwą manipulację nimi?</w:t>
            </w:r>
          </w:p>
        </w:tc>
      </w:tr>
    </w:tbl>
    <w:p w:rsidR="001924CD" w:rsidRPr="00EF56D0" w:rsidRDefault="001924CD" w:rsidP="00FC0A30">
      <w:pPr>
        <w:pStyle w:val="HStandard"/>
        <w:rPr>
          <w:highlight w:val="yellow"/>
        </w:rPr>
      </w:pPr>
      <w:r w:rsidRPr="00EF56D0">
        <w:rPr>
          <w:highlight w:val="yellow"/>
        </w:rPr>
        <w:t>Badanie wskaźnika z punktu widzenia gromadzenia danych (kryterium łatwości) jest powiązane z opłacalnością</w:t>
      </w:r>
      <w:r w:rsidRPr="00EF56D0">
        <w:rPr>
          <w:highlight w:val="yellow"/>
        </w:rPr>
        <w:noBreakHyphen/>
        <w:t xml:space="preserve"> ewaluacji. Gromadzenie danych stanowi największą pozycję budżetu ewaluacji. Z tego względu przy opracowywaniu wskaźników należy wziąć pod uwagę proporcjonalność. Jeśli budżet KSOW jest stosunkowo niewielki, stosowanie wskaźników, które wymagają szeroko zakrojonego i kosztownego gromadzenia danych, świadczyłoby prawdopodobnie o braku realizmu.</w:t>
      </w:r>
    </w:p>
    <w:p w:rsidR="001924CD" w:rsidRPr="00EF56D0" w:rsidRDefault="001924CD" w:rsidP="00FC0A30">
      <w:pPr>
        <w:pStyle w:val="HStandard"/>
        <w:rPr>
          <w:highlight w:val="yellow"/>
        </w:rPr>
      </w:pPr>
      <w:r w:rsidRPr="00EF56D0">
        <w:rPr>
          <w:highlight w:val="yellow"/>
        </w:rPr>
        <w:t xml:space="preserve">Reasumując, tabela to praktyczny sposób ujęcia wszystkich ważnych elementów ewaluacji KSOW (cele, pytania ewaluacyjne, kryteria oceny i wskaźniki) (zob. przykład w </w:t>
      </w:r>
      <w:r w:rsidRPr="00EF56D0">
        <w:rPr>
          <w:highlight w:val="yellow"/>
        </w:rPr>
        <w:fldChar w:fldCharType="begin" w:fldLock="1"/>
      </w:r>
      <w:r w:rsidRPr="00EF56D0">
        <w:rPr>
          <w:highlight w:val="yellow"/>
        </w:rPr>
        <w:instrText xml:space="preserve"> REF _Ref451784980 \r \h  \* MERGEFORMAT </w:instrText>
      </w:r>
      <w:r w:rsidRPr="00EF56D0">
        <w:rPr>
          <w:highlight w:val="yellow"/>
        </w:rPr>
      </w:r>
      <w:r w:rsidRPr="00EF56D0">
        <w:rPr>
          <w:highlight w:val="yellow"/>
        </w:rPr>
        <w:fldChar w:fldCharType="separate"/>
      </w:r>
      <w:r w:rsidRPr="00EF56D0">
        <w:rPr>
          <w:highlight w:val="yellow"/>
        </w:rPr>
        <w:t>Table 8</w:t>
      </w:r>
      <w:r w:rsidRPr="00EF56D0">
        <w:rPr>
          <w:highlight w:val="yellow"/>
        </w:rPr>
        <w:fldChar w:fldCharType="end"/>
      </w:r>
      <w:r w:rsidRPr="00EF56D0">
        <w:rPr>
          <w:highlight w:val="yellow"/>
        </w:rPr>
        <w:t xml:space="preserve">). Taka forma prezentacji ułatwia dostrzeżenie luk, a także zapewnia spójność pomiędzy celem, pytaniem ewaluacyjnym i proponowanym miernikiem. </w:t>
      </w:r>
      <w:bookmarkStart w:id="136" w:name="_Toc436383150"/>
    </w:p>
    <w:p w:rsidR="001924CD" w:rsidRPr="00EF56D0" w:rsidRDefault="001924CD" w:rsidP="003B7C17">
      <w:pPr>
        <w:pStyle w:val="HHeadingtables"/>
        <w:rPr>
          <w:highlight w:val="yellow"/>
        </w:rPr>
      </w:pPr>
      <w:bookmarkStart w:id="137" w:name="_Toc451781912"/>
      <w:bookmarkStart w:id="138" w:name="_Ref451784980"/>
      <w:bookmarkStart w:id="139" w:name="_Toc461807135"/>
      <w:r w:rsidRPr="00EF56D0">
        <w:rPr>
          <w:highlight w:val="yellow"/>
        </w:rPr>
        <w:t>Przykłady elementów ewaluacji KSOW</w:t>
      </w:r>
      <w:bookmarkEnd w:id="137"/>
      <w:bookmarkEnd w:id="138"/>
      <w:bookmarkEnd w:id="139"/>
    </w:p>
    <w:tbl>
      <w:tblPr>
        <w:tblStyle w:val="TableGrid"/>
        <w:tblW w:w="831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1454"/>
        <w:gridCol w:w="2043"/>
        <w:gridCol w:w="1605"/>
        <w:gridCol w:w="1605"/>
        <w:gridCol w:w="1605"/>
      </w:tblGrid>
      <w:tr w:rsidR="001924CD" w:rsidRPr="00EF56D0" w:rsidTr="00387681">
        <w:trPr>
          <w:jc w:val="center"/>
        </w:trPr>
        <w:tc>
          <w:tcPr>
            <w:tcW w:w="1454" w:type="dxa"/>
            <w:shd w:val="clear" w:color="auto" w:fill="E7E6E6" w:themeFill="background2"/>
          </w:tcPr>
          <w:p w:rsidR="001924CD" w:rsidRPr="00EF56D0" w:rsidRDefault="001924CD" w:rsidP="00FC0A30">
            <w:pPr>
              <w:pStyle w:val="Htableleftbolt"/>
              <w:rPr>
                <w:color w:val="5B9BD5" w:themeColor="accent1"/>
                <w:highlight w:val="yellow"/>
              </w:rPr>
            </w:pPr>
            <w:r w:rsidRPr="00EF56D0">
              <w:rPr>
                <w:color w:val="5B9BD5" w:themeColor="accent1"/>
                <w:highlight w:val="yellow"/>
              </w:rPr>
              <w:t>Cel KSOW (wspólny)</w:t>
            </w:r>
          </w:p>
        </w:tc>
        <w:tc>
          <w:tcPr>
            <w:tcW w:w="2043" w:type="dxa"/>
            <w:shd w:val="clear" w:color="auto" w:fill="E7E6E6" w:themeFill="background2"/>
          </w:tcPr>
          <w:p w:rsidR="001924CD" w:rsidRPr="00EF56D0" w:rsidRDefault="001924CD" w:rsidP="00FC0A30">
            <w:pPr>
              <w:pStyle w:val="Htableleftbolt"/>
              <w:rPr>
                <w:color w:val="5B9BD5" w:themeColor="accent1"/>
                <w:highlight w:val="yellow"/>
              </w:rPr>
            </w:pPr>
            <w:r w:rsidRPr="00EF56D0">
              <w:rPr>
                <w:color w:val="5B9BD5" w:themeColor="accent1"/>
                <w:highlight w:val="yellow"/>
              </w:rPr>
              <w:t xml:space="preserve">Pytanie ewaluacyjne specyficzne dla programu </w:t>
            </w:r>
          </w:p>
        </w:tc>
        <w:tc>
          <w:tcPr>
            <w:tcW w:w="1605" w:type="dxa"/>
            <w:shd w:val="clear" w:color="auto" w:fill="E7E6E6" w:themeFill="background2"/>
          </w:tcPr>
          <w:p w:rsidR="001924CD" w:rsidRPr="00EF56D0" w:rsidRDefault="001924CD" w:rsidP="00FC0A30">
            <w:pPr>
              <w:pStyle w:val="Htableleftbolt"/>
              <w:rPr>
                <w:color w:val="5B9BD5" w:themeColor="accent1"/>
                <w:highlight w:val="yellow"/>
              </w:rPr>
            </w:pPr>
            <w:r w:rsidRPr="00EF56D0">
              <w:rPr>
                <w:color w:val="5B9BD5" w:themeColor="accent1"/>
                <w:highlight w:val="yellow"/>
              </w:rPr>
              <w:t>Kryteria oceny</w:t>
            </w:r>
          </w:p>
        </w:tc>
        <w:tc>
          <w:tcPr>
            <w:tcW w:w="1605" w:type="dxa"/>
            <w:shd w:val="clear" w:color="auto" w:fill="E7E6E6" w:themeFill="background2"/>
          </w:tcPr>
          <w:p w:rsidR="001924CD" w:rsidRPr="00EF56D0" w:rsidRDefault="001924CD" w:rsidP="00FC0A30">
            <w:pPr>
              <w:pStyle w:val="Htableleftbolt"/>
              <w:rPr>
                <w:color w:val="5B9BD5" w:themeColor="accent1"/>
                <w:highlight w:val="yellow"/>
              </w:rPr>
            </w:pPr>
            <w:r w:rsidRPr="00EF56D0">
              <w:rPr>
                <w:color w:val="5B9BD5" w:themeColor="accent1"/>
                <w:highlight w:val="yellow"/>
              </w:rPr>
              <w:t>Specyficzny dla programu wskaźnik KSOW</w:t>
            </w:r>
          </w:p>
        </w:tc>
        <w:tc>
          <w:tcPr>
            <w:tcW w:w="1605" w:type="dxa"/>
            <w:shd w:val="clear" w:color="auto" w:fill="E7E6E6" w:themeFill="background2"/>
          </w:tcPr>
          <w:p w:rsidR="001924CD" w:rsidRPr="00EF56D0" w:rsidRDefault="001924CD" w:rsidP="00FC0A30">
            <w:pPr>
              <w:pStyle w:val="Htableleftbolt"/>
              <w:rPr>
                <w:color w:val="5B9BD5" w:themeColor="accent1"/>
                <w:highlight w:val="yellow"/>
              </w:rPr>
            </w:pPr>
            <w:r w:rsidRPr="00EF56D0">
              <w:rPr>
                <w:color w:val="5B9BD5" w:themeColor="accent1"/>
                <w:highlight w:val="yellow"/>
              </w:rPr>
              <w:t>Źródło danych</w:t>
            </w:r>
          </w:p>
        </w:tc>
      </w:tr>
      <w:tr w:rsidR="001924CD" w:rsidRPr="00EF56D0" w:rsidTr="00387681">
        <w:trPr>
          <w:trHeight w:val="2383"/>
          <w:jc w:val="center"/>
        </w:trPr>
        <w:tc>
          <w:tcPr>
            <w:tcW w:w="1454" w:type="dxa"/>
            <w:tcBorders>
              <w:bottom w:val="single" w:sz="4" w:space="0" w:color="auto"/>
            </w:tcBorders>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Poprawa jakości wdrożenia PROW</w:t>
            </w:r>
          </w:p>
          <w:p w:rsidR="001924CD" w:rsidRPr="00EF56D0" w:rsidRDefault="001924CD" w:rsidP="00FC0A30">
            <w:pPr>
              <w:pStyle w:val="Htableleft"/>
              <w:rPr>
                <w:color w:val="576C88" w:themeColor="text2" w:themeTint="D9"/>
                <w:highlight w:val="yellow"/>
              </w:rPr>
            </w:pPr>
          </w:p>
          <w:p w:rsidR="001924CD" w:rsidRPr="00EF56D0" w:rsidRDefault="001924CD" w:rsidP="00FC0A30">
            <w:pPr>
              <w:pStyle w:val="Htableleft"/>
              <w:rPr>
                <w:color w:val="576C88" w:themeColor="text2" w:themeTint="D9"/>
                <w:highlight w:val="yellow"/>
              </w:rPr>
            </w:pPr>
          </w:p>
          <w:p w:rsidR="001924CD" w:rsidRPr="00EF56D0" w:rsidRDefault="001924CD" w:rsidP="00FC0A30">
            <w:pPr>
              <w:pStyle w:val="Htableleft"/>
              <w:rPr>
                <w:color w:val="576C88" w:themeColor="text2" w:themeTint="D9"/>
                <w:highlight w:val="yellow"/>
              </w:rPr>
            </w:pPr>
          </w:p>
          <w:p w:rsidR="001924CD" w:rsidRPr="00EF56D0" w:rsidRDefault="001924CD" w:rsidP="00FC0A30">
            <w:pPr>
              <w:pStyle w:val="Htableleft"/>
              <w:rPr>
                <w:color w:val="576C88" w:themeColor="text2" w:themeTint="D9"/>
                <w:highlight w:val="yellow"/>
              </w:rPr>
            </w:pPr>
          </w:p>
          <w:p w:rsidR="001924CD" w:rsidRPr="00EF56D0" w:rsidRDefault="001924CD" w:rsidP="00FC0A30">
            <w:pPr>
              <w:pStyle w:val="Htableleft"/>
              <w:rPr>
                <w:color w:val="576C88" w:themeColor="text2" w:themeTint="D9"/>
                <w:highlight w:val="yellow"/>
              </w:rPr>
            </w:pPr>
          </w:p>
        </w:tc>
        <w:tc>
          <w:tcPr>
            <w:tcW w:w="2043" w:type="dxa"/>
            <w:tcBorders>
              <w:bottom w:val="single" w:sz="4" w:space="0" w:color="auto"/>
            </w:tcBorders>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 xml:space="preserve">W jakim stopniu działania KSOW przyczyniły się do poprawy jakości wdrażania PROW? </w:t>
            </w:r>
          </w:p>
        </w:tc>
        <w:tc>
          <w:tcPr>
            <w:tcW w:w="1605" w:type="dxa"/>
            <w:tcBorders>
              <w:bottom w:val="single" w:sz="4" w:space="0" w:color="auto"/>
            </w:tcBorders>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 xml:space="preserve">Jakość realizacji PROW uległa poprawie dzięki działalności KSOW, a mianowicie poprzez zwiększenie zdolności beneficjentów PROW </w:t>
            </w:r>
          </w:p>
        </w:tc>
        <w:tc>
          <w:tcPr>
            <w:tcW w:w="1605" w:type="dxa"/>
            <w:tcBorders>
              <w:bottom w:val="single" w:sz="4" w:space="0" w:color="auto"/>
            </w:tcBorders>
            <w:shd w:val="clear" w:color="auto" w:fill="auto"/>
          </w:tcPr>
          <w:p w:rsidR="001924CD" w:rsidRPr="00EF56D0" w:rsidRDefault="001924CD" w:rsidP="00893456">
            <w:pPr>
              <w:pStyle w:val="Htableleft"/>
              <w:rPr>
                <w:color w:val="576C88" w:themeColor="text2" w:themeTint="D9"/>
                <w:highlight w:val="yellow"/>
              </w:rPr>
            </w:pPr>
            <w:r w:rsidRPr="00EF56D0">
              <w:rPr>
                <w:color w:val="576C88" w:themeColor="text2" w:themeTint="D9"/>
                <w:highlight w:val="yellow"/>
              </w:rPr>
              <w:t xml:space="preserve">Liczba wdrożonych, wysokiej jakości projektów PROW, które zostały zrealizowane dzięki działalności KSOW </w:t>
            </w:r>
          </w:p>
        </w:tc>
        <w:tc>
          <w:tcPr>
            <w:tcW w:w="1605" w:type="dxa"/>
            <w:tcBorders>
              <w:bottom w:val="single" w:sz="4" w:space="0" w:color="auto"/>
            </w:tcBorders>
            <w:shd w:val="clear" w:color="auto" w:fill="auto"/>
          </w:tcPr>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Baza danych AP</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Kwestionariusz/ankieta</w:t>
            </w:r>
          </w:p>
          <w:p w:rsidR="001924CD" w:rsidRPr="00EF56D0" w:rsidRDefault="001924CD" w:rsidP="00FC0A30">
            <w:pPr>
              <w:pStyle w:val="Htableleft"/>
              <w:rPr>
                <w:color w:val="576C88" w:themeColor="text2" w:themeTint="D9"/>
                <w:highlight w:val="yellow"/>
              </w:rPr>
            </w:pPr>
            <w:r w:rsidRPr="00EF56D0">
              <w:rPr>
                <w:color w:val="576C88" w:themeColor="text2" w:themeTint="D9"/>
                <w:highlight w:val="yellow"/>
              </w:rPr>
              <w:t>Baza danych JWS</w:t>
            </w:r>
          </w:p>
          <w:p w:rsidR="001924CD" w:rsidRPr="00EF56D0" w:rsidRDefault="001924CD" w:rsidP="00FC0A30">
            <w:pPr>
              <w:pStyle w:val="Htableleft"/>
              <w:rPr>
                <w:color w:val="576C88" w:themeColor="text2" w:themeTint="D9"/>
                <w:highlight w:val="yellow"/>
              </w:rPr>
            </w:pPr>
          </w:p>
        </w:tc>
      </w:tr>
    </w:tbl>
    <w:p w:rsidR="001924CD" w:rsidRPr="00EF56D0" w:rsidRDefault="001924CD" w:rsidP="00FC0A30">
      <w:pPr>
        <w:pStyle w:val="HSource"/>
        <w:rPr>
          <w:highlight w:val="yellow"/>
        </w:rPr>
      </w:pPr>
      <w:r w:rsidRPr="00EF56D0">
        <w:rPr>
          <w:highlight w:val="yellow"/>
        </w:rPr>
        <w:t>Źródło: Europejskie Biuro Pomocy ds. Ewaluacji Rozwoju Obszarów Wiejskich, 2016 r.</w:t>
      </w:r>
    </w:p>
    <w:bookmarkEnd w:id="136"/>
    <w:p w:rsidR="001924CD" w:rsidRPr="00EF56D0" w:rsidRDefault="001924CD" w:rsidP="00FC0A30">
      <w:pPr>
        <w:pStyle w:val="HStandard"/>
        <w:rPr>
          <w:highlight w:val="yellow"/>
        </w:rPr>
      </w:pPr>
      <w:r w:rsidRPr="00EF56D0">
        <w:rPr>
          <w:highlight w:val="yellow"/>
        </w:rPr>
        <w:t>Ewaluatorzy mogą na późniejszym etapie, podczas prowadzenia ewaluacji (w jej fazie strukturyzacji), zasugerować więcej pytań ewaluacyjnych i wskaźników lub podzielić istniejące pytania, aby uzyskać bardziej szczegółowe informacji zgodnie z kryteriami oceny.</w:t>
      </w:r>
    </w:p>
    <w:p w:rsidR="001924CD" w:rsidRPr="00EF56D0" w:rsidRDefault="001924CD" w:rsidP="00D322AA">
      <w:pPr>
        <w:pStyle w:val="Heading6"/>
        <w:rPr>
          <w:highlight w:val="yellow"/>
        </w:rPr>
      </w:pPr>
      <w:r w:rsidRPr="00EF56D0">
        <w:rPr>
          <w:highlight w:val="yellow"/>
        </w:rPr>
        <w:t>Sprawdzenie spójności elementów ewaluacyjnych z logiką interwencji KSOW.</w:t>
      </w:r>
    </w:p>
    <w:p w:rsidR="001924CD" w:rsidRPr="00EF56D0" w:rsidRDefault="001924CD" w:rsidP="00FC0A30">
      <w:pPr>
        <w:pStyle w:val="HStandard"/>
        <w:rPr>
          <w:highlight w:val="yellow"/>
        </w:rPr>
      </w:pPr>
      <w:r w:rsidRPr="00EF56D0">
        <w:rPr>
          <w:highlight w:val="yellow"/>
        </w:rPr>
        <w:t>Po zdefiniowaniu wszystkich elementów ewaluacji należy sprawdzić ich spójność logiką interwencji KSOW. Obejmuje to ocenę tego, czy:</w:t>
      </w:r>
    </w:p>
    <w:p w:rsidR="001924CD" w:rsidRPr="00EF56D0" w:rsidRDefault="001924CD" w:rsidP="00D322AA">
      <w:pPr>
        <w:pStyle w:val="Hlistbullet"/>
        <w:rPr>
          <w:highlight w:val="yellow"/>
        </w:rPr>
      </w:pPr>
      <w:r w:rsidRPr="00EF56D0">
        <w:rPr>
          <w:highlight w:val="yellow"/>
        </w:rPr>
        <w:t>Pytania ewaluacyjne wystarczają do oceny realizacji celów</w:t>
      </w:r>
    </w:p>
    <w:p w:rsidR="001924CD" w:rsidRPr="00EF56D0" w:rsidRDefault="001924CD" w:rsidP="00D322AA">
      <w:pPr>
        <w:pStyle w:val="Hlistbullet"/>
        <w:rPr>
          <w:highlight w:val="yellow"/>
        </w:rPr>
      </w:pPr>
      <w:r w:rsidRPr="00EF56D0">
        <w:rPr>
          <w:highlight w:val="yellow"/>
        </w:rPr>
        <w:t xml:space="preserve">Można dokonać pomiaru oczekiwanych rezultatów i oddziaływania za pomocą proponowanych wskaźników rezultatu i oddziaływania </w:t>
      </w:r>
    </w:p>
    <w:p w:rsidR="001924CD" w:rsidRPr="00EF56D0" w:rsidRDefault="001924CD" w:rsidP="00D322AA">
      <w:pPr>
        <w:pStyle w:val="Hlistbullet"/>
        <w:rPr>
          <w:highlight w:val="yellow"/>
        </w:rPr>
      </w:pPr>
      <w:r w:rsidRPr="00EF56D0">
        <w:rPr>
          <w:highlight w:val="yellow"/>
        </w:rPr>
        <w:t>Wskaźniki rezultatu i oddziaływania są zgodne z kryteriami RACER i mogą dostarczyć wystarczających dowodów, aby odpowiedzieć na pytania ewaluacyjne</w:t>
      </w:r>
    </w:p>
    <w:p w:rsidR="001924CD" w:rsidRPr="00EF56D0" w:rsidRDefault="001924CD" w:rsidP="00FC0A30">
      <w:pPr>
        <w:pStyle w:val="HStandard"/>
        <w:rPr>
          <w:highlight w:val="yellow"/>
        </w:rPr>
      </w:pPr>
      <w:r w:rsidRPr="00EF56D0">
        <w:rPr>
          <w:highlight w:val="yellow"/>
        </w:rPr>
        <w:t xml:space="preserve">Spójność elementów ewaluacyjnych z logiką interwencji KSOW można przedstawić za pomocą poniższej </w:t>
      </w:r>
      <w:r w:rsidRPr="00EF56D0">
        <w:rPr>
          <w:highlight w:val="yellow"/>
        </w:rPr>
        <w:fldChar w:fldCharType="begin" w:fldLock="1"/>
      </w:r>
      <w:r w:rsidRPr="00EF56D0">
        <w:rPr>
          <w:highlight w:val="yellow"/>
        </w:rPr>
        <w:instrText xml:space="preserve"> REF _Ref451784635 \r \h  \* MERGEFORMAT </w:instrText>
      </w:r>
      <w:r w:rsidRPr="00EF56D0">
        <w:rPr>
          <w:highlight w:val="yellow"/>
        </w:rPr>
      </w:r>
      <w:r w:rsidRPr="00EF56D0">
        <w:rPr>
          <w:highlight w:val="yellow"/>
        </w:rPr>
        <w:fldChar w:fldCharType="separate"/>
      </w:r>
      <w:r w:rsidRPr="00EF56D0">
        <w:rPr>
          <w:highlight w:val="yellow"/>
        </w:rPr>
        <w:t>Figure 14</w:t>
      </w:r>
      <w:r w:rsidRPr="00EF56D0">
        <w:rPr>
          <w:highlight w:val="yellow"/>
        </w:rPr>
        <w:fldChar w:fldCharType="end"/>
      </w:r>
      <w:r w:rsidRPr="00EF56D0">
        <w:rPr>
          <w:highlight w:val="yellow"/>
        </w:rPr>
        <w:t xml:space="preserve">. </w:t>
      </w:r>
    </w:p>
    <w:p w:rsidR="001924CD" w:rsidRPr="00EF56D0" w:rsidRDefault="001924CD" w:rsidP="00FC0A30">
      <w:pPr>
        <w:pStyle w:val="HStandard"/>
        <w:rPr>
          <w:highlight w:val="yellow"/>
        </w:rPr>
      </w:pPr>
    </w:p>
    <w:p w:rsidR="001924CD" w:rsidRPr="00EF56D0" w:rsidRDefault="001924CD" w:rsidP="00922CBE">
      <w:pPr>
        <w:pStyle w:val="HHeadingfigures"/>
        <w:rPr>
          <w:highlight w:val="yellow"/>
        </w:rPr>
      </w:pPr>
      <w:bookmarkStart w:id="140" w:name="_Toc445465130"/>
      <w:bookmarkStart w:id="141" w:name="_Toc451781933"/>
      <w:bookmarkStart w:id="142" w:name="_Ref451784635"/>
      <w:bookmarkStart w:id="143" w:name="_Toc461807151"/>
      <w:r w:rsidRPr="00EF56D0">
        <w:rPr>
          <w:highlight w:val="yellow"/>
        </w:rPr>
        <w:t>Spójność elementów ewaluacyjnych z logiką interwencji KSOW</w:t>
      </w:r>
      <w:bookmarkEnd w:id="140"/>
      <w:bookmarkEnd w:id="141"/>
      <w:bookmarkEnd w:id="142"/>
      <w:bookmarkEnd w:id="143"/>
    </w:p>
    <w:p w:rsidR="001924CD" w:rsidRPr="00EF56D0" w:rsidRDefault="001924CD" w:rsidP="00FC0A30">
      <w:pPr>
        <w:jc w:val="center"/>
        <w:rPr>
          <w:highlight w:val="yellow"/>
        </w:rPr>
      </w:pPr>
      <w:r w:rsidRPr="00EF56D0">
        <w:rPr>
          <w:noProof/>
          <w:highlight w:val="yellow"/>
          <w:lang w:eastAsia="en-GB"/>
        </w:rPr>
        <w:drawing>
          <wp:inline distT="0" distB="0" distL="0" distR="0" wp14:anchorId="2DBED99D" wp14:editId="0DAF326E">
            <wp:extent cx="5549626" cy="4253442"/>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71514" cy="4270218"/>
                    </a:xfrm>
                    <a:prstGeom prst="rect">
                      <a:avLst/>
                    </a:prstGeom>
                    <a:noFill/>
                    <a:ln>
                      <a:noFill/>
                    </a:ln>
                  </pic:spPr>
                </pic:pic>
              </a:graphicData>
            </a:graphic>
          </wp:inline>
        </w:drawing>
      </w:r>
      <w:r w:rsidRPr="00EF56D0">
        <w:rPr>
          <w:highlight w:val="yellow"/>
        </w:rPr>
        <w:t xml:space="preserve"> </w:t>
      </w:r>
    </w:p>
    <w:p w:rsidR="001924CD" w:rsidRPr="00EF56D0" w:rsidRDefault="001924CD" w:rsidP="00FC0A30">
      <w:pPr>
        <w:pStyle w:val="HSource"/>
        <w:rPr>
          <w:highlight w:val="yellow"/>
        </w:rPr>
      </w:pPr>
      <w:r w:rsidRPr="00EF56D0">
        <w:rPr>
          <w:highlight w:val="yellow"/>
        </w:rPr>
        <w:t>Źródło: Europejskie Biuro Pomocy ds. Ewaluacji Rozwoju Obszarów Wiejskich, 2016 r.</w:t>
      </w:r>
    </w:p>
    <w:p w:rsidR="001924CD" w:rsidRPr="00EF56D0" w:rsidRDefault="001924CD" w:rsidP="00FC0A30">
      <w:pPr>
        <w:pStyle w:val="HHeading5"/>
        <w:rPr>
          <w:highlight w:val="yellow"/>
        </w:rPr>
      </w:pPr>
      <w:r w:rsidRPr="00EF56D0">
        <w:rPr>
          <w:highlight w:val="yellow"/>
        </w:rPr>
        <w:t>Krok 3 – Wybór preferowanego podejścia ewaluacyjnego</w:t>
      </w:r>
    </w:p>
    <w:p w:rsidR="001924CD" w:rsidRPr="00EF56D0" w:rsidRDefault="001924CD" w:rsidP="00FC0A30">
      <w:pPr>
        <w:pStyle w:val="HStandard"/>
        <w:rPr>
          <w:highlight w:val="yellow"/>
        </w:rPr>
      </w:pPr>
      <w:r w:rsidRPr="00EF56D0">
        <w:rPr>
          <w:highlight w:val="yellow"/>
        </w:rPr>
        <w:t xml:space="preserve">Po opracowaniu pytań ewaluacyjnych, kryteriów oceny i wskaźników organy odpowiedzialne za ewaluację KSOW (IZ, JWS itp.) powinny podjąć decyzję o sposobie opracowania informacji potrzebnych do udzielenia odpowiedzi na pytania ewaluacyjne. Obejmuje to wybór podejścia ewaluacyjnego (jakościowego, ilościowego i mieszanego).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EF56D0" w:rsidTr="00D322AA">
        <w:tc>
          <w:tcPr>
            <w:tcW w:w="9016" w:type="dxa"/>
            <w:shd w:val="clear" w:color="auto" w:fill="F5F4F4" w:themeFill="background2" w:themeFillTint="66"/>
          </w:tcPr>
          <w:p w:rsidR="001924CD" w:rsidRPr="00EF56D0" w:rsidRDefault="001924CD" w:rsidP="00FC0A30">
            <w:pPr>
              <w:pStyle w:val="HStandard"/>
              <w:rPr>
                <w:highlight w:val="yellow"/>
              </w:rPr>
            </w:pPr>
            <w:r w:rsidRPr="00EF56D0">
              <w:rPr>
                <w:highlight w:val="yellow"/>
              </w:rPr>
              <w:t>Poniższe pytania są pomocne w doborze metodologii oceny:</w:t>
            </w:r>
          </w:p>
          <w:p w:rsidR="001924CD" w:rsidRPr="00EF56D0" w:rsidRDefault="001924CD" w:rsidP="001924CD">
            <w:pPr>
              <w:pStyle w:val="Hlistbullet"/>
              <w:tabs>
                <w:tab w:val="left" w:pos="567"/>
              </w:tabs>
              <w:rPr>
                <w:highlight w:val="yellow"/>
              </w:rPr>
            </w:pPr>
            <w:r w:rsidRPr="00EF56D0">
              <w:rPr>
                <w:highlight w:val="yellow"/>
              </w:rPr>
              <w:t>Które podejście najlepiej pasuje do celów ewaluacji?</w:t>
            </w:r>
          </w:p>
          <w:p w:rsidR="001924CD" w:rsidRPr="00EF56D0" w:rsidRDefault="001924CD" w:rsidP="001924CD">
            <w:pPr>
              <w:pStyle w:val="Hlistbullet2"/>
              <w:tabs>
                <w:tab w:val="left" w:pos="567"/>
              </w:tabs>
              <w:rPr>
                <w:highlight w:val="yellow"/>
              </w:rPr>
            </w:pPr>
            <w:r w:rsidRPr="00EF56D0">
              <w:rPr>
                <w:highlight w:val="yellow"/>
              </w:rPr>
              <w:t>Które podejście zapewnia najbardziej wiarygodne wyniki, biorąc pod uwagę dostępne informacje?</w:t>
            </w:r>
          </w:p>
        </w:tc>
      </w:tr>
    </w:tbl>
    <w:p w:rsidR="001924CD" w:rsidRPr="00EF56D0" w:rsidRDefault="001924CD" w:rsidP="00FC0A30">
      <w:pPr>
        <w:pStyle w:val="HStandard"/>
        <w:rPr>
          <w:highlight w:val="yellow"/>
        </w:rPr>
      </w:pPr>
      <w:r w:rsidRPr="00EF56D0">
        <w:rPr>
          <w:b/>
          <w:highlight w:val="yellow"/>
        </w:rPr>
        <w:t>Oczekiwanym rezultatem</w:t>
      </w:r>
      <w:r w:rsidRPr="00EF56D0">
        <w:rPr>
          <w:highlight w:val="yellow"/>
        </w:rPr>
        <w:t xml:space="preserve"> tego etapu jest decyzja o wyborze podejścia ewaluacyjnego i, w miarę możliwości, metod stosowanych przy udzielaniu odpowiedzi na pytania ewaluacyjne. </w:t>
      </w:r>
    </w:p>
    <w:p w:rsidR="001924CD" w:rsidRPr="00EF56D0" w:rsidRDefault="001924CD" w:rsidP="00FC0A30">
      <w:pPr>
        <w:pStyle w:val="HStandard"/>
        <w:rPr>
          <w:highlight w:val="yellow"/>
        </w:rPr>
      </w:pPr>
      <w:r w:rsidRPr="00EF56D0">
        <w:rPr>
          <w:highlight w:val="yellow"/>
        </w:rPr>
        <w:t>Podejście ewaluacyjne zostanie potwierdzone, a w razie potrzeby zmienione przez ewaluatorów w porozumieniu z właściwymi organami (IZ, JWS itp.) na etapie strukturyzacji. Na etapie strukturyzacji ewaluator także zaproponuje i uzgodni z władzami programu metody</w:t>
      </w:r>
      <w:r w:rsidRPr="00EF56D0">
        <w:rPr>
          <w:rFonts w:ascii="ZWAdobeF" w:hAnsi="ZWAdobeF"/>
          <w:color w:val="auto"/>
          <w:sz w:val="2"/>
          <w:highlight w:val="yellow"/>
        </w:rPr>
        <w:t>80F</w:t>
      </w:r>
      <w:r w:rsidRPr="00EF56D0">
        <w:rPr>
          <w:rStyle w:val="FootnoteReference"/>
          <w:highlight w:val="yellow"/>
        </w:rPr>
        <w:footnoteReference w:id="81"/>
      </w:r>
      <w:r w:rsidRPr="00EF56D0">
        <w:rPr>
          <w:highlight w:val="yellow"/>
        </w:rPr>
        <w:t xml:space="preserve">, jakich należy użyć do celów analizy zebranych danych i informacji, formułowania ocen i wreszcie odpowiedzi na pytania </w:t>
      </w:r>
      <w:r w:rsidRPr="00EF56D0">
        <w:rPr>
          <w:highlight w:val="yellow"/>
        </w:rPr>
        <w:lastRenderedPageBreak/>
        <w:t xml:space="preserve">ewaluacyjne. </w:t>
      </w:r>
      <w:r w:rsidRPr="00EF56D0">
        <w:rPr>
          <w:b/>
          <w:color w:val="E7E6E6" w:themeColor="background2"/>
          <w:highlight w:val="yellow"/>
        </w:rPr>
        <w:t>CZĘŚĆ II</w:t>
      </w:r>
      <w:r w:rsidRPr="00EF56D0">
        <w:rPr>
          <w:color w:val="E7E6E6" w:themeColor="background2"/>
          <w:highlight w:val="yellow"/>
        </w:rPr>
        <w:t xml:space="preserve"> </w:t>
      </w:r>
      <w:r w:rsidRPr="00EF56D0">
        <w:rPr>
          <w:highlight w:val="yellow"/>
        </w:rPr>
        <w:t>niniejszych wytycznych zawiera szczegółowy opis sposobu wyboru odpowiedniego podejścia ewaluacyjnego i metod oceny.</w:t>
      </w:r>
    </w:p>
    <w:p w:rsidR="001924CD" w:rsidRPr="00EF56D0" w:rsidRDefault="001924CD" w:rsidP="00FC0A30">
      <w:pPr>
        <w:pStyle w:val="HStandard"/>
        <w:rPr>
          <w:highlight w:val="yellow"/>
        </w:rPr>
      </w:pPr>
      <w:r w:rsidRPr="00EF56D0">
        <w:rPr>
          <w:highlight w:val="yellow"/>
        </w:rPr>
        <w:t xml:space="preserve">Zamawiający nie musi jednak na tym etapie podejmować decyzji o wyborze metodologii ewaluacji, jako że zostanie ona zaproponowana przez ewaluatora w ofercie. Ważniejsze jest, aby zamawiający i inne zainteresowane strony KSOW mieli świadomość różnorodności metod oceny i ich przydatności do udzielania odpowiedzi na pytania ewaluacyjne w stosunku do potrzeb, a przez to – możliwość sprawdzenia jakości wyników ewaluacji. </w:t>
      </w:r>
    </w:p>
    <w:p w:rsidR="001924CD" w:rsidRPr="00EF56D0" w:rsidRDefault="001924CD" w:rsidP="00FC0A30">
      <w:pPr>
        <w:pStyle w:val="HHeading5"/>
        <w:rPr>
          <w:highlight w:val="yellow"/>
        </w:rPr>
      </w:pPr>
      <w:r w:rsidRPr="00EF56D0">
        <w:rPr>
          <w:highlight w:val="yellow"/>
        </w:rPr>
        <w:t xml:space="preserve">Krok 4 – Analiza potrzeb w zakresie informacji i danych oraz ich potencjalnych źródeł </w:t>
      </w:r>
    </w:p>
    <w:p w:rsidR="001924CD" w:rsidRPr="00EF56D0" w:rsidRDefault="001924CD" w:rsidP="00FC0A30">
      <w:pPr>
        <w:pStyle w:val="HStandard"/>
        <w:rPr>
          <w:highlight w:val="yellow"/>
        </w:rPr>
      </w:pPr>
      <w:r w:rsidRPr="00EF56D0">
        <w:rPr>
          <w:highlight w:val="yellow"/>
        </w:rPr>
        <w:t xml:space="preserve">Aby przeprowadzić solidną ocenę KSOW, należy zapewnić wystarczającą liczbę danych i informacji do obliczenia wskaźników związanych z KSOW. Zapotrzebowanie na dane zależy również od wybranego podejścia i metodologii ewaluacji.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EF56D0" w:rsidTr="00D322AA">
        <w:tc>
          <w:tcPr>
            <w:tcW w:w="9016" w:type="dxa"/>
            <w:shd w:val="clear" w:color="auto" w:fill="F5F4F4" w:themeFill="background2" w:themeFillTint="66"/>
          </w:tcPr>
          <w:p w:rsidR="001924CD" w:rsidRPr="00EF56D0" w:rsidRDefault="001924CD" w:rsidP="00FC0A30">
            <w:pPr>
              <w:pStyle w:val="HStandard"/>
              <w:rPr>
                <w:highlight w:val="yellow"/>
              </w:rPr>
            </w:pPr>
            <w:r w:rsidRPr="00EF56D0">
              <w:rPr>
                <w:highlight w:val="yellow"/>
              </w:rPr>
              <w:t xml:space="preserve">Pomocne na tym etapie są następujące pytania: </w:t>
            </w:r>
          </w:p>
          <w:p w:rsidR="001924CD" w:rsidRPr="00EF56D0" w:rsidRDefault="001924CD" w:rsidP="001924CD">
            <w:pPr>
              <w:pStyle w:val="Hlistbullet"/>
              <w:tabs>
                <w:tab w:val="left" w:pos="567"/>
              </w:tabs>
              <w:rPr>
                <w:highlight w:val="yellow"/>
              </w:rPr>
            </w:pPr>
            <w:r w:rsidRPr="00EF56D0">
              <w:rPr>
                <w:highlight w:val="yellow"/>
              </w:rPr>
              <w:t xml:space="preserve">Jakiego rodzaju informacje i dane są potrzebne, aby odpowiedzieć na pytania ewaluacyjne? </w:t>
            </w:r>
          </w:p>
          <w:p w:rsidR="001924CD" w:rsidRPr="00EF56D0" w:rsidRDefault="001924CD" w:rsidP="001924CD">
            <w:pPr>
              <w:pStyle w:val="Hlistbullet"/>
              <w:tabs>
                <w:tab w:val="left" w:pos="567"/>
              </w:tabs>
              <w:rPr>
                <w:highlight w:val="yellow"/>
              </w:rPr>
            </w:pPr>
            <w:r w:rsidRPr="00EF56D0">
              <w:rPr>
                <w:highlight w:val="yellow"/>
              </w:rPr>
              <w:t>Czy takie informacje i dane już istnieją, czy należy je zgromadzić?</w:t>
            </w:r>
          </w:p>
          <w:p w:rsidR="001924CD" w:rsidRPr="00EF56D0" w:rsidRDefault="001924CD" w:rsidP="001924CD">
            <w:pPr>
              <w:pStyle w:val="Hlistbullet"/>
              <w:tabs>
                <w:tab w:val="left" w:pos="567"/>
              </w:tabs>
              <w:rPr>
                <w:highlight w:val="yellow"/>
              </w:rPr>
            </w:pPr>
            <w:r w:rsidRPr="00EF56D0">
              <w:rPr>
                <w:highlight w:val="yellow"/>
              </w:rPr>
              <w:t xml:space="preserve">Gdzie można je uzyskać? </w:t>
            </w:r>
          </w:p>
          <w:p w:rsidR="001924CD" w:rsidRPr="00EF56D0" w:rsidRDefault="001924CD" w:rsidP="001924CD">
            <w:pPr>
              <w:pStyle w:val="Hlistbullet"/>
              <w:tabs>
                <w:tab w:val="left" w:pos="567"/>
              </w:tabs>
              <w:rPr>
                <w:highlight w:val="yellow"/>
              </w:rPr>
            </w:pPr>
            <w:r w:rsidRPr="00EF56D0">
              <w:rPr>
                <w:highlight w:val="yellow"/>
              </w:rPr>
              <w:t>Jak można je uzyskać?</w:t>
            </w:r>
          </w:p>
          <w:p w:rsidR="001924CD" w:rsidRPr="00EF56D0" w:rsidRDefault="001924CD" w:rsidP="001924CD">
            <w:pPr>
              <w:pStyle w:val="Hlistbullet"/>
              <w:tabs>
                <w:tab w:val="left" w:pos="567"/>
              </w:tabs>
              <w:rPr>
                <w:highlight w:val="yellow"/>
              </w:rPr>
            </w:pPr>
            <w:r w:rsidRPr="00EF56D0">
              <w:rPr>
                <w:highlight w:val="yellow"/>
              </w:rPr>
              <w:t xml:space="preserve">Czy istnieją ograniczenia co do tego, kto i jak może korzystać z danych? </w:t>
            </w:r>
          </w:p>
          <w:p w:rsidR="001924CD" w:rsidRPr="00EF56D0" w:rsidRDefault="001924CD" w:rsidP="001924CD">
            <w:pPr>
              <w:pStyle w:val="Hlistbullet"/>
              <w:tabs>
                <w:tab w:val="left" w:pos="567"/>
              </w:tabs>
              <w:rPr>
                <w:highlight w:val="yellow"/>
              </w:rPr>
            </w:pPr>
            <w:r w:rsidRPr="00EF56D0">
              <w:rPr>
                <w:highlight w:val="yellow"/>
              </w:rPr>
              <w:t xml:space="preserve">Jakie rodzaje problemów występują w przypadku informacji/danych? </w:t>
            </w:r>
          </w:p>
          <w:p w:rsidR="001924CD" w:rsidRPr="00EF56D0" w:rsidRDefault="001924CD" w:rsidP="001924CD">
            <w:pPr>
              <w:pStyle w:val="Hlistbullet2"/>
              <w:tabs>
                <w:tab w:val="left" w:pos="567"/>
              </w:tabs>
              <w:rPr>
                <w:highlight w:val="yellow"/>
              </w:rPr>
            </w:pPr>
            <w:r w:rsidRPr="00EF56D0">
              <w:rPr>
                <w:highlight w:val="yellow"/>
              </w:rPr>
              <w:t>W jaki sposób wszystkie powyższe kwestie wpływają na opracowanie SIWZ na przeprowadzenie ewaluacji KSOW?</w:t>
            </w:r>
          </w:p>
        </w:tc>
      </w:tr>
    </w:tbl>
    <w:p w:rsidR="001924CD" w:rsidRPr="00EF56D0" w:rsidRDefault="001924CD" w:rsidP="00FC0A30">
      <w:pPr>
        <w:pStyle w:val="HStandard"/>
        <w:rPr>
          <w:highlight w:val="yellow"/>
        </w:rPr>
      </w:pPr>
      <w:r w:rsidRPr="00EF56D0">
        <w:rPr>
          <w:highlight w:val="yellow"/>
        </w:rPr>
        <w:t xml:space="preserve">Etap ten jest realizowany w </w:t>
      </w:r>
      <w:r w:rsidRPr="00EF56D0">
        <w:rPr>
          <w:b/>
          <w:highlight w:val="yellow"/>
        </w:rPr>
        <w:t>następującej kolejności</w:t>
      </w:r>
      <w:r w:rsidRPr="00EF56D0">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924CD" w:rsidRPr="00EF56D0" w:rsidTr="00BE6F49">
        <w:tc>
          <w:tcPr>
            <w:tcW w:w="988" w:type="dxa"/>
            <w:shd w:val="clear" w:color="auto" w:fill="E7E6E6" w:themeFill="background2"/>
          </w:tcPr>
          <w:p w:rsidR="001924CD" w:rsidRPr="00EF56D0" w:rsidRDefault="001924CD" w:rsidP="00BE6F49">
            <w:pPr>
              <w:pStyle w:val="HStandard"/>
              <w:jc w:val="center"/>
              <w:rPr>
                <w:b/>
                <w:color w:val="FFFFFF"/>
                <w:sz w:val="18"/>
                <w:szCs w:val="18"/>
                <w:highlight w:val="yellow"/>
              </w:rPr>
            </w:pPr>
            <w:r w:rsidRPr="00EF56D0">
              <w:rPr>
                <w:b/>
                <w:color w:val="FFFFFF"/>
                <w:sz w:val="18"/>
                <w:highlight w:val="yellow"/>
              </w:rPr>
              <w:t>a.</w:t>
            </w:r>
          </w:p>
        </w:tc>
        <w:tc>
          <w:tcPr>
            <w:tcW w:w="8028" w:type="dxa"/>
          </w:tcPr>
          <w:p w:rsidR="001924CD" w:rsidRPr="00EF56D0" w:rsidRDefault="001924CD" w:rsidP="00BE6F49">
            <w:pPr>
              <w:pStyle w:val="Hlistbullet"/>
              <w:numPr>
                <w:ilvl w:val="0"/>
                <w:numId w:val="0"/>
              </w:numPr>
              <w:spacing w:before="0" w:line="280" w:lineRule="atLeast"/>
              <w:jc w:val="left"/>
              <w:rPr>
                <w:sz w:val="18"/>
                <w:szCs w:val="18"/>
                <w:highlight w:val="yellow"/>
              </w:rPr>
            </w:pPr>
            <w:r w:rsidRPr="00EF56D0">
              <w:rPr>
                <w:sz w:val="18"/>
                <w:highlight w:val="yellow"/>
              </w:rPr>
              <w:t>Przegląd potrzeb w zakresie danych i informacji zgodnie ze wskaźnikami KSOW (produkt, rezultat, oddziaływanie) oraz wybranym podejściem i metodologią ewaluacji.</w:t>
            </w:r>
          </w:p>
        </w:tc>
      </w:tr>
      <w:tr w:rsidR="001924CD" w:rsidRPr="00EF56D0" w:rsidTr="00BE6F49">
        <w:tc>
          <w:tcPr>
            <w:tcW w:w="988" w:type="dxa"/>
            <w:shd w:val="clear" w:color="auto" w:fill="E7E6E6" w:themeFill="background2"/>
          </w:tcPr>
          <w:p w:rsidR="001924CD" w:rsidRPr="00EF56D0" w:rsidRDefault="001924CD" w:rsidP="00BE6F49">
            <w:pPr>
              <w:pStyle w:val="HStandard"/>
              <w:jc w:val="center"/>
              <w:rPr>
                <w:b/>
                <w:color w:val="FFFFFF"/>
                <w:sz w:val="18"/>
                <w:szCs w:val="18"/>
                <w:highlight w:val="yellow"/>
              </w:rPr>
            </w:pPr>
            <w:r w:rsidRPr="00EF56D0">
              <w:rPr>
                <w:b/>
                <w:color w:val="FFFFFF"/>
                <w:sz w:val="18"/>
                <w:highlight w:val="yellow"/>
              </w:rPr>
              <w:t>b.</w:t>
            </w:r>
          </w:p>
        </w:tc>
        <w:tc>
          <w:tcPr>
            <w:tcW w:w="8028" w:type="dxa"/>
          </w:tcPr>
          <w:p w:rsidR="001924CD" w:rsidRPr="00EF56D0" w:rsidRDefault="001924CD" w:rsidP="00BE6F49">
            <w:pPr>
              <w:pStyle w:val="HStandard"/>
              <w:rPr>
                <w:sz w:val="18"/>
                <w:szCs w:val="18"/>
                <w:highlight w:val="yellow"/>
              </w:rPr>
            </w:pPr>
            <w:r w:rsidRPr="00EF56D0">
              <w:rPr>
                <w:sz w:val="18"/>
                <w:highlight w:val="yellow"/>
              </w:rPr>
              <w:t>Wskazanie źródeł danych i informacji oraz rozwiązań mających na celu zapewnienie ich dostępności.</w:t>
            </w:r>
          </w:p>
        </w:tc>
      </w:tr>
      <w:tr w:rsidR="001924CD" w:rsidRPr="00EF56D0" w:rsidTr="00BE6F49">
        <w:tc>
          <w:tcPr>
            <w:tcW w:w="988" w:type="dxa"/>
            <w:shd w:val="clear" w:color="auto" w:fill="E7E6E6" w:themeFill="background2"/>
          </w:tcPr>
          <w:p w:rsidR="001924CD" w:rsidRPr="00EF56D0" w:rsidRDefault="001924CD" w:rsidP="00BE6F49">
            <w:pPr>
              <w:pStyle w:val="HStandard"/>
              <w:jc w:val="center"/>
              <w:rPr>
                <w:b/>
                <w:color w:val="FFFFFF"/>
                <w:sz w:val="18"/>
                <w:szCs w:val="18"/>
                <w:highlight w:val="yellow"/>
              </w:rPr>
            </w:pPr>
            <w:r w:rsidRPr="00EF56D0">
              <w:rPr>
                <w:b/>
                <w:color w:val="FFFFFF"/>
                <w:sz w:val="18"/>
                <w:highlight w:val="yellow"/>
              </w:rPr>
              <w:t>c.</w:t>
            </w:r>
          </w:p>
        </w:tc>
        <w:tc>
          <w:tcPr>
            <w:tcW w:w="8028" w:type="dxa"/>
          </w:tcPr>
          <w:p w:rsidR="001924CD" w:rsidRPr="00EF56D0" w:rsidRDefault="001924CD" w:rsidP="00BE6F49">
            <w:pPr>
              <w:pStyle w:val="Hlistbullet"/>
              <w:numPr>
                <w:ilvl w:val="0"/>
                <w:numId w:val="0"/>
              </w:numPr>
              <w:spacing w:before="0" w:line="280" w:lineRule="atLeast"/>
              <w:jc w:val="left"/>
              <w:rPr>
                <w:sz w:val="18"/>
                <w:szCs w:val="18"/>
                <w:highlight w:val="yellow"/>
              </w:rPr>
            </w:pPr>
            <w:r w:rsidRPr="00EF56D0">
              <w:rPr>
                <w:sz w:val="18"/>
                <w:highlight w:val="yellow"/>
              </w:rPr>
              <w:t>Wskazanie luk w danych i wybór sposobu ich wyeliminowania (w tym określenie zapisów dla ewaluatorów w przyszłych SIWZ).</w:t>
            </w:r>
          </w:p>
        </w:tc>
      </w:tr>
      <w:tr w:rsidR="001924CD" w:rsidRPr="00EF56D0" w:rsidTr="00BE6F49">
        <w:tc>
          <w:tcPr>
            <w:tcW w:w="9016" w:type="dxa"/>
            <w:gridSpan w:val="2"/>
            <w:shd w:val="clear" w:color="auto" w:fill="auto"/>
          </w:tcPr>
          <w:p w:rsidR="001924CD" w:rsidRPr="00EF56D0" w:rsidRDefault="001924CD" w:rsidP="00BE6F49">
            <w:pPr>
              <w:pStyle w:val="HStandard"/>
              <w:jc w:val="left"/>
              <w:rPr>
                <w:sz w:val="18"/>
                <w:szCs w:val="18"/>
                <w:highlight w:val="yellow"/>
              </w:rPr>
            </w:pPr>
            <w:r w:rsidRPr="00EF56D0">
              <w:rPr>
                <w:b/>
                <w:sz w:val="18"/>
                <w:highlight w:val="yellow"/>
              </w:rPr>
              <w:t>Oczekiwany wynik:</w:t>
            </w:r>
            <w:r w:rsidRPr="00EF56D0">
              <w:rPr>
                <w:highlight w:val="yellow"/>
              </w:rPr>
              <w:t xml:space="preserve"> </w:t>
            </w:r>
            <w:r w:rsidRPr="00EF56D0">
              <w:rPr>
                <w:sz w:val="18"/>
                <w:highlight w:val="yellow"/>
              </w:rPr>
              <w:t>Dostęp do istniejących źródeł danych, ustalenie luk w danych i wybór sposobu ich wyeliminowania.</w:t>
            </w:r>
          </w:p>
        </w:tc>
      </w:tr>
    </w:tbl>
    <w:p w:rsidR="001924CD" w:rsidRPr="00EF56D0" w:rsidRDefault="001924CD" w:rsidP="00FC0A30">
      <w:pPr>
        <w:pStyle w:val="HStandard"/>
        <w:rPr>
          <w:highlight w:val="yellow"/>
        </w:rPr>
      </w:pPr>
      <w:r w:rsidRPr="00EF56D0">
        <w:rPr>
          <w:highlight w:val="yellow"/>
        </w:rPr>
        <w:t>Przygotowując ewaluację KSOW, należy sprawdzić, jakiego rodzaju dane i informacje są potrzebne, aby wypełnić wskaźniki i odpowiedzieć na pytania ewaluacyjne. W praktyce zawsze istnieją dane i informacje, które można zebrać poprzez monitorowanie PROW lub za pomocą innych systemów, na przykład:</w:t>
      </w:r>
    </w:p>
    <w:p w:rsidR="001924CD" w:rsidRPr="00EF56D0" w:rsidRDefault="001924CD" w:rsidP="00D322AA">
      <w:pPr>
        <w:pStyle w:val="Hlistbullet"/>
        <w:rPr>
          <w:highlight w:val="yellow"/>
        </w:rPr>
      </w:pPr>
      <w:r w:rsidRPr="00EF56D0">
        <w:rPr>
          <w:highlight w:val="yellow"/>
        </w:rPr>
        <w:t xml:space="preserve">dane z monitorowania (baza danych operacji) dotyczące nakładów i produktów KSOW, </w:t>
      </w:r>
    </w:p>
    <w:p w:rsidR="001924CD" w:rsidRPr="00EF56D0" w:rsidRDefault="001924CD" w:rsidP="00D322AA">
      <w:pPr>
        <w:pStyle w:val="Hlistbullet"/>
        <w:rPr>
          <w:highlight w:val="yellow"/>
        </w:rPr>
      </w:pPr>
      <w:r w:rsidRPr="00EF56D0">
        <w:rPr>
          <w:highlight w:val="yellow"/>
        </w:rPr>
        <w:t>wewnętrzne dane statystyczne JWS i monitorowanie wyników (sprawozdania roczne, opinie na temat imprez i szkoleń, informacje odnoszące się do członków KSOW itp.),</w:t>
      </w:r>
    </w:p>
    <w:p w:rsidR="001924CD" w:rsidRPr="00EF56D0" w:rsidRDefault="001924CD" w:rsidP="00D322AA">
      <w:pPr>
        <w:pStyle w:val="Hlistbullet"/>
        <w:rPr>
          <w:highlight w:val="yellow"/>
        </w:rPr>
      </w:pPr>
      <w:r w:rsidRPr="00EF56D0">
        <w:rPr>
          <w:highlight w:val="yellow"/>
        </w:rPr>
        <w:t xml:space="preserve">informacje na temat wcześniejszych samoocen i ewaluacji KSOW. </w:t>
      </w:r>
    </w:p>
    <w:p w:rsidR="001924CD" w:rsidRPr="00EF56D0" w:rsidRDefault="001924CD" w:rsidP="00FC0A30">
      <w:pPr>
        <w:pStyle w:val="HStandard"/>
        <w:rPr>
          <w:highlight w:val="yellow"/>
        </w:rPr>
      </w:pPr>
      <w:r w:rsidRPr="00EF56D0">
        <w:rPr>
          <w:highlight w:val="yellow"/>
        </w:rPr>
        <w:t>Przegląd źródeł danych i informacji oraz sprawdzenie ich dostępności jest ważnym krokiem w kierunku zapewnienia dowodów do celów ewaluacji KSOW. Czasami potrzebne są specjalne uzgodnienia, aby uzyskać dostęp do istniejących danych i informacji. Powinny się tym zająć władze programu lub JWS, zwłaszcza w przypadkach, gdy należy wziąć pod uwagę aspekty prawne związane z ochroną danych osób prywatnych (np. danych dotyczących beneficjentów będących osobami prywatnymi lub informacji uzyskanych od osób ankietowanych).</w:t>
      </w:r>
    </w:p>
    <w:p w:rsidR="001924CD" w:rsidRPr="00EF56D0" w:rsidRDefault="001924CD" w:rsidP="00FC0A30">
      <w:pPr>
        <w:pStyle w:val="HStandard"/>
        <w:rPr>
          <w:highlight w:val="yellow"/>
        </w:rPr>
      </w:pPr>
      <w:r w:rsidRPr="00EF56D0">
        <w:rPr>
          <w:highlight w:val="yellow"/>
        </w:rPr>
        <w:lastRenderedPageBreak/>
        <w:t xml:space="preserve">Ewaluatorzy mogą przeprowadzić ponowny przegląd istniejących danych na późniejszym etapie realizacji planu działania KSOW (zob. </w:t>
      </w:r>
      <w:r w:rsidRPr="00EF56D0">
        <w:rPr>
          <w:b/>
          <w:color w:val="E7E6E6" w:themeColor="background2"/>
          <w:highlight w:val="yellow"/>
        </w:rPr>
        <w:t>CZĘŚĆ I</w:t>
      </w:r>
      <w:r w:rsidRPr="00EF56D0">
        <w:rPr>
          <w:highlight w:val="yellow"/>
        </w:rPr>
        <w:t>, rozdział 2.2.2 „Przygotowanie ewaluacji KSOW”). W związku z tym ważne jest, aby ewaluatorzy mieli dostęp do wszystkich danych po przystąpieniu do ewaluacji. JWS/IZ mają obowiązek dostarczyć ewaluatorowi wszystkie dostępne dane w trakcie prowadzenia ewaluacji.</w:t>
      </w:r>
    </w:p>
    <w:p w:rsidR="001924CD" w:rsidRPr="00EF56D0" w:rsidRDefault="001924CD" w:rsidP="00FC0A30">
      <w:pPr>
        <w:pStyle w:val="HStandard"/>
        <w:rPr>
          <w:highlight w:val="yellow"/>
        </w:rPr>
      </w:pPr>
      <w:r w:rsidRPr="00EF56D0">
        <w:rPr>
          <w:highlight w:val="yellow"/>
        </w:rPr>
        <w:t xml:space="preserve">Szczególną uwagę należy zwrócić na luki w danych i informacjach oraz sposoby ich eliminacji. Zamawiający (IZ, JWS) decyduje, które dane i informacje można uzyskać z istniejących źródeł, np. poprzez zapewnienie specjalnych rozwiązań, a które brakujące dane i informacje powinny być gromadzone przez ewaluatorów. Wiedza IZ i JWS o dostępności danych i informacji, jakości i lukach wpływa na budżet ewaluacji i specyfikację istotnych warunków zamówienia. Ponadto proces ten może sprawić, że IZ zostanie ostrzeżona o możliwych problemach z danymi, jakie mogłyby wyniknąć w trakcie realizacji planu działania KSOW, na tyle wcześnie, aby można było ich uniknąć. </w:t>
      </w:r>
    </w:p>
    <w:p w:rsidR="001924CD" w:rsidRPr="00EF56D0" w:rsidRDefault="001924CD" w:rsidP="00FC0A30">
      <w:pPr>
        <w:pStyle w:val="HHeading5"/>
        <w:rPr>
          <w:highlight w:val="yellow"/>
        </w:rPr>
      </w:pPr>
      <w:r w:rsidRPr="00EF56D0">
        <w:rPr>
          <w:highlight w:val="yellow"/>
        </w:rPr>
        <w:t xml:space="preserve">Krok 5 – Procedura przetargowa i wybór zewnętrznego ewaluatora </w:t>
      </w:r>
    </w:p>
    <w:p w:rsidR="001924CD" w:rsidRPr="00EF56D0" w:rsidRDefault="001924CD" w:rsidP="00FC0A30">
      <w:pPr>
        <w:pStyle w:val="HStandard"/>
        <w:rPr>
          <w:highlight w:val="yellow"/>
        </w:rPr>
      </w:pPr>
      <w:r w:rsidRPr="00EF56D0">
        <w:rPr>
          <w:b/>
          <w:highlight w:val="yellow"/>
        </w:rPr>
        <w:t>Przygotowanie SIWZ i postępowania przetargowego</w:t>
      </w:r>
      <w:r w:rsidRPr="00EF56D0">
        <w:rPr>
          <w:highlight w:val="yellow"/>
        </w:rPr>
        <w:t xml:space="preserve"> to główne procedury z zakresu wyboru i zatrudnienia zewnętrznego ewaluatora. Wcześniej opisane fazy planowania i przygotowania ewaluacji tworzą podstawę pozwalającą ustalić, które zadania powinny być realizowane przez władze KSOW, a które powinny być przydzielone ewaluatorom i uwzględnione w SIWZ.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EF56D0" w:rsidTr="002730A3">
        <w:tc>
          <w:tcPr>
            <w:tcW w:w="9016" w:type="dxa"/>
            <w:shd w:val="clear" w:color="auto" w:fill="F5F4F4" w:themeFill="background2" w:themeFillTint="66"/>
          </w:tcPr>
          <w:p w:rsidR="001924CD" w:rsidRPr="00EF56D0" w:rsidRDefault="001924CD" w:rsidP="00FC0A30">
            <w:pPr>
              <w:pStyle w:val="HStandard"/>
              <w:rPr>
                <w:highlight w:val="yellow"/>
              </w:rPr>
            </w:pPr>
            <w:r w:rsidRPr="00EF56D0">
              <w:rPr>
                <w:highlight w:val="yellow"/>
              </w:rPr>
              <w:t xml:space="preserve">Pomocne na tym etapie są następujące pytania: </w:t>
            </w:r>
          </w:p>
          <w:p w:rsidR="001924CD" w:rsidRPr="00EF56D0" w:rsidRDefault="001924CD" w:rsidP="001924CD">
            <w:pPr>
              <w:pStyle w:val="Hlistbullet"/>
              <w:tabs>
                <w:tab w:val="left" w:pos="567"/>
              </w:tabs>
              <w:rPr>
                <w:highlight w:val="yellow"/>
              </w:rPr>
            </w:pPr>
            <w:r w:rsidRPr="00EF56D0">
              <w:rPr>
                <w:highlight w:val="yellow"/>
              </w:rPr>
              <w:t>Jakie jest tło ewaluacji?</w:t>
            </w:r>
          </w:p>
          <w:p w:rsidR="001924CD" w:rsidRPr="00EF56D0" w:rsidRDefault="001924CD" w:rsidP="001924CD">
            <w:pPr>
              <w:pStyle w:val="Hlistbullet"/>
              <w:tabs>
                <w:tab w:val="left" w:pos="567"/>
              </w:tabs>
              <w:rPr>
                <w:highlight w:val="yellow"/>
              </w:rPr>
            </w:pPr>
            <w:r w:rsidRPr="00EF56D0">
              <w:rPr>
                <w:highlight w:val="yellow"/>
              </w:rPr>
              <w:t>Co będzie oceniane?</w:t>
            </w:r>
          </w:p>
          <w:p w:rsidR="001924CD" w:rsidRPr="00EF56D0" w:rsidRDefault="001924CD" w:rsidP="001924CD">
            <w:pPr>
              <w:pStyle w:val="Hlistbullet"/>
              <w:tabs>
                <w:tab w:val="left" w:pos="567"/>
              </w:tabs>
              <w:rPr>
                <w:highlight w:val="yellow"/>
              </w:rPr>
            </w:pPr>
            <w:r w:rsidRPr="00EF56D0">
              <w:rPr>
                <w:highlight w:val="yellow"/>
              </w:rPr>
              <w:t>Po co prowadzona jest ewaluacja?</w:t>
            </w:r>
          </w:p>
          <w:p w:rsidR="001924CD" w:rsidRPr="00EF56D0" w:rsidRDefault="001924CD" w:rsidP="001924CD">
            <w:pPr>
              <w:pStyle w:val="Hlistbullet"/>
              <w:tabs>
                <w:tab w:val="left" w:pos="567"/>
              </w:tabs>
              <w:rPr>
                <w:highlight w:val="yellow"/>
              </w:rPr>
            </w:pPr>
            <w:r w:rsidRPr="00EF56D0">
              <w:rPr>
                <w:highlight w:val="yellow"/>
              </w:rPr>
              <w:t>Jakie pytania należy zadać?</w:t>
            </w:r>
          </w:p>
          <w:p w:rsidR="001924CD" w:rsidRPr="00EF56D0" w:rsidRDefault="001924CD" w:rsidP="001924CD">
            <w:pPr>
              <w:pStyle w:val="Hlistbullet"/>
              <w:tabs>
                <w:tab w:val="left" w:pos="567"/>
              </w:tabs>
              <w:rPr>
                <w:highlight w:val="yellow"/>
              </w:rPr>
            </w:pPr>
            <w:r w:rsidRPr="00EF56D0">
              <w:rPr>
                <w:highlight w:val="yellow"/>
              </w:rPr>
              <w:t>Co ewaluator powinien robić w praktyce?</w:t>
            </w:r>
          </w:p>
          <w:p w:rsidR="001924CD" w:rsidRPr="00EF56D0" w:rsidRDefault="001924CD" w:rsidP="001924CD">
            <w:pPr>
              <w:pStyle w:val="Hlistbullet"/>
              <w:tabs>
                <w:tab w:val="left" w:pos="567"/>
              </w:tabs>
              <w:rPr>
                <w:highlight w:val="yellow"/>
              </w:rPr>
            </w:pPr>
            <w:r w:rsidRPr="00EF56D0">
              <w:rPr>
                <w:highlight w:val="yellow"/>
              </w:rPr>
              <w:t>Jakie rodzaje dokumentów/sprawozdań powinien sporządzać ewaluator i w jakich terminach?</w:t>
            </w:r>
          </w:p>
          <w:p w:rsidR="001924CD" w:rsidRPr="00EF56D0" w:rsidRDefault="001924CD" w:rsidP="001924CD">
            <w:pPr>
              <w:pStyle w:val="Hlistbullet"/>
              <w:tabs>
                <w:tab w:val="left" w:pos="567"/>
              </w:tabs>
              <w:rPr>
                <w:highlight w:val="yellow"/>
              </w:rPr>
            </w:pPr>
            <w:r w:rsidRPr="00EF56D0">
              <w:rPr>
                <w:highlight w:val="yellow"/>
              </w:rPr>
              <w:t xml:space="preserve">Jak należy przeprowadzić ewaluację? </w:t>
            </w:r>
          </w:p>
          <w:p w:rsidR="001924CD" w:rsidRPr="00EF56D0" w:rsidRDefault="001924CD" w:rsidP="001924CD">
            <w:pPr>
              <w:pStyle w:val="Hlistbullet"/>
              <w:tabs>
                <w:tab w:val="left" w:pos="567"/>
              </w:tabs>
              <w:rPr>
                <w:highlight w:val="yellow"/>
              </w:rPr>
            </w:pPr>
            <w:r w:rsidRPr="00EF56D0">
              <w:rPr>
                <w:highlight w:val="yellow"/>
              </w:rPr>
              <w:t>Jakie rodzaje danych i informacji istnieją?</w:t>
            </w:r>
          </w:p>
          <w:p w:rsidR="001924CD" w:rsidRPr="00EF56D0" w:rsidRDefault="001924CD" w:rsidP="001924CD">
            <w:pPr>
              <w:pStyle w:val="Hlistbullet"/>
              <w:tabs>
                <w:tab w:val="left" w:pos="567"/>
              </w:tabs>
              <w:rPr>
                <w:highlight w:val="yellow"/>
              </w:rPr>
            </w:pPr>
            <w:r w:rsidRPr="00EF56D0">
              <w:rPr>
                <w:highlight w:val="yellow"/>
              </w:rPr>
              <w:t xml:space="preserve">Jakie dane i informacje powinny być zebrane dodatkowo? </w:t>
            </w:r>
          </w:p>
          <w:p w:rsidR="001924CD" w:rsidRPr="00EF56D0" w:rsidRDefault="001924CD" w:rsidP="001924CD">
            <w:pPr>
              <w:pStyle w:val="Hlistbullet"/>
              <w:tabs>
                <w:tab w:val="left" w:pos="567"/>
              </w:tabs>
              <w:rPr>
                <w:highlight w:val="yellow"/>
              </w:rPr>
            </w:pPr>
            <w:r w:rsidRPr="00EF56D0">
              <w:rPr>
                <w:highlight w:val="yellow"/>
              </w:rPr>
              <w:t>Jakie wymogi obowiązują ewaluatora?</w:t>
            </w:r>
          </w:p>
          <w:p w:rsidR="001924CD" w:rsidRPr="00EF56D0" w:rsidRDefault="001924CD" w:rsidP="001924CD">
            <w:pPr>
              <w:pStyle w:val="Hlistbullet2"/>
              <w:tabs>
                <w:tab w:val="left" w:pos="567"/>
              </w:tabs>
              <w:rPr>
                <w:highlight w:val="yellow"/>
              </w:rPr>
            </w:pPr>
            <w:r w:rsidRPr="00EF56D0">
              <w:rPr>
                <w:highlight w:val="yellow"/>
              </w:rPr>
              <w:t>W jaki sposób zostanie dokonany wybór ewaluatora?</w:t>
            </w:r>
          </w:p>
          <w:p w:rsidR="001924CD" w:rsidRPr="00EF56D0" w:rsidRDefault="001924CD" w:rsidP="001924CD">
            <w:pPr>
              <w:pStyle w:val="Hlistbullet"/>
              <w:tabs>
                <w:tab w:val="left" w:pos="567"/>
              </w:tabs>
              <w:rPr>
                <w:highlight w:val="yellow"/>
              </w:rPr>
            </w:pPr>
            <w:r w:rsidRPr="00EF56D0">
              <w:rPr>
                <w:highlight w:val="yellow"/>
              </w:rPr>
              <w:t>Czy zasoby finansowe i ludzkie wystarczają do przeprowadzenia ewaluacji w pożądanym zakresie?</w:t>
            </w:r>
          </w:p>
          <w:p w:rsidR="001924CD" w:rsidRPr="00EF56D0" w:rsidRDefault="001924CD" w:rsidP="001924CD">
            <w:pPr>
              <w:pStyle w:val="Hlistbullet"/>
              <w:tabs>
                <w:tab w:val="left" w:pos="567"/>
              </w:tabs>
              <w:rPr>
                <w:highlight w:val="yellow"/>
              </w:rPr>
            </w:pPr>
            <w:r w:rsidRPr="00EF56D0">
              <w:rPr>
                <w:highlight w:val="yellow"/>
              </w:rPr>
              <w:t>Czy harmonogram czasowy jest rozsądny? Czy na każdy etap przeznaczono wystarczającą ilość czasu? Czy uwzględniono margines czasowy na sytuacje awaryjne i problemy?</w:t>
            </w:r>
          </w:p>
          <w:p w:rsidR="001924CD" w:rsidRPr="00EF56D0" w:rsidRDefault="001924CD" w:rsidP="001924CD">
            <w:pPr>
              <w:pStyle w:val="Hlistbullet2"/>
              <w:tabs>
                <w:tab w:val="left" w:pos="567"/>
              </w:tabs>
              <w:rPr>
                <w:highlight w:val="yellow"/>
              </w:rPr>
            </w:pPr>
            <w:r w:rsidRPr="00EF56D0">
              <w:rPr>
                <w:highlight w:val="yellow"/>
              </w:rPr>
              <w:t>Jaka jest najlepsza procedura przetargowa dla danej ewaluacji KSOW?</w:t>
            </w:r>
          </w:p>
        </w:tc>
      </w:tr>
    </w:tbl>
    <w:p w:rsidR="001924CD" w:rsidRPr="00EF56D0" w:rsidRDefault="001924CD" w:rsidP="00FC0A30">
      <w:pPr>
        <w:pStyle w:val="HStandard"/>
        <w:rPr>
          <w:highlight w:val="yellow"/>
        </w:rPr>
      </w:pPr>
      <w:r w:rsidRPr="00EF56D0">
        <w:rPr>
          <w:highlight w:val="yellow"/>
        </w:rPr>
        <w:t xml:space="preserve">Etap ten jest realizowany w </w:t>
      </w:r>
      <w:r w:rsidRPr="00EF56D0">
        <w:rPr>
          <w:b/>
          <w:highlight w:val="yellow"/>
        </w:rPr>
        <w:t>następującej kolejności</w:t>
      </w:r>
      <w:r w:rsidRPr="00EF56D0">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924CD" w:rsidRPr="00EF56D0" w:rsidTr="00BE6F49">
        <w:tc>
          <w:tcPr>
            <w:tcW w:w="988" w:type="dxa"/>
            <w:shd w:val="clear" w:color="auto" w:fill="E7E6E6" w:themeFill="background2"/>
          </w:tcPr>
          <w:p w:rsidR="001924CD" w:rsidRPr="00EF56D0" w:rsidRDefault="001924CD" w:rsidP="00BE6F49">
            <w:pPr>
              <w:pStyle w:val="HStandard"/>
              <w:jc w:val="center"/>
              <w:rPr>
                <w:b/>
                <w:color w:val="FFFFFF"/>
                <w:sz w:val="18"/>
                <w:szCs w:val="18"/>
                <w:highlight w:val="yellow"/>
              </w:rPr>
            </w:pPr>
            <w:r w:rsidRPr="00EF56D0">
              <w:rPr>
                <w:b/>
                <w:color w:val="FFFFFF"/>
                <w:sz w:val="18"/>
                <w:highlight w:val="yellow"/>
              </w:rPr>
              <w:t>a.</w:t>
            </w:r>
          </w:p>
        </w:tc>
        <w:tc>
          <w:tcPr>
            <w:tcW w:w="8028" w:type="dxa"/>
          </w:tcPr>
          <w:p w:rsidR="001924CD" w:rsidRPr="00EF56D0" w:rsidRDefault="001924CD" w:rsidP="00BE6F49">
            <w:pPr>
              <w:pStyle w:val="Hlistbullet"/>
              <w:numPr>
                <w:ilvl w:val="0"/>
                <w:numId w:val="0"/>
              </w:numPr>
              <w:spacing w:before="0" w:line="280" w:lineRule="atLeast"/>
              <w:jc w:val="left"/>
              <w:rPr>
                <w:sz w:val="18"/>
                <w:szCs w:val="18"/>
                <w:highlight w:val="yellow"/>
              </w:rPr>
            </w:pPr>
            <w:r w:rsidRPr="00EF56D0">
              <w:rPr>
                <w:sz w:val="18"/>
                <w:highlight w:val="yellow"/>
              </w:rPr>
              <w:t>Opracowanie SIWZ dla ewaluacji zewnętrznej.</w:t>
            </w:r>
          </w:p>
        </w:tc>
      </w:tr>
      <w:tr w:rsidR="001924CD" w:rsidRPr="00EF56D0" w:rsidTr="00BE6F49">
        <w:tc>
          <w:tcPr>
            <w:tcW w:w="988" w:type="dxa"/>
            <w:shd w:val="clear" w:color="auto" w:fill="E7E6E6" w:themeFill="background2"/>
          </w:tcPr>
          <w:p w:rsidR="001924CD" w:rsidRPr="00EF56D0" w:rsidRDefault="001924CD" w:rsidP="00BE6F49">
            <w:pPr>
              <w:pStyle w:val="HStandard"/>
              <w:jc w:val="center"/>
              <w:rPr>
                <w:b/>
                <w:color w:val="FFFFFF"/>
                <w:sz w:val="18"/>
                <w:szCs w:val="18"/>
                <w:highlight w:val="yellow"/>
              </w:rPr>
            </w:pPr>
            <w:r w:rsidRPr="00EF56D0">
              <w:rPr>
                <w:b/>
                <w:color w:val="FFFFFF"/>
                <w:sz w:val="18"/>
                <w:highlight w:val="yellow"/>
              </w:rPr>
              <w:t>b.</w:t>
            </w:r>
          </w:p>
        </w:tc>
        <w:tc>
          <w:tcPr>
            <w:tcW w:w="8028" w:type="dxa"/>
          </w:tcPr>
          <w:p w:rsidR="001924CD" w:rsidRPr="00EF56D0" w:rsidRDefault="001924CD" w:rsidP="00BE6F49">
            <w:pPr>
              <w:pStyle w:val="HStandard"/>
              <w:rPr>
                <w:sz w:val="18"/>
                <w:szCs w:val="18"/>
                <w:highlight w:val="yellow"/>
              </w:rPr>
            </w:pPr>
            <w:r w:rsidRPr="00EF56D0">
              <w:rPr>
                <w:sz w:val="18"/>
                <w:highlight w:val="yellow"/>
              </w:rPr>
              <w:t>Przydział zasobów na ewaluację zewnętrzną jako podstawę planowania i przygotowania ewaluacji.</w:t>
            </w:r>
          </w:p>
        </w:tc>
      </w:tr>
      <w:tr w:rsidR="001924CD" w:rsidRPr="00EF56D0" w:rsidTr="00BE6F49">
        <w:tc>
          <w:tcPr>
            <w:tcW w:w="988" w:type="dxa"/>
            <w:shd w:val="clear" w:color="auto" w:fill="E7E6E6" w:themeFill="background2"/>
          </w:tcPr>
          <w:p w:rsidR="001924CD" w:rsidRPr="00EF56D0" w:rsidRDefault="001924CD" w:rsidP="00BE6F49">
            <w:pPr>
              <w:pStyle w:val="HStandard"/>
              <w:jc w:val="center"/>
              <w:rPr>
                <w:b/>
                <w:color w:val="FFFFFF"/>
                <w:sz w:val="18"/>
                <w:szCs w:val="18"/>
                <w:highlight w:val="yellow"/>
              </w:rPr>
            </w:pPr>
            <w:r w:rsidRPr="00EF56D0">
              <w:rPr>
                <w:b/>
                <w:color w:val="FFFFFF"/>
                <w:sz w:val="18"/>
                <w:highlight w:val="yellow"/>
              </w:rPr>
              <w:t>c.</w:t>
            </w:r>
          </w:p>
        </w:tc>
        <w:tc>
          <w:tcPr>
            <w:tcW w:w="8028" w:type="dxa"/>
          </w:tcPr>
          <w:p w:rsidR="001924CD" w:rsidRPr="00EF56D0" w:rsidRDefault="001924CD" w:rsidP="00BE6F49">
            <w:pPr>
              <w:pStyle w:val="Hlistbullet"/>
              <w:numPr>
                <w:ilvl w:val="0"/>
                <w:numId w:val="0"/>
              </w:numPr>
              <w:spacing w:before="0" w:line="280" w:lineRule="atLeast"/>
              <w:jc w:val="left"/>
              <w:rPr>
                <w:sz w:val="18"/>
                <w:szCs w:val="18"/>
                <w:highlight w:val="yellow"/>
              </w:rPr>
            </w:pPr>
            <w:r w:rsidRPr="00EF56D0">
              <w:rPr>
                <w:sz w:val="18"/>
                <w:highlight w:val="yellow"/>
              </w:rPr>
              <w:t>Przygotowanie i przeprowadzenie procedury przetargowej.</w:t>
            </w:r>
          </w:p>
        </w:tc>
      </w:tr>
      <w:tr w:rsidR="001924CD" w:rsidRPr="00EF56D0" w:rsidTr="00BE6F49">
        <w:tc>
          <w:tcPr>
            <w:tcW w:w="9016" w:type="dxa"/>
            <w:gridSpan w:val="2"/>
            <w:shd w:val="clear" w:color="auto" w:fill="auto"/>
          </w:tcPr>
          <w:p w:rsidR="001924CD" w:rsidRPr="00EF56D0" w:rsidRDefault="001924CD" w:rsidP="00BE6F49">
            <w:pPr>
              <w:pStyle w:val="HStandard"/>
              <w:jc w:val="left"/>
              <w:rPr>
                <w:sz w:val="18"/>
                <w:szCs w:val="18"/>
                <w:highlight w:val="yellow"/>
              </w:rPr>
            </w:pPr>
            <w:r w:rsidRPr="00EF56D0">
              <w:rPr>
                <w:b/>
                <w:sz w:val="18"/>
                <w:highlight w:val="yellow"/>
              </w:rPr>
              <w:t>Oczekiwany wynik:</w:t>
            </w:r>
            <w:r w:rsidRPr="00EF56D0">
              <w:rPr>
                <w:highlight w:val="yellow"/>
              </w:rPr>
              <w:t xml:space="preserve"> </w:t>
            </w:r>
            <w:r w:rsidRPr="00EF56D0">
              <w:rPr>
                <w:sz w:val="18"/>
                <w:highlight w:val="yellow"/>
              </w:rPr>
              <w:t>wybór zewnętrznego ewaluatora.</w:t>
            </w:r>
          </w:p>
        </w:tc>
      </w:tr>
    </w:tbl>
    <w:p w:rsidR="001924CD" w:rsidRPr="00EF56D0" w:rsidRDefault="001924CD" w:rsidP="00FC0A30">
      <w:pPr>
        <w:pStyle w:val="HStandard"/>
        <w:rPr>
          <w:highlight w:val="yellow"/>
        </w:rPr>
      </w:pPr>
      <w:r w:rsidRPr="00EF56D0">
        <w:rPr>
          <w:highlight w:val="yellow"/>
        </w:rPr>
        <w:t>Zamawiający (IZ, JWS) odpowiada za przygotowanie SIWZ i ujęcie w niej specyfiki danej sieci KSOW. Grupa sterująca ds. ewaluacji może wspierać zamawiającego w zakresie określenia i opracowania SIWZ, jeśli otrzyma od IZ mandat ewaluacyjny.</w:t>
      </w:r>
    </w:p>
    <w:p w:rsidR="001924CD" w:rsidRPr="00EF56D0" w:rsidRDefault="001924CD" w:rsidP="00FC0A30">
      <w:pPr>
        <w:pStyle w:val="HHeadingboxes"/>
        <w:rPr>
          <w:highlight w:val="yellow"/>
        </w:rPr>
      </w:pPr>
      <w:bookmarkStart w:id="144" w:name="_Toc390439635"/>
      <w:bookmarkStart w:id="145" w:name="_Toc451781952"/>
      <w:bookmarkStart w:id="146" w:name="_Toc461807155"/>
      <w:r w:rsidRPr="00EF56D0">
        <w:rPr>
          <w:highlight w:val="yellow"/>
        </w:rPr>
        <w:lastRenderedPageBreak/>
        <w:t>Mandat ewaluacyjny</w:t>
      </w:r>
      <w:bookmarkEnd w:id="144"/>
      <w:bookmarkEnd w:id="145"/>
      <w:bookmarkEnd w:id="146"/>
    </w:p>
    <w:p w:rsidR="001924CD" w:rsidRPr="00EF56D0" w:rsidRDefault="001924CD"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sidRPr="00EF56D0">
        <w:rPr>
          <w:highlight w:val="yellow"/>
        </w:rPr>
        <w:t xml:space="preserve">Jeżeli IZ postanowi posłużyć się grupą sterującą ds. ewaluacji, wskazane jest sporządzenie mandatu ewaluacyjnego przed opracowaniem SIWZ. Jest to dokument zawierający krótki i ogólny opis ewaluacji. Należy w nim określić zakres (co będzie oceniane?), kontekst i motywy (jakie są tło i motywy przeprowadzenia ewaluacji?), obowiązki i harmonogram (w jaki sposób praca jest zorganizowana i w jakich ramach czasowych?) oraz cele (czemu powinna służyć ewaluacja?). Mandat ewaluacyjny leży u podstaw opracowania SIWZ, a także programu prac grupy sterującej ds. ewaluacji. </w:t>
      </w:r>
    </w:p>
    <w:p w:rsidR="001924CD" w:rsidRPr="00EF56D0" w:rsidRDefault="001924CD"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sidRPr="00EF56D0">
        <w:rPr>
          <w:highlight w:val="yellow"/>
        </w:rPr>
        <w:t>Inicjatorem mandatu ewaluacyjnego jest zazwyczaj IZ, która również go zatwierdza, a w pracach nad nim wspiera ją grupa sterująca ds. ewaluacji.</w:t>
      </w:r>
    </w:p>
    <w:p w:rsidR="001924CD" w:rsidRPr="00EF56D0" w:rsidRDefault="001924CD" w:rsidP="00FC0A30">
      <w:pPr>
        <w:pStyle w:val="HStandard"/>
        <w:rPr>
          <w:highlight w:val="yellow"/>
        </w:rPr>
      </w:pPr>
      <w:r w:rsidRPr="00EF56D0">
        <w:rPr>
          <w:highlight w:val="yellow"/>
        </w:rPr>
        <w:t xml:space="preserve">Specyfikacja SIWZ powinna wyjaśniać znaczenie realizacji KSOW i brać pod uwagę wielkość budżetu ewaluacji. Powinna również zawierać opis uzasadnienia, zakresu i celów ewaluacji, a także jasny podział ról i obowiązków. Należy uwzględnić wykaz pytań ewaluacyjnych oraz opis zadań i działań do wykonania przez ekspertów zewnętrznych. Należy również wyszczególnić dostępne źródła informacji. Poprawnie sporządzona specyfikacja SIWZ powinna też określać kryteria wyboru ewaluatora, a także kryteria oceny jakości sprawozdania końcowego. </w:t>
      </w:r>
    </w:p>
    <w:p w:rsidR="001924CD" w:rsidRPr="00EF56D0" w:rsidRDefault="001924CD" w:rsidP="00FC0A30">
      <w:pPr>
        <w:pStyle w:val="HStandard"/>
        <w:rPr>
          <w:highlight w:val="yellow"/>
        </w:rPr>
      </w:pPr>
      <w:r w:rsidRPr="00EF56D0">
        <w:rPr>
          <w:highlight w:val="yellow"/>
        </w:rPr>
        <w:t>Nie ma prawnych wymogów co do treści SIWZ. Poniżej przedstawiono zalecane główne elementy, które są zgodne z powszechnymi dobrymi praktykami</w:t>
      </w:r>
      <w:r w:rsidRPr="00EF56D0">
        <w:rPr>
          <w:rFonts w:ascii="ZWAdobeF" w:hAnsi="ZWAdobeF"/>
          <w:color w:val="auto"/>
          <w:sz w:val="2"/>
          <w:highlight w:val="yellow"/>
        </w:rPr>
        <w:t>81F</w:t>
      </w:r>
      <w:r w:rsidRPr="00EF56D0">
        <w:rPr>
          <w:rStyle w:val="FootnoteReference"/>
          <w:highlight w:val="yellow"/>
        </w:rPr>
        <w:footnoteReference w:id="82"/>
      </w:r>
      <w:r w:rsidRPr="00EF56D0">
        <w:rPr>
          <w:highlight w:val="yellow"/>
        </w:rPr>
        <w:t xml:space="preserve">. </w:t>
      </w:r>
    </w:p>
    <w:p w:rsidR="001924CD" w:rsidRPr="00EF56D0" w:rsidRDefault="001924CD" w:rsidP="001413F0">
      <w:pPr>
        <w:pStyle w:val="Hlistbullet"/>
        <w:rPr>
          <w:highlight w:val="yellow"/>
        </w:rPr>
      </w:pPr>
      <w:r w:rsidRPr="00EF56D0">
        <w:rPr>
          <w:highlight w:val="yellow"/>
        </w:rPr>
        <w:t>Kontekst (przeznaczenie, cele i uzasadnienie ewaluacji)</w:t>
      </w:r>
    </w:p>
    <w:p w:rsidR="001924CD" w:rsidRPr="00EF56D0" w:rsidRDefault="001924CD" w:rsidP="001413F0">
      <w:pPr>
        <w:pStyle w:val="Hlistbullet"/>
        <w:rPr>
          <w:highlight w:val="yellow"/>
        </w:rPr>
      </w:pPr>
      <w:r w:rsidRPr="00EF56D0">
        <w:rPr>
          <w:highlight w:val="yellow"/>
        </w:rPr>
        <w:t>Zakres ewaluacji</w:t>
      </w:r>
    </w:p>
    <w:p w:rsidR="001924CD" w:rsidRPr="00EF56D0" w:rsidRDefault="001924CD" w:rsidP="001413F0">
      <w:pPr>
        <w:pStyle w:val="Hlistbullet"/>
        <w:rPr>
          <w:highlight w:val="yellow"/>
        </w:rPr>
      </w:pPr>
      <w:r w:rsidRPr="00EF56D0">
        <w:rPr>
          <w:highlight w:val="yellow"/>
        </w:rPr>
        <w:t>Cele ewaluacji</w:t>
      </w:r>
    </w:p>
    <w:p w:rsidR="001924CD" w:rsidRPr="00EF56D0" w:rsidRDefault="001924CD" w:rsidP="001413F0">
      <w:pPr>
        <w:pStyle w:val="Hlistbullet"/>
        <w:rPr>
          <w:highlight w:val="yellow"/>
        </w:rPr>
      </w:pPr>
      <w:r w:rsidRPr="00EF56D0">
        <w:rPr>
          <w:highlight w:val="yellow"/>
        </w:rPr>
        <w:t>Pytania ewaluacyjne</w:t>
      </w:r>
    </w:p>
    <w:p w:rsidR="001924CD" w:rsidRPr="00EF56D0" w:rsidRDefault="001924CD" w:rsidP="001413F0">
      <w:pPr>
        <w:pStyle w:val="Hlistbullet"/>
        <w:rPr>
          <w:highlight w:val="yellow"/>
        </w:rPr>
      </w:pPr>
      <w:r w:rsidRPr="00EF56D0">
        <w:rPr>
          <w:highlight w:val="yellow"/>
        </w:rPr>
        <w:t>Zadań do wykonania</w:t>
      </w:r>
    </w:p>
    <w:p w:rsidR="001924CD" w:rsidRPr="00EF56D0" w:rsidRDefault="001924CD" w:rsidP="001413F0">
      <w:pPr>
        <w:pStyle w:val="Hlistbullet"/>
        <w:rPr>
          <w:highlight w:val="yellow"/>
        </w:rPr>
      </w:pPr>
      <w:r w:rsidRPr="00EF56D0">
        <w:rPr>
          <w:highlight w:val="yellow"/>
        </w:rPr>
        <w:t>Harmonogram realizacji i opis rezultatów</w:t>
      </w:r>
    </w:p>
    <w:p w:rsidR="001924CD" w:rsidRPr="00EF56D0" w:rsidRDefault="001924CD" w:rsidP="001413F0">
      <w:pPr>
        <w:pStyle w:val="Hlistbullet"/>
        <w:rPr>
          <w:highlight w:val="yellow"/>
        </w:rPr>
      </w:pPr>
      <w:r w:rsidRPr="00EF56D0">
        <w:rPr>
          <w:highlight w:val="yellow"/>
        </w:rPr>
        <w:t>Organizacja pracy</w:t>
      </w:r>
    </w:p>
    <w:p w:rsidR="001924CD" w:rsidRPr="00EF56D0" w:rsidRDefault="001924CD" w:rsidP="001413F0">
      <w:pPr>
        <w:pStyle w:val="Hlistbullet"/>
        <w:rPr>
          <w:highlight w:val="yellow"/>
        </w:rPr>
      </w:pPr>
      <w:r w:rsidRPr="00EF56D0">
        <w:rPr>
          <w:highlight w:val="yellow"/>
        </w:rPr>
        <w:t>Źródła i dokumentacja</w:t>
      </w:r>
    </w:p>
    <w:p w:rsidR="001924CD" w:rsidRPr="00EF56D0" w:rsidRDefault="001924CD" w:rsidP="001413F0">
      <w:pPr>
        <w:pStyle w:val="Hlistbullet"/>
        <w:rPr>
          <w:highlight w:val="yellow"/>
        </w:rPr>
      </w:pPr>
      <w:r w:rsidRPr="00EF56D0">
        <w:rPr>
          <w:highlight w:val="yellow"/>
        </w:rPr>
        <w:t xml:space="preserve">Procedury przetargowe i klauzule umowne. Obejmuje to kryteria wyboru ewaluatora, takie jak: </w:t>
      </w:r>
    </w:p>
    <w:p w:rsidR="001924CD" w:rsidRPr="00EF56D0" w:rsidRDefault="001924CD" w:rsidP="00892664">
      <w:pPr>
        <w:pStyle w:val="Hlistbullet2"/>
        <w:numPr>
          <w:ilvl w:val="1"/>
          <w:numId w:val="16"/>
        </w:numPr>
        <w:tabs>
          <w:tab w:val="left" w:pos="567"/>
        </w:tabs>
        <w:rPr>
          <w:highlight w:val="yellow"/>
        </w:rPr>
      </w:pPr>
      <w:r w:rsidRPr="00EF56D0">
        <w:rPr>
          <w:highlight w:val="yellow"/>
        </w:rPr>
        <w:t xml:space="preserve">wymagany profil ewaluatora, w tym wykształcenie, dotychczasowe doświadczenie (kilkuletnie) w zakresie prowadzenia ewaluacji, referencje i odsyłacze do dotychczasowych sprawozdań, </w:t>
      </w:r>
    </w:p>
    <w:p w:rsidR="001924CD" w:rsidRPr="00EF56D0" w:rsidRDefault="001924CD" w:rsidP="00892664">
      <w:pPr>
        <w:pStyle w:val="Hlistbullet2"/>
        <w:numPr>
          <w:ilvl w:val="1"/>
          <w:numId w:val="16"/>
        </w:numPr>
        <w:tabs>
          <w:tab w:val="left" w:pos="567"/>
        </w:tabs>
        <w:rPr>
          <w:highlight w:val="yellow"/>
        </w:rPr>
      </w:pPr>
      <w:r w:rsidRPr="00EF56D0">
        <w:rPr>
          <w:highlight w:val="yellow"/>
        </w:rPr>
        <w:t xml:space="preserve">proponowane podejście i metody ewaluacji, </w:t>
      </w:r>
    </w:p>
    <w:p w:rsidR="001924CD" w:rsidRPr="00EF56D0" w:rsidRDefault="001924CD" w:rsidP="00892664">
      <w:pPr>
        <w:pStyle w:val="Hlistbullet2"/>
        <w:numPr>
          <w:ilvl w:val="1"/>
          <w:numId w:val="16"/>
        </w:numPr>
        <w:tabs>
          <w:tab w:val="left" w:pos="567"/>
        </w:tabs>
        <w:rPr>
          <w:highlight w:val="yellow"/>
        </w:rPr>
      </w:pPr>
      <w:r w:rsidRPr="00EF56D0">
        <w:rPr>
          <w:highlight w:val="yellow"/>
        </w:rPr>
        <w:t>wymogi dotyczące danych i informacji oraz wskazanie danych, jakie mają być gromadzone przez ewaluatora,</w:t>
      </w:r>
    </w:p>
    <w:p w:rsidR="001924CD" w:rsidRPr="00EF56D0" w:rsidRDefault="001924CD" w:rsidP="00892664">
      <w:pPr>
        <w:pStyle w:val="Hlistbullet2"/>
        <w:numPr>
          <w:ilvl w:val="1"/>
          <w:numId w:val="16"/>
        </w:numPr>
        <w:tabs>
          <w:tab w:val="left" w:pos="567"/>
        </w:tabs>
        <w:rPr>
          <w:highlight w:val="yellow"/>
        </w:rPr>
      </w:pPr>
      <w:r w:rsidRPr="00EF56D0">
        <w:rPr>
          <w:highlight w:val="yellow"/>
        </w:rPr>
        <w:t>proponowany budżet ewaluacji,</w:t>
      </w:r>
    </w:p>
    <w:p w:rsidR="001924CD" w:rsidRPr="00EF56D0" w:rsidRDefault="001924CD" w:rsidP="00892664">
      <w:pPr>
        <w:pStyle w:val="Hlistbullet2"/>
        <w:numPr>
          <w:ilvl w:val="1"/>
          <w:numId w:val="16"/>
        </w:numPr>
        <w:tabs>
          <w:tab w:val="left" w:pos="567"/>
        </w:tabs>
        <w:rPr>
          <w:highlight w:val="yellow"/>
        </w:rPr>
      </w:pPr>
      <w:r w:rsidRPr="00EF56D0">
        <w:rPr>
          <w:highlight w:val="yellow"/>
        </w:rPr>
        <w:t>kryteria oceny jakości sprawozdania końcowego,</w:t>
      </w:r>
    </w:p>
    <w:p w:rsidR="001924CD" w:rsidRPr="00EF56D0" w:rsidRDefault="001924CD" w:rsidP="00892664">
      <w:pPr>
        <w:pStyle w:val="Hlistbullet2"/>
        <w:numPr>
          <w:ilvl w:val="1"/>
          <w:numId w:val="16"/>
        </w:numPr>
        <w:tabs>
          <w:tab w:val="left" w:pos="567"/>
        </w:tabs>
        <w:rPr>
          <w:highlight w:val="yellow"/>
        </w:rPr>
      </w:pPr>
      <w:r w:rsidRPr="00EF56D0">
        <w:rPr>
          <w:highlight w:val="yellow"/>
        </w:rPr>
        <w:t>itd.</w:t>
      </w:r>
    </w:p>
    <w:p w:rsidR="001924CD" w:rsidRPr="00EF56D0" w:rsidRDefault="001924CD" w:rsidP="00FC0A30">
      <w:pPr>
        <w:pStyle w:val="HStandard"/>
        <w:rPr>
          <w:highlight w:val="yellow"/>
        </w:rPr>
      </w:pPr>
      <w:r w:rsidRPr="00EF56D0">
        <w:rPr>
          <w:highlight w:val="yellow"/>
        </w:rPr>
        <w:t>SIWZ powinna dawać ewaluatorowi możliwość zaproponowania podejścia ewaluacyjnego/modelu ewaluacji oraz metodologii, w tym wymaganych danych i informacji. Opracowanie SIWZ jest punktem wyjścia dla procesu strukturyzowania ewaluacji, który następnie będzie kontynuowany przez wybranego ewaluatora.</w:t>
      </w:r>
    </w:p>
    <w:p w:rsidR="001924CD" w:rsidRPr="00EF56D0" w:rsidRDefault="001924CD" w:rsidP="00FC0A30">
      <w:pPr>
        <w:pStyle w:val="HStandard"/>
        <w:rPr>
          <w:highlight w:val="yellow"/>
        </w:rPr>
      </w:pPr>
      <w:r w:rsidRPr="00EF56D0">
        <w:rPr>
          <w:highlight w:val="yellow"/>
        </w:rPr>
        <w:t xml:space="preserve">Ważne jest, aby zamawiający (IZ lub JWS) </w:t>
      </w:r>
      <w:r w:rsidRPr="00EF56D0">
        <w:rPr>
          <w:b/>
          <w:highlight w:val="yellow"/>
        </w:rPr>
        <w:t>przydzielił i zapewnił odpowiednie i wystarczające zasoby ludzkie i finansowe</w:t>
      </w:r>
      <w:r w:rsidRPr="00EF56D0">
        <w:rPr>
          <w:highlight w:val="yellow"/>
        </w:rPr>
        <w:t xml:space="preserve"> (dotyczące zdolności i kwalifikacji personelu IZ i ewaluatorów, dostępnych </w:t>
      </w:r>
      <w:r w:rsidRPr="00EF56D0">
        <w:rPr>
          <w:highlight w:val="yellow"/>
        </w:rPr>
        <w:lastRenderedPageBreak/>
        <w:t xml:space="preserve">danych i informacji, itd.) do przeprowadzenia ewaluacji oraz przewidział odpowiednią ilość czasu na realizację procesu ewaluacji i jego poszczególnych etapów. Przed przystąpieniem do przetargu należy również określić jasne zasady i procedury w zakresie kontaktów pomiędzy ewaluatorem i odpowiedzialnymi organami zarządzającymi. </w:t>
      </w:r>
    </w:p>
    <w:p w:rsidR="001924CD" w:rsidRPr="00EF56D0" w:rsidRDefault="001924CD" w:rsidP="001413F0">
      <w:pPr>
        <w:pStyle w:val="HStandard"/>
        <w:rPr>
          <w:highlight w:val="yellow"/>
        </w:rPr>
      </w:pPr>
      <w:r w:rsidRPr="00EF56D0">
        <w:rPr>
          <w:highlight w:val="yellow"/>
        </w:rPr>
        <w:t xml:space="preserve">Zamawiający (IZ lub JWS) powinien wreszcie wybrać </w:t>
      </w:r>
      <w:r w:rsidRPr="00EF56D0">
        <w:rPr>
          <w:b/>
          <w:highlight w:val="yellow"/>
        </w:rPr>
        <w:t>procedurę przetargową</w:t>
      </w:r>
      <w:r w:rsidRPr="00EF56D0">
        <w:rPr>
          <w:highlight w:val="yellow"/>
        </w:rPr>
        <w:t>. Wybór zależy od przyjętego sposobu zatrudnienia ewaluatora (procedura otwarta, powołanie zespołu, bezpośrednie zamówienie). W każdym przypadku należy przestrzegać obowiązujących procedur przetargowych. Przed ogłoszeniem przetargu należy upewnić się, czy wszystkie przepisy dotyczące przetargów są przestrzegane. Jeżeli IZ posiada długoterminową umowę z ewaluatorem, ewaluacja KSOW powinna być wymieniona w pierwotnej ofercie i umowie z ewaluatorem, aby można było ją przeprowadzić bez dodatkowego przetargu. W przeciwnym razie należy stosować się do obowiązujących procedur w zakresie zamówień publicznych.</w:t>
      </w:r>
    </w:p>
    <w:p w:rsidR="001924CD" w:rsidRPr="00EF56D0" w:rsidRDefault="001924CD" w:rsidP="00922CBE">
      <w:pPr>
        <w:pStyle w:val="HHeadingfigures"/>
        <w:rPr>
          <w:noProof/>
          <w:highlight w:val="yellow"/>
        </w:rPr>
      </w:pPr>
      <w:bookmarkStart w:id="147" w:name="_Toc445465131"/>
      <w:bookmarkStart w:id="148" w:name="_Toc451781934"/>
      <w:bookmarkStart w:id="149" w:name="_Toc461807152"/>
      <w:r w:rsidRPr="00EF56D0">
        <w:rPr>
          <w:highlight w:val="yellow"/>
        </w:rPr>
        <w:t>Obowiązki zainteresowanych podmiotów w zakresie przygotowania ewaluacji KSOW</w:t>
      </w:r>
      <w:bookmarkEnd w:id="147"/>
      <w:bookmarkEnd w:id="148"/>
      <w:bookmarkEnd w:id="149"/>
    </w:p>
    <w:tbl>
      <w:tblPr>
        <w:tblStyle w:val="TableGrid"/>
        <w:tblW w:w="906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746"/>
        <w:gridCol w:w="1742"/>
        <w:gridCol w:w="1555"/>
        <w:gridCol w:w="1484"/>
        <w:gridCol w:w="2036"/>
        <w:gridCol w:w="1499"/>
      </w:tblGrid>
      <w:tr w:rsidR="001924CD" w:rsidRPr="00EF56D0" w:rsidTr="001413F0">
        <w:trPr>
          <w:trHeight w:val="497"/>
        </w:trPr>
        <w:tc>
          <w:tcPr>
            <w:tcW w:w="746" w:type="dxa"/>
            <w:tcBorders>
              <w:top w:val="nil"/>
              <w:left w:val="nil"/>
              <w:bottom w:val="single" w:sz="4" w:space="0" w:color="000000" w:themeColor="text1"/>
            </w:tcBorders>
          </w:tcPr>
          <w:p w:rsidR="001924CD" w:rsidRPr="00EF56D0" w:rsidRDefault="001924CD" w:rsidP="001413F0">
            <w:pPr>
              <w:jc w:val="center"/>
              <w:rPr>
                <w:rFonts w:cs="Arial"/>
                <w:b/>
                <w:szCs w:val="18"/>
                <w:highlight w:val="yellow"/>
              </w:rPr>
            </w:pPr>
          </w:p>
        </w:tc>
        <w:tc>
          <w:tcPr>
            <w:tcW w:w="1742" w:type="dxa"/>
            <w:shd w:val="clear" w:color="auto" w:fill="E7E6E6" w:themeFill="background2"/>
          </w:tcPr>
          <w:p w:rsidR="001924CD" w:rsidRPr="00EF56D0" w:rsidRDefault="001924CD" w:rsidP="001413F0">
            <w:pPr>
              <w:jc w:val="center"/>
              <w:rPr>
                <w:rFonts w:cs="Arial"/>
                <w:b/>
                <w:color w:val="5B9BD5" w:themeColor="accent1"/>
                <w:szCs w:val="18"/>
                <w:highlight w:val="yellow"/>
              </w:rPr>
            </w:pPr>
            <w:r w:rsidRPr="00EF56D0">
              <w:rPr>
                <w:b/>
                <w:color w:val="5B9BD5" w:themeColor="accent1"/>
                <w:highlight w:val="yellow"/>
              </w:rPr>
              <w:t>Działania</w:t>
            </w:r>
          </w:p>
        </w:tc>
        <w:tc>
          <w:tcPr>
            <w:tcW w:w="6574" w:type="dxa"/>
            <w:gridSpan w:val="4"/>
            <w:shd w:val="clear" w:color="auto" w:fill="E7E6E6" w:themeFill="background2"/>
          </w:tcPr>
          <w:p w:rsidR="001924CD" w:rsidRPr="00EF56D0" w:rsidRDefault="001924CD" w:rsidP="001413F0">
            <w:pPr>
              <w:jc w:val="center"/>
              <w:rPr>
                <w:rFonts w:cs="Arial"/>
                <w:b/>
                <w:i/>
                <w:color w:val="5B9BD5" w:themeColor="accent1"/>
                <w:szCs w:val="18"/>
                <w:highlight w:val="yellow"/>
              </w:rPr>
            </w:pPr>
            <w:r w:rsidRPr="00EF56D0">
              <w:rPr>
                <w:b/>
                <w:color w:val="5B9BD5" w:themeColor="accent1"/>
                <w:highlight w:val="yellow"/>
              </w:rPr>
              <w:t>Podmioty</w:t>
            </w:r>
          </w:p>
        </w:tc>
      </w:tr>
      <w:tr w:rsidR="001924CD" w:rsidRPr="00EF56D0" w:rsidTr="001413F0">
        <w:trPr>
          <w:cantSplit/>
          <w:trHeight w:val="1134"/>
        </w:trPr>
        <w:tc>
          <w:tcPr>
            <w:tcW w:w="746" w:type="dxa"/>
            <w:shd w:val="clear" w:color="auto" w:fill="E7E6E6" w:themeFill="background2"/>
            <w:textDirection w:val="tbRl"/>
          </w:tcPr>
          <w:p w:rsidR="001924CD" w:rsidRPr="00EF56D0" w:rsidRDefault="001924CD" w:rsidP="001413F0">
            <w:pPr>
              <w:jc w:val="center"/>
              <w:rPr>
                <w:rFonts w:cs="Arial"/>
                <w:b/>
                <w:color w:val="5B9BD5" w:themeColor="accent1"/>
                <w:szCs w:val="18"/>
                <w:highlight w:val="yellow"/>
              </w:rPr>
            </w:pPr>
            <w:r w:rsidRPr="00EF56D0">
              <w:rPr>
                <w:b/>
                <w:color w:val="5B9BD5" w:themeColor="accent1"/>
                <w:highlight w:val="yellow"/>
              </w:rPr>
              <w:t>Faza</w:t>
            </w:r>
          </w:p>
        </w:tc>
        <w:tc>
          <w:tcPr>
            <w:tcW w:w="1742" w:type="dxa"/>
          </w:tcPr>
          <w:p w:rsidR="001924CD" w:rsidRPr="00EF56D0" w:rsidRDefault="001924CD" w:rsidP="001413F0">
            <w:pPr>
              <w:rPr>
                <w:rFonts w:cs="Arial"/>
                <w:b/>
                <w:color w:val="E7E6E6" w:themeColor="background2"/>
                <w:szCs w:val="18"/>
                <w:highlight w:val="yellow"/>
              </w:rPr>
            </w:pPr>
            <w:r w:rsidRPr="00EF56D0">
              <w:rPr>
                <w:b/>
                <w:color w:val="E7E6E6" w:themeColor="background2"/>
                <w:highlight w:val="yellow"/>
              </w:rPr>
              <w:t>Etap</w:t>
            </w:r>
          </w:p>
        </w:tc>
        <w:tc>
          <w:tcPr>
            <w:tcW w:w="1555" w:type="dxa"/>
          </w:tcPr>
          <w:p w:rsidR="001924CD" w:rsidRPr="00EF56D0" w:rsidRDefault="001924CD" w:rsidP="001413F0">
            <w:pPr>
              <w:rPr>
                <w:rFonts w:cs="Arial"/>
                <w:i/>
                <w:szCs w:val="18"/>
                <w:highlight w:val="yellow"/>
              </w:rPr>
            </w:pPr>
            <w:r w:rsidRPr="00EF56D0">
              <w:rPr>
                <w:i/>
                <w:highlight w:val="yellow"/>
              </w:rPr>
              <w:t>IZ</w:t>
            </w:r>
          </w:p>
        </w:tc>
        <w:tc>
          <w:tcPr>
            <w:tcW w:w="1484" w:type="dxa"/>
          </w:tcPr>
          <w:p w:rsidR="001924CD" w:rsidRPr="00EF56D0" w:rsidRDefault="001924CD" w:rsidP="001413F0">
            <w:pPr>
              <w:rPr>
                <w:rFonts w:cs="Arial"/>
                <w:i/>
                <w:szCs w:val="18"/>
                <w:highlight w:val="yellow"/>
              </w:rPr>
            </w:pPr>
            <w:r w:rsidRPr="00EF56D0">
              <w:rPr>
                <w:i/>
                <w:highlight w:val="yellow"/>
              </w:rPr>
              <w:t>inne jednostki IZ</w:t>
            </w:r>
          </w:p>
        </w:tc>
        <w:tc>
          <w:tcPr>
            <w:tcW w:w="2036" w:type="dxa"/>
          </w:tcPr>
          <w:p w:rsidR="001924CD" w:rsidRPr="00EF56D0" w:rsidRDefault="001924CD" w:rsidP="001413F0">
            <w:pPr>
              <w:rPr>
                <w:rFonts w:cs="Arial"/>
                <w:i/>
                <w:szCs w:val="18"/>
                <w:highlight w:val="yellow"/>
              </w:rPr>
            </w:pPr>
            <w:r w:rsidRPr="00EF56D0">
              <w:rPr>
                <w:i/>
                <w:highlight w:val="yellow"/>
              </w:rPr>
              <w:t>JWS</w:t>
            </w:r>
          </w:p>
        </w:tc>
        <w:tc>
          <w:tcPr>
            <w:tcW w:w="1499" w:type="dxa"/>
          </w:tcPr>
          <w:p w:rsidR="001924CD" w:rsidRPr="00EF56D0" w:rsidRDefault="001924CD" w:rsidP="001413F0">
            <w:pPr>
              <w:rPr>
                <w:rFonts w:cs="Arial"/>
                <w:i/>
                <w:szCs w:val="18"/>
                <w:highlight w:val="yellow"/>
              </w:rPr>
            </w:pPr>
            <w:r w:rsidRPr="00EF56D0">
              <w:rPr>
                <w:i/>
                <w:highlight w:val="yellow"/>
              </w:rPr>
              <w:t>Inne</w:t>
            </w:r>
          </w:p>
        </w:tc>
      </w:tr>
      <w:tr w:rsidR="001924CD" w:rsidRPr="00EF56D0" w:rsidTr="001413F0">
        <w:tc>
          <w:tcPr>
            <w:tcW w:w="746" w:type="dxa"/>
            <w:vMerge w:val="restart"/>
            <w:shd w:val="clear" w:color="auto" w:fill="E7E6E6" w:themeFill="background2"/>
            <w:textDirection w:val="tbRl"/>
          </w:tcPr>
          <w:p w:rsidR="001924CD" w:rsidRPr="00EF56D0" w:rsidRDefault="001924CD" w:rsidP="001413F0">
            <w:pPr>
              <w:jc w:val="center"/>
              <w:rPr>
                <w:rFonts w:cs="Arial"/>
                <w:b/>
                <w:color w:val="5B9BD5" w:themeColor="accent1"/>
                <w:szCs w:val="18"/>
                <w:highlight w:val="yellow"/>
              </w:rPr>
            </w:pPr>
            <w:r w:rsidRPr="00EF56D0">
              <w:rPr>
                <w:b/>
                <w:color w:val="5B9BD5" w:themeColor="accent1"/>
                <w:highlight w:val="yellow"/>
              </w:rPr>
              <w:t>Przygotowanie</w:t>
            </w:r>
          </w:p>
        </w:tc>
        <w:tc>
          <w:tcPr>
            <w:tcW w:w="1742" w:type="dxa"/>
          </w:tcPr>
          <w:p w:rsidR="001924CD" w:rsidRPr="00EF56D0" w:rsidRDefault="001924CD" w:rsidP="001413F0">
            <w:pPr>
              <w:rPr>
                <w:rFonts w:cs="Arial"/>
                <w:b/>
                <w:color w:val="E7E6E6" w:themeColor="background2"/>
                <w:szCs w:val="18"/>
                <w:highlight w:val="yellow"/>
              </w:rPr>
            </w:pPr>
            <w:r w:rsidRPr="00EF56D0">
              <w:rPr>
                <w:b/>
                <w:color w:val="E7E6E6" w:themeColor="background2"/>
                <w:highlight w:val="yellow"/>
              </w:rPr>
              <w:t>Opracowanie logiki interwencji</w:t>
            </w:r>
          </w:p>
        </w:tc>
        <w:tc>
          <w:tcPr>
            <w:tcW w:w="1555" w:type="dxa"/>
          </w:tcPr>
          <w:p w:rsidR="001924CD" w:rsidRPr="00EF56D0" w:rsidRDefault="001924CD" w:rsidP="001413F0">
            <w:pPr>
              <w:rPr>
                <w:rFonts w:cs="Arial"/>
                <w:szCs w:val="18"/>
                <w:highlight w:val="yellow"/>
              </w:rPr>
            </w:pPr>
            <w:r w:rsidRPr="00EF56D0">
              <w:rPr>
                <w:highlight w:val="yellow"/>
              </w:rPr>
              <w:t>Odpowiedzialna / uczestniczy</w:t>
            </w:r>
          </w:p>
        </w:tc>
        <w:tc>
          <w:tcPr>
            <w:tcW w:w="1484" w:type="dxa"/>
          </w:tcPr>
          <w:p w:rsidR="001924CD" w:rsidRPr="00EF56D0" w:rsidRDefault="001924CD" w:rsidP="001413F0">
            <w:pPr>
              <w:rPr>
                <w:rFonts w:cs="Arial"/>
                <w:szCs w:val="18"/>
                <w:highlight w:val="yellow"/>
              </w:rPr>
            </w:pPr>
            <w:r w:rsidRPr="00EF56D0">
              <w:rPr>
                <w:highlight w:val="yellow"/>
              </w:rPr>
              <w:t>Może wspierać, jeśli jest jednostką ds. ewaluacji</w:t>
            </w:r>
          </w:p>
        </w:tc>
        <w:tc>
          <w:tcPr>
            <w:tcW w:w="2036" w:type="dxa"/>
          </w:tcPr>
          <w:p w:rsidR="001924CD" w:rsidRPr="00EF56D0" w:rsidRDefault="001924CD" w:rsidP="001413F0">
            <w:pPr>
              <w:rPr>
                <w:rFonts w:cs="Arial"/>
                <w:szCs w:val="18"/>
                <w:highlight w:val="yellow"/>
              </w:rPr>
            </w:pPr>
            <w:r w:rsidRPr="00EF56D0">
              <w:rPr>
                <w:highlight w:val="yellow"/>
              </w:rPr>
              <w:t>Uczestniczy / odpowiedzialna</w:t>
            </w:r>
          </w:p>
        </w:tc>
        <w:tc>
          <w:tcPr>
            <w:tcW w:w="1499" w:type="dxa"/>
          </w:tcPr>
          <w:p w:rsidR="001924CD" w:rsidRPr="00EF56D0" w:rsidRDefault="001924CD" w:rsidP="001413F0">
            <w:pPr>
              <w:rPr>
                <w:rFonts w:cs="Arial"/>
                <w:szCs w:val="18"/>
                <w:highlight w:val="yellow"/>
              </w:rPr>
            </w:pPr>
          </w:p>
        </w:tc>
      </w:tr>
      <w:tr w:rsidR="001924CD" w:rsidRPr="00EF56D0" w:rsidTr="001413F0">
        <w:tc>
          <w:tcPr>
            <w:tcW w:w="746" w:type="dxa"/>
            <w:vMerge/>
            <w:shd w:val="clear" w:color="auto" w:fill="E7E6E6" w:themeFill="background2"/>
            <w:textDirection w:val="tbRl"/>
          </w:tcPr>
          <w:p w:rsidR="001924CD" w:rsidRPr="00EF56D0" w:rsidRDefault="001924CD" w:rsidP="00FC0A30">
            <w:pPr>
              <w:rPr>
                <w:rFonts w:cs="Arial"/>
                <w:b/>
                <w:szCs w:val="18"/>
                <w:highlight w:val="yellow"/>
              </w:rPr>
            </w:pPr>
          </w:p>
        </w:tc>
        <w:tc>
          <w:tcPr>
            <w:tcW w:w="1742" w:type="dxa"/>
          </w:tcPr>
          <w:p w:rsidR="001924CD" w:rsidRPr="00EF56D0" w:rsidRDefault="001924CD" w:rsidP="001413F0">
            <w:pPr>
              <w:rPr>
                <w:rFonts w:cs="Arial"/>
                <w:b/>
                <w:color w:val="E7E6E6" w:themeColor="background2"/>
                <w:szCs w:val="18"/>
                <w:highlight w:val="yellow"/>
              </w:rPr>
            </w:pPr>
            <w:r w:rsidRPr="00EF56D0">
              <w:rPr>
                <w:b/>
                <w:color w:val="E7E6E6" w:themeColor="background2"/>
                <w:highlight w:val="yellow"/>
              </w:rPr>
              <w:t>Pytania ewaluacyjne i wskaźniki</w:t>
            </w:r>
          </w:p>
        </w:tc>
        <w:tc>
          <w:tcPr>
            <w:tcW w:w="1555" w:type="dxa"/>
          </w:tcPr>
          <w:p w:rsidR="001924CD" w:rsidRPr="00EF56D0" w:rsidRDefault="001924CD" w:rsidP="001413F0">
            <w:pPr>
              <w:rPr>
                <w:rFonts w:cs="Arial"/>
                <w:szCs w:val="18"/>
                <w:highlight w:val="yellow"/>
              </w:rPr>
            </w:pPr>
            <w:r w:rsidRPr="00EF56D0">
              <w:rPr>
                <w:highlight w:val="yellow"/>
              </w:rPr>
              <w:t>Odpowiedzialna / uczestniczy</w:t>
            </w:r>
          </w:p>
        </w:tc>
        <w:tc>
          <w:tcPr>
            <w:tcW w:w="1484" w:type="dxa"/>
          </w:tcPr>
          <w:p w:rsidR="001924CD" w:rsidRPr="00EF56D0" w:rsidRDefault="001924CD" w:rsidP="001413F0">
            <w:pPr>
              <w:rPr>
                <w:rFonts w:cs="Arial"/>
                <w:szCs w:val="18"/>
                <w:highlight w:val="yellow"/>
              </w:rPr>
            </w:pPr>
            <w:r w:rsidRPr="00EF56D0">
              <w:rPr>
                <w:highlight w:val="yellow"/>
              </w:rPr>
              <w:t>Może wspierać, jeśli jest jednostką ds. ewaluacji</w:t>
            </w:r>
          </w:p>
        </w:tc>
        <w:tc>
          <w:tcPr>
            <w:tcW w:w="2036" w:type="dxa"/>
          </w:tcPr>
          <w:p w:rsidR="001924CD" w:rsidRPr="00EF56D0" w:rsidRDefault="001924CD" w:rsidP="001413F0">
            <w:pPr>
              <w:rPr>
                <w:rFonts w:cs="Arial"/>
                <w:szCs w:val="18"/>
                <w:highlight w:val="yellow"/>
              </w:rPr>
            </w:pPr>
            <w:r w:rsidRPr="00EF56D0">
              <w:rPr>
                <w:highlight w:val="yellow"/>
              </w:rPr>
              <w:t>Uczestniczy / odpowiedzialna</w:t>
            </w:r>
          </w:p>
        </w:tc>
        <w:tc>
          <w:tcPr>
            <w:tcW w:w="1499" w:type="dxa"/>
          </w:tcPr>
          <w:p w:rsidR="001924CD" w:rsidRPr="00EF56D0" w:rsidRDefault="001924CD" w:rsidP="001413F0">
            <w:pPr>
              <w:rPr>
                <w:rFonts w:cs="Arial"/>
                <w:szCs w:val="18"/>
                <w:highlight w:val="yellow"/>
              </w:rPr>
            </w:pPr>
            <w:r w:rsidRPr="00EF56D0">
              <w:rPr>
                <w:highlight w:val="yellow"/>
              </w:rPr>
              <w:t>Ew. GS uczestniczy</w:t>
            </w:r>
          </w:p>
        </w:tc>
      </w:tr>
      <w:tr w:rsidR="001924CD" w:rsidRPr="00EF56D0" w:rsidTr="001413F0">
        <w:tc>
          <w:tcPr>
            <w:tcW w:w="746" w:type="dxa"/>
            <w:vMerge/>
            <w:shd w:val="clear" w:color="auto" w:fill="E7E6E6" w:themeFill="background2"/>
            <w:textDirection w:val="tbRl"/>
          </w:tcPr>
          <w:p w:rsidR="001924CD" w:rsidRPr="00EF56D0" w:rsidRDefault="001924CD" w:rsidP="00FC0A30">
            <w:pPr>
              <w:rPr>
                <w:rFonts w:cs="Arial"/>
                <w:b/>
                <w:szCs w:val="18"/>
                <w:highlight w:val="yellow"/>
              </w:rPr>
            </w:pPr>
          </w:p>
        </w:tc>
        <w:tc>
          <w:tcPr>
            <w:tcW w:w="1742" w:type="dxa"/>
          </w:tcPr>
          <w:p w:rsidR="001924CD" w:rsidRPr="00EF56D0" w:rsidRDefault="001924CD" w:rsidP="001413F0">
            <w:pPr>
              <w:rPr>
                <w:rFonts w:cs="Arial"/>
                <w:b/>
                <w:color w:val="E7E6E6" w:themeColor="background2"/>
                <w:szCs w:val="18"/>
                <w:highlight w:val="yellow"/>
              </w:rPr>
            </w:pPr>
            <w:r w:rsidRPr="00EF56D0">
              <w:rPr>
                <w:b/>
                <w:color w:val="E7E6E6" w:themeColor="background2"/>
                <w:highlight w:val="yellow"/>
              </w:rPr>
              <w:t>Podejście ewaluacyjne</w:t>
            </w:r>
          </w:p>
        </w:tc>
        <w:tc>
          <w:tcPr>
            <w:tcW w:w="1555" w:type="dxa"/>
          </w:tcPr>
          <w:p w:rsidR="001924CD" w:rsidRPr="00EF56D0" w:rsidRDefault="001924CD" w:rsidP="001413F0">
            <w:pPr>
              <w:rPr>
                <w:rFonts w:cs="Arial"/>
                <w:szCs w:val="18"/>
                <w:highlight w:val="yellow"/>
              </w:rPr>
            </w:pPr>
            <w:r w:rsidRPr="00EF56D0">
              <w:rPr>
                <w:highlight w:val="yellow"/>
              </w:rPr>
              <w:t>Odpowiedzialna / uczestniczy</w:t>
            </w:r>
          </w:p>
        </w:tc>
        <w:tc>
          <w:tcPr>
            <w:tcW w:w="1484" w:type="dxa"/>
          </w:tcPr>
          <w:p w:rsidR="001924CD" w:rsidRPr="00EF56D0" w:rsidRDefault="001924CD" w:rsidP="001413F0">
            <w:pPr>
              <w:rPr>
                <w:rFonts w:cs="Arial"/>
                <w:szCs w:val="18"/>
                <w:highlight w:val="yellow"/>
              </w:rPr>
            </w:pPr>
            <w:r w:rsidRPr="00EF56D0">
              <w:rPr>
                <w:highlight w:val="yellow"/>
              </w:rPr>
              <w:t>Może wspierać, jeśli jest jednostką ds. ewaluacji</w:t>
            </w:r>
          </w:p>
        </w:tc>
        <w:tc>
          <w:tcPr>
            <w:tcW w:w="2036" w:type="dxa"/>
          </w:tcPr>
          <w:p w:rsidR="001924CD" w:rsidRPr="00EF56D0" w:rsidRDefault="001924CD" w:rsidP="001413F0">
            <w:pPr>
              <w:rPr>
                <w:rFonts w:cs="Arial"/>
                <w:szCs w:val="18"/>
                <w:highlight w:val="yellow"/>
              </w:rPr>
            </w:pPr>
            <w:r w:rsidRPr="00EF56D0">
              <w:rPr>
                <w:highlight w:val="yellow"/>
              </w:rPr>
              <w:t>Uczestniczy / odpowiedzialna</w:t>
            </w:r>
          </w:p>
        </w:tc>
        <w:tc>
          <w:tcPr>
            <w:tcW w:w="1499" w:type="dxa"/>
          </w:tcPr>
          <w:p w:rsidR="001924CD" w:rsidRPr="00EF56D0" w:rsidRDefault="001924CD" w:rsidP="001413F0">
            <w:pPr>
              <w:rPr>
                <w:rFonts w:cs="Arial"/>
                <w:szCs w:val="18"/>
                <w:highlight w:val="yellow"/>
              </w:rPr>
            </w:pPr>
            <w:r w:rsidRPr="00EF56D0">
              <w:rPr>
                <w:highlight w:val="yellow"/>
              </w:rPr>
              <w:t>Ew. GS uczestniczy</w:t>
            </w:r>
          </w:p>
        </w:tc>
      </w:tr>
      <w:tr w:rsidR="001924CD" w:rsidRPr="00EF56D0" w:rsidTr="001413F0">
        <w:tc>
          <w:tcPr>
            <w:tcW w:w="746" w:type="dxa"/>
            <w:vMerge/>
            <w:shd w:val="clear" w:color="auto" w:fill="E7E6E6" w:themeFill="background2"/>
            <w:textDirection w:val="tbRl"/>
          </w:tcPr>
          <w:p w:rsidR="001924CD" w:rsidRPr="00EF56D0" w:rsidRDefault="001924CD" w:rsidP="00FC0A30">
            <w:pPr>
              <w:rPr>
                <w:rFonts w:cs="Arial"/>
                <w:b/>
                <w:szCs w:val="18"/>
                <w:highlight w:val="yellow"/>
              </w:rPr>
            </w:pPr>
          </w:p>
        </w:tc>
        <w:tc>
          <w:tcPr>
            <w:tcW w:w="1742" w:type="dxa"/>
          </w:tcPr>
          <w:p w:rsidR="001924CD" w:rsidRPr="00EF56D0" w:rsidRDefault="001924CD" w:rsidP="001413F0">
            <w:pPr>
              <w:rPr>
                <w:rFonts w:cs="Arial"/>
                <w:b/>
                <w:color w:val="E7E6E6" w:themeColor="background2"/>
                <w:szCs w:val="18"/>
                <w:highlight w:val="yellow"/>
              </w:rPr>
            </w:pPr>
            <w:r w:rsidRPr="00EF56D0">
              <w:rPr>
                <w:b/>
                <w:color w:val="E7E6E6" w:themeColor="background2"/>
                <w:highlight w:val="yellow"/>
              </w:rPr>
              <w:t>Sprawdzenie źródeł informacji i danych</w:t>
            </w:r>
          </w:p>
        </w:tc>
        <w:tc>
          <w:tcPr>
            <w:tcW w:w="1555" w:type="dxa"/>
          </w:tcPr>
          <w:p w:rsidR="001924CD" w:rsidRPr="00EF56D0" w:rsidRDefault="001924CD" w:rsidP="001413F0">
            <w:pPr>
              <w:rPr>
                <w:rFonts w:cs="Arial"/>
                <w:szCs w:val="18"/>
                <w:highlight w:val="yellow"/>
              </w:rPr>
            </w:pPr>
            <w:r w:rsidRPr="00EF56D0">
              <w:rPr>
                <w:highlight w:val="yellow"/>
              </w:rPr>
              <w:t>Odpowiedzialna / uczestniczy</w:t>
            </w:r>
          </w:p>
        </w:tc>
        <w:tc>
          <w:tcPr>
            <w:tcW w:w="1484" w:type="dxa"/>
          </w:tcPr>
          <w:p w:rsidR="001924CD" w:rsidRPr="00EF56D0" w:rsidRDefault="001924CD" w:rsidP="001413F0">
            <w:pPr>
              <w:rPr>
                <w:rFonts w:cs="Arial"/>
                <w:szCs w:val="18"/>
                <w:highlight w:val="yellow"/>
              </w:rPr>
            </w:pPr>
            <w:r w:rsidRPr="00EF56D0">
              <w:rPr>
                <w:highlight w:val="yellow"/>
              </w:rPr>
              <w:t>Może wspierać, jeśli jest jednostką ds. ewaluacji</w:t>
            </w:r>
          </w:p>
        </w:tc>
        <w:tc>
          <w:tcPr>
            <w:tcW w:w="2036" w:type="dxa"/>
          </w:tcPr>
          <w:p w:rsidR="001924CD" w:rsidRPr="00EF56D0" w:rsidRDefault="001924CD" w:rsidP="001413F0">
            <w:pPr>
              <w:rPr>
                <w:rFonts w:cs="Arial"/>
                <w:szCs w:val="18"/>
                <w:highlight w:val="yellow"/>
              </w:rPr>
            </w:pPr>
            <w:r w:rsidRPr="00EF56D0">
              <w:rPr>
                <w:highlight w:val="yellow"/>
              </w:rPr>
              <w:t>Uczestniczy / odpowiedzialna, sprawdza dane i informacje JWS</w:t>
            </w:r>
          </w:p>
        </w:tc>
        <w:tc>
          <w:tcPr>
            <w:tcW w:w="1499" w:type="dxa"/>
          </w:tcPr>
          <w:p w:rsidR="001924CD" w:rsidRPr="00EF56D0" w:rsidRDefault="001924CD" w:rsidP="001413F0">
            <w:pPr>
              <w:rPr>
                <w:rFonts w:cs="Arial"/>
                <w:szCs w:val="18"/>
                <w:highlight w:val="yellow"/>
              </w:rPr>
            </w:pPr>
            <w:r w:rsidRPr="00EF56D0">
              <w:rPr>
                <w:highlight w:val="yellow"/>
              </w:rPr>
              <w:t>AP dostarcza dane</w:t>
            </w:r>
          </w:p>
        </w:tc>
      </w:tr>
      <w:tr w:rsidR="001924CD" w:rsidRPr="00EF56D0" w:rsidTr="001413F0">
        <w:tc>
          <w:tcPr>
            <w:tcW w:w="746" w:type="dxa"/>
            <w:vMerge/>
            <w:shd w:val="clear" w:color="auto" w:fill="E7E6E6" w:themeFill="background2"/>
            <w:textDirection w:val="tbRl"/>
          </w:tcPr>
          <w:p w:rsidR="001924CD" w:rsidRPr="00EF56D0" w:rsidRDefault="001924CD" w:rsidP="00FC0A30">
            <w:pPr>
              <w:rPr>
                <w:rFonts w:cs="Arial"/>
                <w:b/>
                <w:szCs w:val="18"/>
                <w:highlight w:val="yellow"/>
              </w:rPr>
            </w:pPr>
          </w:p>
        </w:tc>
        <w:tc>
          <w:tcPr>
            <w:tcW w:w="1742" w:type="dxa"/>
          </w:tcPr>
          <w:p w:rsidR="001924CD" w:rsidRPr="00EF56D0" w:rsidRDefault="001924CD" w:rsidP="001413F0">
            <w:pPr>
              <w:rPr>
                <w:rFonts w:cs="Arial"/>
                <w:b/>
                <w:color w:val="E7E6E6" w:themeColor="background2"/>
                <w:szCs w:val="18"/>
                <w:highlight w:val="yellow"/>
              </w:rPr>
            </w:pPr>
            <w:r w:rsidRPr="00EF56D0">
              <w:rPr>
                <w:b/>
                <w:color w:val="E7E6E6" w:themeColor="background2"/>
                <w:highlight w:val="yellow"/>
              </w:rPr>
              <w:t>Przetarg i wybór ewaluatora</w:t>
            </w:r>
          </w:p>
        </w:tc>
        <w:tc>
          <w:tcPr>
            <w:tcW w:w="1555" w:type="dxa"/>
          </w:tcPr>
          <w:p w:rsidR="001924CD" w:rsidRPr="00EF56D0" w:rsidRDefault="001924CD" w:rsidP="001413F0">
            <w:pPr>
              <w:rPr>
                <w:rFonts w:cs="Arial"/>
                <w:szCs w:val="18"/>
                <w:highlight w:val="yellow"/>
              </w:rPr>
            </w:pPr>
            <w:r w:rsidRPr="00EF56D0">
              <w:rPr>
                <w:highlight w:val="yellow"/>
              </w:rPr>
              <w:t>Odpowiedzialna / uczestniczy</w:t>
            </w:r>
          </w:p>
        </w:tc>
        <w:tc>
          <w:tcPr>
            <w:tcW w:w="1484" w:type="dxa"/>
          </w:tcPr>
          <w:p w:rsidR="001924CD" w:rsidRPr="00EF56D0" w:rsidRDefault="001924CD" w:rsidP="001413F0">
            <w:pPr>
              <w:rPr>
                <w:rFonts w:cs="Arial"/>
                <w:szCs w:val="18"/>
                <w:highlight w:val="yellow"/>
              </w:rPr>
            </w:pPr>
            <w:r w:rsidRPr="00EF56D0">
              <w:rPr>
                <w:highlight w:val="yellow"/>
              </w:rPr>
              <w:t>Może wspierać, jeśli jest jednostką ds. ewaluacji</w:t>
            </w:r>
          </w:p>
        </w:tc>
        <w:tc>
          <w:tcPr>
            <w:tcW w:w="2036" w:type="dxa"/>
          </w:tcPr>
          <w:p w:rsidR="001924CD" w:rsidRPr="00EF56D0" w:rsidRDefault="001924CD" w:rsidP="001413F0">
            <w:pPr>
              <w:rPr>
                <w:rFonts w:cs="Arial"/>
                <w:szCs w:val="18"/>
                <w:highlight w:val="yellow"/>
              </w:rPr>
            </w:pPr>
            <w:r w:rsidRPr="00EF56D0">
              <w:rPr>
                <w:highlight w:val="yellow"/>
              </w:rPr>
              <w:t>Uczestniczy / odpowiedzialna</w:t>
            </w:r>
          </w:p>
        </w:tc>
        <w:tc>
          <w:tcPr>
            <w:tcW w:w="1499" w:type="dxa"/>
          </w:tcPr>
          <w:p w:rsidR="001924CD" w:rsidRPr="00EF56D0" w:rsidRDefault="001924CD" w:rsidP="001413F0">
            <w:pPr>
              <w:rPr>
                <w:rFonts w:cs="Arial"/>
                <w:szCs w:val="18"/>
                <w:highlight w:val="yellow"/>
              </w:rPr>
            </w:pPr>
            <w:r w:rsidRPr="00EF56D0">
              <w:rPr>
                <w:highlight w:val="yellow"/>
              </w:rPr>
              <w:t>Ew. GS wspiera</w:t>
            </w:r>
          </w:p>
        </w:tc>
      </w:tr>
    </w:tbl>
    <w:p w:rsidR="001924CD" w:rsidRPr="00EF56D0" w:rsidRDefault="001924CD" w:rsidP="001B4E97">
      <w:pPr>
        <w:pStyle w:val="HHeading3"/>
        <w:rPr>
          <w:highlight w:val="yellow"/>
        </w:rPr>
      </w:pPr>
      <w:r w:rsidRPr="00EF56D0">
        <w:rPr>
          <w:highlight w:val="yellow"/>
        </w:rPr>
        <w:t xml:space="preserve"> </w:t>
      </w:r>
      <w:bookmarkStart w:id="150" w:name="_Toc453079761"/>
      <w:bookmarkStart w:id="151" w:name="_Toc461807122"/>
      <w:r w:rsidRPr="00EF56D0">
        <w:rPr>
          <w:highlight w:val="yellow"/>
        </w:rPr>
        <w:t>Wdrożenie ewaluacji</w:t>
      </w:r>
      <w:bookmarkEnd w:id="150"/>
      <w:bookmarkEnd w:id="151"/>
    </w:p>
    <w:p w:rsidR="001924CD" w:rsidRPr="00EF56D0" w:rsidRDefault="001924CD" w:rsidP="006D3475">
      <w:pPr>
        <w:pStyle w:val="HHeading5"/>
        <w:rPr>
          <w:highlight w:val="yellow"/>
        </w:rPr>
      </w:pPr>
      <w:r w:rsidRPr="00EF56D0">
        <w:rPr>
          <w:highlight w:val="yellow"/>
        </w:rPr>
        <w:t>Krok 1 – Przeprowadzenie ewaluacji</w:t>
      </w:r>
    </w:p>
    <w:p w:rsidR="001924CD" w:rsidRPr="00EF56D0" w:rsidRDefault="001924CD" w:rsidP="001B4E97">
      <w:pPr>
        <w:pStyle w:val="HStandard"/>
        <w:rPr>
          <w:highlight w:val="yellow"/>
        </w:rPr>
      </w:pPr>
      <w:r w:rsidRPr="00EF56D0">
        <w:rPr>
          <w:highlight w:val="yellow"/>
        </w:rPr>
        <w:t xml:space="preserve">Po zakończeniu procedury przetargowej udzielane jest zamówienie na przeprowadzenie ewaluacji i ewaluator może przystąpić do pracy. Choć większość pracy na tym etapie wykonuje ewaluator, zamawiający (IZ lub JWS) oraz grupa sterująca ds. ewaluacji, o ile powstała, powinni udzielać ewaluatorowi wsparcia (np. umożliwić dostęp do wszystkich danych i informacji, poinformować zainteresowane strony o wyborze ewaluatora, zapraszać ewaluatora na stosowne spotkania), aby zapewnić dobrą jakość ewaluacji na wszystkich jej etapach poprzez utrzymanie otwartej i częstej komunikacji, zgłaszanie uwag do sprawozdań oraz pomoc w uzyskaniu dostępu do danych i osób ankietowanych. </w:t>
      </w:r>
    </w:p>
    <w:p w:rsidR="001924CD" w:rsidRPr="00EF56D0" w:rsidRDefault="001924CD" w:rsidP="001B4E97">
      <w:pPr>
        <w:pStyle w:val="HStandard"/>
        <w:rPr>
          <w:highlight w:val="yellow"/>
        </w:rPr>
      </w:pPr>
      <w:r w:rsidRPr="00EF56D0">
        <w:rPr>
          <w:highlight w:val="yellow"/>
        </w:rPr>
        <w:lastRenderedPageBreak/>
        <w:t>IZ, AP, instytucje pośredniczące, LGD, inni członkowie sieci i beneficjenci odgrywają ważną rolę w fazie obserwacji z racji udostępniania ewaluatorowi informacji i danych. Aby dane mogły być dostępne do celów ewaluacji, należy zapewnić umieszczenie na formularzach wniosków beneficjentów prawidłowego oświadczenia o zgodzie na wykorzystanie danych osobowych do celów badawczych i analitycznych. Należy to zaplanować już na początku okresu realizacji programu</w:t>
      </w:r>
      <w:r w:rsidRPr="00EF56D0">
        <w:rPr>
          <w:rFonts w:ascii="ZWAdobeF" w:hAnsi="ZWAdobeF"/>
          <w:color w:val="auto"/>
          <w:sz w:val="2"/>
          <w:highlight w:val="yellow"/>
        </w:rPr>
        <w:t>82F</w:t>
      </w:r>
      <w:r w:rsidRPr="00EF56D0">
        <w:rPr>
          <w:rStyle w:val="FootnoteReference"/>
          <w:highlight w:val="yellow"/>
        </w:rPr>
        <w:footnoteReference w:id="83"/>
      </w:r>
      <w:r w:rsidRPr="00EF56D0">
        <w:rPr>
          <w:highlight w:val="yellow"/>
        </w:rPr>
        <w:t xml:space="preserve">. </w:t>
      </w:r>
    </w:p>
    <w:p w:rsidR="001924CD" w:rsidRPr="00EF56D0" w:rsidRDefault="001924CD" w:rsidP="001B4E97">
      <w:pPr>
        <w:pStyle w:val="HStandard"/>
        <w:rPr>
          <w:highlight w:val="yellow"/>
        </w:rPr>
      </w:pPr>
      <w:r w:rsidRPr="00EF56D0">
        <w:rPr>
          <w:highlight w:val="yellow"/>
        </w:rPr>
        <w:t xml:space="preserve">Ewaluację przeprowadza się zwykle w czterech etapach: strukturyzacja, obserwacja, analiza, ocena. </w:t>
      </w:r>
    </w:p>
    <w:p w:rsidR="001924CD" w:rsidRPr="00EF56D0" w:rsidRDefault="001924CD" w:rsidP="001B4E97">
      <w:pPr>
        <w:pStyle w:val="HStandard"/>
        <w:rPr>
          <w:highlight w:val="yellow"/>
        </w:rPr>
      </w:pPr>
      <w:r w:rsidRPr="00EF56D0">
        <w:rPr>
          <w:highlight w:val="yellow"/>
        </w:rPr>
        <w:t xml:space="preserve">Na </w:t>
      </w:r>
      <w:r w:rsidRPr="00EF56D0">
        <w:rPr>
          <w:b/>
          <w:highlight w:val="yellow"/>
        </w:rPr>
        <w:t>etapie strukturyzacji</w:t>
      </w:r>
      <w:r w:rsidRPr="00EF56D0">
        <w:rPr>
          <w:highlight w:val="yellow"/>
        </w:rPr>
        <w:t xml:space="preserve"> ewaluator analizuje dokumenty i precyzuje zadania. Na zakończenie tej fazy powinien on mieć jasne pojęcie o KSOW, logice interwencji, członków i działaniach, a także pytaniach ewaluacyjnych, wskaźnikach i zadaniach z zakresu ewaluacji. Pierwszym zadaniem ewaluatora na etapie strukturyzacji jest dokonanie przeglądu logiki interwencji i ocena spójności pytań ewaluacyjnych z celami i wskaźnikami, w tym ewentualnie zasugerowanie dodatkowych pytań, o ile są uzasadnione. Na tym etapie tworzone są również metody i narzędzia ewaluacji, a wszystkie istniejące źródła danych i informacji są ujawniane i udostępniane ewaluatorowi, który ponadto powinien uzyskać pogląd na temat tego, jakie dodatkowe dane i informacje musi zgromadzić. Zaleca się opracowanie na tym etapie „sprawozdania otwarcia”, które będzie zawierało szczegółowy plan pracy i ocenę ryzyka, w tym w miarę możliwości narzędzia do pracy w terenie.</w:t>
      </w:r>
    </w:p>
    <w:p w:rsidR="001924CD" w:rsidRPr="00EF56D0" w:rsidRDefault="001924CD" w:rsidP="001B4E97">
      <w:pPr>
        <w:pStyle w:val="HStandard"/>
        <w:rPr>
          <w:highlight w:val="yellow"/>
        </w:rPr>
      </w:pPr>
      <w:r w:rsidRPr="00EF56D0">
        <w:rPr>
          <w:highlight w:val="yellow"/>
        </w:rPr>
        <w:t xml:space="preserve">Faza </w:t>
      </w:r>
      <w:r w:rsidRPr="00EF56D0">
        <w:rPr>
          <w:b/>
          <w:highlight w:val="yellow"/>
        </w:rPr>
        <w:t>obserwacji</w:t>
      </w:r>
      <w:r w:rsidRPr="00EF56D0">
        <w:rPr>
          <w:highlight w:val="yellow"/>
        </w:rPr>
        <w:t xml:space="preserve"> obejmuje gromadzenie informacji i danych. Wszystkie istotne informacje i dane są gromadzone z różnych źródeł, takich jak monitorowanie KSOW oraz narzędzia i techniki ewaluatora (kwestionariusze, ankiety, wywiady, grupy fokusowe, studia przypadków itp.). Ze względu na rozpowszechnienie metod jakościowych w ewaluacji KSOW faza ta będzie wymagać znaczącego nakładu zasobów.</w:t>
      </w:r>
    </w:p>
    <w:p w:rsidR="001924CD" w:rsidRPr="00EF56D0" w:rsidRDefault="001924CD" w:rsidP="001B4E97">
      <w:pPr>
        <w:pStyle w:val="HStandard"/>
        <w:rPr>
          <w:highlight w:val="yellow"/>
        </w:rPr>
      </w:pPr>
      <w:r w:rsidRPr="00EF56D0">
        <w:rPr>
          <w:highlight w:val="yellow"/>
        </w:rPr>
        <w:t xml:space="preserve">W </w:t>
      </w:r>
      <w:r w:rsidRPr="00EF56D0">
        <w:rPr>
          <w:b/>
          <w:highlight w:val="yellow"/>
        </w:rPr>
        <w:t>fazie analizy</w:t>
      </w:r>
      <w:r w:rsidRPr="00EF56D0">
        <w:rPr>
          <w:highlight w:val="yellow"/>
        </w:rPr>
        <w:t xml:space="preserve"> wszystkie dostępne informacje są systematycznie przetwarzane i syntetyzowane zgodnie z wybranym podejściem ewaluacyjnym i metodologią. Chodzi o wykorzystanie różnych rodzajów technik ewaluacji w celu triangulacji wyników oceny.</w:t>
      </w:r>
    </w:p>
    <w:p w:rsidR="001924CD" w:rsidRPr="00EF56D0" w:rsidRDefault="001924CD" w:rsidP="001B4E97">
      <w:pPr>
        <w:pStyle w:val="HStandard"/>
        <w:rPr>
          <w:highlight w:val="yellow"/>
        </w:rPr>
      </w:pPr>
      <w:r w:rsidRPr="00EF56D0">
        <w:rPr>
          <w:highlight w:val="yellow"/>
        </w:rPr>
        <w:t xml:space="preserve">W </w:t>
      </w:r>
      <w:r w:rsidRPr="00EF56D0">
        <w:rPr>
          <w:b/>
          <w:highlight w:val="yellow"/>
        </w:rPr>
        <w:t>fazie oceny</w:t>
      </w:r>
      <w:r w:rsidRPr="00EF56D0">
        <w:rPr>
          <w:highlight w:val="yellow"/>
        </w:rPr>
        <w:t>, która jest końcowym etapem ewaluacji, ewaluator opracowuje odpowiedzi na pytania ewaluacyjne oraz wyciąga wnioski i formułuje zalecenia w oparciu o bazę dowodową</w:t>
      </w:r>
      <w:r w:rsidRPr="00EF56D0">
        <w:rPr>
          <w:rFonts w:ascii="ZWAdobeF" w:hAnsi="ZWAdobeF"/>
          <w:color w:val="auto"/>
          <w:sz w:val="2"/>
          <w:highlight w:val="yellow"/>
        </w:rPr>
        <w:t>83F</w:t>
      </w:r>
      <w:r w:rsidRPr="00EF56D0">
        <w:rPr>
          <w:rStyle w:val="FootnoteReference"/>
          <w:highlight w:val="yellow"/>
        </w:rPr>
        <w:footnoteReference w:id="84"/>
      </w:r>
      <w:r w:rsidRPr="00EF56D0">
        <w:rPr>
          <w:highlight w:val="yellow"/>
        </w:rPr>
        <w:t xml:space="preserve">. </w:t>
      </w:r>
    </w:p>
    <w:p w:rsidR="001924CD" w:rsidRPr="00EF56D0" w:rsidRDefault="001924CD" w:rsidP="001B4E97">
      <w:pPr>
        <w:pStyle w:val="HStandard"/>
        <w:rPr>
          <w:highlight w:val="yellow"/>
        </w:rPr>
      </w:pPr>
      <w:r w:rsidRPr="00EF56D0">
        <w:rPr>
          <w:b/>
          <w:color w:val="E7E6E6" w:themeColor="background2"/>
          <w:highlight w:val="yellow"/>
        </w:rPr>
        <w:t>CZĘŚĆ II</w:t>
      </w:r>
      <w:r w:rsidRPr="00EF56D0">
        <w:rPr>
          <w:highlight w:val="yellow"/>
        </w:rPr>
        <w:t xml:space="preserve"> niniejszych wytycznych przedstawia szczegółowo etapy i czynności związane z ewaluacją.</w:t>
      </w:r>
    </w:p>
    <w:p w:rsidR="001924CD" w:rsidRPr="00EF56D0" w:rsidRDefault="001924CD" w:rsidP="006D3475">
      <w:pPr>
        <w:pStyle w:val="HHeading5"/>
        <w:rPr>
          <w:highlight w:val="yellow"/>
        </w:rPr>
      </w:pPr>
      <w:r w:rsidRPr="00EF56D0">
        <w:rPr>
          <w:highlight w:val="yellow"/>
        </w:rPr>
        <w:t>Krok 2 – Zapewnienie jakości i postępów w zakresie ewaluacji</w:t>
      </w:r>
    </w:p>
    <w:p w:rsidR="001924CD" w:rsidRPr="00EF56D0" w:rsidRDefault="001924CD" w:rsidP="001B4E97">
      <w:pPr>
        <w:pStyle w:val="HStandard"/>
        <w:rPr>
          <w:highlight w:val="yellow"/>
        </w:rPr>
      </w:pPr>
      <w:r w:rsidRPr="00EF56D0">
        <w:rPr>
          <w:highlight w:val="yellow"/>
        </w:rPr>
        <w:t xml:space="preserve">Im większa liczba ewaluacji, tym ważniejsze jest, aby zamawiający (IZ lub JWS) posiadał system zapewnienia i kontroli jakości. Podczas gdy proces zapewnienia jakości polega na próbie zagwarantowania odpowiedniego sposobu wykonania zadań, kontrola jakości skupia się na produktach.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EF56D0" w:rsidTr="001413F0">
        <w:tc>
          <w:tcPr>
            <w:tcW w:w="9016" w:type="dxa"/>
            <w:shd w:val="clear" w:color="auto" w:fill="F5F4F4" w:themeFill="background2" w:themeFillTint="66"/>
          </w:tcPr>
          <w:p w:rsidR="001924CD" w:rsidRPr="00EF56D0" w:rsidRDefault="001924CD" w:rsidP="006A3E94">
            <w:pPr>
              <w:pStyle w:val="HStandard"/>
              <w:rPr>
                <w:highlight w:val="yellow"/>
              </w:rPr>
            </w:pPr>
            <w:r w:rsidRPr="00EF56D0">
              <w:rPr>
                <w:highlight w:val="yellow"/>
              </w:rPr>
              <w:t>Główne pytania związane z zapewnieniem jakości i postępami w wykonaniu ewaluacji oceny są następujące:</w:t>
            </w:r>
          </w:p>
          <w:p w:rsidR="001924CD" w:rsidRPr="00EF56D0" w:rsidRDefault="001924CD" w:rsidP="001924CD">
            <w:pPr>
              <w:pStyle w:val="Hlistbullet"/>
              <w:rPr>
                <w:highlight w:val="yellow"/>
              </w:rPr>
            </w:pPr>
            <w:r w:rsidRPr="00EF56D0">
              <w:rPr>
                <w:highlight w:val="yellow"/>
              </w:rPr>
              <w:t>Jakie obowiązują standardy jakości w zakresie zarządzania ewaluacją i współpracy z ewaluatorem?</w:t>
            </w:r>
          </w:p>
          <w:p w:rsidR="001924CD" w:rsidRPr="00EF56D0" w:rsidRDefault="001924CD" w:rsidP="001924CD">
            <w:pPr>
              <w:pStyle w:val="Hlistbullet"/>
              <w:rPr>
                <w:highlight w:val="yellow"/>
              </w:rPr>
            </w:pPr>
            <w:r w:rsidRPr="00EF56D0">
              <w:rPr>
                <w:highlight w:val="yellow"/>
              </w:rPr>
              <w:t>Czy uzgodnione rezultaty są dostarczane w terminie?</w:t>
            </w:r>
          </w:p>
          <w:p w:rsidR="001924CD" w:rsidRPr="00EF56D0" w:rsidRDefault="001924CD" w:rsidP="001924CD">
            <w:pPr>
              <w:pStyle w:val="Hlistbullet"/>
              <w:rPr>
                <w:highlight w:val="yellow"/>
              </w:rPr>
            </w:pPr>
            <w:r w:rsidRPr="00EF56D0">
              <w:rPr>
                <w:highlight w:val="yellow"/>
              </w:rPr>
              <w:t xml:space="preserve">Czy rezultaty są dobrej jakości? Jakie obowiązują standardy jakości dotyczące ewaluacji? </w:t>
            </w:r>
          </w:p>
          <w:p w:rsidR="001924CD" w:rsidRPr="00EF56D0" w:rsidRDefault="001924CD" w:rsidP="001924CD">
            <w:pPr>
              <w:pStyle w:val="Hlistbullet"/>
              <w:rPr>
                <w:highlight w:val="yellow"/>
              </w:rPr>
            </w:pPr>
            <w:r w:rsidRPr="00EF56D0">
              <w:rPr>
                <w:highlight w:val="yellow"/>
              </w:rPr>
              <w:t>Co można zrobić, aby poprawić rezultaty?</w:t>
            </w:r>
          </w:p>
          <w:p w:rsidR="001924CD" w:rsidRPr="00EF56D0" w:rsidRDefault="001924CD" w:rsidP="001924CD">
            <w:pPr>
              <w:pStyle w:val="Hlistbullet2"/>
              <w:rPr>
                <w:highlight w:val="yellow"/>
              </w:rPr>
            </w:pPr>
            <w:r w:rsidRPr="00EF56D0">
              <w:rPr>
                <w:highlight w:val="yellow"/>
              </w:rPr>
              <w:lastRenderedPageBreak/>
              <w:t>Czy ewaluator bierze pod uwagę informacje zwrotne?</w:t>
            </w:r>
          </w:p>
        </w:tc>
      </w:tr>
    </w:tbl>
    <w:p w:rsidR="001924CD" w:rsidRPr="00EF56D0" w:rsidRDefault="001924CD" w:rsidP="00352793">
      <w:pPr>
        <w:pStyle w:val="HStandard"/>
        <w:rPr>
          <w:highlight w:val="yellow"/>
        </w:rPr>
      </w:pPr>
      <w:r w:rsidRPr="00EF56D0">
        <w:rPr>
          <w:highlight w:val="yellow"/>
        </w:rPr>
        <w:lastRenderedPageBreak/>
        <w:t>Grupa sterująca ds. ewaluacji, o ile powstała, monitoruje postępy w prowadzeniu ewaluacji. Jeśli grupa sterująca nie istnieje, zadanie to spoczywa na zamawiającym. Sprawozdania określone w SIWZ (takie jak sprawozdanie otwarcia, sprawozdania okresowe, projekt sprawozdania końcowego i sprawozdania końcowe) powinny być przedkładane przez ewaluatora w związku z głównymi etapami procesu ewaluacji. Sprawozdania powinny być analizowane przez grupę sterującą ds. ewaluacji i zamawiającego, najlepiej za pomocą specjalnie opracowanych siatek kontroli jakości/list kontrolnych. Najbardziej typowymi narzędziami zapewnienia jakości stosowanymi w procesie ewaluacji są listy kontrolne, listy treści, ogólne i szczegółowe mapy procesów oraz różne rodzaje planów</w:t>
      </w:r>
      <w:r w:rsidRPr="00EF56D0">
        <w:rPr>
          <w:rFonts w:ascii="ZWAdobeF" w:hAnsi="ZWAdobeF"/>
          <w:color w:val="auto"/>
          <w:sz w:val="2"/>
          <w:highlight w:val="yellow"/>
        </w:rPr>
        <w:t>84F</w:t>
      </w:r>
      <w:r w:rsidRPr="00EF56D0">
        <w:rPr>
          <w:rStyle w:val="FootnoteReference"/>
          <w:highlight w:val="yellow"/>
        </w:rPr>
        <w:footnoteReference w:id="85"/>
      </w:r>
      <w:r w:rsidRPr="00EF56D0">
        <w:rPr>
          <w:highlight w:val="yellow"/>
        </w:rPr>
        <w:t>. Kontrola jakości jest z kolei zazwyczaj prowadzona za pomocą siatki kontroli jakości lub listy kontrolnej.</w:t>
      </w:r>
    </w:p>
    <w:p w:rsidR="001924CD" w:rsidRPr="00EF56D0" w:rsidRDefault="001924CD" w:rsidP="001B4E97">
      <w:pPr>
        <w:pStyle w:val="HStandard"/>
        <w:rPr>
          <w:highlight w:val="yellow"/>
        </w:rPr>
      </w:pPr>
      <w:r w:rsidRPr="00EF56D0">
        <w:rPr>
          <w:highlight w:val="yellow"/>
        </w:rPr>
        <w:t>Ewaluatorowi należy przekazywać konkretne i terminowe informacje zwrotne. Pozwala to śledzić i ulepszać jakość ewaluacji. Postępy ewaluacji można również sprawdzać w oparciu o realizację uzgodnionych „kamieni milowych”. Ewaluator odpowiada za dostarczanie uzgodnionych sprawozdań i uwzględnianie informacji zwrotnych.</w:t>
      </w:r>
    </w:p>
    <w:p w:rsidR="001924CD" w:rsidRPr="00EF56D0" w:rsidRDefault="001924CD" w:rsidP="006D3475">
      <w:pPr>
        <w:pStyle w:val="HHeading5"/>
        <w:rPr>
          <w:highlight w:val="yellow"/>
        </w:rPr>
      </w:pPr>
      <w:r w:rsidRPr="00EF56D0">
        <w:rPr>
          <w:highlight w:val="yellow"/>
        </w:rPr>
        <w:t xml:space="preserve">Krok 3 – Ocena jakości sprawozdania końcowego </w:t>
      </w:r>
    </w:p>
    <w:p w:rsidR="001924CD" w:rsidRPr="00EF56D0" w:rsidRDefault="001924CD" w:rsidP="001B4E97">
      <w:pPr>
        <w:pStyle w:val="HStandard"/>
        <w:rPr>
          <w:highlight w:val="yellow"/>
        </w:rPr>
      </w:pPr>
      <w:r w:rsidRPr="00EF56D0">
        <w:rPr>
          <w:highlight w:val="yellow"/>
        </w:rPr>
        <w:t>Zamawiający (IZ lub JWS) oraz grupa sterująca ds. ewaluacji, o ile powstała, przeprowadza szczegółową ocenę jakości sprawozdania końcowego złożonego przez ewaluatora w terminie określonym w SIWZ. W tym celu zaleca się opracowanie standardów jakości dla sprawozdań z ewaluacji oraz siatkę oceny jakości. Nie ma obowiązkowych kryteriów oceny jakości dla sprawozdań z ewaluacji KSOW.</w:t>
      </w:r>
    </w:p>
    <w:p w:rsidR="001924CD" w:rsidRPr="00EF56D0" w:rsidRDefault="001924CD" w:rsidP="001B4E97">
      <w:pPr>
        <w:pStyle w:val="HStandard"/>
        <w:rPr>
          <w:highlight w:val="yellow"/>
        </w:rPr>
      </w:pPr>
      <w:r w:rsidRPr="00EF56D0">
        <w:rPr>
          <w:highlight w:val="yellow"/>
        </w:rPr>
        <w:t>Kryteria dobrej jakości dotyczą procesu ewaluacji (adekwatność, terminowość i otwartość), zagadnień normatywnych (niezależność i bezstronność ewaluatora) oraz kryteriów technicznych (trafność ewaluacji, zakres, odpowiednia konstrukcja, wiarygodne dane, rzetelna analiza, wiarygodne ustalenia, oparte na dowodach odpowiedzi na pytania ewaluacyjne, wiarygodne wnioski, pomocne zalecenia i przejrzystość raportowania</w:t>
      </w:r>
      <w:r w:rsidRPr="00EF56D0">
        <w:rPr>
          <w:rFonts w:ascii="ZWAdobeF" w:hAnsi="ZWAdobeF"/>
          <w:color w:val="auto"/>
          <w:sz w:val="2"/>
          <w:highlight w:val="yellow"/>
        </w:rPr>
        <w:t>85F</w:t>
      </w:r>
      <w:r w:rsidRPr="00EF56D0">
        <w:rPr>
          <w:rStyle w:val="FootnoteReference"/>
          <w:highlight w:val="yellow"/>
        </w:rPr>
        <w:footnoteReference w:id="86"/>
      </w:r>
      <w:r w:rsidRPr="00EF56D0">
        <w:rPr>
          <w:highlight w:val="yellow"/>
        </w:rPr>
        <w:t xml:space="preserve">). </w:t>
      </w:r>
    </w:p>
    <w:p w:rsidR="001924CD" w:rsidRPr="00EF56D0" w:rsidRDefault="001924CD" w:rsidP="00922CBE">
      <w:pPr>
        <w:pStyle w:val="HHeadingfigures"/>
        <w:rPr>
          <w:highlight w:val="yellow"/>
        </w:rPr>
      </w:pPr>
      <w:bookmarkStart w:id="152" w:name="_Toc445465132"/>
      <w:bookmarkStart w:id="153" w:name="_Toc451781935"/>
      <w:bookmarkStart w:id="154" w:name="_Toc461807153"/>
      <w:r w:rsidRPr="00EF56D0">
        <w:rPr>
          <w:highlight w:val="yellow"/>
        </w:rPr>
        <w:t>Obowiązki zainteresowanych podmiotów w zakresie wdrożenia ewaluacji KSOW</w:t>
      </w:r>
      <w:bookmarkEnd w:id="152"/>
      <w:bookmarkEnd w:id="153"/>
      <w:bookmarkEnd w:id="154"/>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261"/>
        <w:gridCol w:w="2020"/>
        <w:gridCol w:w="1120"/>
        <w:gridCol w:w="2008"/>
        <w:gridCol w:w="2153"/>
      </w:tblGrid>
      <w:tr w:rsidR="001924CD" w:rsidRPr="00EF56D0" w:rsidTr="001413F0">
        <w:tc>
          <w:tcPr>
            <w:tcW w:w="0" w:type="auto"/>
            <w:tcBorders>
              <w:top w:val="nil"/>
              <w:left w:val="nil"/>
              <w:bottom w:val="single" w:sz="4" w:space="0" w:color="000000" w:themeColor="text1"/>
            </w:tcBorders>
          </w:tcPr>
          <w:p w:rsidR="001924CD" w:rsidRPr="00EF56D0" w:rsidRDefault="001924CD" w:rsidP="008B1515">
            <w:pPr>
              <w:jc w:val="right"/>
              <w:rPr>
                <w:b/>
                <w:szCs w:val="18"/>
                <w:highlight w:val="yellow"/>
              </w:rPr>
            </w:pPr>
          </w:p>
        </w:tc>
        <w:tc>
          <w:tcPr>
            <w:tcW w:w="0" w:type="auto"/>
            <w:shd w:val="clear" w:color="auto" w:fill="E7E6E6" w:themeFill="background2"/>
          </w:tcPr>
          <w:p w:rsidR="001924CD" w:rsidRPr="00EF56D0" w:rsidRDefault="001924CD" w:rsidP="001413F0">
            <w:pPr>
              <w:jc w:val="center"/>
              <w:rPr>
                <w:b/>
                <w:color w:val="5B9BD5" w:themeColor="accent1"/>
                <w:szCs w:val="18"/>
                <w:highlight w:val="yellow"/>
              </w:rPr>
            </w:pPr>
            <w:r w:rsidRPr="00EF56D0">
              <w:rPr>
                <w:b/>
                <w:color w:val="5B9BD5" w:themeColor="accent1"/>
                <w:highlight w:val="yellow"/>
              </w:rPr>
              <w:t>Działania</w:t>
            </w:r>
          </w:p>
        </w:tc>
        <w:tc>
          <w:tcPr>
            <w:tcW w:w="0" w:type="auto"/>
            <w:gridSpan w:val="4"/>
            <w:shd w:val="clear" w:color="auto" w:fill="E7E6E6" w:themeFill="background2"/>
          </w:tcPr>
          <w:p w:rsidR="001924CD" w:rsidRPr="00EF56D0" w:rsidRDefault="001924CD" w:rsidP="001413F0">
            <w:pPr>
              <w:jc w:val="center"/>
              <w:rPr>
                <w:b/>
                <w:color w:val="5B9BD5" w:themeColor="accent1"/>
                <w:szCs w:val="18"/>
                <w:highlight w:val="yellow"/>
              </w:rPr>
            </w:pPr>
            <w:r w:rsidRPr="00EF56D0">
              <w:rPr>
                <w:b/>
                <w:color w:val="5B9BD5" w:themeColor="accent1"/>
                <w:highlight w:val="yellow"/>
              </w:rPr>
              <w:t>Podmioty</w:t>
            </w:r>
          </w:p>
        </w:tc>
      </w:tr>
      <w:tr w:rsidR="001924CD" w:rsidRPr="00EF56D0" w:rsidTr="001413F0">
        <w:trPr>
          <w:cantSplit/>
          <w:trHeight w:val="1134"/>
        </w:trPr>
        <w:tc>
          <w:tcPr>
            <w:tcW w:w="0" w:type="auto"/>
            <w:shd w:val="clear" w:color="auto" w:fill="E7E6E6" w:themeFill="background2"/>
            <w:textDirection w:val="tbRl"/>
          </w:tcPr>
          <w:p w:rsidR="001924CD" w:rsidRPr="00EF56D0" w:rsidRDefault="001924CD" w:rsidP="001413F0">
            <w:pPr>
              <w:ind w:left="113" w:right="113"/>
              <w:jc w:val="center"/>
              <w:rPr>
                <w:b/>
                <w:color w:val="5B9BD5" w:themeColor="accent1"/>
                <w:szCs w:val="18"/>
                <w:highlight w:val="yellow"/>
              </w:rPr>
            </w:pPr>
            <w:r w:rsidRPr="00EF56D0">
              <w:rPr>
                <w:b/>
                <w:color w:val="5B9BD5" w:themeColor="accent1"/>
                <w:highlight w:val="yellow"/>
              </w:rPr>
              <w:t>Faza</w:t>
            </w:r>
          </w:p>
        </w:tc>
        <w:tc>
          <w:tcPr>
            <w:tcW w:w="0" w:type="auto"/>
          </w:tcPr>
          <w:p w:rsidR="001924CD" w:rsidRPr="00EF56D0" w:rsidRDefault="001924CD" w:rsidP="008B1515">
            <w:pPr>
              <w:rPr>
                <w:b/>
                <w:color w:val="E7E6E6" w:themeColor="background2"/>
                <w:szCs w:val="18"/>
                <w:highlight w:val="yellow"/>
              </w:rPr>
            </w:pPr>
            <w:r w:rsidRPr="00EF56D0">
              <w:rPr>
                <w:b/>
                <w:color w:val="E7E6E6" w:themeColor="background2"/>
                <w:highlight w:val="yellow"/>
              </w:rPr>
              <w:t>Etap</w:t>
            </w:r>
          </w:p>
        </w:tc>
        <w:tc>
          <w:tcPr>
            <w:tcW w:w="0" w:type="auto"/>
          </w:tcPr>
          <w:p w:rsidR="001924CD" w:rsidRPr="00EF56D0" w:rsidRDefault="001924CD" w:rsidP="008B1515">
            <w:pPr>
              <w:rPr>
                <w:i/>
                <w:szCs w:val="18"/>
                <w:highlight w:val="yellow"/>
              </w:rPr>
            </w:pPr>
            <w:r w:rsidRPr="00EF56D0">
              <w:rPr>
                <w:i/>
                <w:highlight w:val="yellow"/>
              </w:rPr>
              <w:t>IZ</w:t>
            </w:r>
          </w:p>
        </w:tc>
        <w:tc>
          <w:tcPr>
            <w:tcW w:w="0" w:type="auto"/>
          </w:tcPr>
          <w:p w:rsidR="001924CD" w:rsidRPr="00EF56D0" w:rsidRDefault="001924CD" w:rsidP="008B1515">
            <w:pPr>
              <w:rPr>
                <w:i/>
                <w:szCs w:val="18"/>
                <w:highlight w:val="yellow"/>
              </w:rPr>
            </w:pPr>
            <w:r w:rsidRPr="00EF56D0">
              <w:rPr>
                <w:i/>
                <w:highlight w:val="yellow"/>
              </w:rPr>
              <w:t>inne jednostki IZ</w:t>
            </w:r>
          </w:p>
        </w:tc>
        <w:tc>
          <w:tcPr>
            <w:tcW w:w="0" w:type="auto"/>
          </w:tcPr>
          <w:p w:rsidR="001924CD" w:rsidRPr="00EF56D0" w:rsidRDefault="001924CD" w:rsidP="008B1515">
            <w:pPr>
              <w:rPr>
                <w:i/>
                <w:szCs w:val="18"/>
                <w:highlight w:val="yellow"/>
              </w:rPr>
            </w:pPr>
            <w:r w:rsidRPr="00EF56D0">
              <w:rPr>
                <w:i/>
                <w:highlight w:val="yellow"/>
              </w:rPr>
              <w:t>JWS</w:t>
            </w:r>
          </w:p>
        </w:tc>
        <w:tc>
          <w:tcPr>
            <w:tcW w:w="0" w:type="auto"/>
          </w:tcPr>
          <w:p w:rsidR="001924CD" w:rsidRPr="00EF56D0" w:rsidRDefault="001924CD" w:rsidP="008B1515">
            <w:pPr>
              <w:rPr>
                <w:i/>
                <w:szCs w:val="18"/>
                <w:highlight w:val="yellow"/>
              </w:rPr>
            </w:pPr>
            <w:r w:rsidRPr="00EF56D0">
              <w:rPr>
                <w:i/>
                <w:highlight w:val="yellow"/>
              </w:rPr>
              <w:t>Inne</w:t>
            </w:r>
          </w:p>
        </w:tc>
      </w:tr>
      <w:tr w:rsidR="001924CD" w:rsidRPr="00EF56D0" w:rsidTr="001413F0">
        <w:trPr>
          <w:cantSplit/>
          <w:trHeight w:val="1493"/>
        </w:trPr>
        <w:tc>
          <w:tcPr>
            <w:tcW w:w="0" w:type="auto"/>
            <w:vMerge w:val="restart"/>
            <w:shd w:val="clear" w:color="auto" w:fill="E7E6E6" w:themeFill="background2"/>
            <w:textDirection w:val="tbRl"/>
          </w:tcPr>
          <w:p w:rsidR="001924CD" w:rsidRPr="00EF56D0" w:rsidRDefault="001924CD" w:rsidP="001413F0">
            <w:pPr>
              <w:ind w:left="113" w:right="113"/>
              <w:jc w:val="center"/>
              <w:rPr>
                <w:b/>
                <w:color w:val="5B9BD5" w:themeColor="accent1"/>
                <w:szCs w:val="18"/>
                <w:highlight w:val="yellow"/>
              </w:rPr>
            </w:pPr>
            <w:r w:rsidRPr="00EF56D0">
              <w:rPr>
                <w:b/>
                <w:color w:val="5B9BD5" w:themeColor="accent1"/>
                <w:highlight w:val="yellow"/>
              </w:rPr>
              <w:t>Wdrożenie</w:t>
            </w:r>
          </w:p>
        </w:tc>
        <w:tc>
          <w:tcPr>
            <w:tcW w:w="0" w:type="auto"/>
          </w:tcPr>
          <w:p w:rsidR="001924CD" w:rsidRPr="00EF56D0" w:rsidRDefault="001924CD" w:rsidP="008B1515">
            <w:pPr>
              <w:rPr>
                <w:b/>
                <w:color w:val="E7E6E6" w:themeColor="background2"/>
                <w:szCs w:val="18"/>
                <w:highlight w:val="yellow"/>
              </w:rPr>
            </w:pPr>
            <w:r w:rsidRPr="00EF56D0">
              <w:rPr>
                <w:b/>
                <w:color w:val="E7E6E6" w:themeColor="background2"/>
                <w:highlight w:val="yellow"/>
              </w:rPr>
              <w:t>Realizacja</w:t>
            </w:r>
          </w:p>
        </w:tc>
        <w:tc>
          <w:tcPr>
            <w:tcW w:w="0" w:type="auto"/>
          </w:tcPr>
          <w:p w:rsidR="001924CD" w:rsidRPr="00EF56D0" w:rsidRDefault="001924CD" w:rsidP="008B1515">
            <w:pPr>
              <w:rPr>
                <w:szCs w:val="18"/>
                <w:highlight w:val="yellow"/>
              </w:rPr>
            </w:pPr>
            <w:r w:rsidRPr="00EF56D0">
              <w:rPr>
                <w:highlight w:val="yellow"/>
              </w:rPr>
              <w:t>Wspiera ewaluatora, zapewnia jakość</w:t>
            </w:r>
          </w:p>
        </w:tc>
        <w:tc>
          <w:tcPr>
            <w:tcW w:w="0" w:type="auto"/>
          </w:tcPr>
          <w:p w:rsidR="001924CD" w:rsidRPr="00EF56D0" w:rsidRDefault="001924CD" w:rsidP="008B1515">
            <w:pPr>
              <w:rPr>
                <w:szCs w:val="18"/>
                <w:highlight w:val="yellow"/>
              </w:rPr>
            </w:pPr>
          </w:p>
        </w:tc>
        <w:tc>
          <w:tcPr>
            <w:tcW w:w="0" w:type="auto"/>
          </w:tcPr>
          <w:p w:rsidR="001924CD" w:rsidRPr="00EF56D0" w:rsidRDefault="001924CD" w:rsidP="008B1515">
            <w:pPr>
              <w:rPr>
                <w:szCs w:val="18"/>
                <w:highlight w:val="yellow"/>
              </w:rPr>
            </w:pPr>
            <w:r w:rsidRPr="00EF56D0">
              <w:rPr>
                <w:highlight w:val="yellow"/>
              </w:rPr>
              <w:t>Wspiera ewaluatora, dostarcza danych</w:t>
            </w:r>
          </w:p>
        </w:tc>
        <w:tc>
          <w:tcPr>
            <w:tcW w:w="0" w:type="auto"/>
          </w:tcPr>
          <w:p w:rsidR="001924CD" w:rsidRPr="00EF56D0" w:rsidRDefault="001924CD" w:rsidP="008B1515">
            <w:pPr>
              <w:rPr>
                <w:szCs w:val="18"/>
                <w:highlight w:val="yellow"/>
              </w:rPr>
            </w:pPr>
            <w:r w:rsidRPr="00EF56D0">
              <w:rPr>
                <w:highlight w:val="yellow"/>
              </w:rPr>
              <w:t>AP dostarcza danych</w:t>
            </w:r>
          </w:p>
          <w:p w:rsidR="001924CD" w:rsidRPr="00EF56D0" w:rsidRDefault="001924CD" w:rsidP="008B1515">
            <w:pPr>
              <w:rPr>
                <w:szCs w:val="18"/>
                <w:highlight w:val="yellow"/>
              </w:rPr>
            </w:pPr>
            <w:r w:rsidRPr="00EF56D0">
              <w:rPr>
                <w:highlight w:val="yellow"/>
              </w:rPr>
              <w:t>LGD dostarczają danych i informatorów</w:t>
            </w:r>
          </w:p>
          <w:p w:rsidR="001924CD" w:rsidRPr="00EF56D0" w:rsidRDefault="001924CD" w:rsidP="008B1515">
            <w:pPr>
              <w:rPr>
                <w:szCs w:val="18"/>
                <w:highlight w:val="yellow"/>
              </w:rPr>
            </w:pPr>
            <w:r w:rsidRPr="00EF56D0">
              <w:rPr>
                <w:highlight w:val="yellow"/>
              </w:rPr>
              <w:t>Regionalne IZ dostarczają danych i informatorów</w:t>
            </w:r>
          </w:p>
          <w:p w:rsidR="001924CD" w:rsidRPr="00EF56D0" w:rsidRDefault="001924CD" w:rsidP="008B1515">
            <w:pPr>
              <w:rPr>
                <w:szCs w:val="18"/>
                <w:highlight w:val="yellow"/>
              </w:rPr>
            </w:pPr>
            <w:r w:rsidRPr="00EF56D0">
              <w:rPr>
                <w:highlight w:val="yellow"/>
              </w:rPr>
              <w:t>Ewaluator prowadzi ewaluację</w:t>
            </w:r>
          </w:p>
        </w:tc>
      </w:tr>
      <w:tr w:rsidR="001924CD" w:rsidRPr="00EF56D0" w:rsidTr="001413F0">
        <w:trPr>
          <w:cantSplit/>
          <w:trHeight w:val="1134"/>
        </w:trPr>
        <w:tc>
          <w:tcPr>
            <w:tcW w:w="0" w:type="auto"/>
            <w:vMerge/>
            <w:shd w:val="clear" w:color="auto" w:fill="E7E6E6" w:themeFill="background2"/>
            <w:textDirection w:val="tbRl"/>
          </w:tcPr>
          <w:p w:rsidR="001924CD" w:rsidRPr="00EF56D0" w:rsidRDefault="001924CD" w:rsidP="008B1515">
            <w:pPr>
              <w:ind w:left="113" w:right="113"/>
              <w:rPr>
                <w:szCs w:val="18"/>
                <w:highlight w:val="yellow"/>
              </w:rPr>
            </w:pPr>
          </w:p>
        </w:tc>
        <w:tc>
          <w:tcPr>
            <w:tcW w:w="0" w:type="auto"/>
          </w:tcPr>
          <w:p w:rsidR="001924CD" w:rsidRPr="00EF56D0" w:rsidRDefault="001924CD" w:rsidP="008B1515">
            <w:pPr>
              <w:rPr>
                <w:b/>
                <w:color w:val="E7E6E6" w:themeColor="background2"/>
                <w:szCs w:val="18"/>
                <w:highlight w:val="yellow"/>
              </w:rPr>
            </w:pPr>
            <w:r w:rsidRPr="00EF56D0">
              <w:rPr>
                <w:b/>
                <w:color w:val="E7E6E6" w:themeColor="background2"/>
                <w:highlight w:val="yellow"/>
              </w:rPr>
              <w:t>Kontrola jakości</w:t>
            </w:r>
          </w:p>
        </w:tc>
        <w:tc>
          <w:tcPr>
            <w:tcW w:w="0" w:type="auto"/>
          </w:tcPr>
          <w:p w:rsidR="001924CD" w:rsidRPr="00EF56D0" w:rsidRDefault="001924CD" w:rsidP="008B1515">
            <w:pPr>
              <w:rPr>
                <w:szCs w:val="18"/>
                <w:highlight w:val="yellow"/>
              </w:rPr>
            </w:pPr>
            <w:r w:rsidRPr="00EF56D0">
              <w:rPr>
                <w:highlight w:val="yellow"/>
              </w:rPr>
              <w:t>Odpowiedzialna / uczestniczy</w:t>
            </w:r>
          </w:p>
        </w:tc>
        <w:tc>
          <w:tcPr>
            <w:tcW w:w="0" w:type="auto"/>
          </w:tcPr>
          <w:p w:rsidR="001924CD" w:rsidRPr="00EF56D0" w:rsidRDefault="001924CD" w:rsidP="008B1515">
            <w:pPr>
              <w:rPr>
                <w:szCs w:val="18"/>
                <w:highlight w:val="yellow"/>
              </w:rPr>
            </w:pPr>
          </w:p>
        </w:tc>
        <w:tc>
          <w:tcPr>
            <w:tcW w:w="0" w:type="auto"/>
          </w:tcPr>
          <w:p w:rsidR="001924CD" w:rsidRPr="00EF56D0" w:rsidRDefault="001924CD" w:rsidP="008B1515">
            <w:pPr>
              <w:rPr>
                <w:szCs w:val="18"/>
                <w:highlight w:val="yellow"/>
              </w:rPr>
            </w:pPr>
            <w:r w:rsidRPr="00EF56D0">
              <w:rPr>
                <w:highlight w:val="yellow"/>
              </w:rPr>
              <w:t>Uczestniczy / odpowiedzialna</w:t>
            </w:r>
          </w:p>
        </w:tc>
        <w:tc>
          <w:tcPr>
            <w:tcW w:w="0" w:type="auto"/>
          </w:tcPr>
          <w:p w:rsidR="001924CD" w:rsidRPr="00EF56D0" w:rsidRDefault="001924CD" w:rsidP="00D76339">
            <w:pPr>
              <w:rPr>
                <w:szCs w:val="18"/>
                <w:highlight w:val="yellow"/>
              </w:rPr>
            </w:pPr>
            <w:r w:rsidRPr="00EF56D0">
              <w:rPr>
                <w:highlight w:val="yellow"/>
              </w:rPr>
              <w:t>Ew. grupa sterująca bierze udział</w:t>
            </w:r>
          </w:p>
        </w:tc>
      </w:tr>
    </w:tbl>
    <w:p w:rsidR="001924CD" w:rsidRPr="00EF56D0" w:rsidRDefault="001924CD" w:rsidP="001B4E97">
      <w:pPr>
        <w:pStyle w:val="HHeading3"/>
        <w:rPr>
          <w:highlight w:val="yellow"/>
        </w:rPr>
      </w:pPr>
      <w:bookmarkStart w:id="155" w:name="_Toc453079762"/>
      <w:bookmarkStart w:id="156" w:name="_Toc461807123"/>
      <w:r w:rsidRPr="00EF56D0">
        <w:rPr>
          <w:highlight w:val="yellow"/>
        </w:rPr>
        <w:t>Komunikacja i rozpowszechnianie ustaleń z ewaluacji</w:t>
      </w:r>
      <w:bookmarkEnd w:id="155"/>
      <w:bookmarkEnd w:id="156"/>
      <w:r w:rsidRPr="00EF56D0">
        <w:rPr>
          <w:highlight w:val="yellow"/>
        </w:rPr>
        <w:t xml:space="preserve"> </w:t>
      </w:r>
    </w:p>
    <w:p w:rsidR="001924CD" w:rsidRPr="00EF56D0" w:rsidRDefault="001924CD" w:rsidP="006D3475">
      <w:pPr>
        <w:pStyle w:val="HHeading5"/>
        <w:rPr>
          <w:highlight w:val="yellow"/>
        </w:rPr>
      </w:pPr>
      <w:r w:rsidRPr="00EF56D0">
        <w:rPr>
          <w:highlight w:val="yellow"/>
        </w:rPr>
        <w:t>Komunikacja ustaleń z ewaluacji</w:t>
      </w:r>
    </w:p>
    <w:p w:rsidR="001924CD" w:rsidRPr="00EF56D0" w:rsidRDefault="001924CD" w:rsidP="001B4E97">
      <w:pPr>
        <w:pStyle w:val="HStandard"/>
        <w:rPr>
          <w:highlight w:val="yellow"/>
        </w:rPr>
      </w:pPr>
      <w:r w:rsidRPr="00EF56D0">
        <w:rPr>
          <w:highlight w:val="yellow"/>
        </w:rPr>
        <w:t>Komunikacja odbywa się w trakcie całego procesu ewaluacji, ale jej główna faza ma miejsce po zakończeniu ewaluacji, gdy zostały sformułowane wnioski i zalecenia. Działania komunikacyjne powinny być realizowane zgodnie z planem komunikacji opracowanym na początku procesu ewaluacji.</w:t>
      </w:r>
    </w:p>
    <w:p w:rsidR="001924CD" w:rsidRPr="00EF56D0" w:rsidRDefault="001924CD" w:rsidP="006D3475">
      <w:pPr>
        <w:pStyle w:val="HHeading5"/>
        <w:rPr>
          <w:highlight w:val="yellow"/>
        </w:rPr>
      </w:pPr>
      <w:r w:rsidRPr="00EF56D0">
        <w:rPr>
          <w:highlight w:val="yellow"/>
        </w:rPr>
        <w:t>Rozpowszechnianie</w:t>
      </w:r>
    </w:p>
    <w:p w:rsidR="001924CD" w:rsidRPr="00EF56D0" w:rsidRDefault="001924CD" w:rsidP="001B4E97">
      <w:pPr>
        <w:pStyle w:val="HStandard"/>
        <w:rPr>
          <w:highlight w:val="yellow"/>
        </w:rPr>
      </w:pPr>
      <w:r w:rsidRPr="00EF56D0">
        <w:rPr>
          <w:highlight w:val="yellow"/>
        </w:rPr>
        <w:t>Sprawozdanie z ewaluacji powinno być podane do wiadomości publicznej. Należy je opublikować na stronie internetowej IZ/JWS. Aby zwiększyć przejrzystości, sprawozdanie z ewaluacji powinno być ponadto przesłane uczestnikom procesu ewaluacji oraz wszystkim odpowiednim zainteresowanym podmiotom KSOW/PKSOW. Dobrym obyczajem jest sporządzenie streszczenia głównym wniosków z ewaluacji dla obywateli. Ewaluację należy ponadto przedstawiać i omawiać na warsztatach i innych imprezach (takich tak posiedzenia komitetu monitorującego). Ważne jest, aby na wczesnym etapie uzgodnić podział zadań w zakresie rozpowszechniania (pomiędzy IZ i JWS)..</w:t>
      </w:r>
    </w:p>
    <w:p w:rsidR="001924CD" w:rsidRPr="00EF56D0" w:rsidRDefault="001924CD" w:rsidP="006D3475">
      <w:pPr>
        <w:pStyle w:val="HHeading5"/>
        <w:rPr>
          <w:highlight w:val="yellow"/>
        </w:rPr>
      </w:pPr>
      <w:r w:rsidRPr="00EF56D0">
        <w:rPr>
          <w:highlight w:val="yellow"/>
        </w:rPr>
        <w:t xml:space="preserve">Monitorowanie wniosków z ewaluacji </w:t>
      </w:r>
    </w:p>
    <w:p w:rsidR="001924CD" w:rsidRPr="00EF56D0" w:rsidRDefault="001924CD" w:rsidP="001B4E97">
      <w:pPr>
        <w:pStyle w:val="HStandard"/>
        <w:rPr>
          <w:highlight w:val="yellow"/>
        </w:rPr>
      </w:pPr>
      <w:r w:rsidRPr="00EF56D0">
        <w:rPr>
          <w:highlight w:val="yellow"/>
        </w:rPr>
        <w:t xml:space="preserve">Aby ewaluacja (i samoocena) mogły być przydatne również dla samej sieci KSOW, przewidziano procedurę monitorowania realizacji wniosków i zaleceń. </w:t>
      </w:r>
    </w:p>
    <w:p w:rsidR="001924CD" w:rsidRPr="00EF56D0" w:rsidRDefault="001924CD" w:rsidP="001B4E97">
      <w:pPr>
        <w:pStyle w:val="HStandard"/>
        <w:rPr>
          <w:highlight w:val="yellow"/>
        </w:rPr>
      </w:pPr>
      <w:r w:rsidRPr="00EF56D0">
        <w:rPr>
          <w:highlight w:val="yellow"/>
        </w:rPr>
        <w:t xml:space="preserve">Realizacja wniosków z realizacji mogłaby być na stałe włączona (wraz z harmonogramem) do planu prac organu koordynującego lub sieci/podmiotu, do którego zalecenie jest kierowane. W przypadku KSOW mógłby to być plan działań, który jest dokumentem sporządzanym co roku. Plan działań KSOW mógłby również zawierać zapisy dotyczące sposobu wykorzystania wyników ewaluacji i samooceny w celu poprawy działalności sieci. Postępy w realizacji zaleceń mogą być omawiane w sprawozdaniu rocznym. W ten sposób wnioski z ewaluacji mogą wnosić wkład w przyszły kształt polityki. Instytucja zarządzająca oraz organ koordynujący powinni opracować i wdrożyć strategię oraz sposób monitorowania realizacji zaleceń z ewaluacji. Zadanie to może wykonywać właściciel ewaluacji za pomocą matrycy monitorowania, której przykład przedstawia </w:t>
      </w:r>
      <w:r w:rsidRPr="00EF56D0">
        <w:rPr>
          <w:highlight w:val="yellow"/>
        </w:rPr>
        <w:fldChar w:fldCharType="begin" w:fldLock="1"/>
      </w:r>
      <w:r w:rsidRPr="00EF56D0">
        <w:rPr>
          <w:highlight w:val="yellow"/>
        </w:rPr>
        <w:instrText xml:space="preserve"> REF _Ref451785007 \r \h  \* MERGEFORMAT </w:instrText>
      </w:r>
      <w:r w:rsidRPr="00EF56D0">
        <w:rPr>
          <w:highlight w:val="yellow"/>
        </w:rPr>
      </w:r>
      <w:r w:rsidRPr="00EF56D0">
        <w:rPr>
          <w:highlight w:val="yellow"/>
        </w:rPr>
        <w:fldChar w:fldCharType="separate"/>
      </w:r>
      <w:r w:rsidRPr="00EF56D0">
        <w:rPr>
          <w:highlight w:val="yellow"/>
        </w:rPr>
        <w:t>Table 9</w:t>
      </w:r>
      <w:r w:rsidRPr="00EF56D0">
        <w:rPr>
          <w:highlight w:val="yellow"/>
        </w:rPr>
        <w:fldChar w:fldCharType="end"/>
      </w:r>
      <w:r w:rsidRPr="00EF56D0">
        <w:rPr>
          <w:highlight w:val="yellow"/>
        </w:rPr>
        <w:t xml:space="preserve">. </w:t>
      </w:r>
    </w:p>
    <w:p w:rsidR="001924CD" w:rsidRPr="00EF56D0" w:rsidRDefault="001924CD" w:rsidP="001249DA">
      <w:pPr>
        <w:pStyle w:val="HHeadingtables"/>
        <w:rPr>
          <w:highlight w:val="yellow"/>
        </w:rPr>
      </w:pPr>
      <w:bookmarkStart w:id="157" w:name="_Toc436383151"/>
      <w:bookmarkStart w:id="158" w:name="_Toc451781913"/>
      <w:bookmarkStart w:id="159" w:name="_Ref451785007"/>
      <w:bookmarkStart w:id="160" w:name="_Toc461807136"/>
      <w:r w:rsidRPr="00EF56D0">
        <w:rPr>
          <w:highlight w:val="yellow"/>
        </w:rPr>
        <w:t>Matryca monitorowania ewaluacji</w:t>
      </w:r>
      <w:bookmarkEnd w:id="157"/>
      <w:bookmarkEnd w:id="158"/>
      <w:bookmarkEnd w:id="159"/>
      <w:bookmarkEnd w:id="160"/>
    </w:p>
    <w:tbl>
      <w:tblPr>
        <w:tblStyle w:val="TableGrid2"/>
        <w:tblW w:w="9085"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2965"/>
        <w:gridCol w:w="1530"/>
        <w:gridCol w:w="1530"/>
        <w:gridCol w:w="1620"/>
        <w:gridCol w:w="1440"/>
      </w:tblGrid>
      <w:tr w:rsidR="001924CD" w:rsidRPr="00EF56D0" w:rsidTr="00D90A43">
        <w:trPr>
          <w:tblHeader/>
          <w:jc w:val="center"/>
        </w:trPr>
        <w:tc>
          <w:tcPr>
            <w:tcW w:w="2965" w:type="dxa"/>
            <w:shd w:val="clear" w:color="auto" w:fill="E7E6E6" w:themeFill="background2"/>
          </w:tcPr>
          <w:p w:rsidR="001924CD" w:rsidRPr="00EF56D0" w:rsidRDefault="001924CD" w:rsidP="001249DA">
            <w:pPr>
              <w:pStyle w:val="Htableleftbolt"/>
              <w:jc w:val="center"/>
              <w:rPr>
                <w:rFonts w:cs="Arial"/>
                <w:color w:val="5B9BD5" w:themeColor="accent1"/>
                <w:sz w:val="18"/>
                <w:szCs w:val="18"/>
                <w:highlight w:val="yellow"/>
              </w:rPr>
            </w:pPr>
            <w:r w:rsidRPr="00EF56D0">
              <w:rPr>
                <w:color w:val="5B9BD5" w:themeColor="accent1"/>
                <w:sz w:val="18"/>
                <w:highlight w:val="yellow"/>
              </w:rPr>
              <w:t>CO?</w:t>
            </w:r>
          </w:p>
        </w:tc>
        <w:tc>
          <w:tcPr>
            <w:tcW w:w="1530" w:type="dxa"/>
            <w:shd w:val="clear" w:color="auto" w:fill="E7E6E6" w:themeFill="background2"/>
          </w:tcPr>
          <w:p w:rsidR="001924CD" w:rsidRPr="00EF56D0" w:rsidRDefault="001924CD" w:rsidP="001249DA">
            <w:pPr>
              <w:pStyle w:val="Htableleftbolt"/>
              <w:jc w:val="center"/>
              <w:rPr>
                <w:rFonts w:cs="Arial"/>
                <w:color w:val="5B9BD5" w:themeColor="accent1"/>
                <w:sz w:val="18"/>
                <w:szCs w:val="18"/>
                <w:highlight w:val="yellow"/>
              </w:rPr>
            </w:pPr>
            <w:r w:rsidRPr="00EF56D0">
              <w:rPr>
                <w:color w:val="5B9BD5" w:themeColor="accent1"/>
                <w:sz w:val="18"/>
                <w:highlight w:val="yellow"/>
              </w:rPr>
              <w:t>KIEDY?</w:t>
            </w:r>
          </w:p>
        </w:tc>
        <w:tc>
          <w:tcPr>
            <w:tcW w:w="1530" w:type="dxa"/>
            <w:shd w:val="clear" w:color="auto" w:fill="E7E6E6" w:themeFill="background2"/>
          </w:tcPr>
          <w:p w:rsidR="001924CD" w:rsidRPr="00EF56D0" w:rsidRDefault="001924CD" w:rsidP="001249DA">
            <w:pPr>
              <w:pStyle w:val="Htableleftbolt"/>
              <w:jc w:val="center"/>
              <w:rPr>
                <w:rFonts w:cs="Arial"/>
                <w:color w:val="5B9BD5" w:themeColor="accent1"/>
                <w:sz w:val="18"/>
                <w:szCs w:val="18"/>
                <w:highlight w:val="yellow"/>
              </w:rPr>
            </w:pPr>
            <w:r w:rsidRPr="00EF56D0">
              <w:rPr>
                <w:color w:val="5B9BD5" w:themeColor="accent1"/>
                <w:sz w:val="18"/>
                <w:highlight w:val="yellow"/>
              </w:rPr>
              <w:t>KTO?</w:t>
            </w:r>
          </w:p>
        </w:tc>
        <w:tc>
          <w:tcPr>
            <w:tcW w:w="1620" w:type="dxa"/>
            <w:shd w:val="clear" w:color="auto" w:fill="E7E6E6" w:themeFill="background2"/>
          </w:tcPr>
          <w:p w:rsidR="001924CD" w:rsidRPr="00EF56D0" w:rsidRDefault="001924CD" w:rsidP="001249DA">
            <w:pPr>
              <w:pStyle w:val="Htableleftbolt"/>
              <w:jc w:val="center"/>
              <w:rPr>
                <w:rFonts w:cs="Arial"/>
                <w:color w:val="5B9BD5" w:themeColor="accent1"/>
                <w:sz w:val="18"/>
                <w:szCs w:val="18"/>
                <w:highlight w:val="yellow"/>
              </w:rPr>
            </w:pPr>
            <w:r w:rsidRPr="00EF56D0">
              <w:rPr>
                <w:color w:val="5B9BD5" w:themeColor="accent1"/>
                <w:sz w:val="18"/>
                <w:highlight w:val="yellow"/>
              </w:rPr>
              <w:t>JAK?</w:t>
            </w:r>
          </w:p>
        </w:tc>
        <w:tc>
          <w:tcPr>
            <w:tcW w:w="1440" w:type="dxa"/>
            <w:shd w:val="clear" w:color="auto" w:fill="E7E6E6" w:themeFill="background2"/>
          </w:tcPr>
          <w:p w:rsidR="001924CD" w:rsidRPr="00EF56D0" w:rsidRDefault="001924CD" w:rsidP="001249DA">
            <w:pPr>
              <w:pStyle w:val="Htableleftbolt"/>
              <w:jc w:val="center"/>
              <w:rPr>
                <w:rFonts w:cs="Arial"/>
                <w:color w:val="5B9BD5" w:themeColor="accent1"/>
                <w:sz w:val="18"/>
                <w:szCs w:val="18"/>
                <w:highlight w:val="yellow"/>
              </w:rPr>
            </w:pPr>
            <w:r w:rsidRPr="00EF56D0">
              <w:rPr>
                <w:color w:val="5B9BD5" w:themeColor="accent1"/>
                <w:sz w:val="18"/>
                <w:highlight w:val="yellow"/>
              </w:rPr>
              <w:t>CO ZROBIONO?</w:t>
            </w:r>
          </w:p>
        </w:tc>
      </w:tr>
      <w:tr w:rsidR="001924CD" w:rsidRPr="00EF56D0" w:rsidTr="00D90A43">
        <w:trPr>
          <w:jc w:val="center"/>
        </w:trPr>
        <w:tc>
          <w:tcPr>
            <w:tcW w:w="2965" w:type="dxa"/>
            <w:shd w:val="clear" w:color="auto" w:fill="auto"/>
          </w:tcPr>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 xml:space="preserve">Jakie są główne wnioski z ewaluacji? Jakie są zalecenia? </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Jaka zmiana jest oczekiwana?</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Jak widzi to IZ/JWS?</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Co należy zrobić?</w:t>
            </w:r>
          </w:p>
        </w:tc>
        <w:tc>
          <w:tcPr>
            <w:tcW w:w="1530" w:type="dxa"/>
            <w:shd w:val="clear" w:color="auto" w:fill="auto"/>
          </w:tcPr>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Ramy czasowe, termin zakończenia monitorowania (follow-up)</w:t>
            </w:r>
          </w:p>
        </w:tc>
        <w:tc>
          <w:tcPr>
            <w:tcW w:w="1530" w:type="dxa"/>
            <w:shd w:val="clear" w:color="auto" w:fill="auto"/>
          </w:tcPr>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Odpowiedzialność za monitorowanie</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 xml:space="preserve">inne zaangażowane osoby </w:t>
            </w:r>
          </w:p>
        </w:tc>
        <w:tc>
          <w:tcPr>
            <w:tcW w:w="1620" w:type="dxa"/>
            <w:shd w:val="clear" w:color="auto" w:fill="auto"/>
          </w:tcPr>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 xml:space="preserve">Forma monitorowania </w:t>
            </w:r>
          </w:p>
        </w:tc>
        <w:tc>
          <w:tcPr>
            <w:tcW w:w="1440" w:type="dxa"/>
            <w:shd w:val="clear" w:color="auto" w:fill="auto"/>
          </w:tcPr>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Stan monitorowania, data</w:t>
            </w:r>
          </w:p>
        </w:tc>
      </w:tr>
      <w:tr w:rsidR="001924CD" w:rsidRPr="00EF56D0" w:rsidTr="00D90A43">
        <w:trPr>
          <w:jc w:val="center"/>
        </w:trPr>
        <w:tc>
          <w:tcPr>
            <w:tcW w:w="2965" w:type="dxa"/>
            <w:shd w:val="clear" w:color="auto" w:fill="auto"/>
          </w:tcPr>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Ustalenie - wniosek -</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Zalecenie 1:</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oparte ściśle na dowodach i analizie, jasno sformułowane, pragmatyczne</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Oczekiwana zmiana:</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zgodnie ze sprawozdaniem z ewaluacji</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lastRenderedPageBreak/>
              <w:t>Odpowiedź IZ/JWS:</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przyjęte, częściowo przyjęte, odrzucone – z uzasadnieniem</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Główne działania:</w:t>
            </w:r>
          </w:p>
          <w:p w:rsidR="001924CD" w:rsidRPr="00EF56D0" w:rsidRDefault="001924CD" w:rsidP="001B4E97">
            <w:pPr>
              <w:pStyle w:val="Htablebullet"/>
              <w:rPr>
                <w:color w:val="576C88" w:themeColor="text2" w:themeTint="D9"/>
                <w:szCs w:val="18"/>
                <w:highlight w:val="yellow"/>
              </w:rPr>
            </w:pPr>
            <w:r w:rsidRPr="00EF56D0">
              <w:rPr>
                <w:color w:val="576C88" w:themeColor="text2" w:themeTint="D9"/>
                <w:highlight w:val="yellow"/>
              </w:rPr>
              <w:t>…</w:t>
            </w:r>
          </w:p>
          <w:p w:rsidR="001924CD" w:rsidRPr="00EF56D0" w:rsidRDefault="001924CD" w:rsidP="001B4E97">
            <w:pPr>
              <w:pStyle w:val="Htablebullet"/>
              <w:rPr>
                <w:color w:val="576C88" w:themeColor="text2" w:themeTint="D9"/>
                <w:szCs w:val="18"/>
                <w:highlight w:val="yellow"/>
              </w:rPr>
            </w:pPr>
            <w:r w:rsidRPr="00EF56D0">
              <w:rPr>
                <w:color w:val="576C88" w:themeColor="text2" w:themeTint="D9"/>
                <w:highlight w:val="yellow"/>
              </w:rPr>
              <w:t>…</w:t>
            </w:r>
          </w:p>
        </w:tc>
        <w:tc>
          <w:tcPr>
            <w:tcW w:w="1530" w:type="dxa"/>
            <w:shd w:val="clear" w:color="auto" w:fill="auto"/>
          </w:tcPr>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lastRenderedPageBreak/>
              <w:t>kwartalnie, rocznie, co dwa lata itp.</w:t>
            </w:r>
          </w:p>
        </w:tc>
        <w:tc>
          <w:tcPr>
            <w:tcW w:w="1530" w:type="dxa"/>
            <w:shd w:val="clear" w:color="auto" w:fill="auto"/>
          </w:tcPr>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organizacja, jednostka, osoba</w:t>
            </w:r>
          </w:p>
        </w:tc>
        <w:tc>
          <w:tcPr>
            <w:tcW w:w="1620" w:type="dxa"/>
            <w:shd w:val="clear" w:color="auto" w:fill="auto"/>
          </w:tcPr>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 xml:space="preserve">Roczny plan pracy / sprawozdawczość KSOW, </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 xml:space="preserve">Roczne sprawozdanie z wykonania, </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lastRenderedPageBreak/>
              <w:t xml:space="preserve">Komitet monitorujący, </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Grupa sterująca itp.</w:t>
            </w:r>
          </w:p>
        </w:tc>
        <w:tc>
          <w:tcPr>
            <w:tcW w:w="1440" w:type="dxa"/>
            <w:shd w:val="clear" w:color="auto" w:fill="auto"/>
          </w:tcPr>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lastRenderedPageBreak/>
              <w:t>Kody stanu:</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jeszcze nie rozpoczęte</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w toku</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sfinalizowane</w:t>
            </w:r>
          </w:p>
        </w:tc>
      </w:tr>
      <w:tr w:rsidR="001924CD" w:rsidRPr="00EF56D0" w:rsidTr="00D90A43">
        <w:trPr>
          <w:jc w:val="center"/>
        </w:trPr>
        <w:tc>
          <w:tcPr>
            <w:tcW w:w="2965" w:type="dxa"/>
            <w:shd w:val="clear" w:color="auto" w:fill="auto"/>
          </w:tcPr>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Ustalenie - wniosek - Zalecenie 2:</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Oczekiwana zmiana:</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Odpowiedź IZ/JWS:</w:t>
            </w:r>
          </w:p>
          <w:p w:rsidR="001924CD" w:rsidRPr="00EF56D0" w:rsidRDefault="001924CD" w:rsidP="001B4E97">
            <w:pPr>
              <w:pStyle w:val="Htableleft"/>
              <w:rPr>
                <w:rFonts w:cs="Arial"/>
                <w:color w:val="576C88" w:themeColor="text2" w:themeTint="D9"/>
                <w:szCs w:val="18"/>
                <w:highlight w:val="yellow"/>
              </w:rPr>
            </w:pPr>
            <w:r w:rsidRPr="00EF56D0">
              <w:rPr>
                <w:color w:val="576C88" w:themeColor="text2" w:themeTint="D9"/>
                <w:highlight w:val="yellow"/>
              </w:rPr>
              <w:t>Główne działania:</w:t>
            </w:r>
          </w:p>
          <w:p w:rsidR="001924CD" w:rsidRPr="00EF56D0" w:rsidRDefault="001924CD" w:rsidP="001B4E97">
            <w:pPr>
              <w:pStyle w:val="Htablebullet"/>
              <w:rPr>
                <w:color w:val="576C88" w:themeColor="text2" w:themeTint="D9"/>
                <w:szCs w:val="18"/>
                <w:highlight w:val="yellow"/>
              </w:rPr>
            </w:pPr>
            <w:r w:rsidRPr="00EF56D0">
              <w:rPr>
                <w:color w:val="576C88" w:themeColor="text2" w:themeTint="D9"/>
                <w:highlight w:val="yellow"/>
              </w:rPr>
              <w:t>…</w:t>
            </w:r>
          </w:p>
          <w:p w:rsidR="001924CD" w:rsidRPr="00EF56D0" w:rsidRDefault="001924CD" w:rsidP="001B4E97">
            <w:pPr>
              <w:pStyle w:val="Htablebullet"/>
              <w:rPr>
                <w:color w:val="576C88" w:themeColor="text2" w:themeTint="D9"/>
                <w:szCs w:val="18"/>
                <w:highlight w:val="yellow"/>
              </w:rPr>
            </w:pPr>
            <w:r w:rsidRPr="00EF56D0">
              <w:rPr>
                <w:color w:val="576C88" w:themeColor="text2" w:themeTint="D9"/>
                <w:highlight w:val="yellow"/>
              </w:rPr>
              <w:t>…</w:t>
            </w:r>
          </w:p>
        </w:tc>
        <w:tc>
          <w:tcPr>
            <w:tcW w:w="1530" w:type="dxa"/>
            <w:shd w:val="clear" w:color="auto" w:fill="auto"/>
          </w:tcPr>
          <w:p w:rsidR="001924CD" w:rsidRPr="00EF56D0" w:rsidRDefault="001924CD" w:rsidP="001B4E97">
            <w:pPr>
              <w:pStyle w:val="Htableleft"/>
              <w:rPr>
                <w:rFonts w:cs="Arial"/>
                <w:color w:val="576C88" w:themeColor="text2" w:themeTint="D9"/>
                <w:szCs w:val="18"/>
                <w:highlight w:val="yellow"/>
              </w:rPr>
            </w:pPr>
          </w:p>
        </w:tc>
        <w:tc>
          <w:tcPr>
            <w:tcW w:w="1530" w:type="dxa"/>
            <w:shd w:val="clear" w:color="auto" w:fill="auto"/>
          </w:tcPr>
          <w:p w:rsidR="001924CD" w:rsidRPr="00EF56D0" w:rsidRDefault="001924CD" w:rsidP="001B4E97">
            <w:pPr>
              <w:pStyle w:val="Htableleft"/>
              <w:rPr>
                <w:rFonts w:cs="Arial"/>
                <w:color w:val="576C88" w:themeColor="text2" w:themeTint="D9"/>
                <w:szCs w:val="18"/>
                <w:highlight w:val="yellow"/>
              </w:rPr>
            </w:pPr>
          </w:p>
        </w:tc>
        <w:tc>
          <w:tcPr>
            <w:tcW w:w="1620" w:type="dxa"/>
            <w:shd w:val="clear" w:color="auto" w:fill="auto"/>
          </w:tcPr>
          <w:p w:rsidR="001924CD" w:rsidRPr="00EF56D0" w:rsidRDefault="001924CD" w:rsidP="001B4E97">
            <w:pPr>
              <w:pStyle w:val="Htableleft"/>
              <w:rPr>
                <w:rFonts w:cs="Arial"/>
                <w:color w:val="576C88" w:themeColor="text2" w:themeTint="D9"/>
                <w:szCs w:val="18"/>
                <w:highlight w:val="yellow"/>
              </w:rPr>
            </w:pPr>
          </w:p>
        </w:tc>
        <w:tc>
          <w:tcPr>
            <w:tcW w:w="1440" w:type="dxa"/>
            <w:shd w:val="clear" w:color="auto" w:fill="auto"/>
          </w:tcPr>
          <w:p w:rsidR="001924CD" w:rsidRPr="00EF56D0" w:rsidRDefault="001924CD" w:rsidP="001B4E97">
            <w:pPr>
              <w:pStyle w:val="Htableleft"/>
              <w:rPr>
                <w:rFonts w:cs="Arial"/>
                <w:color w:val="576C88" w:themeColor="text2" w:themeTint="D9"/>
                <w:szCs w:val="18"/>
                <w:highlight w:val="yellow"/>
              </w:rPr>
            </w:pPr>
          </w:p>
        </w:tc>
      </w:tr>
    </w:tbl>
    <w:p w:rsidR="001924CD" w:rsidRPr="00EF56D0" w:rsidRDefault="001924CD" w:rsidP="009E75C6">
      <w:pPr>
        <w:pStyle w:val="HHeadingtables"/>
        <w:numPr>
          <w:ilvl w:val="0"/>
          <w:numId w:val="0"/>
        </w:numPr>
        <w:rPr>
          <w:highlight w:val="yellow"/>
        </w:rPr>
      </w:pPr>
    </w:p>
    <w:p w:rsidR="001924CD" w:rsidRPr="00EF56D0" w:rsidRDefault="001924CD">
      <w:pPr>
        <w:spacing w:after="0" w:line="240" w:lineRule="auto"/>
        <w:rPr>
          <w:rFonts w:cs="Arial"/>
          <w:b/>
          <w:color w:val="576C88" w:themeColor="text2" w:themeTint="D9"/>
          <w:sz w:val="16"/>
          <w:szCs w:val="20"/>
          <w:highlight w:val="yellow"/>
        </w:rPr>
      </w:pPr>
      <w:r w:rsidRPr="00EF56D0">
        <w:rPr>
          <w:highlight w:val="yellow"/>
        </w:rPr>
        <w:br w:type="page"/>
      </w:r>
    </w:p>
    <w:p w:rsidR="001924CD" w:rsidRPr="00EF56D0" w:rsidRDefault="001924CD" w:rsidP="001249DA">
      <w:pPr>
        <w:pStyle w:val="HHeadingtables"/>
        <w:rPr>
          <w:highlight w:val="yellow"/>
        </w:rPr>
      </w:pPr>
      <w:bookmarkStart w:id="161" w:name="_Toc451781914"/>
      <w:bookmarkStart w:id="162" w:name="_Toc461807137"/>
      <w:r w:rsidRPr="00EF56D0">
        <w:rPr>
          <w:highlight w:val="yellow"/>
        </w:rPr>
        <w:lastRenderedPageBreak/>
        <w:t>Obowiązki zainteresowanych podmiotów w zakresie komunikowania i monitorowania wniosków z ewaluacji KSOW</w:t>
      </w:r>
      <w:bookmarkEnd w:id="161"/>
      <w:bookmarkEnd w:id="162"/>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60"/>
        <w:gridCol w:w="1883"/>
        <w:gridCol w:w="1587"/>
        <w:gridCol w:w="1473"/>
        <w:gridCol w:w="1545"/>
        <w:gridCol w:w="2073"/>
      </w:tblGrid>
      <w:tr w:rsidR="001924CD" w:rsidRPr="00EF56D0" w:rsidTr="001413F0">
        <w:tc>
          <w:tcPr>
            <w:tcW w:w="0" w:type="auto"/>
            <w:tcBorders>
              <w:top w:val="nil"/>
              <w:left w:val="nil"/>
              <w:bottom w:val="single" w:sz="4" w:space="0" w:color="000000" w:themeColor="text1"/>
            </w:tcBorders>
          </w:tcPr>
          <w:p w:rsidR="001924CD" w:rsidRPr="00EF56D0" w:rsidRDefault="001924CD" w:rsidP="008B1515">
            <w:pPr>
              <w:jc w:val="right"/>
              <w:rPr>
                <w:b/>
                <w:szCs w:val="18"/>
                <w:highlight w:val="yellow"/>
              </w:rPr>
            </w:pPr>
          </w:p>
        </w:tc>
        <w:tc>
          <w:tcPr>
            <w:tcW w:w="0" w:type="auto"/>
            <w:shd w:val="clear" w:color="auto" w:fill="E7E6E6" w:themeFill="background2"/>
          </w:tcPr>
          <w:p w:rsidR="001924CD" w:rsidRPr="00EF56D0" w:rsidRDefault="001924CD" w:rsidP="001413F0">
            <w:pPr>
              <w:jc w:val="center"/>
              <w:rPr>
                <w:b/>
                <w:color w:val="5B9BD5" w:themeColor="accent1"/>
                <w:szCs w:val="18"/>
                <w:highlight w:val="yellow"/>
              </w:rPr>
            </w:pPr>
            <w:r w:rsidRPr="00EF56D0">
              <w:rPr>
                <w:b/>
                <w:color w:val="5B9BD5" w:themeColor="accent1"/>
                <w:highlight w:val="yellow"/>
              </w:rPr>
              <w:t>Działania</w:t>
            </w:r>
          </w:p>
        </w:tc>
        <w:tc>
          <w:tcPr>
            <w:tcW w:w="0" w:type="auto"/>
            <w:gridSpan w:val="4"/>
            <w:shd w:val="clear" w:color="auto" w:fill="E7E6E6" w:themeFill="background2"/>
          </w:tcPr>
          <w:p w:rsidR="001924CD" w:rsidRPr="00EF56D0" w:rsidRDefault="001924CD" w:rsidP="001413F0">
            <w:pPr>
              <w:jc w:val="center"/>
              <w:rPr>
                <w:b/>
                <w:color w:val="5B9BD5" w:themeColor="accent1"/>
                <w:szCs w:val="18"/>
                <w:highlight w:val="yellow"/>
              </w:rPr>
            </w:pPr>
            <w:r w:rsidRPr="00EF56D0">
              <w:rPr>
                <w:b/>
                <w:color w:val="5B9BD5" w:themeColor="accent1"/>
                <w:highlight w:val="yellow"/>
              </w:rPr>
              <w:t>Podmioty</w:t>
            </w:r>
          </w:p>
        </w:tc>
      </w:tr>
      <w:tr w:rsidR="001924CD" w:rsidRPr="00EF56D0" w:rsidTr="001413F0">
        <w:trPr>
          <w:cantSplit/>
          <w:trHeight w:val="1134"/>
        </w:trPr>
        <w:tc>
          <w:tcPr>
            <w:tcW w:w="0" w:type="auto"/>
            <w:shd w:val="clear" w:color="auto" w:fill="E7E6E6" w:themeFill="background2"/>
            <w:textDirection w:val="tbRl"/>
          </w:tcPr>
          <w:p w:rsidR="001924CD" w:rsidRPr="00EF56D0" w:rsidRDefault="001924CD" w:rsidP="001413F0">
            <w:pPr>
              <w:ind w:left="113" w:right="113"/>
              <w:jc w:val="center"/>
              <w:rPr>
                <w:b/>
                <w:color w:val="5B9BD5" w:themeColor="accent1"/>
                <w:szCs w:val="18"/>
                <w:highlight w:val="yellow"/>
              </w:rPr>
            </w:pPr>
            <w:r w:rsidRPr="00EF56D0">
              <w:rPr>
                <w:b/>
                <w:color w:val="5B9BD5" w:themeColor="accent1"/>
                <w:highlight w:val="yellow"/>
              </w:rPr>
              <w:t>Faza</w:t>
            </w:r>
          </w:p>
        </w:tc>
        <w:tc>
          <w:tcPr>
            <w:tcW w:w="0" w:type="auto"/>
          </w:tcPr>
          <w:p w:rsidR="001924CD" w:rsidRPr="00EF56D0" w:rsidRDefault="001924CD" w:rsidP="008B1515">
            <w:pPr>
              <w:rPr>
                <w:b/>
                <w:color w:val="E7E6E6" w:themeColor="background2"/>
                <w:szCs w:val="18"/>
                <w:highlight w:val="yellow"/>
              </w:rPr>
            </w:pPr>
            <w:r w:rsidRPr="00EF56D0">
              <w:rPr>
                <w:b/>
                <w:color w:val="E7E6E6" w:themeColor="background2"/>
                <w:highlight w:val="yellow"/>
              </w:rPr>
              <w:t>Etap</w:t>
            </w:r>
          </w:p>
        </w:tc>
        <w:tc>
          <w:tcPr>
            <w:tcW w:w="0" w:type="auto"/>
          </w:tcPr>
          <w:p w:rsidR="001924CD" w:rsidRPr="00EF56D0" w:rsidRDefault="001924CD" w:rsidP="008B1515">
            <w:pPr>
              <w:rPr>
                <w:i/>
                <w:szCs w:val="18"/>
                <w:highlight w:val="yellow"/>
              </w:rPr>
            </w:pPr>
            <w:r w:rsidRPr="00EF56D0">
              <w:rPr>
                <w:i/>
                <w:highlight w:val="yellow"/>
              </w:rPr>
              <w:t>IZ</w:t>
            </w:r>
          </w:p>
        </w:tc>
        <w:tc>
          <w:tcPr>
            <w:tcW w:w="0" w:type="auto"/>
          </w:tcPr>
          <w:p w:rsidR="001924CD" w:rsidRPr="00EF56D0" w:rsidRDefault="001924CD" w:rsidP="008B1515">
            <w:pPr>
              <w:rPr>
                <w:i/>
                <w:szCs w:val="18"/>
                <w:highlight w:val="yellow"/>
              </w:rPr>
            </w:pPr>
            <w:r w:rsidRPr="00EF56D0">
              <w:rPr>
                <w:i/>
                <w:highlight w:val="yellow"/>
              </w:rPr>
              <w:t>inne jednostki IZ</w:t>
            </w:r>
          </w:p>
        </w:tc>
        <w:tc>
          <w:tcPr>
            <w:tcW w:w="0" w:type="auto"/>
          </w:tcPr>
          <w:p w:rsidR="001924CD" w:rsidRPr="00EF56D0" w:rsidRDefault="001924CD" w:rsidP="008B1515">
            <w:pPr>
              <w:rPr>
                <w:i/>
                <w:szCs w:val="18"/>
                <w:highlight w:val="yellow"/>
              </w:rPr>
            </w:pPr>
            <w:r w:rsidRPr="00EF56D0">
              <w:rPr>
                <w:i/>
                <w:highlight w:val="yellow"/>
              </w:rPr>
              <w:t>JWS</w:t>
            </w:r>
          </w:p>
        </w:tc>
        <w:tc>
          <w:tcPr>
            <w:tcW w:w="0" w:type="auto"/>
          </w:tcPr>
          <w:p w:rsidR="001924CD" w:rsidRPr="00EF56D0" w:rsidRDefault="001924CD" w:rsidP="008B1515">
            <w:pPr>
              <w:rPr>
                <w:i/>
                <w:szCs w:val="18"/>
                <w:highlight w:val="yellow"/>
              </w:rPr>
            </w:pPr>
            <w:r w:rsidRPr="00EF56D0">
              <w:rPr>
                <w:i/>
                <w:highlight w:val="yellow"/>
              </w:rPr>
              <w:t>Inne</w:t>
            </w:r>
          </w:p>
        </w:tc>
      </w:tr>
      <w:tr w:rsidR="001924CD" w:rsidRPr="00EF56D0" w:rsidTr="001413F0">
        <w:tc>
          <w:tcPr>
            <w:tcW w:w="0" w:type="auto"/>
            <w:vMerge w:val="restart"/>
            <w:shd w:val="clear" w:color="auto" w:fill="E7E6E6" w:themeFill="background2"/>
            <w:textDirection w:val="tbRl"/>
          </w:tcPr>
          <w:p w:rsidR="001924CD" w:rsidRPr="00EF56D0" w:rsidRDefault="001924CD" w:rsidP="001413F0">
            <w:pPr>
              <w:ind w:left="113" w:right="113"/>
              <w:jc w:val="center"/>
              <w:rPr>
                <w:b/>
                <w:color w:val="5B9BD5" w:themeColor="accent1"/>
                <w:szCs w:val="18"/>
                <w:highlight w:val="yellow"/>
              </w:rPr>
            </w:pPr>
            <w:r w:rsidRPr="00EF56D0">
              <w:rPr>
                <w:b/>
                <w:color w:val="5B9BD5" w:themeColor="accent1"/>
                <w:highlight w:val="yellow"/>
              </w:rPr>
              <w:t>Komunikacja i rozpowszechnianie</w:t>
            </w:r>
          </w:p>
        </w:tc>
        <w:tc>
          <w:tcPr>
            <w:tcW w:w="0" w:type="auto"/>
          </w:tcPr>
          <w:p w:rsidR="001924CD" w:rsidRPr="00EF56D0" w:rsidRDefault="001924CD" w:rsidP="008B1515">
            <w:pPr>
              <w:rPr>
                <w:b/>
                <w:color w:val="E7E6E6" w:themeColor="background2"/>
                <w:szCs w:val="18"/>
                <w:highlight w:val="yellow"/>
              </w:rPr>
            </w:pPr>
            <w:r w:rsidRPr="00EF56D0">
              <w:rPr>
                <w:b/>
                <w:color w:val="E7E6E6" w:themeColor="background2"/>
                <w:highlight w:val="yellow"/>
              </w:rPr>
              <w:t>Komunikacja</w:t>
            </w:r>
          </w:p>
        </w:tc>
        <w:tc>
          <w:tcPr>
            <w:tcW w:w="0" w:type="auto"/>
          </w:tcPr>
          <w:p w:rsidR="001924CD" w:rsidRPr="00EF56D0" w:rsidRDefault="001924CD" w:rsidP="008B1515">
            <w:pPr>
              <w:rPr>
                <w:szCs w:val="18"/>
                <w:highlight w:val="yellow"/>
              </w:rPr>
            </w:pPr>
            <w:r w:rsidRPr="00EF56D0">
              <w:rPr>
                <w:highlight w:val="yellow"/>
              </w:rPr>
              <w:t>Odpowiedzialna / uczestniczy</w:t>
            </w:r>
          </w:p>
        </w:tc>
        <w:tc>
          <w:tcPr>
            <w:tcW w:w="0" w:type="auto"/>
          </w:tcPr>
          <w:p w:rsidR="001924CD" w:rsidRPr="00EF56D0" w:rsidRDefault="001924CD" w:rsidP="008B1515">
            <w:pPr>
              <w:rPr>
                <w:szCs w:val="18"/>
                <w:highlight w:val="yellow"/>
              </w:rPr>
            </w:pPr>
            <w:r w:rsidRPr="00EF56D0">
              <w:rPr>
                <w:highlight w:val="yellow"/>
              </w:rPr>
              <w:t>Może uczestniczyć, jeśli jest jednostką ds. komunikacji</w:t>
            </w:r>
          </w:p>
        </w:tc>
        <w:tc>
          <w:tcPr>
            <w:tcW w:w="0" w:type="auto"/>
          </w:tcPr>
          <w:p w:rsidR="001924CD" w:rsidRPr="00EF56D0" w:rsidRDefault="001924CD" w:rsidP="008B1515">
            <w:pPr>
              <w:rPr>
                <w:szCs w:val="18"/>
                <w:highlight w:val="yellow"/>
              </w:rPr>
            </w:pPr>
            <w:r w:rsidRPr="00EF56D0">
              <w:rPr>
                <w:highlight w:val="yellow"/>
              </w:rPr>
              <w:t>Uczestniczy / odpowiedzialna</w:t>
            </w:r>
          </w:p>
        </w:tc>
        <w:tc>
          <w:tcPr>
            <w:tcW w:w="0" w:type="auto"/>
          </w:tcPr>
          <w:p w:rsidR="001924CD" w:rsidRPr="00EF56D0" w:rsidRDefault="001924CD" w:rsidP="008B1515">
            <w:pPr>
              <w:rPr>
                <w:szCs w:val="18"/>
                <w:highlight w:val="yellow"/>
              </w:rPr>
            </w:pPr>
          </w:p>
        </w:tc>
      </w:tr>
      <w:tr w:rsidR="001924CD" w:rsidRPr="00EF56D0" w:rsidTr="001413F0">
        <w:tc>
          <w:tcPr>
            <w:tcW w:w="0" w:type="auto"/>
            <w:vMerge/>
            <w:shd w:val="clear" w:color="auto" w:fill="E7E6E6" w:themeFill="background2"/>
          </w:tcPr>
          <w:p w:rsidR="001924CD" w:rsidRPr="00EF56D0" w:rsidRDefault="001924CD" w:rsidP="008B1515">
            <w:pPr>
              <w:rPr>
                <w:szCs w:val="18"/>
                <w:highlight w:val="yellow"/>
              </w:rPr>
            </w:pPr>
          </w:p>
        </w:tc>
        <w:tc>
          <w:tcPr>
            <w:tcW w:w="0" w:type="auto"/>
          </w:tcPr>
          <w:p w:rsidR="001924CD" w:rsidRPr="00EF56D0" w:rsidRDefault="001924CD" w:rsidP="008B1515">
            <w:pPr>
              <w:rPr>
                <w:b/>
                <w:color w:val="E7E6E6" w:themeColor="background2"/>
                <w:szCs w:val="18"/>
                <w:highlight w:val="yellow"/>
              </w:rPr>
            </w:pPr>
            <w:r w:rsidRPr="00EF56D0">
              <w:rPr>
                <w:b/>
                <w:color w:val="E7E6E6" w:themeColor="background2"/>
                <w:highlight w:val="yellow"/>
              </w:rPr>
              <w:t>Rozpowszechnianie</w:t>
            </w:r>
          </w:p>
        </w:tc>
        <w:tc>
          <w:tcPr>
            <w:tcW w:w="0" w:type="auto"/>
          </w:tcPr>
          <w:p w:rsidR="001924CD" w:rsidRPr="00EF56D0" w:rsidRDefault="001924CD" w:rsidP="008B1515">
            <w:pPr>
              <w:rPr>
                <w:szCs w:val="18"/>
                <w:highlight w:val="yellow"/>
              </w:rPr>
            </w:pPr>
            <w:r w:rsidRPr="00EF56D0">
              <w:rPr>
                <w:highlight w:val="yellow"/>
              </w:rPr>
              <w:t>Odpowiedzialna / uczestniczy</w:t>
            </w:r>
          </w:p>
        </w:tc>
        <w:tc>
          <w:tcPr>
            <w:tcW w:w="0" w:type="auto"/>
          </w:tcPr>
          <w:p w:rsidR="001924CD" w:rsidRPr="00EF56D0" w:rsidRDefault="001924CD" w:rsidP="008B1515">
            <w:pPr>
              <w:rPr>
                <w:szCs w:val="18"/>
                <w:highlight w:val="yellow"/>
              </w:rPr>
            </w:pPr>
            <w:r w:rsidRPr="00EF56D0">
              <w:rPr>
                <w:highlight w:val="yellow"/>
              </w:rPr>
              <w:t>Może uczestniczyć, jeśli jest jednostką ds. komunikacji</w:t>
            </w:r>
          </w:p>
        </w:tc>
        <w:tc>
          <w:tcPr>
            <w:tcW w:w="0" w:type="auto"/>
          </w:tcPr>
          <w:p w:rsidR="001924CD" w:rsidRPr="00EF56D0" w:rsidRDefault="001924CD" w:rsidP="008B1515">
            <w:pPr>
              <w:rPr>
                <w:szCs w:val="18"/>
                <w:highlight w:val="yellow"/>
              </w:rPr>
            </w:pPr>
            <w:r w:rsidRPr="00EF56D0">
              <w:rPr>
                <w:highlight w:val="yellow"/>
              </w:rPr>
              <w:t>Uczestniczy / odpowiedzialna</w:t>
            </w:r>
          </w:p>
        </w:tc>
        <w:tc>
          <w:tcPr>
            <w:tcW w:w="0" w:type="auto"/>
          </w:tcPr>
          <w:p w:rsidR="001924CD" w:rsidRPr="00EF56D0" w:rsidRDefault="001924CD" w:rsidP="008B1515">
            <w:pPr>
              <w:rPr>
                <w:szCs w:val="18"/>
                <w:highlight w:val="yellow"/>
              </w:rPr>
            </w:pPr>
            <w:r w:rsidRPr="00EF56D0">
              <w:rPr>
                <w:highlight w:val="yellow"/>
              </w:rPr>
              <w:t>LGD i regionalne IZ mogą rozpowszechniać informacje</w:t>
            </w:r>
          </w:p>
          <w:p w:rsidR="001924CD" w:rsidRPr="00EF56D0" w:rsidRDefault="001924CD" w:rsidP="008B1515">
            <w:pPr>
              <w:rPr>
                <w:szCs w:val="18"/>
                <w:highlight w:val="yellow"/>
              </w:rPr>
            </w:pPr>
          </w:p>
        </w:tc>
      </w:tr>
      <w:tr w:rsidR="001924CD" w:rsidRPr="008D0759" w:rsidTr="001413F0">
        <w:trPr>
          <w:trHeight w:val="1885"/>
        </w:trPr>
        <w:tc>
          <w:tcPr>
            <w:tcW w:w="0" w:type="auto"/>
            <w:vMerge/>
            <w:shd w:val="clear" w:color="auto" w:fill="E7E6E6" w:themeFill="background2"/>
          </w:tcPr>
          <w:p w:rsidR="001924CD" w:rsidRPr="00EF56D0" w:rsidRDefault="001924CD" w:rsidP="008B1515">
            <w:pPr>
              <w:rPr>
                <w:szCs w:val="18"/>
                <w:highlight w:val="yellow"/>
              </w:rPr>
            </w:pPr>
          </w:p>
        </w:tc>
        <w:tc>
          <w:tcPr>
            <w:tcW w:w="0" w:type="auto"/>
          </w:tcPr>
          <w:p w:rsidR="001924CD" w:rsidRPr="00EF56D0" w:rsidRDefault="001924CD" w:rsidP="008B1515">
            <w:pPr>
              <w:rPr>
                <w:b/>
                <w:color w:val="E7E6E6" w:themeColor="background2"/>
                <w:szCs w:val="18"/>
                <w:highlight w:val="yellow"/>
              </w:rPr>
            </w:pPr>
            <w:r w:rsidRPr="00EF56D0">
              <w:rPr>
                <w:b/>
                <w:color w:val="E7E6E6" w:themeColor="background2"/>
                <w:highlight w:val="yellow"/>
              </w:rPr>
              <w:t>Monitorowanie</w:t>
            </w:r>
          </w:p>
        </w:tc>
        <w:tc>
          <w:tcPr>
            <w:tcW w:w="0" w:type="auto"/>
          </w:tcPr>
          <w:p w:rsidR="001924CD" w:rsidRPr="00EF56D0" w:rsidRDefault="001924CD" w:rsidP="008B1515">
            <w:pPr>
              <w:rPr>
                <w:szCs w:val="18"/>
                <w:highlight w:val="yellow"/>
              </w:rPr>
            </w:pPr>
            <w:r w:rsidRPr="00EF56D0">
              <w:rPr>
                <w:highlight w:val="yellow"/>
              </w:rPr>
              <w:t>Odpowiedzialna / uczestniczy</w:t>
            </w:r>
          </w:p>
        </w:tc>
        <w:tc>
          <w:tcPr>
            <w:tcW w:w="0" w:type="auto"/>
          </w:tcPr>
          <w:p w:rsidR="001924CD" w:rsidRPr="00EF56D0" w:rsidRDefault="001924CD" w:rsidP="008B1515">
            <w:pPr>
              <w:rPr>
                <w:szCs w:val="18"/>
                <w:highlight w:val="yellow"/>
              </w:rPr>
            </w:pPr>
          </w:p>
        </w:tc>
        <w:tc>
          <w:tcPr>
            <w:tcW w:w="0" w:type="auto"/>
          </w:tcPr>
          <w:p w:rsidR="001924CD" w:rsidRPr="00EF56D0" w:rsidRDefault="001924CD" w:rsidP="008B1515">
            <w:pPr>
              <w:rPr>
                <w:szCs w:val="18"/>
                <w:highlight w:val="yellow"/>
              </w:rPr>
            </w:pPr>
            <w:r w:rsidRPr="00EF56D0">
              <w:rPr>
                <w:highlight w:val="yellow"/>
              </w:rPr>
              <w:t>Uczestniczy / odpowiedzialna</w:t>
            </w:r>
          </w:p>
        </w:tc>
        <w:tc>
          <w:tcPr>
            <w:tcW w:w="0" w:type="auto"/>
          </w:tcPr>
          <w:p w:rsidR="001924CD" w:rsidRPr="008D0759" w:rsidRDefault="001924CD" w:rsidP="008B1515">
            <w:pPr>
              <w:rPr>
                <w:szCs w:val="18"/>
              </w:rPr>
            </w:pPr>
            <w:r w:rsidRPr="00EF56D0">
              <w:rPr>
                <w:highlight w:val="yellow"/>
              </w:rPr>
              <w:t>Ewentualna grupa sterująca KSOW może podejmować działania i monitorować postępy w odniesieniu do zaleceń z ewaluacji</w:t>
            </w:r>
          </w:p>
        </w:tc>
      </w:tr>
    </w:tbl>
    <w:p w:rsidR="001924CD" w:rsidRPr="008D0759" w:rsidRDefault="001924CD" w:rsidP="00457F3C">
      <w:pPr>
        <w:pStyle w:val="HHeading1"/>
        <w:numPr>
          <w:ilvl w:val="0"/>
          <w:numId w:val="0"/>
        </w:numPr>
        <w:ind w:left="510"/>
      </w:pPr>
    </w:p>
    <w:p w:rsidR="001924CD" w:rsidRPr="000A700F" w:rsidRDefault="001924CD" w:rsidP="00642574">
      <w:pPr>
        <w:pStyle w:val="HHeading1"/>
        <w:rPr>
          <w:highlight w:val="yellow"/>
        </w:rPr>
      </w:pPr>
      <w:bookmarkStart w:id="163" w:name="_Toc436140051"/>
      <w:bookmarkStart w:id="164" w:name="_Toc443491677"/>
      <w:bookmarkStart w:id="165" w:name="_Toc453079763"/>
      <w:r>
        <w:rPr>
          <w:highlight w:val="yellow"/>
        </w:rPr>
        <w:lastRenderedPageBreak/>
        <w:t>CZĘŚĆ II – PODRĘCZNIK METODOLOGICZNY</w:t>
      </w:r>
      <w:bookmarkEnd w:id="163"/>
      <w:bookmarkEnd w:id="164"/>
      <w:bookmarkEnd w:id="165"/>
    </w:p>
    <w:p w:rsidR="001924CD" w:rsidRPr="000A700F" w:rsidRDefault="001924CD" w:rsidP="00975D9B">
      <w:pPr>
        <w:pStyle w:val="HHeading5"/>
        <w:rPr>
          <w:highlight w:val="yellow"/>
        </w:rPr>
      </w:pPr>
      <w:r>
        <w:rPr>
          <w:highlight w:val="yellow"/>
        </w:rPr>
        <w:t>Do kogo skierowana jest CZĘŚĆ II?</w:t>
      </w:r>
    </w:p>
    <w:p w:rsidR="001924CD" w:rsidRPr="000A700F" w:rsidRDefault="001924CD" w:rsidP="00320BBA">
      <w:pPr>
        <w:pStyle w:val="HStandard"/>
        <w:rPr>
          <w:highlight w:val="yellow"/>
        </w:rPr>
      </w:pPr>
      <w:r>
        <w:rPr>
          <w:highlight w:val="yellow"/>
        </w:rPr>
        <w:t xml:space="preserve">Niniejsza część jest skierowana przede wszystkich do ewaluatorów i wszystkich osób zainteresowanych metodologicznymi aspektami ewaluacji KSOW. Może ona być również szczególnie interesująca dla urzędników i ekspertów uczestniczących w sporządzaniu specyfikacji istotnych warunków zamówienia oraz dla osób zarządzających KSOW. </w:t>
      </w:r>
    </w:p>
    <w:p w:rsidR="001924CD" w:rsidRPr="000A700F" w:rsidRDefault="001924CD" w:rsidP="00320BBA">
      <w:pPr>
        <w:pStyle w:val="HStandard"/>
        <w:rPr>
          <w:highlight w:val="yellow"/>
        </w:rPr>
      </w:pPr>
      <w:r>
        <w:rPr>
          <w:highlight w:val="yellow"/>
        </w:rPr>
        <w:t xml:space="preserve">Poradnik metodyczny ma za zadanie służyć jako pomoc w całym odnośnym okresie, czyli od czasu sporządzania rozszerzonych sprawozdań z wykonania w latach 2017 i 2019 do czasu oceny ex post niezależnie od tego, czy ewaluacja obejmuje cały zakres pytań ewaluacyjnych, czy tylko ich określoną część w kontekście oceny tematycznej. </w:t>
      </w:r>
    </w:p>
    <w:p w:rsidR="001924CD" w:rsidRPr="000A700F" w:rsidRDefault="001924CD" w:rsidP="00320BBA">
      <w:pPr>
        <w:pStyle w:val="HStandard"/>
        <w:rPr>
          <w:highlight w:val="yellow"/>
        </w:rPr>
      </w:pPr>
      <w:r>
        <w:rPr>
          <w:b/>
          <w:color w:val="E7E6E6" w:themeColor="background2"/>
          <w:highlight w:val="yellow"/>
        </w:rPr>
        <w:t>CZĘŚĆ II</w:t>
      </w:r>
      <w:r>
        <w:rPr>
          <w:highlight w:val="yellow"/>
        </w:rPr>
        <w:t xml:space="preserve"> zawiera wskazówki w zakresie dwóch wariantów ewaluacji KSOW: </w:t>
      </w:r>
    </w:p>
    <w:p w:rsidR="001924CD" w:rsidRPr="000A700F" w:rsidRDefault="001924CD" w:rsidP="004D1A84">
      <w:pPr>
        <w:pStyle w:val="Hlistbullet2"/>
        <w:rPr>
          <w:highlight w:val="yellow"/>
        </w:rPr>
      </w:pPr>
      <w:r>
        <w:rPr>
          <w:highlight w:val="yellow"/>
        </w:rPr>
        <w:t>ewaluacji KSOW jako części pomocy technicznej w ramach PROW;</w:t>
      </w:r>
    </w:p>
    <w:p w:rsidR="001924CD" w:rsidRPr="000A700F" w:rsidRDefault="001924CD" w:rsidP="004D1A84">
      <w:pPr>
        <w:pStyle w:val="Hlistbullet2"/>
        <w:rPr>
          <w:highlight w:val="yellow"/>
        </w:rPr>
      </w:pPr>
      <w:r>
        <w:rPr>
          <w:highlight w:val="yellow"/>
        </w:rPr>
        <w:t xml:space="preserve">ewaluacji „samodzielnej”, która obejmuje ocenę programu KSOW (PKSOW) lub niezależną ocenę sieci KSOW, nawet jeśli stanowi ona część PROW (na zasadzie samodzielnego tematu oceny). </w:t>
      </w:r>
    </w:p>
    <w:p w:rsidR="001924CD" w:rsidRPr="000A700F" w:rsidRDefault="001924CD" w:rsidP="00975D9B">
      <w:pPr>
        <w:pStyle w:val="HHeading5"/>
        <w:rPr>
          <w:highlight w:val="yellow"/>
        </w:rPr>
      </w:pPr>
      <w:r>
        <w:rPr>
          <w:highlight w:val="yellow"/>
        </w:rPr>
        <w:t>Jaką strukturę ma CZĘŚĆ II?</w:t>
      </w:r>
    </w:p>
    <w:p w:rsidR="001924CD" w:rsidRPr="000A700F" w:rsidRDefault="001924CD" w:rsidP="00320BBA">
      <w:pPr>
        <w:pStyle w:val="HStandard"/>
        <w:rPr>
          <w:highlight w:val="yellow"/>
        </w:rPr>
      </w:pPr>
      <w:r>
        <w:t xml:space="preserve">Struktura </w:t>
      </w:r>
      <w:r>
        <w:rPr>
          <w:b/>
          <w:color w:val="E7E6E6" w:themeColor="background2"/>
          <w:highlight w:val="yellow"/>
        </w:rPr>
        <w:t>CZĘŚCI II</w:t>
      </w:r>
      <w:r>
        <w:rPr>
          <w:color w:val="E7E6E6" w:themeColor="background2"/>
          <w:highlight w:val="yellow"/>
        </w:rPr>
        <w:t xml:space="preserve"> </w:t>
      </w:r>
      <w:r>
        <w:rPr>
          <w:highlight w:val="yellow"/>
        </w:rPr>
        <w:t>odzwierciedla kolejne etapy ewaluacji PROW, które obowiązują również w przypadku ewaluacji KSOW:</w:t>
      </w:r>
    </w:p>
    <w:p w:rsidR="001924CD" w:rsidRPr="000A700F" w:rsidRDefault="001924CD" w:rsidP="00975D9B">
      <w:pPr>
        <w:pStyle w:val="Hlistbullet2"/>
        <w:rPr>
          <w:highlight w:val="yellow"/>
        </w:rPr>
      </w:pPr>
      <w:r>
        <w:rPr>
          <w:highlight w:val="yellow"/>
        </w:rPr>
        <w:t xml:space="preserve">W </w:t>
      </w:r>
      <w:r>
        <w:rPr>
          <w:b/>
          <w:highlight w:val="yellow"/>
        </w:rPr>
        <w:t>fazie strukturyzacji</w:t>
      </w:r>
      <w:r>
        <w:rPr>
          <w:highlight w:val="yellow"/>
        </w:rPr>
        <w:t xml:space="preserve"> ewaluator określa podejście do ewaluacji, wybiera metody jej przeprowadzenia oraz sprawdza dostępność danych i informacji niezbędnych do zastosowania wybranych metod i pomiaru wartości wskaźników, a także ustala, jakie informacje należy dodatkowo pozyskać. </w:t>
      </w:r>
    </w:p>
    <w:p w:rsidR="001924CD" w:rsidRPr="000A700F" w:rsidRDefault="001924CD" w:rsidP="00975D9B">
      <w:pPr>
        <w:pStyle w:val="Hlistbullet2"/>
        <w:rPr>
          <w:highlight w:val="yellow"/>
        </w:rPr>
      </w:pPr>
      <w:r>
        <w:rPr>
          <w:highlight w:val="yellow"/>
        </w:rPr>
        <w:t xml:space="preserve">W </w:t>
      </w:r>
      <w:r>
        <w:rPr>
          <w:b/>
          <w:highlight w:val="yellow"/>
        </w:rPr>
        <w:t>fazie obserwacji</w:t>
      </w:r>
      <w:r>
        <w:rPr>
          <w:highlight w:val="yellow"/>
        </w:rPr>
        <w:t xml:space="preserve"> gromadzi się i przetwarza dane oraz informacje. </w:t>
      </w:r>
    </w:p>
    <w:p w:rsidR="001924CD" w:rsidRPr="000A700F" w:rsidRDefault="001924CD" w:rsidP="00975D9B">
      <w:pPr>
        <w:pStyle w:val="Hlistbullet2"/>
        <w:rPr>
          <w:highlight w:val="yellow"/>
        </w:rPr>
      </w:pPr>
      <w:r>
        <w:rPr>
          <w:highlight w:val="yellow"/>
        </w:rPr>
        <w:t xml:space="preserve">W </w:t>
      </w:r>
      <w:r>
        <w:rPr>
          <w:b/>
          <w:highlight w:val="yellow"/>
        </w:rPr>
        <w:t>fazie analizy</w:t>
      </w:r>
      <w:r>
        <w:rPr>
          <w:highlight w:val="yellow"/>
        </w:rPr>
        <w:t xml:space="preserve"> wskaźniki są ujmowane ilościowo za pomocą danych ilościowych lub wyrażane za pomocą informacji jakościowych, z wykorzystaniem metod i narzędzi ewaluacji.</w:t>
      </w:r>
    </w:p>
    <w:p w:rsidR="001924CD" w:rsidRPr="000A700F" w:rsidRDefault="001924CD" w:rsidP="00975D9B">
      <w:pPr>
        <w:pStyle w:val="Hlistbullet2"/>
        <w:rPr>
          <w:highlight w:val="yellow"/>
        </w:rPr>
      </w:pPr>
      <w:r>
        <w:rPr>
          <w:highlight w:val="yellow"/>
        </w:rPr>
        <w:t xml:space="preserve">W </w:t>
      </w:r>
      <w:r>
        <w:rPr>
          <w:b/>
          <w:highlight w:val="yellow"/>
        </w:rPr>
        <w:t>fazie oceny</w:t>
      </w:r>
      <w:r>
        <w:rPr>
          <w:highlight w:val="yellow"/>
        </w:rPr>
        <w:t xml:space="preserve"> interpretuje się ustalenia ilościowe i jakościowe, odpowiada się na pytania ewaluacyjne oraz opracowuje się wnioski i zalecenia. </w:t>
      </w:r>
    </w:p>
    <w:p w:rsidR="001924CD" w:rsidRPr="000A700F" w:rsidRDefault="001924CD" w:rsidP="00320BBA">
      <w:pPr>
        <w:pStyle w:val="HHeadingfigures"/>
        <w:rPr>
          <w:highlight w:val="yellow"/>
        </w:rPr>
      </w:pPr>
      <w:bookmarkStart w:id="166" w:name="_Toc436140072"/>
      <w:bookmarkStart w:id="167" w:name="_Toc436383164"/>
      <w:bookmarkStart w:id="168" w:name="_Ref439951238"/>
      <w:bookmarkStart w:id="169" w:name="_Toc451781936"/>
      <w:r>
        <w:rPr>
          <w:highlight w:val="yellow"/>
        </w:rPr>
        <w:t>Cztery fazy procesu ewaluacji</w:t>
      </w:r>
      <w:bookmarkEnd w:id="166"/>
      <w:bookmarkEnd w:id="167"/>
      <w:bookmarkEnd w:id="168"/>
      <w:bookmarkEnd w:id="169"/>
    </w:p>
    <w:p w:rsidR="001924CD" w:rsidRPr="000A700F" w:rsidRDefault="001924CD" w:rsidP="00320BBA">
      <w:pPr>
        <w:pStyle w:val="HStandard"/>
        <w:jc w:val="center"/>
        <w:rPr>
          <w:highlight w:val="yellow"/>
        </w:rPr>
      </w:pPr>
      <w:r w:rsidRPr="007E5604">
        <w:rPr>
          <w:noProof/>
          <w:highlight w:val="yellow"/>
          <w:lang w:val="en-GB" w:eastAsia="en-GB" w:bidi="ar-SA"/>
        </w:rPr>
        <w:drawing>
          <wp:inline distT="0" distB="0" distL="0" distR="0" wp14:anchorId="0A8147F1" wp14:editId="6B666758">
            <wp:extent cx="4306186" cy="1524836"/>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81233" cy="1551411"/>
                    </a:xfrm>
                    <a:prstGeom prst="rect">
                      <a:avLst/>
                    </a:prstGeom>
                    <a:noFill/>
                    <a:ln>
                      <a:noFill/>
                    </a:ln>
                  </pic:spPr>
                </pic:pic>
              </a:graphicData>
            </a:graphic>
          </wp:inline>
        </w:drawing>
      </w:r>
      <w:r w:rsidRPr="007E5604">
        <w:rPr>
          <w:highlight w:val="yellow"/>
        </w:rPr>
        <w:t xml:space="preserve"> </w:t>
      </w:r>
    </w:p>
    <w:p w:rsidR="001924CD" w:rsidRPr="000A700F" w:rsidRDefault="001924CD" w:rsidP="00320BBA">
      <w:pPr>
        <w:pStyle w:val="HSource"/>
        <w:rPr>
          <w:highlight w:val="yellow"/>
        </w:rPr>
      </w:pPr>
      <w:r>
        <w:rPr>
          <w:highlight w:val="yellow"/>
        </w:rPr>
        <w:t>Źródło: Europejskie Biuro Pomocy ds. Ewaluacji Rozwoju Obszarów Wiejskich, 2016 r.</w:t>
      </w:r>
    </w:p>
    <w:p w:rsidR="001924CD" w:rsidRPr="000A700F" w:rsidRDefault="001924CD" w:rsidP="00320BBA">
      <w:pPr>
        <w:pStyle w:val="HStandard"/>
        <w:rPr>
          <w:highlight w:val="yellow"/>
        </w:rPr>
      </w:pPr>
      <w:r>
        <w:rPr>
          <w:highlight w:val="yellow"/>
        </w:rPr>
        <w:t>Powyższych czterech faz nie należy postrzegać w porządku ściśle chronologicznym; w praktyce zachodzą one na siebie. Ponadto zaleca się postępować na zasadzie pętli, np. jeśli niektóre dane okażą się być nierozstrzygające w kwestii odpowiedzi na pytanie ewaluacyjne (obserwacja), należy włączyć dodatkowe źródło informacji do badania (strukturyzacja). Oznacza to, że przez cały czas powinna nam towarzyszyć metarefleksja na temat tego, jak dana faza wpasowuje się w cały proces.</w:t>
      </w:r>
    </w:p>
    <w:p w:rsidR="001924CD" w:rsidRPr="000A700F" w:rsidRDefault="001924CD" w:rsidP="00642574">
      <w:pPr>
        <w:pStyle w:val="HHeading2"/>
        <w:rPr>
          <w:highlight w:val="yellow"/>
        </w:rPr>
      </w:pPr>
      <w:bookmarkStart w:id="170" w:name="_Toc433481216"/>
      <w:bookmarkStart w:id="171" w:name="_Toc433718130"/>
      <w:bookmarkStart w:id="172" w:name="_Toc434744496"/>
      <w:bookmarkStart w:id="173" w:name="_Toc434744497"/>
      <w:bookmarkStart w:id="174" w:name="_Toc436140052"/>
      <w:bookmarkStart w:id="175" w:name="_Toc443491678"/>
      <w:bookmarkStart w:id="176" w:name="_Toc453079764"/>
      <w:bookmarkEnd w:id="170"/>
      <w:bookmarkEnd w:id="171"/>
      <w:bookmarkEnd w:id="172"/>
      <w:r>
        <w:rPr>
          <w:highlight w:val="yellow"/>
        </w:rPr>
        <w:lastRenderedPageBreak/>
        <w:t>STRUKTURYZACJA: Projektowanie ram ewaluacji KSOW</w:t>
      </w:r>
      <w:bookmarkEnd w:id="173"/>
      <w:bookmarkEnd w:id="174"/>
      <w:bookmarkEnd w:id="175"/>
      <w:bookmarkEnd w:id="176"/>
    </w:p>
    <w:p w:rsidR="001924CD" w:rsidRPr="007E5604" w:rsidRDefault="001924CD" w:rsidP="00320BBA">
      <w:pPr>
        <w:pStyle w:val="HStandard"/>
        <w:rPr>
          <w:lang w:val="en-US"/>
        </w:rPr>
      </w:pPr>
      <w:r w:rsidRPr="007E5604">
        <w:rPr>
          <w:lang w:val="en-US"/>
        </w:rPr>
        <w:t>In preparing the evaluation, stakeholders have developed the NRN intervention logic and evaluation framework (evaluation questions and indicators), discussed the evaluation approach, and the collection of data and information (see chapter 2.2.2). The better the evaluation was prepared; the less work the evaluator will have in the structuring phase. However, if the NRN evaluation was prepared before the NRN implementation starts, or if the evaluation is conducted at a later stage, the steps described in preparing the evaluation would need to be repeated again. The structuring phase is conducted in four major steps (</w:t>
      </w:r>
      <w:r>
        <w:fldChar w:fldCharType="begin" w:fldLock="1"/>
      </w:r>
      <w:r w:rsidRPr="007E5604">
        <w:rPr>
          <w:lang w:val="en-US"/>
        </w:rPr>
        <w:instrText xml:space="preserve"> REF _Ref433724277 \r \h </w:instrText>
      </w:r>
      <w:r>
        <w:fldChar w:fldCharType="separate"/>
      </w:r>
      <w:r w:rsidRPr="007E5604">
        <w:rPr>
          <w:lang w:val="en-US"/>
        </w:rPr>
        <w:t>Figure 19</w:t>
      </w:r>
      <w:r>
        <w:fldChar w:fldCharType="end"/>
      </w:r>
      <w:r w:rsidRPr="007E5604">
        <w:rPr>
          <w:lang w:val="en-US"/>
        </w:rPr>
        <w:t>):</w:t>
      </w:r>
    </w:p>
    <w:p w:rsidR="001924CD" w:rsidRPr="007E5604" w:rsidRDefault="001924CD" w:rsidP="00320BBA">
      <w:pPr>
        <w:pStyle w:val="Hlistbullet2"/>
        <w:rPr>
          <w:lang w:val="en-US"/>
        </w:rPr>
      </w:pPr>
      <w:r w:rsidRPr="007E5604">
        <w:rPr>
          <w:lang w:val="en-US"/>
        </w:rPr>
        <w:t>Revisit the coherence and relevance of the intervention logic</w:t>
      </w:r>
    </w:p>
    <w:p w:rsidR="001924CD" w:rsidRPr="007E5604" w:rsidRDefault="001924CD" w:rsidP="00320BBA">
      <w:pPr>
        <w:pStyle w:val="Hlistbullet2"/>
        <w:rPr>
          <w:lang w:val="en-US"/>
        </w:rPr>
      </w:pPr>
      <w:r w:rsidRPr="007E5604">
        <w:rPr>
          <w:lang w:val="en-US"/>
        </w:rPr>
        <w:t>Review the consistency of evaluation questions and indicators with the intervention logic</w:t>
      </w:r>
    </w:p>
    <w:p w:rsidR="001924CD" w:rsidRPr="007E5604" w:rsidRDefault="001924CD" w:rsidP="00320BBA">
      <w:pPr>
        <w:pStyle w:val="Hlistbullet2"/>
        <w:rPr>
          <w:lang w:val="en-US"/>
        </w:rPr>
      </w:pPr>
      <w:r w:rsidRPr="007E5604">
        <w:rPr>
          <w:lang w:val="en-US"/>
        </w:rPr>
        <w:t>Choose the appropriate evaluation approach, method(s) and tools</w:t>
      </w:r>
    </w:p>
    <w:p w:rsidR="001924CD" w:rsidRPr="007E5604" w:rsidRDefault="001924CD" w:rsidP="00320BBA">
      <w:pPr>
        <w:pStyle w:val="Hlistbullet2"/>
        <w:rPr>
          <w:lang w:val="en-US"/>
        </w:rPr>
      </w:pPr>
      <w:r w:rsidRPr="007E5604">
        <w:rPr>
          <w:lang w:val="en-US"/>
        </w:rPr>
        <w:t>Establish the evidence for evaluation.</w:t>
      </w:r>
    </w:p>
    <w:p w:rsidR="001924CD" w:rsidRPr="007E5604" w:rsidRDefault="001924CD" w:rsidP="00320BBA">
      <w:pPr>
        <w:pStyle w:val="HHeadingfigures"/>
        <w:rPr>
          <w:lang w:val="en-US"/>
        </w:rPr>
      </w:pPr>
      <w:bookmarkStart w:id="177" w:name="_Toc436383165"/>
      <w:bookmarkStart w:id="178" w:name="_Toc436140073"/>
      <w:bookmarkStart w:id="179" w:name="_Toc451781937"/>
      <w:r w:rsidRPr="007E5604">
        <w:rPr>
          <w:lang w:val="en-US"/>
        </w:rPr>
        <w:t>The structuring phase</w:t>
      </w:r>
      <w:bookmarkEnd w:id="177"/>
      <w:r w:rsidRPr="007E5604">
        <w:rPr>
          <w:lang w:val="en-US"/>
        </w:rPr>
        <w:t xml:space="preserve"> </w:t>
      </w:r>
      <w:bookmarkEnd w:id="178"/>
      <w:r w:rsidRPr="007E5604">
        <w:rPr>
          <w:lang w:val="en-US"/>
        </w:rPr>
        <w:t>in four steps</w:t>
      </w:r>
      <w:bookmarkEnd w:id="179"/>
    </w:p>
    <w:p w:rsidR="001924CD" w:rsidRPr="008D0759" w:rsidRDefault="001924CD" w:rsidP="00320BBA">
      <w:pPr>
        <w:jc w:val="center"/>
      </w:pPr>
      <w:r>
        <w:rPr>
          <w:noProof/>
          <w:lang w:eastAsia="en-GB"/>
        </w:rPr>
        <w:drawing>
          <wp:inline distT="0" distB="0" distL="0" distR="0" wp14:anchorId="285AA25F" wp14:editId="3813CD49">
            <wp:extent cx="5731510" cy="245745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tructuring.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2457450"/>
                    </a:xfrm>
                    <a:prstGeom prst="rect">
                      <a:avLst/>
                    </a:prstGeom>
                  </pic:spPr>
                </pic:pic>
              </a:graphicData>
            </a:graphic>
          </wp:inline>
        </w:drawing>
      </w:r>
    </w:p>
    <w:p w:rsidR="001924CD" w:rsidRPr="007E5604" w:rsidRDefault="001924CD" w:rsidP="00320BBA">
      <w:pPr>
        <w:pStyle w:val="HSource"/>
        <w:rPr>
          <w:lang w:val="en-US"/>
        </w:rPr>
      </w:pPr>
      <w:r w:rsidRPr="007E5604">
        <w:rPr>
          <w:lang w:val="en-US"/>
        </w:rPr>
        <w:t>Source: European Evaluation Helpdesk for Rural Development, 2016</w:t>
      </w:r>
    </w:p>
    <w:p w:rsidR="001924CD" w:rsidRPr="000A700F" w:rsidRDefault="001924CD" w:rsidP="00642574">
      <w:pPr>
        <w:pStyle w:val="HHeading3"/>
        <w:rPr>
          <w:highlight w:val="yellow"/>
        </w:rPr>
      </w:pPr>
      <w:bookmarkStart w:id="180" w:name="_Toc434744498"/>
      <w:bookmarkStart w:id="181" w:name="_Toc436140053"/>
      <w:bookmarkStart w:id="182" w:name="_Toc443491679"/>
      <w:bookmarkStart w:id="183" w:name="_Toc453079765"/>
      <w:r>
        <w:rPr>
          <w:highlight w:val="yellow"/>
        </w:rPr>
        <w:t>Weryfikacja logiki interwencji KSOW/PKSOW</w:t>
      </w:r>
      <w:bookmarkEnd w:id="180"/>
      <w:bookmarkEnd w:id="181"/>
      <w:bookmarkEnd w:id="182"/>
      <w:bookmarkEnd w:id="183"/>
    </w:p>
    <w:p w:rsidR="001924CD" w:rsidRPr="007E5604" w:rsidRDefault="001924CD" w:rsidP="00975D9B">
      <w:pPr>
        <w:pStyle w:val="HHeading5"/>
        <w:rPr>
          <w:lang w:val="en-US"/>
        </w:rPr>
      </w:pPr>
      <w:r w:rsidRPr="007E5604">
        <w:rPr>
          <w:lang w:val="en-US"/>
        </w:rPr>
        <w:t>Is there always an explicit intervention logic?</w:t>
      </w:r>
    </w:p>
    <w:p w:rsidR="001924CD" w:rsidRPr="007E5604" w:rsidRDefault="001924CD" w:rsidP="00320BBA">
      <w:pPr>
        <w:pStyle w:val="HStandard"/>
        <w:rPr>
          <w:lang w:val="en-US"/>
        </w:rPr>
      </w:pPr>
      <w:r w:rsidRPr="007E5604">
        <w:rPr>
          <w:lang w:val="en-US"/>
        </w:rPr>
        <w:t xml:space="preserve">By default, the intervention logic of NRNPs has been constructed during the programme design phase and its consistency and relevance assessed during the ex ante evaluation (See: </w:t>
      </w:r>
      <w:r w:rsidRPr="007E5604">
        <w:rPr>
          <w:b/>
          <w:color w:val="E7E6E6" w:themeColor="background2"/>
          <w:lang w:val="en-US"/>
        </w:rPr>
        <w:t>PART I</w:t>
      </w:r>
      <w:r w:rsidRPr="007E5604">
        <w:rPr>
          <w:lang w:val="en-US"/>
        </w:rPr>
        <w:t>, chapter 2.2.2).</w:t>
      </w:r>
    </w:p>
    <w:p w:rsidR="001924CD" w:rsidRPr="007E5604" w:rsidRDefault="001924CD" w:rsidP="00320BBA">
      <w:pPr>
        <w:pStyle w:val="HStandard"/>
        <w:rPr>
          <w:lang w:val="en-US"/>
        </w:rPr>
      </w:pPr>
      <w:r w:rsidRPr="007E5604">
        <w:rPr>
          <w:lang w:val="en-US"/>
        </w:rPr>
        <w:t xml:space="preserve">As for NRNs that are part of the RDPs, the NRN intervention logic is by definition embedded in the intervention logic of the RDP. Sometimes the intervention logic may be rather implicit so that it needs some effort to properly reveal it; sometimes it may however also be missing altogether. In each case there are always two starting points to (re)construct the NRN intervention logic: the four common NRN objectives and the NRN action plan. (See also </w:t>
      </w:r>
      <w:r w:rsidRPr="007E5604">
        <w:rPr>
          <w:b/>
          <w:color w:val="E7E6E6" w:themeColor="background2"/>
          <w:lang w:val="en-US"/>
        </w:rPr>
        <w:t>PART I</w:t>
      </w:r>
      <w:r w:rsidRPr="007E5604">
        <w:rPr>
          <w:lang w:val="en-US"/>
        </w:rPr>
        <w:t xml:space="preserve">, Chapter 2.2.2). </w:t>
      </w:r>
    </w:p>
    <w:p w:rsidR="001924CD" w:rsidRPr="007E5604" w:rsidRDefault="001924CD" w:rsidP="00320BBA">
      <w:pPr>
        <w:pStyle w:val="HStandard"/>
        <w:rPr>
          <w:lang w:val="en-US"/>
        </w:rPr>
      </w:pPr>
      <w:r w:rsidRPr="007E5604">
        <w:rPr>
          <w:lang w:val="en-US"/>
        </w:rPr>
        <w:t>It is suggested to (re)construct the NRN intervention logic before the implementation of NRN activities or at least in the course of preparing the evaluation. This is in fact a reverse operation: The challenge is to find an answer to the question: “If there had been a theory of change behind what has been actually</w:t>
      </w:r>
      <w:r w:rsidRPr="007E5604">
        <w:rPr>
          <w:i/>
          <w:lang w:val="en-US"/>
        </w:rPr>
        <w:t xml:space="preserve"> </w:t>
      </w:r>
      <w:r w:rsidRPr="007E5604">
        <w:rPr>
          <w:lang w:val="en-US"/>
        </w:rPr>
        <w:t>done, how could it be modelled</w:t>
      </w:r>
      <w:r w:rsidRPr="007E5604">
        <w:rPr>
          <w:i/>
          <w:lang w:val="en-US"/>
        </w:rPr>
        <w:t>?”</w:t>
      </w:r>
      <w:r w:rsidRPr="007E5604">
        <w:rPr>
          <w:lang w:val="en-US"/>
        </w:rPr>
        <w:t xml:space="preserve"> </w:t>
      </w:r>
      <w:r w:rsidRPr="007E5604">
        <w:rPr>
          <w:b/>
          <w:color w:val="E7E6E6" w:themeColor="background2"/>
          <w:lang w:val="en-US"/>
        </w:rPr>
        <w:t>PART I</w:t>
      </w:r>
      <w:r w:rsidRPr="007E5604">
        <w:rPr>
          <w:lang w:val="en-US"/>
        </w:rPr>
        <w:t>, chapter 2.2.2 offers guidance on the construction of the intervention logic by the NSU/MA during the preparation phase of the evaluation.</w:t>
      </w:r>
    </w:p>
    <w:p w:rsidR="001924CD" w:rsidRPr="007E5604" w:rsidRDefault="001924CD" w:rsidP="00975D9B">
      <w:pPr>
        <w:pStyle w:val="HHeading5"/>
        <w:rPr>
          <w:lang w:val="en-US"/>
        </w:rPr>
      </w:pPr>
      <w:r w:rsidRPr="007E5604">
        <w:rPr>
          <w:lang w:val="en-US"/>
        </w:rPr>
        <w:lastRenderedPageBreak/>
        <w:t>What is meant by the theory of change?</w:t>
      </w:r>
    </w:p>
    <w:p w:rsidR="001924CD" w:rsidRPr="008D0759" w:rsidRDefault="001924CD" w:rsidP="00320BBA">
      <w:pPr>
        <w:pStyle w:val="HStandard"/>
      </w:pPr>
      <w:r>
        <w:t xml:space="preserve">The </w:t>
      </w:r>
      <w:r>
        <w:rPr>
          <w:b/>
        </w:rPr>
        <w:t>theory of change</w:t>
      </w:r>
      <w:r>
        <w:rPr>
          <w:rFonts w:ascii="ZWAdobeF" w:hAnsi="ZWAdobeF"/>
          <w:color w:val="auto"/>
          <w:sz w:val="2"/>
        </w:rPr>
        <w:t>86F</w:t>
      </w:r>
      <w:r>
        <w:rPr>
          <w:rStyle w:val="FootnoteReference"/>
        </w:rPr>
        <w:footnoteReference w:id="87"/>
      </w:r>
      <w:r>
        <w:t>:</w:t>
      </w:r>
    </w:p>
    <w:p w:rsidR="001924CD" w:rsidRPr="007E5604" w:rsidRDefault="001924CD" w:rsidP="004C05DD">
      <w:pPr>
        <w:pStyle w:val="Hlistbullet2"/>
        <w:rPr>
          <w:lang w:val="en-US"/>
        </w:rPr>
      </w:pPr>
      <w:r w:rsidRPr="007E5604">
        <w:rPr>
          <w:lang w:val="en-US"/>
        </w:rPr>
        <w:t>rests on the assumption that NRNs and NRNPs are based on the explicit or implicit theory of policy makers concerning how and why NRN activities lead to the intended changes anticipated;</w:t>
      </w:r>
    </w:p>
    <w:p w:rsidR="001924CD" w:rsidRPr="007E5604" w:rsidRDefault="001924CD" w:rsidP="004C05DD">
      <w:pPr>
        <w:pStyle w:val="Hlistbullet2"/>
        <w:rPr>
          <w:lang w:val="en-US"/>
        </w:rPr>
      </w:pPr>
      <w:r w:rsidRPr="007E5604">
        <w:rPr>
          <w:lang w:val="en-US"/>
        </w:rPr>
        <w:t>provides an explicit causal chain (or ‘theory of change’) linking the NRN’s objectives, activities and expected effects, which can then be used to guide the collection of evidence and the analysis of causal contributions by developing hypotheses that can be tested through critical comparisons.</w:t>
      </w:r>
    </w:p>
    <w:p w:rsidR="001924CD" w:rsidRPr="007E5604" w:rsidRDefault="001924CD" w:rsidP="004C05DD">
      <w:pPr>
        <w:pStyle w:val="HStandard"/>
        <w:rPr>
          <w:color w:val="538135" w:themeColor="accent6" w:themeShade="BF"/>
          <w:lang w:val="en-US"/>
        </w:rPr>
      </w:pPr>
      <w:r w:rsidRPr="007E5604">
        <w:rPr>
          <w:lang w:val="en-US"/>
        </w:rPr>
        <w:t>In rural development evaluation, the theory of change is depicted as a model, which we call intervention logic</w:t>
      </w:r>
      <w:r w:rsidRPr="007E5604">
        <w:rPr>
          <w:rFonts w:ascii="ZWAdobeF" w:hAnsi="ZWAdobeF"/>
          <w:color w:val="auto"/>
          <w:sz w:val="2"/>
          <w:lang w:val="en-US"/>
        </w:rPr>
        <w:t>87F</w:t>
      </w:r>
      <w:r>
        <w:rPr>
          <w:rStyle w:val="FootnoteReference"/>
        </w:rPr>
        <w:footnoteReference w:id="88"/>
      </w:r>
      <w:r w:rsidRPr="007E5604">
        <w:rPr>
          <w:lang w:val="en-US"/>
        </w:rPr>
        <w:t xml:space="preserve">. </w:t>
      </w:r>
    </w:p>
    <w:p w:rsidR="001924CD" w:rsidRPr="007E5604" w:rsidRDefault="001924CD" w:rsidP="00975D9B">
      <w:pPr>
        <w:pStyle w:val="HHeading5"/>
        <w:rPr>
          <w:lang w:val="en-US"/>
        </w:rPr>
      </w:pPr>
      <w:r w:rsidRPr="007E5604">
        <w:rPr>
          <w:lang w:val="en-US"/>
        </w:rPr>
        <w:t>How should the intervention logic be revisited?</w:t>
      </w:r>
    </w:p>
    <w:p w:rsidR="001924CD" w:rsidRPr="007E5604" w:rsidRDefault="001924CD" w:rsidP="004C05DD">
      <w:pPr>
        <w:pStyle w:val="HStandard"/>
        <w:rPr>
          <w:lang w:val="en-US"/>
        </w:rPr>
      </w:pPr>
      <w:r w:rsidRPr="007E5604">
        <w:rPr>
          <w:lang w:val="en-US"/>
        </w:rPr>
        <w:t xml:space="preserve">The structuring phase starts with revisiting (validating) the NRN intervention logic. It is necessary to re-check the relevance and coherence of the intervention logic with regard to the NRN objectives and Action Plan. </w:t>
      </w:r>
    </w:p>
    <w:p w:rsidR="001924CD" w:rsidRPr="007E5604" w:rsidRDefault="001924CD" w:rsidP="004C05DD">
      <w:pPr>
        <w:pStyle w:val="HStandard"/>
        <w:rPr>
          <w:lang w:val="en-US"/>
        </w:rPr>
      </w:pPr>
      <w:r w:rsidRPr="007E5604">
        <w:rPr>
          <w:lang w:val="en-US"/>
        </w:rPr>
        <w:t xml:space="preserve">Even if there is an explicit intervention logic, revisiting it is necessary because the programme context may have evolved. Things could also turn out differently than assumed during the programme design phase. Through the review of the intervention logic the evaluator can establish the framework for all of the further steps in the evaluation. </w:t>
      </w:r>
    </w:p>
    <w:p w:rsidR="001924CD" w:rsidRPr="007E5604" w:rsidRDefault="001924CD" w:rsidP="004C05DD">
      <w:pPr>
        <w:pStyle w:val="HStandard"/>
        <w:rPr>
          <w:lang w:val="en-US"/>
        </w:rPr>
      </w:pPr>
      <w:r w:rsidRPr="007E5604">
        <w:rPr>
          <w:lang w:val="en-US"/>
        </w:rPr>
        <w:t>The first revisiting of the NRN intervention logic goes along with the preparation of the enhanced Annual Implementation Report submitted in 2017, followed by the review for the AIR 2019 and finally for the ex post evaluation in 2024.</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8D0759" w:rsidTr="004C05DD">
        <w:tc>
          <w:tcPr>
            <w:tcW w:w="9016" w:type="dxa"/>
            <w:shd w:val="clear" w:color="auto" w:fill="F5F4F4" w:themeFill="background2" w:themeFillTint="66"/>
          </w:tcPr>
          <w:p w:rsidR="001924CD" w:rsidRPr="000A700F" w:rsidRDefault="001924CD" w:rsidP="004C05DD">
            <w:pPr>
              <w:pStyle w:val="HStandard"/>
              <w:rPr>
                <w:highlight w:val="yellow"/>
              </w:rPr>
            </w:pPr>
            <w:r>
              <w:rPr>
                <w:highlight w:val="yellow"/>
              </w:rPr>
              <w:t xml:space="preserve">Główne pytania pomocnicze z zakresu weryfikacji logiki interwencji: </w:t>
            </w:r>
          </w:p>
          <w:p w:rsidR="001924CD" w:rsidRPr="000A700F" w:rsidRDefault="001924CD" w:rsidP="001924CD">
            <w:pPr>
              <w:pStyle w:val="Hlistbullet"/>
              <w:rPr>
                <w:highlight w:val="yellow"/>
              </w:rPr>
            </w:pPr>
            <w:r>
              <w:rPr>
                <w:highlight w:val="yellow"/>
              </w:rPr>
              <w:t xml:space="preserve">Czy nastąpiły zmiany w zakresie kontekstu i wskazanych na początku potrzeb? </w:t>
            </w:r>
          </w:p>
          <w:p w:rsidR="001924CD" w:rsidRPr="000A700F" w:rsidRDefault="001924CD" w:rsidP="001924CD">
            <w:pPr>
              <w:pStyle w:val="Hlistbullet"/>
              <w:rPr>
                <w:highlight w:val="yellow"/>
              </w:rPr>
            </w:pPr>
            <w:r>
              <w:rPr>
                <w:highlight w:val="yellow"/>
              </w:rPr>
              <w:t xml:space="preserve">Czy wszystkie ogólne cele (polityczne) zostały wzięte pod uwagę? </w:t>
            </w:r>
          </w:p>
          <w:p w:rsidR="001924CD" w:rsidRPr="000A700F" w:rsidRDefault="001924CD" w:rsidP="001924CD">
            <w:pPr>
              <w:pStyle w:val="Hlistbullet"/>
              <w:rPr>
                <w:highlight w:val="yellow"/>
              </w:rPr>
            </w:pPr>
            <w:r>
              <w:rPr>
                <w:highlight w:val="yellow"/>
              </w:rPr>
              <w:t xml:space="preserve">Czy wszystkie cele specyficzne i operacyjne zostały prawidłowo wskazane i określone? </w:t>
            </w:r>
          </w:p>
          <w:p w:rsidR="001924CD" w:rsidRPr="000A700F" w:rsidRDefault="001924CD" w:rsidP="001924CD">
            <w:pPr>
              <w:pStyle w:val="Hlistbullet"/>
              <w:rPr>
                <w:highlight w:val="yellow"/>
              </w:rPr>
            </w:pPr>
            <w:r>
              <w:rPr>
                <w:highlight w:val="yellow"/>
              </w:rPr>
              <w:t>Czy wszystkie grupy działań (wspólnych i specyficznych dla KSOW) zostały wzięte pod uwagę?</w:t>
            </w:r>
          </w:p>
          <w:p w:rsidR="001924CD" w:rsidRPr="000A700F" w:rsidRDefault="001924CD" w:rsidP="001924CD">
            <w:pPr>
              <w:pStyle w:val="Hlistbullet"/>
              <w:rPr>
                <w:highlight w:val="yellow"/>
              </w:rPr>
            </w:pPr>
            <w:r>
              <w:rPr>
                <w:highlight w:val="yellow"/>
              </w:rPr>
              <w:t xml:space="preserve">Czy każdy cel operacyjny został powiązany z odpowiednim produktem? </w:t>
            </w:r>
          </w:p>
          <w:p w:rsidR="001924CD" w:rsidRPr="000A700F" w:rsidRDefault="001924CD" w:rsidP="001924CD">
            <w:pPr>
              <w:pStyle w:val="Hlistbullet"/>
              <w:rPr>
                <w:highlight w:val="yellow"/>
              </w:rPr>
            </w:pPr>
            <w:r>
              <w:rPr>
                <w:highlight w:val="yellow"/>
              </w:rPr>
              <w:t>Czy każdy cel specyficzny został powiązany z odpowiednim rezultatem?</w:t>
            </w:r>
          </w:p>
          <w:p w:rsidR="001924CD" w:rsidRPr="000A700F" w:rsidRDefault="001924CD" w:rsidP="001924CD">
            <w:pPr>
              <w:pStyle w:val="Hlistbullet"/>
              <w:rPr>
                <w:highlight w:val="yellow"/>
              </w:rPr>
            </w:pPr>
            <w:r>
              <w:rPr>
                <w:highlight w:val="yellow"/>
              </w:rPr>
              <w:t>Czy ustalone oddziaływania są zgodne z ogólnymi celami?</w:t>
            </w:r>
          </w:p>
        </w:tc>
      </w:tr>
    </w:tbl>
    <w:p w:rsidR="001924CD" w:rsidRPr="000A700F" w:rsidRDefault="001924CD" w:rsidP="00975D9B">
      <w:pPr>
        <w:pStyle w:val="HHeading5"/>
        <w:rPr>
          <w:highlight w:val="yellow"/>
        </w:rPr>
      </w:pPr>
      <w:r>
        <w:rPr>
          <w:highlight w:val="yellow"/>
        </w:rPr>
        <w:t>Jakie są główne etapy weryfikacji logiki interwencji KSOW?</w:t>
      </w:r>
    </w:p>
    <w:p w:rsidR="001924CD" w:rsidRPr="000A700F" w:rsidRDefault="001924CD" w:rsidP="004C05DD">
      <w:pPr>
        <w:pStyle w:val="HStandard"/>
        <w:rPr>
          <w:highlight w:val="yellow"/>
        </w:rPr>
      </w:pPr>
      <w:r>
        <w:rPr>
          <w:highlight w:val="yellow"/>
        </w:rPr>
        <w:t xml:space="preserve">Zalecane etapy weryfikacji logiki interwencji KSOW i ich oczekiwane wyniki są następujące: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924CD" w:rsidRPr="000A700F" w:rsidTr="004C05DD">
        <w:tc>
          <w:tcPr>
            <w:tcW w:w="988" w:type="dxa"/>
            <w:shd w:val="clear" w:color="auto" w:fill="E7E6E6" w:themeFill="background2"/>
          </w:tcPr>
          <w:p w:rsidR="001924CD" w:rsidRPr="000A700F" w:rsidRDefault="001924CD" w:rsidP="004C05DD">
            <w:pPr>
              <w:pStyle w:val="HStandard"/>
              <w:jc w:val="center"/>
              <w:rPr>
                <w:b/>
                <w:color w:val="FFFFFF"/>
                <w:sz w:val="18"/>
                <w:szCs w:val="18"/>
                <w:highlight w:val="yellow"/>
              </w:rPr>
            </w:pPr>
            <w:r>
              <w:rPr>
                <w:b/>
                <w:color w:val="FFFFFF"/>
                <w:sz w:val="18"/>
                <w:highlight w:val="yellow"/>
              </w:rPr>
              <w:t>1</w:t>
            </w:r>
          </w:p>
        </w:tc>
        <w:tc>
          <w:tcPr>
            <w:tcW w:w="8028" w:type="dxa"/>
          </w:tcPr>
          <w:p w:rsidR="001924CD" w:rsidRPr="000A700F" w:rsidRDefault="001924CD" w:rsidP="00F53E01">
            <w:pPr>
              <w:pStyle w:val="Hlistbullet"/>
              <w:numPr>
                <w:ilvl w:val="0"/>
                <w:numId w:val="0"/>
              </w:numPr>
              <w:spacing w:before="0" w:line="280" w:lineRule="atLeast"/>
              <w:jc w:val="left"/>
              <w:rPr>
                <w:sz w:val="18"/>
                <w:szCs w:val="18"/>
                <w:highlight w:val="yellow"/>
              </w:rPr>
            </w:pPr>
            <w:r>
              <w:rPr>
                <w:sz w:val="18"/>
                <w:highlight w:val="yellow"/>
              </w:rPr>
              <w:t>Ocena zmian kontekstu i specyficznych potrzeb obszaru, na którym funkcjonuje KSOW.</w:t>
            </w:r>
          </w:p>
        </w:tc>
      </w:tr>
      <w:tr w:rsidR="001924CD" w:rsidRPr="000A700F" w:rsidTr="004C05DD">
        <w:tc>
          <w:tcPr>
            <w:tcW w:w="988" w:type="dxa"/>
            <w:shd w:val="clear" w:color="auto" w:fill="E7E6E6" w:themeFill="background2"/>
          </w:tcPr>
          <w:p w:rsidR="001924CD" w:rsidRPr="000A700F" w:rsidRDefault="001924CD" w:rsidP="004C05DD">
            <w:pPr>
              <w:pStyle w:val="HStandard"/>
              <w:jc w:val="center"/>
              <w:rPr>
                <w:b/>
                <w:color w:val="FFFFFF"/>
                <w:sz w:val="18"/>
                <w:szCs w:val="18"/>
                <w:highlight w:val="yellow"/>
              </w:rPr>
            </w:pPr>
            <w:r>
              <w:rPr>
                <w:b/>
                <w:color w:val="FFFFFF"/>
                <w:sz w:val="18"/>
                <w:highlight w:val="yellow"/>
              </w:rPr>
              <w:t>2</w:t>
            </w:r>
          </w:p>
        </w:tc>
        <w:tc>
          <w:tcPr>
            <w:tcW w:w="8028" w:type="dxa"/>
          </w:tcPr>
          <w:p w:rsidR="001924CD" w:rsidRPr="000A700F" w:rsidRDefault="001924CD" w:rsidP="005E113C">
            <w:pPr>
              <w:pStyle w:val="HStandard"/>
              <w:jc w:val="left"/>
              <w:rPr>
                <w:b/>
                <w:i/>
                <w:sz w:val="18"/>
                <w:szCs w:val="18"/>
                <w:highlight w:val="yellow"/>
              </w:rPr>
            </w:pPr>
            <w:r>
              <w:rPr>
                <w:sz w:val="18"/>
                <w:highlight w:val="yellow"/>
              </w:rPr>
              <w:t>Weryfikacja adekwatności wspólnych i specyficznych dla programu celów KSOW i grup działań oraz powiązań między nimi pod kątem zaobserwowanych zmian kontekstu i potrzeb.</w:t>
            </w:r>
          </w:p>
        </w:tc>
      </w:tr>
      <w:tr w:rsidR="001924CD" w:rsidRPr="000A700F" w:rsidTr="004C05DD">
        <w:tc>
          <w:tcPr>
            <w:tcW w:w="988" w:type="dxa"/>
            <w:shd w:val="clear" w:color="auto" w:fill="E7E6E6" w:themeFill="background2"/>
          </w:tcPr>
          <w:p w:rsidR="001924CD" w:rsidRPr="000A700F" w:rsidRDefault="001924CD" w:rsidP="004C05DD">
            <w:pPr>
              <w:pStyle w:val="HStandard"/>
              <w:jc w:val="center"/>
              <w:rPr>
                <w:b/>
                <w:color w:val="FFFFFF"/>
                <w:sz w:val="18"/>
                <w:szCs w:val="18"/>
                <w:highlight w:val="yellow"/>
              </w:rPr>
            </w:pPr>
            <w:r>
              <w:rPr>
                <w:b/>
                <w:color w:val="FFFFFF"/>
                <w:sz w:val="18"/>
                <w:highlight w:val="yellow"/>
              </w:rPr>
              <w:t>3</w:t>
            </w:r>
          </w:p>
        </w:tc>
        <w:tc>
          <w:tcPr>
            <w:tcW w:w="8028" w:type="dxa"/>
          </w:tcPr>
          <w:p w:rsidR="001924CD" w:rsidRPr="000A700F" w:rsidRDefault="001924CD" w:rsidP="004C05DD">
            <w:pPr>
              <w:pStyle w:val="Hlistbullet"/>
              <w:numPr>
                <w:ilvl w:val="0"/>
                <w:numId w:val="0"/>
              </w:numPr>
              <w:spacing w:before="0" w:line="280" w:lineRule="atLeast"/>
              <w:jc w:val="left"/>
              <w:rPr>
                <w:sz w:val="18"/>
                <w:szCs w:val="18"/>
                <w:highlight w:val="yellow"/>
              </w:rPr>
            </w:pPr>
            <w:r>
              <w:rPr>
                <w:sz w:val="18"/>
                <w:highlight w:val="yellow"/>
              </w:rPr>
              <w:t>Weryfikacja łańcucha powiązań oczekiwanych efektów, produktów, rezultatów i oddziaływania KSOW oraz ich adekwatności.</w:t>
            </w:r>
          </w:p>
        </w:tc>
      </w:tr>
      <w:tr w:rsidR="001924CD" w:rsidRPr="00C85637" w:rsidTr="004C05DD">
        <w:tc>
          <w:tcPr>
            <w:tcW w:w="988" w:type="dxa"/>
            <w:shd w:val="clear" w:color="auto" w:fill="E7E6E6" w:themeFill="background2"/>
          </w:tcPr>
          <w:p w:rsidR="001924CD" w:rsidRPr="000A700F" w:rsidRDefault="001924CD" w:rsidP="004C05DD">
            <w:pPr>
              <w:pStyle w:val="HStandard"/>
              <w:jc w:val="center"/>
              <w:rPr>
                <w:b/>
                <w:color w:val="FFFFFF"/>
                <w:sz w:val="18"/>
                <w:szCs w:val="18"/>
                <w:highlight w:val="yellow"/>
              </w:rPr>
            </w:pPr>
            <w:r>
              <w:rPr>
                <w:b/>
                <w:color w:val="FFFFFF"/>
                <w:sz w:val="18"/>
                <w:highlight w:val="yellow"/>
              </w:rPr>
              <w:lastRenderedPageBreak/>
              <w:t>4</w:t>
            </w:r>
          </w:p>
        </w:tc>
        <w:tc>
          <w:tcPr>
            <w:tcW w:w="8028" w:type="dxa"/>
          </w:tcPr>
          <w:p w:rsidR="001924CD" w:rsidRPr="002809CE" w:rsidRDefault="001924CD" w:rsidP="005E113C">
            <w:pPr>
              <w:pStyle w:val="Hlistbullet"/>
              <w:numPr>
                <w:ilvl w:val="0"/>
                <w:numId w:val="0"/>
              </w:numPr>
              <w:tabs>
                <w:tab w:val="left" w:pos="317"/>
              </w:tabs>
              <w:spacing w:before="0" w:line="280" w:lineRule="atLeast"/>
              <w:jc w:val="left"/>
              <w:rPr>
                <w:sz w:val="18"/>
                <w:szCs w:val="18"/>
              </w:rPr>
            </w:pPr>
            <w:r>
              <w:rPr>
                <w:sz w:val="18"/>
                <w:highlight w:val="yellow"/>
              </w:rPr>
              <w:t>Sprawdzenie spójności horyzontalnej i wertykalnej pomiędzy wspólnymi i specyficznymi dla programu celami KSOW/grupami działań z jednej strony a oczekiwanymi produktami, rezultatami i oddziaływaniem z drugiej strony.</w:t>
            </w:r>
          </w:p>
        </w:tc>
      </w:tr>
      <w:tr w:rsidR="001924CD" w:rsidRPr="000A700F" w:rsidTr="004C05DD">
        <w:tc>
          <w:tcPr>
            <w:tcW w:w="988" w:type="dxa"/>
            <w:shd w:val="clear" w:color="auto" w:fill="E7E6E6" w:themeFill="background2"/>
          </w:tcPr>
          <w:p w:rsidR="001924CD" w:rsidRPr="000A700F" w:rsidRDefault="001924CD" w:rsidP="004C05DD">
            <w:pPr>
              <w:pStyle w:val="HStandard"/>
              <w:jc w:val="center"/>
              <w:rPr>
                <w:color w:val="FFFFFF"/>
                <w:sz w:val="18"/>
                <w:szCs w:val="18"/>
                <w:highlight w:val="yellow"/>
              </w:rPr>
            </w:pPr>
            <w:r>
              <w:rPr>
                <w:color w:val="FFFFFF"/>
                <w:sz w:val="18"/>
                <w:highlight w:val="yellow"/>
              </w:rPr>
              <w:t>5</w:t>
            </w:r>
          </w:p>
        </w:tc>
        <w:tc>
          <w:tcPr>
            <w:tcW w:w="8028" w:type="dxa"/>
          </w:tcPr>
          <w:p w:rsidR="001924CD" w:rsidRPr="000A700F" w:rsidRDefault="001924CD" w:rsidP="004C05DD">
            <w:pPr>
              <w:pStyle w:val="Hlistbullet"/>
              <w:numPr>
                <w:ilvl w:val="0"/>
                <w:numId w:val="0"/>
              </w:numPr>
              <w:spacing w:before="0" w:line="280" w:lineRule="atLeast"/>
              <w:jc w:val="left"/>
              <w:rPr>
                <w:sz w:val="18"/>
                <w:szCs w:val="18"/>
                <w:highlight w:val="yellow"/>
              </w:rPr>
            </w:pPr>
            <w:r>
              <w:rPr>
                <w:sz w:val="18"/>
                <w:highlight w:val="yellow"/>
              </w:rPr>
              <w:t>Przedefiniowanie lub dopasowanie w razie potrzeby logiki interwencji.</w:t>
            </w:r>
          </w:p>
        </w:tc>
      </w:tr>
      <w:tr w:rsidR="001924CD" w:rsidRPr="008D0759" w:rsidTr="004C05DD">
        <w:tc>
          <w:tcPr>
            <w:tcW w:w="9016" w:type="dxa"/>
            <w:gridSpan w:val="2"/>
            <w:shd w:val="clear" w:color="auto" w:fill="auto"/>
          </w:tcPr>
          <w:p w:rsidR="001924CD" w:rsidRPr="002809CE" w:rsidRDefault="001924CD" w:rsidP="004C05DD">
            <w:pPr>
              <w:pStyle w:val="HStandard"/>
              <w:jc w:val="left"/>
              <w:rPr>
                <w:sz w:val="18"/>
                <w:szCs w:val="18"/>
              </w:rPr>
            </w:pPr>
            <w:r>
              <w:rPr>
                <w:b/>
                <w:sz w:val="18"/>
                <w:highlight w:val="yellow"/>
              </w:rPr>
              <w:t>Oczekiwany wynik:</w:t>
            </w:r>
            <w:r>
              <w:t xml:space="preserve"> </w:t>
            </w:r>
            <w:r>
              <w:rPr>
                <w:sz w:val="18"/>
                <w:highlight w:val="yellow"/>
              </w:rPr>
              <w:t>potwierdzona wewnętrzna i zewnętrzna spójność oraz adekwatność logiki interwencji KSOW jako podstawy ewaluacji.</w:t>
            </w:r>
          </w:p>
        </w:tc>
      </w:tr>
    </w:tbl>
    <w:p w:rsidR="001924CD" w:rsidRPr="007E5604" w:rsidRDefault="001924CD" w:rsidP="004C05DD">
      <w:pPr>
        <w:pStyle w:val="HStandard"/>
        <w:rPr>
          <w:lang w:val="en-US"/>
        </w:rPr>
      </w:pPr>
      <w:r w:rsidRPr="007E5604">
        <w:rPr>
          <w:lang w:val="en-US"/>
        </w:rPr>
        <w:t>The above steps are detailed below.</w:t>
      </w:r>
    </w:p>
    <w:p w:rsidR="001924CD" w:rsidRPr="007E5604" w:rsidRDefault="001924CD" w:rsidP="004C05DD">
      <w:pPr>
        <w:pStyle w:val="HHeading5"/>
        <w:rPr>
          <w:color w:val="ED7D31" w:themeColor="accent2"/>
          <w:lang w:val="en-US"/>
        </w:rPr>
      </w:pPr>
      <w:r w:rsidRPr="007E5604">
        <w:rPr>
          <w:color w:val="ED7D31" w:themeColor="accent2"/>
          <w:lang w:val="en-US"/>
        </w:rPr>
        <w:t>Step 1 - Assess changes in context and needs</w:t>
      </w:r>
    </w:p>
    <w:p w:rsidR="001924CD" w:rsidRPr="007E5604" w:rsidRDefault="001924CD" w:rsidP="004C05DD">
      <w:pPr>
        <w:pStyle w:val="HStandard"/>
        <w:rPr>
          <w:lang w:val="en-US"/>
        </w:rPr>
      </w:pPr>
      <w:r w:rsidRPr="007E5604">
        <w:rPr>
          <w:lang w:val="en-US"/>
        </w:rPr>
        <w:t>NRNs operate within the context of rural areas. This context is characterised through a thorough situational description, SWOT and needs assessment. The situation in networking is depicted with the set of context parameters</w:t>
      </w:r>
      <w:r w:rsidRPr="007E5604">
        <w:rPr>
          <w:rFonts w:ascii="ZWAdobeF" w:hAnsi="ZWAdobeF"/>
          <w:color w:val="auto"/>
          <w:sz w:val="2"/>
          <w:lang w:val="en-US"/>
        </w:rPr>
        <w:t>88F</w:t>
      </w:r>
      <w:r>
        <w:rPr>
          <w:rStyle w:val="FootnoteReference"/>
        </w:rPr>
        <w:footnoteReference w:id="89"/>
      </w:r>
      <w:r w:rsidRPr="007E5604">
        <w:rPr>
          <w:lang w:val="en-US"/>
        </w:rPr>
        <w:t xml:space="preserve">. Changes in the programme and network context may imply changes in the scope of NRN objectives and interventions and therefore in the intervention logic. </w:t>
      </w:r>
    </w:p>
    <w:p w:rsidR="001924CD" w:rsidRPr="007E5604" w:rsidRDefault="001924CD" w:rsidP="004C05DD">
      <w:pPr>
        <w:pStyle w:val="HStandard"/>
        <w:rPr>
          <w:lang w:val="en-US"/>
        </w:rPr>
      </w:pPr>
      <w:r w:rsidRPr="007E5604">
        <w:rPr>
          <w:lang w:val="en-US"/>
        </w:rPr>
        <w:t>There are certain differences between NRNPs and NRNs inside of RDPs, which need to be taken into account. While for a NRNP the context relates to Members States with several RDPs, a NRN performs within the frame of a specific RDP and its contextual situation (Member States, regions). In the case of NRNPs which start in parallel with the regional RDPs which they are supposed to service, context changes may be even more substantial.</w:t>
      </w:r>
    </w:p>
    <w:p w:rsidR="001924CD" w:rsidRPr="007E5604" w:rsidRDefault="001924CD" w:rsidP="004C05DD">
      <w:pPr>
        <w:pStyle w:val="HHeading5"/>
        <w:rPr>
          <w:color w:val="ED7D31" w:themeColor="accent2"/>
          <w:lang w:val="en-US"/>
        </w:rPr>
      </w:pPr>
      <w:r w:rsidRPr="007E5604">
        <w:rPr>
          <w:color w:val="ED7D31" w:themeColor="accent2"/>
          <w:lang w:val="en-US"/>
        </w:rPr>
        <w:t>Step 2 - Revisit the relevance of NRN objectives and groups of actions and linkages between them</w:t>
      </w:r>
    </w:p>
    <w:p w:rsidR="001924CD" w:rsidRPr="007E5604" w:rsidRDefault="001924CD" w:rsidP="004C05DD">
      <w:pPr>
        <w:pStyle w:val="HStandard"/>
        <w:rPr>
          <w:lang w:val="en-US"/>
        </w:rPr>
      </w:pPr>
      <w:r w:rsidRPr="007E5604">
        <w:rPr>
          <w:lang w:val="en-US"/>
        </w:rPr>
        <w:t>The pursuit of the four common NRN objectives should contribute to the achievement of the RD priorities, CAP objectives and EU 2020 targets, via common groups of actions. The four common NRN objectives are placed within the NRN(P) intervention logic at the level of overall NRN(P) objectives.</w:t>
      </w:r>
    </w:p>
    <w:p w:rsidR="001924CD" w:rsidRPr="007E5604" w:rsidRDefault="001924CD" w:rsidP="004C05DD">
      <w:pPr>
        <w:pStyle w:val="HStandard"/>
        <w:rPr>
          <w:lang w:val="en-US"/>
        </w:rPr>
      </w:pPr>
      <w:r w:rsidRPr="007E5604">
        <w:rPr>
          <w:lang w:val="en-US"/>
        </w:rPr>
        <w:t xml:space="preserve">The common NRN objectives and groups of actions are complemented with programme-specific NRN objectives and groups of actions in the preparation of NRN evaluation. (See also </w:t>
      </w:r>
      <w:r w:rsidRPr="007E5604">
        <w:rPr>
          <w:b/>
          <w:color w:val="E7E6E6" w:themeColor="background2"/>
          <w:lang w:val="en-US"/>
        </w:rPr>
        <w:t>PART I</w:t>
      </w:r>
      <w:r w:rsidRPr="007E5604">
        <w:rPr>
          <w:lang w:val="en-US"/>
        </w:rPr>
        <w:t xml:space="preserve">, chapter 2.2.2). </w:t>
      </w:r>
    </w:p>
    <w:p w:rsidR="001924CD" w:rsidRPr="007E5604" w:rsidRDefault="001924CD" w:rsidP="004C05DD">
      <w:pPr>
        <w:pStyle w:val="HStandard"/>
        <w:rPr>
          <w:lang w:val="en-US"/>
        </w:rPr>
      </w:pPr>
      <w:r w:rsidRPr="007E5604">
        <w:rPr>
          <w:lang w:val="en-US"/>
        </w:rPr>
        <w:t>During the review of the intervention logic the validity of proposed programme-specific NRN objectives and activities will be checked against any changes concerning the context to assess:</w:t>
      </w:r>
    </w:p>
    <w:p w:rsidR="001924CD" w:rsidRPr="007E5604" w:rsidRDefault="001924CD" w:rsidP="004C05DD">
      <w:pPr>
        <w:pStyle w:val="Hlistbullet2"/>
        <w:rPr>
          <w:lang w:val="en-US"/>
        </w:rPr>
      </w:pPr>
      <w:r w:rsidRPr="007E5604">
        <w:rPr>
          <w:lang w:val="en-US"/>
        </w:rPr>
        <w:t xml:space="preserve">whether the NRN objectives (common and programme-specific) properly mirror the changes expected to happen during or after the programming period at the level of NRN beneficiaries (results, e.g. changes in behaviour), and in the programme area (impacts, e.g. contributions to RDP results, or changes in human and social capital) (See </w:t>
      </w:r>
      <w:r w:rsidRPr="007E5604">
        <w:rPr>
          <w:b/>
          <w:color w:val="E7E6E6" w:themeColor="background2"/>
          <w:lang w:val="en-US"/>
        </w:rPr>
        <w:t>PART I</w:t>
      </w:r>
      <w:r w:rsidRPr="007E5604">
        <w:rPr>
          <w:lang w:val="en-US"/>
        </w:rPr>
        <w:t>, Chapter 2.2.2);</w:t>
      </w:r>
    </w:p>
    <w:p w:rsidR="001924CD" w:rsidRPr="007E5604" w:rsidRDefault="001924CD" w:rsidP="004C05DD">
      <w:pPr>
        <w:pStyle w:val="Hlistbullet2"/>
        <w:rPr>
          <w:lang w:val="en-US"/>
        </w:rPr>
      </w:pPr>
      <w:r w:rsidRPr="007E5604">
        <w:rPr>
          <w:lang w:val="en-US"/>
        </w:rPr>
        <w:t>whether the respective level of hierarchy (overall, specific and operational objectives) and their inter-linkages are clear;</w:t>
      </w:r>
    </w:p>
    <w:p w:rsidR="001924CD" w:rsidRPr="007E5604" w:rsidRDefault="001924CD" w:rsidP="004C05DD">
      <w:pPr>
        <w:pStyle w:val="Hlistbullet2"/>
        <w:rPr>
          <w:lang w:val="en-US"/>
        </w:rPr>
      </w:pPr>
      <w:r w:rsidRPr="007E5604">
        <w:rPr>
          <w:lang w:val="en-US"/>
        </w:rPr>
        <w:t>the extent to which NRN objectives can plausibly be achieved with the groups of actions;</w:t>
      </w:r>
    </w:p>
    <w:p w:rsidR="001924CD" w:rsidRPr="007E5604" w:rsidRDefault="001924CD" w:rsidP="004C05DD">
      <w:pPr>
        <w:pStyle w:val="Hlistbullet2"/>
        <w:rPr>
          <w:lang w:val="en-US"/>
        </w:rPr>
      </w:pPr>
      <w:r w:rsidRPr="007E5604">
        <w:rPr>
          <w:lang w:val="en-US"/>
        </w:rPr>
        <w:t>whether the NRN(P) objectives are sufficiently clear and tangible as to be measured by RACER</w:t>
      </w:r>
      <w:r w:rsidRPr="007E5604">
        <w:rPr>
          <w:rFonts w:ascii="ZWAdobeF" w:hAnsi="ZWAdobeF"/>
          <w:color w:val="auto"/>
          <w:sz w:val="2"/>
          <w:lang w:val="en-US"/>
        </w:rPr>
        <w:t>89F</w:t>
      </w:r>
      <w:r>
        <w:rPr>
          <w:rStyle w:val="FootnoteReference"/>
        </w:rPr>
        <w:footnoteReference w:id="90"/>
      </w:r>
      <w:r w:rsidRPr="007E5604">
        <w:rPr>
          <w:lang w:val="en-US"/>
        </w:rPr>
        <w:t xml:space="preserve"> programme-specific indicators.</w:t>
      </w:r>
    </w:p>
    <w:p w:rsidR="001924CD" w:rsidRPr="007E5604" w:rsidRDefault="001924CD" w:rsidP="004C05DD">
      <w:pPr>
        <w:pStyle w:val="HHeading5"/>
        <w:rPr>
          <w:color w:val="ED7D31" w:themeColor="accent2"/>
          <w:lang w:val="en-US"/>
        </w:rPr>
      </w:pPr>
      <w:r w:rsidRPr="007E5604">
        <w:rPr>
          <w:color w:val="ED7D31" w:themeColor="accent2"/>
          <w:lang w:val="en-US"/>
        </w:rPr>
        <w:t xml:space="preserve">Step 3 -  Revisit the chain between the NRN expected effects: outputs, results and impacts </w:t>
      </w:r>
    </w:p>
    <w:p w:rsidR="001924CD" w:rsidRPr="007E5604" w:rsidRDefault="001924CD" w:rsidP="004C05DD">
      <w:pPr>
        <w:pStyle w:val="HStandard"/>
        <w:rPr>
          <w:lang w:val="en-US"/>
        </w:rPr>
      </w:pPr>
      <w:r w:rsidRPr="007E5604">
        <w:rPr>
          <w:lang w:val="en-US"/>
        </w:rPr>
        <w:t xml:space="preserve">Activities of NRNs are expected to produce outputs, results and impacts, which lead to the accomplishment of NRN objectives. While outputs are brought forth by concrete activities organised and implemented by NSUs (events, web page, publications, trainings, good practice exchanges, etc.), </w:t>
      </w:r>
      <w:r w:rsidRPr="007E5604">
        <w:rPr>
          <w:lang w:val="en-US"/>
        </w:rPr>
        <w:lastRenderedPageBreak/>
        <w:t xml:space="preserve">NRNs transform these outputs into NRN results and impacts (often called NRN added value). NRN results and impacts are more difficult to capture because they often (not always) have an intangible nature (changes in human and social capital). Examples of the output-result-impact chains for each of the common groups of actions can be found in </w:t>
      </w:r>
      <w:r w:rsidRPr="007E5604">
        <w:rPr>
          <w:b/>
          <w:color w:val="E7E6E6" w:themeColor="background2"/>
          <w:lang w:val="en-US"/>
        </w:rPr>
        <w:t>PART III</w:t>
      </w:r>
      <w:r w:rsidRPr="007E5604">
        <w:rPr>
          <w:lang w:val="en-US"/>
        </w:rPr>
        <w:t xml:space="preserve"> of the guidelines.</w:t>
      </w:r>
    </w:p>
    <w:p w:rsidR="001924CD" w:rsidRPr="007E5604" w:rsidRDefault="001924CD" w:rsidP="004C05DD">
      <w:pPr>
        <w:pStyle w:val="HStandard"/>
        <w:rPr>
          <w:lang w:val="en-US"/>
        </w:rPr>
      </w:pPr>
      <w:r w:rsidRPr="007E5604">
        <w:rPr>
          <w:lang w:val="en-US"/>
        </w:rPr>
        <w:t>Expected NRN effects are ideally defined during the preparation of NRN evaluation, but can be completed also during the structuring phase, respecting the possible changes in the context situation.</w:t>
      </w:r>
    </w:p>
    <w:p w:rsidR="001924CD" w:rsidRPr="007E5604" w:rsidRDefault="001924CD" w:rsidP="004C05DD">
      <w:pPr>
        <w:pStyle w:val="HHeading5"/>
        <w:rPr>
          <w:color w:val="ED7D31" w:themeColor="accent2"/>
          <w:lang w:val="en-US"/>
        </w:rPr>
      </w:pPr>
      <w:r w:rsidRPr="007E5604">
        <w:rPr>
          <w:color w:val="ED7D31" w:themeColor="accent2"/>
          <w:lang w:val="en-US"/>
        </w:rPr>
        <w:t>Step 4 - Check the horizontal and vertical consistency between NRN objectives and expected effects</w:t>
      </w:r>
    </w:p>
    <w:p w:rsidR="001924CD" w:rsidRPr="007E5604" w:rsidRDefault="001924CD" w:rsidP="004C05DD">
      <w:pPr>
        <w:pStyle w:val="HStandard"/>
        <w:rPr>
          <w:lang w:val="en-US"/>
        </w:rPr>
      </w:pPr>
      <w:r w:rsidRPr="007E5604">
        <w:rPr>
          <w:lang w:val="en-US"/>
        </w:rPr>
        <w:t xml:space="preserve">During this step, evaluators should conduct a horizontal and vertical consistency check between objectives and expected outputs, results and impacts (internal consistency of NRN intervention logic, see the Introduction, chapter 1.4.2) of the NRN. In case the NRNP or RDP authorities have not defined the expected NRN results and impacts clearly enough and in a way that can be measured, the evaluators are called to run a consistency check of the intervention logic and add missing elements and fine-tune existing elements in collaboration with the programme authorities and the NSU, in the same fashion as what was described in </w:t>
      </w:r>
      <w:r w:rsidRPr="007E5604">
        <w:rPr>
          <w:b/>
          <w:color w:val="E7E6E6" w:themeColor="background2"/>
          <w:lang w:val="en-US"/>
        </w:rPr>
        <w:t>PART I</w:t>
      </w:r>
      <w:r w:rsidRPr="007E5604">
        <w:rPr>
          <w:lang w:val="en-US"/>
        </w:rPr>
        <w:t>, chapter 2.2.2.</w:t>
      </w:r>
    </w:p>
    <w:p w:rsidR="001924CD" w:rsidRPr="007E5604" w:rsidRDefault="001924CD" w:rsidP="004C05DD">
      <w:pPr>
        <w:pStyle w:val="HStandard"/>
        <w:rPr>
          <w:lang w:val="en-US"/>
        </w:rPr>
      </w:pPr>
      <w:r w:rsidRPr="007E5604">
        <w:rPr>
          <w:lang w:val="en-US"/>
        </w:rPr>
        <w:t xml:space="preserve">Besides the internal consistency of the NRN intervention logic, the evaluator should check also the external consistency of NRN intervention logic with the RDP and the EU objectives (See </w:t>
      </w:r>
      <w:r>
        <w:fldChar w:fldCharType="begin" w:fldLock="1"/>
      </w:r>
      <w:r w:rsidRPr="007E5604">
        <w:rPr>
          <w:lang w:val="en-US"/>
        </w:rPr>
        <w:instrText xml:space="preserve"> REF _Ref451784678 \r \h </w:instrText>
      </w:r>
      <w:r>
        <w:fldChar w:fldCharType="separate"/>
      </w:r>
      <w:r w:rsidRPr="007E5604">
        <w:rPr>
          <w:lang w:val="en-US"/>
        </w:rPr>
        <w:t>Figure 5</w:t>
      </w:r>
      <w:r>
        <w:fldChar w:fldCharType="end"/>
      </w:r>
      <w:r w:rsidRPr="007E5604">
        <w:rPr>
          <w:lang w:val="en-US"/>
        </w:rPr>
        <w:t xml:space="preserve"> and </w:t>
      </w:r>
      <w:r>
        <w:fldChar w:fldCharType="begin" w:fldLock="1"/>
      </w:r>
      <w:r w:rsidRPr="007E5604">
        <w:rPr>
          <w:lang w:val="en-US"/>
        </w:rPr>
        <w:instrText xml:space="preserve"> REF _Ref451784688 \r \h </w:instrText>
      </w:r>
      <w:r>
        <w:fldChar w:fldCharType="separate"/>
      </w:r>
      <w:r w:rsidRPr="007E5604">
        <w:rPr>
          <w:lang w:val="en-US"/>
        </w:rPr>
        <w:t>Figure 6</w:t>
      </w:r>
      <w:r>
        <w:fldChar w:fldCharType="end"/>
      </w:r>
      <w:r w:rsidRPr="007E5604">
        <w:rPr>
          <w:lang w:val="en-US"/>
        </w:rPr>
        <w:t xml:space="preserve"> in Introduction, Chapter 1.4.2). In the case of NRNs being part of RDPs, outputs produced with the means of inputs (financial and others) through the implementation of the NRN action plan generate the NRN results, and these contribute to the RDP outputs. NRN impacts should foster better results from the RDP and also affect rural areas as such, e.g. in the human and social capital domains, which can also influence the RDP’s impacts (</w:t>
      </w:r>
      <w:r>
        <w:fldChar w:fldCharType="begin" w:fldLock="1"/>
      </w:r>
      <w:r w:rsidRPr="007E5604">
        <w:rPr>
          <w:lang w:val="en-US"/>
        </w:rPr>
        <w:instrText xml:space="preserve"> REF _Ref451784699 \r \h </w:instrText>
      </w:r>
      <w:r>
        <w:fldChar w:fldCharType="separate"/>
      </w:r>
      <w:r w:rsidRPr="007E5604">
        <w:rPr>
          <w:lang w:val="en-US"/>
        </w:rPr>
        <w:t>Figure 5</w:t>
      </w:r>
      <w:r>
        <w:fldChar w:fldCharType="end"/>
      </w:r>
      <w:r w:rsidRPr="007E5604">
        <w:rPr>
          <w:lang w:val="en-US"/>
        </w:rPr>
        <w:t xml:space="preserve"> in Chapter 1.4.2). If inconsistencies are found in the above checks, the missing elements should be developed by the evaluator.</w:t>
      </w:r>
    </w:p>
    <w:p w:rsidR="001924CD" w:rsidRPr="007E5604" w:rsidRDefault="001924CD" w:rsidP="00975D9B">
      <w:pPr>
        <w:pStyle w:val="HHeading5"/>
        <w:rPr>
          <w:lang w:val="en-US"/>
        </w:rPr>
      </w:pPr>
      <w:r w:rsidRPr="007E5604">
        <w:rPr>
          <w:lang w:val="en-US"/>
        </w:rPr>
        <w:t>NRN unexpected effects</w:t>
      </w:r>
    </w:p>
    <w:p w:rsidR="001924CD" w:rsidRPr="007E5604" w:rsidRDefault="001924CD" w:rsidP="004C05DD">
      <w:pPr>
        <w:pStyle w:val="HStandard"/>
        <w:rPr>
          <w:lang w:val="en-US"/>
        </w:rPr>
      </w:pPr>
      <w:r w:rsidRPr="007E5604">
        <w:rPr>
          <w:lang w:val="en-US"/>
        </w:rPr>
        <w:t>In addition to the expected or intended effects, NRN activities usually also generate unexpected or unintended effects</w:t>
      </w:r>
      <w:r w:rsidRPr="007E5604">
        <w:rPr>
          <w:rFonts w:ascii="ZWAdobeF" w:hAnsi="ZWAdobeF"/>
          <w:color w:val="auto"/>
          <w:sz w:val="2"/>
          <w:lang w:val="en-US"/>
        </w:rPr>
        <w:t>90F</w:t>
      </w:r>
      <w:r>
        <w:rPr>
          <w:rStyle w:val="FootnoteReference"/>
        </w:rPr>
        <w:footnoteReference w:id="91"/>
      </w:r>
      <w:r w:rsidRPr="007E5604">
        <w:rPr>
          <w:lang w:val="en-US"/>
        </w:rPr>
        <w:t>. These unexpected/unintended effects can reach the intended beneficiaries or other groups which originally have not been explicitly named as direct or ultimate beneficiaries, such as other organisations or networks (e.g. rural business owners, cooperation systems and clusters of SMEs, eco-tourism associations or enterprises, municipalities or NGOs engaged in climate actions, etc.).</w:t>
      </w:r>
    </w:p>
    <w:p w:rsidR="001924CD" w:rsidRPr="007E5604" w:rsidRDefault="001924CD" w:rsidP="004C05DD">
      <w:pPr>
        <w:pStyle w:val="HStandard"/>
        <w:rPr>
          <w:lang w:val="en-US"/>
        </w:rPr>
      </w:pPr>
      <w:r w:rsidRPr="007E5604">
        <w:rPr>
          <w:lang w:val="en-US"/>
        </w:rPr>
        <w:t>On the contrary, NRN interventions can also indirectly induce changes (both positive and negative), via multiplication, deadweight, displacement or substitution effects. For example, if we invest a lot into the formal NRN, already existing informal networks could be starved out, since they live on membership fees and cannot compete with RDP supported networks. This could lead to the reduction of net social capital due to the NRN intervention! When revisiting the NRN intervention logic, it is worth recognising that every positive change also comes with a price (shadow costs).</w:t>
      </w:r>
    </w:p>
    <w:p w:rsidR="001924CD" w:rsidRPr="007E5604" w:rsidRDefault="001924CD" w:rsidP="004C05DD">
      <w:pPr>
        <w:pStyle w:val="HHeading5"/>
        <w:rPr>
          <w:color w:val="ED7D31" w:themeColor="accent2"/>
          <w:lang w:val="en-US"/>
        </w:rPr>
      </w:pPr>
      <w:r w:rsidRPr="007E5604">
        <w:rPr>
          <w:color w:val="ED7D31" w:themeColor="accent2"/>
          <w:lang w:val="en-US"/>
        </w:rPr>
        <w:t>Step 5: Redefine or adjust the intervention logic, if needed.</w:t>
      </w:r>
    </w:p>
    <w:p w:rsidR="001924CD" w:rsidRPr="007E5604" w:rsidRDefault="001924CD" w:rsidP="004C05DD">
      <w:pPr>
        <w:pStyle w:val="HStandard"/>
        <w:rPr>
          <w:lang w:val="en-US"/>
        </w:rPr>
      </w:pPr>
      <w:r w:rsidRPr="007E5604">
        <w:rPr>
          <w:lang w:val="en-US"/>
        </w:rPr>
        <w:t>The review of the NRN intervention logic may lead to changes. These changes might result in a fine-tuning of the NRN related programme-specific objectives, groups of actions and expected effects. It also may result in the revision of the hierarchy of objectives and/or a revision of the expected outcomes (outputs, results, impacts) in accordance with the objectives. Finally, the assessment of unexpected/unintended effects may lead to the identification of additional expected results and impacts.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0A700F" w:rsidTr="002A138A">
        <w:tc>
          <w:tcPr>
            <w:tcW w:w="9016" w:type="dxa"/>
            <w:shd w:val="clear" w:color="auto" w:fill="F5F4F4" w:themeFill="background2" w:themeFillTint="66"/>
          </w:tcPr>
          <w:p w:rsidR="001924CD" w:rsidRPr="000A700F" w:rsidRDefault="001924CD" w:rsidP="002A138A">
            <w:pPr>
              <w:pStyle w:val="HStandard"/>
              <w:rPr>
                <w:color w:val="7030A0"/>
                <w:highlight w:val="yellow"/>
              </w:rPr>
            </w:pPr>
            <w:r>
              <w:rPr>
                <w:highlight w:val="yellow"/>
              </w:rPr>
              <w:lastRenderedPageBreak/>
              <w:t>Pytania pomocnicze z zakresu weryfikacji logiki interwencji</w:t>
            </w:r>
          </w:p>
          <w:p w:rsidR="001924CD" w:rsidRPr="000A700F" w:rsidRDefault="001924CD" w:rsidP="001924CD">
            <w:pPr>
              <w:pStyle w:val="Hlistbullet2"/>
              <w:rPr>
                <w:highlight w:val="yellow"/>
              </w:rPr>
            </w:pPr>
            <w:r>
              <w:rPr>
                <w:highlight w:val="yellow"/>
              </w:rPr>
              <w:t>Czy za przyjętą logiką interwencji stoi jednoznaczna teoria zmiany?</w:t>
            </w:r>
          </w:p>
          <w:p w:rsidR="001924CD" w:rsidRPr="000A700F" w:rsidRDefault="001924CD" w:rsidP="001924CD">
            <w:pPr>
              <w:pStyle w:val="Hlistbullet2"/>
              <w:rPr>
                <w:highlight w:val="yellow"/>
              </w:rPr>
            </w:pPr>
            <w:r>
              <w:rPr>
                <w:highlight w:val="yellow"/>
              </w:rPr>
              <w:t>Czy logika interwencji jest jasno określona, czy też można ją co najmniej wywnioskować z przepisów programu lub dokumentów towarzyszących (np. SIWZ dla JWS, oferta wybranego oferenta itp.)?</w:t>
            </w:r>
          </w:p>
          <w:p w:rsidR="001924CD" w:rsidRPr="000A700F" w:rsidRDefault="001924CD" w:rsidP="001924CD">
            <w:pPr>
              <w:pStyle w:val="Hlistbullet2"/>
              <w:rPr>
                <w:highlight w:val="yellow"/>
              </w:rPr>
            </w:pPr>
            <w:r>
              <w:rPr>
                <w:highlight w:val="yellow"/>
              </w:rPr>
              <w:t>Jakie znaczące zmiany można zaobserwować wśród zainteresowanych stron na obszarze objętym programem lub w szerszym kontekście społeczno-gospodarczym i politycznym?</w:t>
            </w:r>
          </w:p>
          <w:p w:rsidR="001924CD" w:rsidRPr="000A700F" w:rsidRDefault="001924CD" w:rsidP="001924CD">
            <w:pPr>
              <w:pStyle w:val="Hlistbullet2"/>
              <w:rPr>
                <w:highlight w:val="yellow"/>
              </w:rPr>
            </w:pPr>
            <w:r>
              <w:rPr>
                <w:highlight w:val="yellow"/>
              </w:rPr>
              <w:t>Czy zapisane cele oraz oczekiwane rezultaty i oddziaływanie są adekwatne w odniesieniu do kontekstu (SWOT, potrzeby)?</w:t>
            </w:r>
          </w:p>
          <w:p w:rsidR="001924CD" w:rsidRPr="000A700F" w:rsidRDefault="001924CD" w:rsidP="001924CD">
            <w:pPr>
              <w:pStyle w:val="Hlistbullet2"/>
              <w:rPr>
                <w:highlight w:val="yellow"/>
              </w:rPr>
            </w:pPr>
            <w:r>
              <w:rPr>
                <w:highlight w:val="yellow"/>
              </w:rPr>
              <w:t>Czy istnieją sprzeczności lub rozbieżności pomiędzy działaniami, oczekiwanymi produktami, rezultatami i oddziaływaniem (w wymiarze wertykalnym) a określonymi celami (w wymiarze horyzontalnym)?</w:t>
            </w:r>
          </w:p>
        </w:tc>
      </w:tr>
    </w:tbl>
    <w:p w:rsidR="001924CD" w:rsidRPr="000A700F" w:rsidRDefault="001924CD" w:rsidP="00975D9B">
      <w:pPr>
        <w:pStyle w:val="HHeading5"/>
        <w:rPr>
          <w:highlight w:val="yellow"/>
        </w:rPr>
      </w:pPr>
      <w:r>
        <w:rPr>
          <w:highlight w:val="yellow"/>
        </w:rPr>
        <w:t>Co należy, a czego nie należy robić</w:t>
      </w:r>
    </w:p>
    <w:tbl>
      <w:tblPr>
        <w:tblStyle w:val="LightList-Accent5"/>
        <w:tblW w:w="0" w:type="auto"/>
        <w:tblLook w:val="04A0" w:firstRow="1" w:lastRow="0" w:firstColumn="1" w:lastColumn="0" w:noHBand="0" w:noVBand="1"/>
      </w:tblPr>
      <w:tblGrid>
        <w:gridCol w:w="4505"/>
        <w:gridCol w:w="4501"/>
      </w:tblGrid>
      <w:tr w:rsidR="001924CD"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1924CD" w:rsidRPr="000A700F" w:rsidRDefault="001924CD"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6AB73AE4" wp14:editId="125B20B6">
                  <wp:extent cx="360000" cy="360000"/>
                  <wp:effectExtent l="0"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1924CD" w:rsidRPr="000A700F" w:rsidRDefault="001924CD"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4D029E76" wp14:editId="7886057B">
                  <wp:extent cx="360000" cy="360000"/>
                  <wp:effectExtent l="0" t="0" r="254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1924CD"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1924CD" w:rsidRPr="000A700F" w:rsidRDefault="001924CD" w:rsidP="000A3387">
            <w:pPr>
              <w:pStyle w:val="HHeading5"/>
              <w:rPr>
                <w:color w:val="FFC000" w:themeColor="accent4"/>
                <w:sz w:val="18"/>
                <w:szCs w:val="18"/>
                <w:highlight w:val="yellow"/>
              </w:rPr>
            </w:pPr>
            <w:r>
              <w:rPr>
                <w:color w:val="FFC000" w:themeColor="accent4"/>
                <w:sz w:val="18"/>
                <w:highlight w:val="yellow"/>
              </w:rPr>
              <w:t>Wziąć pod uwagę zmianę okoliczności, które mogły mieć wpływ na znaczenie logiki interwencji.</w:t>
            </w:r>
          </w:p>
          <w:p w:rsidR="001924CD" w:rsidRPr="000A700F" w:rsidRDefault="001924CD" w:rsidP="000A3387">
            <w:pPr>
              <w:pStyle w:val="HStandard"/>
              <w:rPr>
                <w:color w:val="FFC000" w:themeColor="accent4"/>
                <w:sz w:val="18"/>
                <w:szCs w:val="18"/>
                <w:highlight w:val="yellow"/>
              </w:rPr>
            </w:pPr>
            <w:r>
              <w:rPr>
                <w:color w:val="FFC000" w:themeColor="accent4"/>
                <w:sz w:val="18"/>
                <w:highlight w:val="yellow"/>
              </w:rPr>
              <w:t xml:space="preserve">Wyjaśnić, w jaki sposób KSOW może przyczynić się do realizacji celów polityki rozwoju obszarów wiejskich. </w:t>
            </w:r>
          </w:p>
          <w:p w:rsidR="001924CD" w:rsidRPr="000A700F" w:rsidRDefault="001924CD" w:rsidP="000A3387">
            <w:pPr>
              <w:pStyle w:val="HStandard"/>
              <w:rPr>
                <w:color w:val="FFC000" w:themeColor="accent4"/>
                <w:sz w:val="18"/>
                <w:szCs w:val="18"/>
                <w:highlight w:val="yellow"/>
              </w:rPr>
            </w:pPr>
            <w:r>
              <w:rPr>
                <w:color w:val="FFC000" w:themeColor="accent4"/>
                <w:sz w:val="18"/>
                <w:highlight w:val="yellow"/>
              </w:rPr>
              <w:t xml:space="preserve">Pojmować cele i osiągnięcia KSOW </w:t>
            </w:r>
            <w:r>
              <w:rPr>
                <w:b w:val="0"/>
                <w:color w:val="FFC000" w:themeColor="accent4"/>
                <w:sz w:val="18"/>
                <w:highlight w:val="yellow"/>
              </w:rPr>
              <w:t>również przez pryzmat zmian w kapitale ludzkim i społecznym zainteresowanych podmiotów i obszarów wiejskich.</w:t>
            </w:r>
          </w:p>
          <w:p w:rsidR="001924CD" w:rsidRPr="000A700F" w:rsidRDefault="001924CD" w:rsidP="000A3387">
            <w:pPr>
              <w:pStyle w:val="HStandard"/>
              <w:rPr>
                <w:color w:val="FFC000" w:themeColor="accent4"/>
                <w:sz w:val="18"/>
                <w:szCs w:val="18"/>
                <w:highlight w:val="yellow"/>
              </w:rPr>
            </w:pPr>
            <w:r>
              <w:rPr>
                <w:b w:val="0"/>
                <w:color w:val="FFC000" w:themeColor="accent4"/>
                <w:sz w:val="18"/>
                <w:highlight w:val="yellow"/>
              </w:rPr>
              <w:t>Rozważyć komplementarność i spójność z innymi podobnymi interwencjami (poza sferą polityki rozwoju obszarów wiejskich).</w:t>
            </w:r>
          </w:p>
          <w:p w:rsidR="001924CD" w:rsidRPr="000A700F" w:rsidRDefault="001924CD" w:rsidP="000A3387">
            <w:pPr>
              <w:pStyle w:val="HStandard"/>
              <w:rPr>
                <w:color w:val="FFC000" w:themeColor="accent4"/>
                <w:sz w:val="18"/>
                <w:szCs w:val="18"/>
                <w:highlight w:val="yellow"/>
              </w:rPr>
            </w:pPr>
            <w:r>
              <w:rPr>
                <w:b w:val="0"/>
                <w:color w:val="FFC000" w:themeColor="accent4"/>
                <w:sz w:val="18"/>
                <w:highlight w:val="yellow"/>
              </w:rPr>
              <w:t>Być zawsze przygotowanym na niespodziewany obrót spraw (niezamierzone korzyści lub niepożądane efekty).</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1924CD" w:rsidRPr="000A700F" w:rsidRDefault="001924CD" w:rsidP="000A3387">
            <w:pPr>
              <w:pStyle w:val="HHeading5"/>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Akceptować bezkrytycznie logiki interwencji.</w:t>
            </w:r>
          </w:p>
          <w:p w:rsidR="001924CD" w:rsidRPr="000A700F" w:rsidRDefault="001924CD"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Łączyć działania KSOW bezpośrednio z realizacją celów PROW.</w:t>
            </w:r>
          </w:p>
          <w:p w:rsidR="001924CD" w:rsidRPr="000A700F" w:rsidRDefault="001924CD"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Dostrzegać jedynie efekty zapisane na papierze.</w:t>
            </w:r>
          </w:p>
          <w:p w:rsidR="001924CD" w:rsidRPr="008D0759" w:rsidRDefault="001924CD"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Brać pod uwagę alternatywne koszty interwencji (ang. shadow costs) i ignorować niespodzianki, które mogą prowadzić do niezamierzonych efektów.</w:t>
            </w:r>
          </w:p>
        </w:tc>
      </w:tr>
    </w:tbl>
    <w:p w:rsidR="001924CD" w:rsidRPr="008D0759" w:rsidRDefault="001924CD" w:rsidP="00975D9B">
      <w:pPr>
        <w:pStyle w:val="HHeading5"/>
      </w:pPr>
      <w:r>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1924CD" w:rsidRPr="00921C8E" w:rsidTr="004D1A84">
        <w:tc>
          <w:tcPr>
            <w:tcW w:w="9069" w:type="dxa"/>
            <w:shd w:val="clear" w:color="auto" w:fill="F5F4F4" w:themeFill="background2" w:themeFillTint="66"/>
          </w:tcPr>
          <w:p w:rsidR="001924CD" w:rsidRPr="007E5604" w:rsidRDefault="001924CD" w:rsidP="002A138A">
            <w:pPr>
              <w:pStyle w:val="HStandard"/>
              <w:jc w:val="left"/>
              <w:rPr>
                <w:sz w:val="16"/>
                <w:szCs w:val="16"/>
                <w:lang w:val="en-US"/>
              </w:rPr>
            </w:pPr>
            <w:r w:rsidRPr="007E5604">
              <w:rPr>
                <w:sz w:val="16"/>
                <w:lang w:val="en-US"/>
              </w:rPr>
              <w:t>Assessment of RDP results: How to prepare for reporting on evaluation in 2017, Chapter 5.1 Evaluation Helpdesk, April 2016</w:t>
            </w:r>
          </w:p>
          <w:p w:rsidR="001924CD" w:rsidRPr="007E5604" w:rsidRDefault="001924CD" w:rsidP="002A138A">
            <w:pPr>
              <w:pStyle w:val="HStandard"/>
              <w:jc w:val="left"/>
              <w:rPr>
                <w:rStyle w:val="Hyperlink"/>
                <w:rFonts w:eastAsiaTheme="majorEastAsia"/>
                <w:sz w:val="16"/>
                <w:szCs w:val="16"/>
                <w:lang w:val="en-US"/>
              </w:rPr>
            </w:pPr>
            <w:r w:rsidRPr="007E5604">
              <w:rPr>
                <w:sz w:val="16"/>
                <w:lang w:val="en-US"/>
              </w:rPr>
              <w:t>Capturing the success of your RDP: Guidelines for the ex post evaluation of 2007-2013 RDP, PART II, Chapters 1.4 and 1.5, link:</w:t>
            </w:r>
            <w:r w:rsidRPr="007E5604">
              <w:rPr>
                <w:lang w:val="en-US"/>
              </w:rPr>
              <w:t xml:space="preserve"> </w:t>
            </w:r>
            <w:hyperlink r:id="rId40">
              <w:r w:rsidRPr="007E5604">
                <w:rPr>
                  <w:rStyle w:val="Hyperlink"/>
                  <w:rFonts w:eastAsiaTheme="majorEastAsia"/>
                  <w:sz w:val="16"/>
                  <w:lang w:val="en-US"/>
                </w:rPr>
                <w:t>http://enrd.ec.europa.eu/enrd-static/evaluation/library/evaluation-helpdesk-publications/en/evaluation-helpdesk-publications_en.html</w:t>
              </w:r>
            </w:hyperlink>
          </w:p>
          <w:p w:rsidR="001924CD" w:rsidRPr="007E5604" w:rsidRDefault="001924CD" w:rsidP="002A138A">
            <w:pPr>
              <w:pStyle w:val="HStandard"/>
              <w:jc w:val="left"/>
              <w:rPr>
                <w:rStyle w:val="Hyperlink"/>
                <w:rFonts w:eastAsiaTheme="majorEastAsia"/>
                <w:color w:val="262626"/>
                <w:sz w:val="16"/>
                <w:szCs w:val="16"/>
                <w:lang w:val="en-US"/>
              </w:rPr>
            </w:pPr>
            <w:r w:rsidRPr="007E5604">
              <w:rPr>
                <w:rStyle w:val="Hyperlink"/>
                <w:rFonts w:eastAsiaTheme="majorEastAsia"/>
                <w:color w:val="262626"/>
                <w:sz w:val="16"/>
                <w:lang w:val="en-US"/>
              </w:rPr>
              <w:t>Getting the most from your RDP:</w:t>
            </w:r>
            <w:r w:rsidRPr="007E5604">
              <w:rPr>
                <w:lang w:val="en-US"/>
              </w:rPr>
              <w:t xml:space="preserve"> </w:t>
            </w:r>
            <w:r w:rsidRPr="007E5604">
              <w:rPr>
                <w:rStyle w:val="Hyperlink"/>
                <w:rFonts w:eastAsiaTheme="majorEastAsia"/>
                <w:color w:val="262626"/>
                <w:sz w:val="16"/>
                <w:lang w:val="en-US"/>
              </w:rPr>
              <w:t xml:space="preserve">Guidelines for the ex ante evaluation of 2014-2020 RDPs, Chapter 5.4, </w:t>
            </w:r>
            <w:hyperlink r:id="rId41">
              <w:r w:rsidRPr="007E5604">
                <w:rPr>
                  <w:rStyle w:val="Hyperlink"/>
                  <w:rFonts w:eastAsiaTheme="majorEastAsia"/>
                  <w:sz w:val="16"/>
                  <w:lang w:val="en-US"/>
                </w:rPr>
                <w:t>http://enrd.ec.europa.eu/enrd-static/evaluation/library/evaluation-helpdesk-publications/en/evaluation-helpdesk-publications_en.html</w:t>
              </w:r>
            </w:hyperlink>
            <w:r w:rsidRPr="007E5604">
              <w:rPr>
                <w:rStyle w:val="Hyperlink"/>
                <w:rFonts w:eastAsiaTheme="majorEastAsia"/>
                <w:color w:val="262626"/>
                <w:sz w:val="16"/>
                <w:lang w:val="en-US"/>
              </w:rPr>
              <w:t xml:space="preserve">, </w:t>
            </w:r>
          </w:p>
          <w:p w:rsidR="001924CD" w:rsidRPr="007E5604" w:rsidRDefault="001924CD" w:rsidP="002A138A">
            <w:pPr>
              <w:pStyle w:val="HStandard"/>
              <w:jc w:val="left"/>
              <w:rPr>
                <w:rStyle w:val="Hyperlink"/>
                <w:rFonts w:eastAsiaTheme="majorEastAsia"/>
                <w:color w:val="262626"/>
                <w:sz w:val="16"/>
                <w:szCs w:val="16"/>
                <w:lang w:val="en-US"/>
              </w:rPr>
            </w:pPr>
            <w:r w:rsidRPr="007E5604">
              <w:rPr>
                <w:rStyle w:val="Hyperlink"/>
                <w:rFonts w:eastAsiaTheme="majorEastAsia"/>
                <w:color w:val="262626"/>
                <w:sz w:val="16"/>
                <w:lang w:val="en-US"/>
              </w:rPr>
              <w:t>On the NRN intervention logic:</w:t>
            </w:r>
          </w:p>
          <w:p w:rsidR="001924CD" w:rsidRPr="008D0759" w:rsidRDefault="001924CD" w:rsidP="002A138A">
            <w:pPr>
              <w:pStyle w:val="HStandard"/>
              <w:jc w:val="left"/>
              <w:rPr>
                <w:rStyle w:val="Hyperlink"/>
                <w:rFonts w:eastAsiaTheme="majorEastAsia"/>
                <w:color w:val="262626"/>
                <w:sz w:val="16"/>
                <w:szCs w:val="16"/>
              </w:rPr>
            </w:pPr>
            <w:r w:rsidRPr="007E5604">
              <w:rPr>
                <w:rStyle w:val="Hyperlink"/>
                <w:rFonts w:eastAsiaTheme="majorEastAsia"/>
                <w:color w:val="262626"/>
                <w:sz w:val="16"/>
                <w:lang w:val="en-US"/>
              </w:rPr>
              <w:lastRenderedPageBreak/>
              <w:t>ENRD 2014: NRN Guidebook, 3</w:t>
            </w:r>
            <w:r w:rsidRPr="007E5604">
              <w:rPr>
                <w:rStyle w:val="Hyperlink"/>
                <w:rFonts w:eastAsiaTheme="majorEastAsia"/>
                <w:color w:val="262626"/>
                <w:sz w:val="16"/>
                <w:vertAlign w:val="superscript"/>
                <w:lang w:val="en-US"/>
              </w:rPr>
              <w:t>rd</w:t>
            </w:r>
            <w:r w:rsidRPr="007E5604">
              <w:rPr>
                <w:rStyle w:val="Hyperlink"/>
                <w:rFonts w:eastAsiaTheme="majorEastAsia"/>
                <w:color w:val="262626"/>
                <w:sz w:val="16"/>
                <w:lang w:val="en-US"/>
              </w:rPr>
              <w:t xml:space="preserve"> chapter on Setting up and Starting a Network.</w:t>
            </w:r>
            <w:r w:rsidRPr="007E5604">
              <w:rPr>
                <w:lang w:val="en-US"/>
              </w:rPr>
              <w:t xml:space="preserve"> </w:t>
            </w:r>
            <w:hyperlink r:id="rId42">
              <w:r>
                <w:rPr>
                  <w:rStyle w:val="Hyperlink"/>
                  <w:rFonts w:eastAsiaTheme="majorEastAsia"/>
                  <w:sz w:val="16"/>
                </w:rPr>
                <w:t>http://enrd.ec.europa.eu/enrd-static/app_templates/enrd_assets/pdf/guidebook/nrn_handbook_webversion.pdf</w:t>
              </w:r>
            </w:hyperlink>
            <w:r>
              <w:rPr>
                <w:rStyle w:val="Hyperlink"/>
                <w:rFonts w:eastAsiaTheme="majorEastAsia"/>
                <w:color w:val="262626"/>
                <w:sz w:val="16"/>
              </w:rPr>
              <w:t xml:space="preserve"> </w:t>
            </w:r>
          </w:p>
          <w:p w:rsidR="001924CD" w:rsidRPr="007E5604" w:rsidRDefault="001924CD" w:rsidP="002A138A">
            <w:pPr>
              <w:pStyle w:val="HStandard"/>
              <w:jc w:val="left"/>
              <w:rPr>
                <w:rStyle w:val="Hyperlink"/>
                <w:rFonts w:eastAsiaTheme="majorEastAsia"/>
                <w:color w:val="262626"/>
                <w:sz w:val="16"/>
                <w:szCs w:val="16"/>
                <w:lang w:val="en-US"/>
              </w:rPr>
            </w:pPr>
            <w:r w:rsidRPr="007E5604">
              <w:rPr>
                <w:rStyle w:val="Hyperlink"/>
                <w:rFonts w:eastAsiaTheme="majorEastAsia"/>
                <w:color w:val="262626"/>
                <w:sz w:val="16"/>
                <w:lang w:val="en-US"/>
              </w:rPr>
              <w:t>On the theory of change and realistic evaluation:</w:t>
            </w:r>
          </w:p>
          <w:p w:rsidR="001924CD" w:rsidRPr="007E5604" w:rsidRDefault="001924CD" w:rsidP="002A138A">
            <w:pPr>
              <w:pStyle w:val="HStandard"/>
              <w:jc w:val="left"/>
              <w:rPr>
                <w:rStyle w:val="Hyperlink"/>
                <w:rFonts w:eastAsiaTheme="majorEastAsia"/>
                <w:color w:val="262626"/>
                <w:sz w:val="16"/>
                <w:szCs w:val="16"/>
                <w:lang w:val="en-US"/>
              </w:rPr>
            </w:pPr>
            <w:r w:rsidRPr="007E5604">
              <w:rPr>
                <w:rStyle w:val="Hyperlink"/>
                <w:rFonts w:eastAsiaTheme="majorEastAsia"/>
                <w:color w:val="262626"/>
                <w:sz w:val="16"/>
                <w:lang w:val="en-US"/>
              </w:rPr>
              <w:t>Avril Blamey and Mhairi Mackenzie, 2007: Theory of Change and Realistic Evaluation: Peas in a Pod or Apples and Oranges? Sage. Web resource:</w:t>
            </w:r>
            <w:r w:rsidRPr="007E5604">
              <w:rPr>
                <w:lang w:val="en-US"/>
              </w:rPr>
              <w:t xml:space="preserve"> </w:t>
            </w:r>
            <w:hyperlink r:id="rId43">
              <w:r w:rsidRPr="007E5604">
                <w:rPr>
                  <w:rStyle w:val="Hyperlink"/>
                  <w:rFonts w:eastAsiaTheme="majorEastAsia"/>
                  <w:sz w:val="16"/>
                  <w:lang w:val="en-US"/>
                </w:rPr>
                <w:t>http://evi.sagepub.com/content/13/4/439.full.pdf</w:t>
              </w:r>
            </w:hyperlink>
            <w:r w:rsidRPr="007E5604">
              <w:rPr>
                <w:rStyle w:val="Hyperlink"/>
                <w:rFonts w:eastAsiaTheme="majorEastAsia"/>
                <w:color w:val="262626"/>
                <w:sz w:val="16"/>
                <w:lang w:val="en-US"/>
              </w:rPr>
              <w:t xml:space="preserve"> </w:t>
            </w:r>
          </w:p>
          <w:p w:rsidR="001924CD" w:rsidRPr="007E5604" w:rsidRDefault="001924CD" w:rsidP="002A138A">
            <w:pPr>
              <w:pStyle w:val="HStandard"/>
              <w:jc w:val="left"/>
              <w:rPr>
                <w:rFonts w:eastAsiaTheme="majorEastAsia"/>
                <w:lang w:val="en-US"/>
              </w:rPr>
            </w:pPr>
            <w:r w:rsidRPr="007E5604">
              <w:rPr>
                <w:rStyle w:val="Hyperlink"/>
                <w:rFonts w:eastAsiaTheme="majorEastAsia"/>
                <w:color w:val="262626"/>
                <w:sz w:val="16"/>
                <w:lang w:val="en-US"/>
              </w:rPr>
              <w:t>Ray Payson and Nick Tilley,1997: Realistic Evaluation, Sage, 1997. Web resource (2004):</w:t>
            </w:r>
            <w:r w:rsidRPr="007E5604">
              <w:rPr>
                <w:lang w:val="en-US"/>
              </w:rPr>
              <w:t xml:space="preserve"> </w:t>
            </w:r>
            <w:r w:rsidRPr="007E5604">
              <w:rPr>
                <w:sz w:val="16"/>
                <w:lang w:val="en-US"/>
              </w:rPr>
              <w:t xml:space="preserve"> </w:t>
            </w:r>
            <w:hyperlink r:id="rId44">
              <w:r w:rsidRPr="007E5604">
                <w:rPr>
                  <w:rStyle w:val="Hyperlink"/>
                  <w:rFonts w:eastAsiaTheme="majorEastAsia"/>
                  <w:sz w:val="16"/>
                  <w:lang w:val="en-US"/>
                </w:rPr>
                <w:t>http://www.communitymatters.com.au/RE_chapter.pdf</w:t>
              </w:r>
            </w:hyperlink>
            <w:r w:rsidRPr="007E5604">
              <w:rPr>
                <w:rStyle w:val="Hyperlink"/>
                <w:rFonts w:eastAsiaTheme="majorEastAsia"/>
                <w:color w:val="262626"/>
                <w:lang w:val="en-US"/>
              </w:rPr>
              <w:t xml:space="preserve"> </w:t>
            </w:r>
          </w:p>
        </w:tc>
      </w:tr>
    </w:tbl>
    <w:p w:rsidR="001924CD" w:rsidRPr="000A700F" w:rsidRDefault="001924CD" w:rsidP="00642574">
      <w:pPr>
        <w:pStyle w:val="HHeading3"/>
        <w:rPr>
          <w:highlight w:val="yellow"/>
        </w:rPr>
      </w:pPr>
      <w:bookmarkStart w:id="184" w:name="_Toc443491680"/>
      <w:bookmarkStart w:id="185" w:name="_Toc434744504"/>
      <w:bookmarkStart w:id="186" w:name="_Toc436140054"/>
      <w:bookmarkStart w:id="187" w:name="_Toc443491681"/>
      <w:bookmarkStart w:id="188" w:name="_Toc453079766"/>
      <w:bookmarkEnd w:id="184"/>
      <w:r>
        <w:rPr>
          <w:highlight w:val="yellow"/>
        </w:rPr>
        <w:lastRenderedPageBreak/>
        <w:t>Sprawdzenie spójności elementów ewaluacji z logiką interwencji KSOW</w:t>
      </w:r>
      <w:bookmarkEnd w:id="185"/>
      <w:bookmarkEnd w:id="186"/>
      <w:bookmarkEnd w:id="187"/>
      <w:bookmarkEnd w:id="188"/>
    </w:p>
    <w:p w:rsidR="001924CD" w:rsidRPr="007E5604" w:rsidRDefault="001924CD" w:rsidP="00320BBA">
      <w:pPr>
        <w:pStyle w:val="HStandard"/>
        <w:rPr>
          <w:b/>
          <w:i/>
          <w:color w:val="538135" w:themeColor="accent6" w:themeShade="BF"/>
          <w:lang w:val="en-US"/>
        </w:rPr>
      </w:pPr>
      <w:r w:rsidRPr="007E5604">
        <w:rPr>
          <w:lang w:val="en-US"/>
        </w:rPr>
        <w:t>In the structuring phase, the consistency of the evaluation questions and indicators developed when preparing the evaluation should be revisited. In case the revisiting of the intervention logic has led to modifications, the existing evaluation elements will also have to be reviewed and completed, to ensure a consistent evaluation framework.</w:t>
      </w:r>
    </w:p>
    <w:p w:rsidR="001924CD" w:rsidRPr="000A700F" w:rsidRDefault="001924CD" w:rsidP="00975D9B">
      <w:pPr>
        <w:pStyle w:val="HHeading5"/>
        <w:rPr>
          <w:highlight w:val="yellow"/>
        </w:rPr>
      </w:pPr>
      <w:r>
        <w:rPr>
          <w:highlight w:val="yellow"/>
        </w:rPr>
        <w:t>Jakie są główne etapy wyboru podejścia ewaluacyjnego?</w:t>
      </w:r>
    </w:p>
    <w:p w:rsidR="001924CD" w:rsidRPr="000A700F" w:rsidRDefault="001924CD" w:rsidP="00320BBA">
      <w:pPr>
        <w:pStyle w:val="HStandard"/>
        <w:rPr>
          <w:highlight w:val="yellow"/>
        </w:rPr>
      </w:pPr>
      <w:r>
        <w:rPr>
          <w:highlight w:val="yellow"/>
        </w:rPr>
        <w:t xml:space="preserve">Zalecane etapy i oczekiwany wynik: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271"/>
        <w:gridCol w:w="7745"/>
      </w:tblGrid>
      <w:tr w:rsidR="001924CD" w:rsidRPr="000A700F" w:rsidTr="002A138A">
        <w:trPr>
          <w:trHeight w:val="625"/>
        </w:trPr>
        <w:tc>
          <w:tcPr>
            <w:tcW w:w="1271" w:type="dxa"/>
            <w:shd w:val="clear" w:color="auto" w:fill="E7E6E6" w:themeFill="background2"/>
          </w:tcPr>
          <w:p w:rsidR="001924CD" w:rsidRPr="000A700F" w:rsidRDefault="001924CD" w:rsidP="002A138A">
            <w:pPr>
              <w:pStyle w:val="HStandard"/>
              <w:jc w:val="center"/>
              <w:rPr>
                <w:b/>
                <w:color w:val="5B9BD5" w:themeColor="accent1"/>
                <w:sz w:val="18"/>
                <w:szCs w:val="18"/>
                <w:highlight w:val="yellow"/>
              </w:rPr>
            </w:pPr>
            <w:r>
              <w:rPr>
                <w:b/>
                <w:color w:val="5B9BD5" w:themeColor="accent1"/>
                <w:sz w:val="18"/>
                <w:highlight w:val="yellow"/>
              </w:rPr>
              <w:t>1</w:t>
            </w:r>
          </w:p>
        </w:tc>
        <w:tc>
          <w:tcPr>
            <w:tcW w:w="7745" w:type="dxa"/>
          </w:tcPr>
          <w:p w:rsidR="001924CD" w:rsidRPr="000A700F" w:rsidRDefault="001924CD" w:rsidP="004C05DD">
            <w:pPr>
              <w:pStyle w:val="HStandard"/>
              <w:rPr>
                <w:sz w:val="18"/>
                <w:szCs w:val="18"/>
                <w:highlight w:val="yellow"/>
              </w:rPr>
            </w:pPr>
            <w:r>
              <w:rPr>
                <w:sz w:val="18"/>
                <w:highlight w:val="yellow"/>
              </w:rPr>
              <w:t>Sprawdzenie, czy dodatkowe wskaźniki wciąż umożliwiają udzielenie odpowiedzi na wspólne pytanie ewaluacyjne. Jeśli tak nie jest, należy opracować nowe wskaźniki.</w:t>
            </w:r>
          </w:p>
        </w:tc>
      </w:tr>
      <w:tr w:rsidR="001924CD" w:rsidRPr="000A700F" w:rsidTr="002A138A">
        <w:trPr>
          <w:trHeight w:val="630"/>
        </w:trPr>
        <w:tc>
          <w:tcPr>
            <w:tcW w:w="1271" w:type="dxa"/>
            <w:shd w:val="clear" w:color="auto" w:fill="E7E6E6" w:themeFill="background2"/>
          </w:tcPr>
          <w:p w:rsidR="001924CD" w:rsidRPr="000A700F" w:rsidRDefault="001924CD" w:rsidP="002A138A">
            <w:pPr>
              <w:pStyle w:val="HStandard"/>
              <w:jc w:val="center"/>
              <w:rPr>
                <w:b/>
                <w:color w:val="5B9BD5" w:themeColor="accent1"/>
                <w:sz w:val="18"/>
                <w:szCs w:val="18"/>
                <w:highlight w:val="yellow"/>
              </w:rPr>
            </w:pPr>
            <w:r>
              <w:rPr>
                <w:b/>
                <w:color w:val="5B9BD5" w:themeColor="accent1"/>
                <w:sz w:val="18"/>
                <w:highlight w:val="yellow"/>
              </w:rPr>
              <w:t>2</w:t>
            </w:r>
          </w:p>
        </w:tc>
        <w:tc>
          <w:tcPr>
            <w:tcW w:w="7745" w:type="dxa"/>
          </w:tcPr>
          <w:p w:rsidR="001924CD" w:rsidRPr="000A700F" w:rsidRDefault="001924CD" w:rsidP="004C05DD">
            <w:pPr>
              <w:pStyle w:val="HStandard"/>
              <w:rPr>
                <w:sz w:val="18"/>
                <w:szCs w:val="18"/>
                <w:highlight w:val="yellow"/>
              </w:rPr>
            </w:pPr>
            <w:r>
              <w:rPr>
                <w:sz w:val="18"/>
                <w:highlight w:val="yellow"/>
              </w:rPr>
              <w:t>Sprawdzenie, czy dotychczasowe pytania ewaluacyjne i wskaźniki specyficzne dla programu są wciąż adekwatne. Jeśli tak nie jest, należy je zmienić lub usunąć z systemu.</w:t>
            </w:r>
          </w:p>
        </w:tc>
      </w:tr>
      <w:tr w:rsidR="001924CD" w:rsidRPr="000A700F" w:rsidTr="002A138A">
        <w:tc>
          <w:tcPr>
            <w:tcW w:w="1271" w:type="dxa"/>
            <w:shd w:val="clear" w:color="auto" w:fill="E7E6E6" w:themeFill="background2"/>
          </w:tcPr>
          <w:p w:rsidR="001924CD" w:rsidRPr="000A700F" w:rsidRDefault="001924CD" w:rsidP="002A138A">
            <w:pPr>
              <w:pStyle w:val="HStandard"/>
              <w:jc w:val="center"/>
              <w:rPr>
                <w:b/>
                <w:color w:val="5B9BD5" w:themeColor="accent1"/>
                <w:sz w:val="18"/>
                <w:szCs w:val="18"/>
                <w:highlight w:val="yellow"/>
              </w:rPr>
            </w:pPr>
            <w:r>
              <w:rPr>
                <w:b/>
                <w:color w:val="5B9BD5" w:themeColor="accent1"/>
                <w:sz w:val="18"/>
                <w:highlight w:val="yellow"/>
              </w:rPr>
              <w:t>3</w:t>
            </w:r>
          </w:p>
        </w:tc>
        <w:tc>
          <w:tcPr>
            <w:tcW w:w="7745" w:type="dxa"/>
          </w:tcPr>
          <w:p w:rsidR="001924CD" w:rsidRPr="000A700F" w:rsidRDefault="001924CD" w:rsidP="006F65A4">
            <w:pPr>
              <w:pStyle w:val="Hlistbullet"/>
              <w:numPr>
                <w:ilvl w:val="0"/>
                <w:numId w:val="0"/>
              </w:numPr>
              <w:tabs>
                <w:tab w:val="left" w:pos="0"/>
              </w:tabs>
              <w:spacing w:before="0" w:line="280" w:lineRule="atLeast"/>
              <w:rPr>
                <w:sz w:val="18"/>
                <w:szCs w:val="18"/>
                <w:highlight w:val="yellow"/>
              </w:rPr>
            </w:pPr>
            <w:r>
              <w:rPr>
                <w:sz w:val="18"/>
                <w:highlight w:val="yellow"/>
              </w:rPr>
              <w:t>Sformułowanie w razie potrzeby nowych pytań ewaluacyjnych specyficznych dla programu, np. w przypadku dodania nowych celów KSOW, oraz opracowanie wskaźników</w:t>
            </w:r>
            <w:r>
              <w:rPr>
                <w:rFonts w:ascii="ZWAdobeF" w:hAnsi="ZWAdobeF"/>
                <w:color w:val="auto"/>
                <w:sz w:val="2"/>
                <w:highlight w:val="yellow"/>
              </w:rPr>
              <w:t>91F</w:t>
            </w:r>
            <w:r>
              <w:rPr>
                <w:sz w:val="18"/>
                <w:highlight w:val="yellow"/>
                <w:vertAlign w:val="superscript"/>
              </w:rPr>
              <w:footnoteReference w:id="92"/>
            </w:r>
            <w:r>
              <w:rPr>
                <w:sz w:val="18"/>
                <w:highlight w:val="yellow"/>
              </w:rPr>
              <w:t>, które umożliwią udzielenie odpowiedzi na te pytania.</w:t>
            </w:r>
          </w:p>
        </w:tc>
      </w:tr>
      <w:tr w:rsidR="001924CD" w:rsidRPr="000A700F" w:rsidTr="002A138A">
        <w:tc>
          <w:tcPr>
            <w:tcW w:w="1271" w:type="dxa"/>
            <w:shd w:val="clear" w:color="auto" w:fill="E7E6E6" w:themeFill="background2"/>
          </w:tcPr>
          <w:p w:rsidR="001924CD" w:rsidRPr="000A700F" w:rsidRDefault="001924CD" w:rsidP="002A138A">
            <w:pPr>
              <w:pStyle w:val="HStandard"/>
              <w:jc w:val="center"/>
              <w:rPr>
                <w:b/>
                <w:color w:val="5B9BD5" w:themeColor="accent1"/>
                <w:sz w:val="18"/>
                <w:szCs w:val="18"/>
                <w:highlight w:val="yellow"/>
              </w:rPr>
            </w:pPr>
            <w:r>
              <w:rPr>
                <w:b/>
                <w:color w:val="5B9BD5" w:themeColor="accent1"/>
                <w:sz w:val="18"/>
                <w:highlight w:val="yellow"/>
              </w:rPr>
              <w:t>4</w:t>
            </w:r>
          </w:p>
        </w:tc>
        <w:tc>
          <w:tcPr>
            <w:tcW w:w="7745" w:type="dxa"/>
          </w:tcPr>
          <w:p w:rsidR="001924CD" w:rsidRPr="000A700F" w:rsidRDefault="001924CD" w:rsidP="00F55EBA">
            <w:pPr>
              <w:pStyle w:val="Hlistbullet"/>
              <w:numPr>
                <w:ilvl w:val="0"/>
                <w:numId w:val="0"/>
              </w:numPr>
              <w:tabs>
                <w:tab w:val="left" w:pos="34"/>
              </w:tabs>
              <w:spacing w:before="0" w:line="280" w:lineRule="atLeast"/>
              <w:ind w:left="34"/>
              <w:rPr>
                <w:sz w:val="18"/>
                <w:szCs w:val="18"/>
                <w:highlight w:val="yellow"/>
              </w:rPr>
            </w:pPr>
            <w:r>
              <w:rPr>
                <w:sz w:val="18"/>
                <w:highlight w:val="yellow"/>
              </w:rPr>
              <w:t xml:space="preserve">Ponowne sprawdzenie spójności logiki interwencji, pytań i wskaźników KSOW. </w:t>
            </w:r>
          </w:p>
        </w:tc>
      </w:tr>
      <w:tr w:rsidR="001924CD" w:rsidRPr="008D0759" w:rsidTr="002A138A">
        <w:tc>
          <w:tcPr>
            <w:tcW w:w="9016" w:type="dxa"/>
            <w:gridSpan w:val="2"/>
          </w:tcPr>
          <w:p w:rsidR="001924CD" w:rsidRPr="008D0759" w:rsidRDefault="001924CD" w:rsidP="00CE1300">
            <w:pPr>
              <w:pStyle w:val="HStandard"/>
              <w:rPr>
                <w:b/>
                <w:i/>
                <w:sz w:val="18"/>
                <w:szCs w:val="18"/>
              </w:rPr>
            </w:pPr>
            <w:r>
              <w:rPr>
                <w:b/>
                <w:sz w:val="18"/>
                <w:highlight w:val="yellow"/>
              </w:rPr>
              <w:t>Oczekiwany wynik:</w:t>
            </w:r>
            <w:r>
              <w:t xml:space="preserve"> </w:t>
            </w:r>
            <w:r>
              <w:rPr>
                <w:sz w:val="18"/>
                <w:highlight w:val="yellow"/>
              </w:rPr>
              <w:t>Spójne ramy ewaluacji KSOW (</w:t>
            </w:r>
            <w:r>
              <w:rPr>
                <w:sz w:val="18"/>
                <w:szCs w:val="18"/>
                <w:highlight w:val="yellow"/>
              </w:rPr>
              <w:fldChar w:fldCharType="begin" w:fldLock="1"/>
            </w:r>
            <w:r>
              <w:rPr>
                <w:sz w:val="18"/>
                <w:szCs w:val="18"/>
                <w:highlight w:val="yellow"/>
              </w:rPr>
              <w:instrText xml:space="preserve"> REF _Ref451784713 \r \h  \* MERGEFORMAT </w:instrText>
            </w:r>
            <w:r>
              <w:rPr>
                <w:sz w:val="18"/>
                <w:szCs w:val="18"/>
                <w:highlight w:val="yellow"/>
              </w:rPr>
            </w:r>
            <w:r>
              <w:rPr>
                <w:sz w:val="18"/>
                <w:szCs w:val="18"/>
                <w:highlight w:val="yellow"/>
              </w:rPr>
              <w:fldChar w:fldCharType="separate"/>
            </w:r>
            <w:r>
              <w:rPr>
                <w:sz w:val="18"/>
                <w:szCs w:val="18"/>
                <w:highlight w:val="yellow"/>
              </w:rPr>
              <w:t>Figure 9</w:t>
            </w:r>
            <w:r>
              <w:rPr>
                <w:sz w:val="18"/>
                <w:szCs w:val="18"/>
                <w:highlight w:val="yellow"/>
              </w:rPr>
              <w:fldChar w:fldCharType="end"/>
            </w:r>
            <w:r>
              <w:rPr>
                <w:sz w:val="18"/>
                <w:highlight w:val="yellow"/>
              </w:rPr>
              <w:t>)</w:t>
            </w:r>
          </w:p>
        </w:tc>
      </w:tr>
    </w:tbl>
    <w:p w:rsidR="001924CD" w:rsidRPr="007E5604" w:rsidRDefault="001924CD" w:rsidP="004D1A84">
      <w:pPr>
        <w:pStyle w:val="HStandard"/>
        <w:rPr>
          <w:lang w:val="en-US"/>
        </w:rPr>
      </w:pPr>
      <w:r w:rsidRPr="007E5604">
        <w:rPr>
          <w:lang w:val="en-US"/>
        </w:rPr>
        <w:t xml:space="preserve">At this stage the evaluation should validate the relevance of programme-specific evaluation questions and indicators, as well as additional indicators formulated to answer the NRN common evaluation question. Changes might be needed if there are new programme-specific NRN objectives defined or new results and impacts are identified at the time of the evaluation. The formulation of programme-specific NRN related evaluation questions and indicators, as well as the consistency check between the NRN intervention logic and common, additional and programme-specific evaluation elements is already explained in </w:t>
      </w:r>
      <w:r w:rsidRPr="007E5604">
        <w:rPr>
          <w:b/>
          <w:color w:val="E7E6E6" w:themeColor="background2"/>
          <w:lang w:val="en-US"/>
        </w:rPr>
        <w:t>PART I</w:t>
      </w:r>
      <w:r w:rsidRPr="007E5604">
        <w:rPr>
          <w:lang w:val="en-US"/>
        </w:rPr>
        <w:t xml:space="preserve">, chapter 2.2.2, Preparation of NRN evaluation. In the structuring phase of the evaluation the procedure is identical.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2809CE" w:rsidTr="004D1A84">
        <w:tc>
          <w:tcPr>
            <w:tcW w:w="9016" w:type="dxa"/>
            <w:shd w:val="clear" w:color="auto" w:fill="F5F4F4" w:themeFill="background2" w:themeFillTint="66"/>
          </w:tcPr>
          <w:p w:rsidR="001924CD" w:rsidRPr="000A700F" w:rsidRDefault="001924CD" w:rsidP="004D1A84">
            <w:pPr>
              <w:pStyle w:val="HStandard"/>
              <w:rPr>
                <w:highlight w:val="yellow"/>
              </w:rPr>
            </w:pPr>
            <w:bookmarkStart w:id="189" w:name="_Toc434744505"/>
            <w:bookmarkStart w:id="190" w:name="_Toc434744506"/>
            <w:bookmarkStart w:id="191" w:name="_Toc436140055"/>
            <w:bookmarkEnd w:id="189"/>
            <w:r>
              <w:rPr>
                <w:highlight w:val="yellow"/>
              </w:rPr>
              <w:t>Pytania pomocnicze dotyczące sprawdzenia spójności elementów ewaluacji z logiką interwencji:</w:t>
            </w:r>
          </w:p>
          <w:p w:rsidR="001924CD" w:rsidRPr="000A700F" w:rsidRDefault="001924CD" w:rsidP="001924CD">
            <w:pPr>
              <w:pStyle w:val="Hlistbullet2"/>
              <w:rPr>
                <w:highlight w:val="yellow"/>
              </w:rPr>
            </w:pPr>
            <w:r>
              <w:rPr>
                <w:highlight w:val="yellow"/>
              </w:rPr>
              <w:t>Czy pytania ewaluacyjne rzeczywiście dotyczą kwestii, na temat których chcielibyśmy zdobyć wiedzę?</w:t>
            </w:r>
          </w:p>
          <w:p w:rsidR="001924CD" w:rsidRPr="000A700F" w:rsidRDefault="001924CD" w:rsidP="001924CD">
            <w:pPr>
              <w:pStyle w:val="Hlistbullet2"/>
              <w:rPr>
                <w:highlight w:val="yellow"/>
              </w:rPr>
            </w:pPr>
            <w:r>
              <w:rPr>
                <w:highlight w:val="yellow"/>
              </w:rPr>
              <w:t>Czy wśród pytań ewaluacyjnych brakuje jakichś pytań lub niektóre pytania są zbędne?</w:t>
            </w:r>
          </w:p>
          <w:p w:rsidR="001924CD" w:rsidRPr="000A700F" w:rsidRDefault="001924CD" w:rsidP="001924CD">
            <w:pPr>
              <w:pStyle w:val="Hlistbullet2"/>
              <w:rPr>
                <w:highlight w:val="yellow"/>
              </w:rPr>
            </w:pPr>
            <w:r>
              <w:rPr>
                <w:highlight w:val="yellow"/>
              </w:rPr>
              <w:t>Czy wskaźniki obejmują interesujące nas aspekty?</w:t>
            </w:r>
          </w:p>
          <w:p w:rsidR="001924CD" w:rsidRPr="000A700F" w:rsidRDefault="001924CD" w:rsidP="001924CD">
            <w:pPr>
              <w:pStyle w:val="Hlistbullet2"/>
              <w:rPr>
                <w:highlight w:val="yellow"/>
              </w:rPr>
            </w:pPr>
            <w:r>
              <w:rPr>
                <w:highlight w:val="yellow"/>
              </w:rPr>
              <w:t>Czy wskaźniki dostatecznie uszczegóławiają pytania ewaluacyjne i kryteria oceny?</w:t>
            </w:r>
          </w:p>
          <w:p w:rsidR="001924CD" w:rsidRPr="000A700F" w:rsidRDefault="001924CD" w:rsidP="001924CD">
            <w:pPr>
              <w:pStyle w:val="Hlistbullet2"/>
              <w:rPr>
                <w:highlight w:val="yellow"/>
              </w:rPr>
            </w:pPr>
            <w:r>
              <w:rPr>
                <w:highlight w:val="yellow"/>
              </w:rPr>
              <w:lastRenderedPageBreak/>
              <w:t xml:space="preserve">Czy wskaźniki są w stanie dostarczyć dowodów wystarczających do udzielenia odpowiedzi na pytania ewaluacyjne? </w:t>
            </w:r>
          </w:p>
          <w:p w:rsidR="001924CD" w:rsidRPr="000A700F" w:rsidRDefault="001924CD" w:rsidP="001924CD">
            <w:pPr>
              <w:pStyle w:val="Hlistbullet2"/>
              <w:rPr>
                <w:highlight w:val="yellow"/>
              </w:rPr>
            </w:pPr>
            <w:r>
              <w:rPr>
                <w:highlight w:val="yellow"/>
              </w:rPr>
              <w:t>Czy wskaźniki są zgodne z kryteriami RACER?</w:t>
            </w:r>
          </w:p>
        </w:tc>
      </w:tr>
    </w:tbl>
    <w:p w:rsidR="001924CD" w:rsidRPr="000A700F" w:rsidRDefault="001924CD" w:rsidP="00320BBA">
      <w:pPr>
        <w:pStyle w:val="HHeading5"/>
        <w:rPr>
          <w:highlight w:val="yellow"/>
        </w:rPr>
      </w:pPr>
      <w:r>
        <w:rPr>
          <w:highlight w:val="yellow"/>
        </w:rPr>
        <w:lastRenderedPageBreak/>
        <w:t>Co należy, a czego nie należy robić</w:t>
      </w:r>
    </w:p>
    <w:tbl>
      <w:tblPr>
        <w:tblStyle w:val="LightList-Accent5"/>
        <w:tblW w:w="0" w:type="auto"/>
        <w:tblLook w:val="04A0" w:firstRow="1" w:lastRow="0" w:firstColumn="1" w:lastColumn="0" w:noHBand="0" w:noVBand="1"/>
      </w:tblPr>
      <w:tblGrid>
        <w:gridCol w:w="4504"/>
        <w:gridCol w:w="4502"/>
      </w:tblGrid>
      <w:tr w:rsidR="001924CD"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1924CD" w:rsidRPr="000A700F" w:rsidRDefault="001924CD"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488D401C" wp14:editId="6DE158E5">
                  <wp:extent cx="360000" cy="360000"/>
                  <wp:effectExtent l="0" t="0" r="254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1924CD" w:rsidRPr="000A700F" w:rsidRDefault="001924CD"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791C4A84" wp14:editId="4D639793">
                  <wp:extent cx="360000" cy="360000"/>
                  <wp:effectExtent l="0" t="0" r="254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1924CD"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1924CD" w:rsidRPr="000A700F" w:rsidRDefault="001924C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Stworzyć kompleksową architekturę ewaluacji poprzez dostosowanie w razie potrzeby jej elementów do logiki interwencji.</w:t>
            </w:r>
          </w:p>
          <w:p w:rsidR="001924CD" w:rsidRPr="000A700F" w:rsidRDefault="001924C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Upewnić się, że pytania ewaluacyjne rzeczywiście obejmują całe spektrum informacji, jakie chcemy uzyskać na temat wkładu KSOW w rozwój obszarów wiejskich.</w:t>
            </w:r>
          </w:p>
          <w:p w:rsidR="001924CD" w:rsidRPr="000A700F" w:rsidRDefault="001924CD" w:rsidP="000A3387">
            <w:pPr>
              <w:pStyle w:val="HStandard"/>
              <w:spacing w:before="120" w:line="240" w:lineRule="atLeast"/>
              <w:rPr>
                <w:b w:val="0"/>
                <w:color w:val="FFC000" w:themeColor="accent4"/>
                <w:sz w:val="18"/>
                <w:szCs w:val="18"/>
                <w:highlight w:val="yellow"/>
              </w:rPr>
            </w:pPr>
            <w:r>
              <w:rPr>
                <w:color w:val="FFC000" w:themeColor="accent4"/>
                <w:sz w:val="18"/>
                <w:highlight w:val="yellow"/>
              </w:rPr>
              <w:t>Mieć świadomość</w:t>
            </w:r>
            <w:r>
              <w:rPr>
                <w:b w:val="0"/>
                <w:color w:val="FFC000" w:themeColor="accent4"/>
                <w:sz w:val="18"/>
                <w:highlight w:val="yellow"/>
              </w:rPr>
              <w:t>, że wskaźniki służą do gromadzenia dowodów potrzebnych, aby udzielić odpowiedzi na pytania ewaluacyjne.</w:t>
            </w:r>
          </w:p>
          <w:p w:rsidR="001924CD" w:rsidRPr="000A700F" w:rsidRDefault="001924CD" w:rsidP="000A3387">
            <w:pPr>
              <w:pStyle w:val="HStandard"/>
              <w:rPr>
                <w:color w:val="FFC000" w:themeColor="accent4"/>
                <w:sz w:val="18"/>
                <w:szCs w:val="18"/>
                <w:highlight w:val="yellow"/>
              </w:rPr>
            </w:pPr>
            <w:r>
              <w:rPr>
                <w:b w:val="0"/>
                <w:color w:val="FFC000" w:themeColor="accent4"/>
                <w:sz w:val="18"/>
                <w:highlight w:val="yellow"/>
              </w:rPr>
              <w:t>Zastosować podejście RACER przy opracowywaniu wskaźników.</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1924CD" w:rsidRPr="000A700F" w:rsidRDefault="001924CD"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b w:val="0"/>
                <w:color w:val="ED7D31" w:themeColor="accent2"/>
                <w:sz w:val="18"/>
                <w:highlight w:val="yellow"/>
              </w:rPr>
              <w:t>Akceptować bezkrytycznie pytania ewaluacyjne i wskaźniki.</w:t>
            </w:r>
          </w:p>
          <w:p w:rsidR="001924CD" w:rsidRPr="008D0759" w:rsidRDefault="001924CD"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Opracowywać pytania ewaluacyjne bez wskazania kryteriów oceny i bez związku ze wskaźnikami.</w:t>
            </w:r>
          </w:p>
        </w:tc>
      </w:tr>
    </w:tbl>
    <w:p w:rsidR="001924CD" w:rsidRPr="008D0759" w:rsidRDefault="001924CD" w:rsidP="004D1A84">
      <w:pPr>
        <w:pStyle w:val="HHeading5"/>
      </w:pPr>
      <w:r>
        <w:t>Further reading</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1924CD" w:rsidRPr="00921C8E" w:rsidTr="004C05DD">
        <w:tc>
          <w:tcPr>
            <w:tcW w:w="9069" w:type="dxa"/>
            <w:shd w:val="clear" w:color="auto" w:fill="FAF9F9" w:themeFill="background2" w:themeFillTint="33"/>
          </w:tcPr>
          <w:p w:rsidR="001924CD" w:rsidRPr="007E5604" w:rsidRDefault="001924CD" w:rsidP="004D1A84">
            <w:pPr>
              <w:pStyle w:val="HStandard"/>
              <w:jc w:val="left"/>
              <w:rPr>
                <w:sz w:val="16"/>
                <w:szCs w:val="16"/>
                <w:lang w:val="en-US"/>
              </w:rPr>
            </w:pPr>
            <w:r w:rsidRPr="007E5604">
              <w:rPr>
                <w:sz w:val="16"/>
                <w:lang w:val="en-US"/>
              </w:rPr>
              <w:t>Assessment of RDP results: How to prepare for reporting on evaluation in 2017, Chapter 5.1 Evaluation Helpdesk, April 2016</w:t>
            </w:r>
          </w:p>
          <w:p w:rsidR="001924CD" w:rsidRPr="007E5604" w:rsidRDefault="001924CD" w:rsidP="00C0080B">
            <w:pPr>
              <w:pStyle w:val="HStandard"/>
              <w:jc w:val="left"/>
              <w:rPr>
                <w:lang w:val="en-US"/>
              </w:rPr>
            </w:pPr>
            <w:r w:rsidRPr="007E5604">
              <w:rPr>
                <w:sz w:val="16"/>
                <w:lang w:val="en-US"/>
              </w:rPr>
              <w:t xml:space="preserve">Italian NRNP: Examples for mapping IL, EQs and Indicators in the Case Study presented by the evaluator Francesca Angori during the Helpdesk seminar: </w:t>
            </w:r>
            <w:r w:rsidRPr="007E5604">
              <w:rPr>
                <w:i/>
                <w:sz w:val="16"/>
                <w:lang w:val="en-US"/>
              </w:rPr>
              <w:t>“National rural networks: How to show their benefits.”</w:t>
            </w:r>
            <w:r w:rsidRPr="007E5604">
              <w:rPr>
                <w:lang w:val="en-US"/>
              </w:rPr>
              <w:t xml:space="preserve"> </w:t>
            </w:r>
            <w:r w:rsidRPr="007E5604">
              <w:rPr>
                <w:sz w:val="16"/>
                <w:lang w:val="en-US"/>
              </w:rPr>
              <w:t>Rome/IT, 10/11 April 2014.</w:t>
            </w:r>
            <w:r w:rsidRPr="007E5604">
              <w:rPr>
                <w:lang w:val="en-US"/>
              </w:rPr>
              <w:t xml:space="preserve"> </w:t>
            </w:r>
            <w:hyperlink r:id="rId45">
              <w:r w:rsidRPr="007E5604">
                <w:rPr>
                  <w:rStyle w:val="Hyperlink"/>
                  <w:sz w:val="16"/>
                  <w:lang w:val="en-US"/>
                </w:rPr>
                <w:t>http://enrd.ec.europa.eu/enrd-static/app_templates/enrd_assets/pdf/evaluation/national-rural-networks/GPW10_Italy.pdf</w:t>
              </w:r>
            </w:hyperlink>
            <w:r w:rsidRPr="007E5604">
              <w:rPr>
                <w:lang w:val="en-US"/>
              </w:rPr>
              <w:t xml:space="preserve"> </w:t>
            </w:r>
          </w:p>
        </w:tc>
      </w:tr>
    </w:tbl>
    <w:p w:rsidR="001924CD" w:rsidRPr="000A700F" w:rsidRDefault="001924CD" w:rsidP="00642574">
      <w:pPr>
        <w:pStyle w:val="HHeading3"/>
        <w:rPr>
          <w:highlight w:val="yellow"/>
        </w:rPr>
      </w:pPr>
      <w:bookmarkStart w:id="192" w:name="_Toc443491683"/>
      <w:bookmarkStart w:id="193" w:name="_Toc453079767"/>
      <w:r>
        <w:rPr>
          <w:highlight w:val="yellow"/>
        </w:rPr>
        <w:t>Wybór odpowiedniego podejścia i metodologii w zakresie ewaluacji KSOW</w:t>
      </w:r>
      <w:bookmarkEnd w:id="190"/>
      <w:bookmarkEnd w:id="191"/>
      <w:bookmarkEnd w:id="192"/>
      <w:bookmarkEnd w:id="193"/>
    </w:p>
    <w:p w:rsidR="001924CD" w:rsidRPr="007E5604" w:rsidRDefault="001924CD" w:rsidP="004D1A84">
      <w:pPr>
        <w:pStyle w:val="HStandard"/>
        <w:rPr>
          <w:color w:val="538135" w:themeColor="accent6" w:themeShade="BF"/>
          <w:lang w:val="en-US"/>
        </w:rPr>
      </w:pPr>
      <w:r w:rsidRPr="007E5604">
        <w:rPr>
          <w:lang w:val="en-US"/>
        </w:rPr>
        <w:t>The next task in the structuring phase is to define the evaluation approach and to choose a suitable mix of methods. A robust evaluation design is crucial for testing and finalizing the indicator system, as well as for identifying data sources and means of data collection.</w:t>
      </w:r>
    </w:p>
    <w:p w:rsidR="001924CD" w:rsidRPr="007E5604" w:rsidRDefault="001924CD" w:rsidP="004D1A84">
      <w:pPr>
        <w:pStyle w:val="HHeading5"/>
        <w:rPr>
          <w:lang w:val="en-US"/>
        </w:rPr>
      </w:pPr>
      <w:r w:rsidRPr="007E5604">
        <w:rPr>
          <w:lang w:val="en-US"/>
        </w:rPr>
        <w:t>How to distinguish the evaluation approaches from the methods and tools?</w:t>
      </w:r>
    </w:p>
    <w:p w:rsidR="001924CD" w:rsidRPr="007E5604" w:rsidRDefault="001924CD" w:rsidP="004D1A84">
      <w:pPr>
        <w:pStyle w:val="HStandard"/>
        <w:rPr>
          <w:lang w:val="en-US"/>
        </w:rPr>
      </w:pPr>
      <w:r w:rsidRPr="007E5604">
        <w:rPr>
          <w:lang w:val="en-US"/>
        </w:rPr>
        <w:t>In these guidelines we use the terms “approach”, “method” and “tool”. There are no all-purpose definitions for these terms. We use them in a way that the choice of the former implies the choice of the latter. From the approach down to the tool, the significance of purpose and concept decreases whereas the technical aspect gains relevance:</w:t>
      </w:r>
    </w:p>
    <w:p w:rsidR="001924CD" w:rsidRPr="007E5604" w:rsidRDefault="001924CD" w:rsidP="004D1A84">
      <w:pPr>
        <w:pStyle w:val="Hlistbullet2"/>
        <w:rPr>
          <w:lang w:val="en-US"/>
        </w:rPr>
      </w:pPr>
      <w:r w:rsidRPr="007E5604">
        <w:rPr>
          <w:lang w:val="en-US"/>
        </w:rPr>
        <w:t xml:space="preserve">The choice of the </w:t>
      </w:r>
      <w:r w:rsidRPr="007E5604">
        <w:rPr>
          <w:b/>
          <w:lang w:val="en-US"/>
        </w:rPr>
        <w:t>approach</w:t>
      </w:r>
      <w:r w:rsidRPr="007E5604">
        <w:rPr>
          <w:lang w:val="en-US"/>
        </w:rPr>
        <w:t xml:space="preserve"> defines the playing field in which the evaluation is carried out. It is guided by questions like: “What is the purpose of the evaluation?” - “What are the (political, economic, technical, financial) boundaries or restrictions we have to take into account for the evaluation?”</w:t>
      </w:r>
    </w:p>
    <w:p w:rsidR="001924CD" w:rsidRPr="007E5604" w:rsidRDefault="001924CD" w:rsidP="004D1A84">
      <w:pPr>
        <w:pStyle w:val="Hlistbullet2"/>
        <w:numPr>
          <w:ilvl w:val="0"/>
          <w:numId w:val="0"/>
        </w:numPr>
        <w:ind w:left="641"/>
        <w:rPr>
          <w:lang w:val="en-US"/>
        </w:rPr>
      </w:pPr>
      <w:r>
        <w:sym w:font="Wingdings" w:char="F0E0"/>
      </w:r>
      <w:r w:rsidRPr="007E5604">
        <w:rPr>
          <w:lang w:val="en-US"/>
        </w:rPr>
        <w:t xml:space="preserve"> Example: Mixed quantitative and qualitative approach.</w:t>
      </w:r>
    </w:p>
    <w:p w:rsidR="001924CD" w:rsidRPr="007E5604" w:rsidRDefault="001924CD" w:rsidP="004D1A84">
      <w:pPr>
        <w:pStyle w:val="Hlistbullet2"/>
        <w:rPr>
          <w:lang w:val="en-US"/>
        </w:rPr>
      </w:pPr>
      <w:r w:rsidRPr="007E5604">
        <w:rPr>
          <w:lang w:val="en-US"/>
        </w:rPr>
        <w:t xml:space="preserve">The choice of the </w:t>
      </w:r>
      <w:r w:rsidRPr="007E5604">
        <w:rPr>
          <w:b/>
          <w:lang w:val="en-US"/>
        </w:rPr>
        <w:t>method</w:t>
      </w:r>
      <w:r w:rsidRPr="007E5604">
        <w:rPr>
          <w:lang w:val="en-US"/>
        </w:rPr>
        <w:t xml:space="preserve"> or </w:t>
      </w:r>
      <w:r w:rsidRPr="007E5604">
        <w:rPr>
          <w:b/>
          <w:lang w:val="en-US"/>
        </w:rPr>
        <w:t xml:space="preserve">methodology </w:t>
      </w:r>
      <w:r w:rsidRPr="007E5604">
        <w:rPr>
          <w:lang w:val="en-US"/>
        </w:rPr>
        <w:t xml:space="preserve">defines the avenue, the ways and means, of the evaluation process. It is guided by questions like: “Considering the chosen approach, what method or mix of methods do we have at hand?” – “How can we address the purpose and thematic focus of the evaluation?” </w:t>
      </w:r>
    </w:p>
    <w:p w:rsidR="001924CD" w:rsidRPr="008D0759" w:rsidRDefault="001924CD" w:rsidP="004D1A84">
      <w:pPr>
        <w:pStyle w:val="Hlistbullet2"/>
        <w:numPr>
          <w:ilvl w:val="0"/>
          <w:numId w:val="0"/>
        </w:numPr>
        <w:ind w:left="641"/>
      </w:pPr>
      <w:r>
        <w:lastRenderedPageBreak/>
        <w:sym w:font="Wingdings" w:char="F0E0"/>
      </w:r>
      <w:r>
        <w:t xml:space="preserve"> Example: Social Network Analysis.</w:t>
      </w:r>
    </w:p>
    <w:p w:rsidR="001924CD" w:rsidRPr="007E5604" w:rsidRDefault="001924CD" w:rsidP="004D1A84">
      <w:pPr>
        <w:pStyle w:val="Hlistbullet2"/>
        <w:rPr>
          <w:lang w:val="en-US"/>
        </w:rPr>
      </w:pPr>
      <w:r w:rsidRPr="007E5604">
        <w:rPr>
          <w:b/>
          <w:lang w:val="en-US"/>
        </w:rPr>
        <w:t xml:space="preserve">Tools </w:t>
      </w:r>
      <w:r w:rsidRPr="007E5604">
        <w:rPr>
          <w:lang w:val="en-US"/>
        </w:rPr>
        <w:t>are the basic technical elements of methods, which we use in collecting evaluation evidence.</w:t>
      </w:r>
    </w:p>
    <w:p w:rsidR="001924CD" w:rsidRPr="007E5604" w:rsidRDefault="001924CD" w:rsidP="004D1A84">
      <w:pPr>
        <w:pStyle w:val="Hlistbullet2"/>
        <w:numPr>
          <w:ilvl w:val="0"/>
          <w:numId w:val="0"/>
        </w:numPr>
        <w:ind w:left="641"/>
        <w:rPr>
          <w:lang w:val="en-US"/>
        </w:rPr>
      </w:pPr>
      <w:r>
        <w:sym w:font="Wingdings" w:char="F0E0"/>
      </w:r>
      <w:r w:rsidRPr="007E5604">
        <w:rPr>
          <w:lang w:val="en-US"/>
        </w:rPr>
        <w:t xml:space="preserve"> Example: Standard online questionnaire.</w:t>
      </w:r>
    </w:p>
    <w:p w:rsidR="001924CD" w:rsidRPr="007E5604" w:rsidRDefault="001924CD" w:rsidP="00320BBA">
      <w:pPr>
        <w:pStyle w:val="HHeading5"/>
        <w:rPr>
          <w:color w:val="538135" w:themeColor="accent6" w:themeShade="BF"/>
          <w:lang w:val="en-US"/>
        </w:rPr>
      </w:pPr>
      <w:bookmarkStart w:id="194" w:name="_Toc433481229"/>
      <w:bookmarkStart w:id="195" w:name="_Toc433718137"/>
      <w:bookmarkStart w:id="196" w:name="_Toc434744507"/>
      <w:bookmarkStart w:id="197" w:name="_Toc436140056"/>
      <w:r w:rsidRPr="007E5604">
        <w:rPr>
          <w:color w:val="538135" w:themeColor="accent6" w:themeShade="BF"/>
          <w:lang w:val="en-US"/>
        </w:rPr>
        <w:t>Choosing an evaluation approach</w:t>
      </w:r>
      <w:bookmarkEnd w:id="194"/>
      <w:bookmarkEnd w:id="195"/>
      <w:bookmarkEnd w:id="196"/>
      <w:r w:rsidRPr="007E5604">
        <w:rPr>
          <w:color w:val="538135" w:themeColor="accent6" w:themeShade="BF"/>
          <w:lang w:val="en-US"/>
        </w:rPr>
        <w:t xml:space="preserve"> for NRN</w:t>
      </w:r>
      <w:bookmarkEnd w:id="197"/>
      <w:r w:rsidRPr="007E5604">
        <w:rPr>
          <w:color w:val="538135" w:themeColor="accent6" w:themeShade="BF"/>
          <w:lang w:val="en-US"/>
        </w:rPr>
        <w:t xml:space="preserve">s </w:t>
      </w:r>
    </w:p>
    <w:p w:rsidR="001924CD" w:rsidRPr="007E5604" w:rsidRDefault="001924CD" w:rsidP="00340AD4">
      <w:pPr>
        <w:pStyle w:val="Heading6"/>
        <w:rPr>
          <w:lang w:val="en-US"/>
        </w:rPr>
      </w:pPr>
      <w:r w:rsidRPr="007E5604">
        <w:rPr>
          <w:lang w:val="en-US"/>
        </w:rPr>
        <w:t>What is required by the legal framework and what is up to the discretion of the Member States?</w:t>
      </w:r>
    </w:p>
    <w:p w:rsidR="001924CD" w:rsidRPr="007E5604" w:rsidRDefault="001924CD" w:rsidP="00975D9B">
      <w:pPr>
        <w:pStyle w:val="HStandard"/>
        <w:rPr>
          <w:lang w:val="en-US"/>
        </w:rPr>
      </w:pPr>
      <w:r w:rsidRPr="007E5604">
        <w:rPr>
          <w:lang w:val="en-US"/>
        </w:rPr>
        <w:t>The appropriate evaluation approach will in most cases consist of a mix of methods determined by:</w:t>
      </w:r>
    </w:p>
    <w:p w:rsidR="001924CD" w:rsidRPr="007E5604" w:rsidRDefault="001924CD" w:rsidP="00975D9B">
      <w:pPr>
        <w:pStyle w:val="Hlistbullet2"/>
        <w:rPr>
          <w:lang w:val="en-US"/>
        </w:rPr>
      </w:pPr>
      <w:r w:rsidRPr="007E5604">
        <w:rPr>
          <w:lang w:val="en-US"/>
        </w:rPr>
        <w:t>type of evaluation required (2017, 2019 and ex post),</w:t>
      </w:r>
    </w:p>
    <w:p w:rsidR="001924CD" w:rsidRPr="007E5604" w:rsidRDefault="001924CD" w:rsidP="00975D9B">
      <w:pPr>
        <w:pStyle w:val="Hlistbullet2"/>
        <w:rPr>
          <w:lang w:val="en-US"/>
        </w:rPr>
      </w:pPr>
      <w:r w:rsidRPr="007E5604">
        <w:rPr>
          <w:lang w:val="en-US"/>
        </w:rPr>
        <w:t>thematic priorities of the NRN’s activities,</w:t>
      </w:r>
    </w:p>
    <w:p w:rsidR="001924CD" w:rsidRPr="007E5604" w:rsidRDefault="001924CD" w:rsidP="00975D9B">
      <w:pPr>
        <w:pStyle w:val="Hlistbullet2"/>
        <w:rPr>
          <w:lang w:val="en-US"/>
        </w:rPr>
      </w:pPr>
      <w:r w:rsidRPr="007E5604">
        <w:rPr>
          <w:lang w:val="en-US"/>
        </w:rPr>
        <w:t>purpose and interest of the managing authorities and other stakeholders.</w:t>
      </w:r>
    </w:p>
    <w:p w:rsidR="001924CD" w:rsidRPr="007E5604" w:rsidRDefault="001924CD" w:rsidP="00975D9B">
      <w:pPr>
        <w:pStyle w:val="HStandard"/>
        <w:rPr>
          <w:lang w:val="en-US"/>
        </w:rPr>
      </w:pPr>
      <w:r w:rsidRPr="007E5604">
        <w:rPr>
          <w:lang w:val="en-US"/>
        </w:rPr>
        <w:t xml:space="preserve">The </w:t>
      </w:r>
      <w:r w:rsidRPr="007E5604">
        <w:rPr>
          <w:b/>
          <w:lang w:val="en-US"/>
        </w:rPr>
        <w:t>legal framework</w:t>
      </w:r>
      <w:r w:rsidRPr="007E5604">
        <w:rPr>
          <w:lang w:val="en-US"/>
        </w:rPr>
        <w:t xml:space="preserve"> requires focusing the NRN evaluation in 2017 on the quantification of programme achievements while using the NRN common output and programme-specific result indicators, and answering the common evaluation question linked to the NRN.</w:t>
      </w:r>
    </w:p>
    <w:p w:rsidR="001924CD" w:rsidRPr="007E5604" w:rsidRDefault="001924CD" w:rsidP="00975D9B">
      <w:pPr>
        <w:pStyle w:val="HStandard"/>
        <w:rPr>
          <w:lang w:val="en-US"/>
        </w:rPr>
      </w:pPr>
      <w:r w:rsidRPr="007E5604">
        <w:rPr>
          <w:lang w:val="en-US"/>
        </w:rPr>
        <w:t>The AIR 2019 additionally requires the assessment of progress towards the objectives of the RDP or NRNP, and its contribution to the Union strategy for smart, sustainable and inclusive growth through, inter alia, assessment of the programme´s net contribution to changes in CAP impact indicator values. In both cases the assessment will rely on information collected via common output and programme- specific result and impact indicators related to the NRN.</w:t>
      </w:r>
    </w:p>
    <w:p w:rsidR="001924CD" w:rsidRPr="007E5604" w:rsidRDefault="001924CD" w:rsidP="00975D9B">
      <w:pPr>
        <w:pStyle w:val="HStandard"/>
        <w:rPr>
          <w:lang w:val="en-US"/>
        </w:rPr>
      </w:pPr>
      <w:r w:rsidRPr="007E5604">
        <w:rPr>
          <w:lang w:val="en-US"/>
        </w:rPr>
        <w:t>The ex post evaluation requires the assessment of NRN(P) results and impacts against the backdrop of NRN objectives, RDP and horizontal CAP objectives.</w:t>
      </w:r>
    </w:p>
    <w:p w:rsidR="001924CD" w:rsidRPr="007E5604" w:rsidRDefault="001924CD" w:rsidP="00975D9B">
      <w:pPr>
        <w:pStyle w:val="HStandard"/>
        <w:rPr>
          <w:lang w:val="en-US"/>
        </w:rPr>
      </w:pPr>
      <w:r w:rsidRPr="007E5604">
        <w:rPr>
          <w:lang w:val="en-US"/>
        </w:rPr>
        <w:t xml:space="preserve">It is up to the </w:t>
      </w:r>
      <w:r w:rsidRPr="007E5604">
        <w:rPr>
          <w:b/>
          <w:lang w:val="en-US"/>
        </w:rPr>
        <w:t>discretion of Member States</w:t>
      </w:r>
      <w:r w:rsidRPr="007E5604">
        <w:rPr>
          <w:lang w:val="en-US"/>
        </w:rPr>
        <w:t xml:space="preserve"> to define: </w:t>
      </w:r>
    </w:p>
    <w:p w:rsidR="001924CD" w:rsidRPr="007E5604" w:rsidRDefault="001924CD" w:rsidP="00975D9B">
      <w:pPr>
        <w:pStyle w:val="Hlistbullet2"/>
        <w:rPr>
          <w:lang w:val="en-US"/>
        </w:rPr>
      </w:pPr>
      <w:r w:rsidRPr="007E5604">
        <w:rPr>
          <w:lang w:val="en-US"/>
        </w:rPr>
        <w:t>specific evaluation topics in respect to the NRN in the evaluation plan;</w:t>
      </w:r>
    </w:p>
    <w:p w:rsidR="001924CD" w:rsidRPr="007E5604" w:rsidRDefault="001924CD" w:rsidP="00975D9B">
      <w:pPr>
        <w:pStyle w:val="Hlistbullet2"/>
        <w:rPr>
          <w:lang w:val="en-US"/>
        </w:rPr>
      </w:pPr>
      <w:r w:rsidRPr="007E5604">
        <w:rPr>
          <w:lang w:val="en-US"/>
        </w:rPr>
        <w:t>NRN related programme-specific evaluation questions and indicators;</w:t>
      </w:r>
    </w:p>
    <w:p w:rsidR="001924CD" w:rsidRPr="007E5604" w:rsidRDefault="001924CD" w:rsidP="00975D9B">
      <w:pPr>
        <w:pStyle w:val="Hlistbullet2"/>
        <w:rPr>
          <w:lang w:val="en-US"/>
        </w:rPr>
      </w:pPr>
      <w:r w:rsidRPr="007E5604">
        <w:rPr>
          <w:lang w:val="en-US"/>
        </w:rPr>
        <w:t>scope and features of the monitoring and evaluation framework of the NRN, possibly connected to self-assessment;</w:t>
      </w:r>
    </w:p>
    <w:p w:rsidR="001924CD" w:rsidRPr="007E5604" w:rsidRDefault="001924CD" w:rsidP="00975D9B">
      <w:pPr>
        <w:pStyle w:val="Hlistbullet2"/>
        <w:rPr>
          <w:lang w:val="en-US"/>
        </w:rPr>
      </w:pPr>
      <w:r w:rsidRPr="007E5604">
        <w:rPr>
          <w:lang w:val="en-US"/>
        </w:rPr>
        <w:t>the evaluation approach in the Terms of Reference, which gets fine-tuned by the evaluator. In some cases, the Member States will go so far as to prescribe methodologies and tools, in other cases this will be left to the choice and competencies of the evaluator;</w:t>
      </w:r>
    </w:p>
    <w:p w:rsidR="001924CD" w:rsidRPr="007E5604" w:rsidRDefault="001924CD" w:rsidP="00975D9B">
      <w:pPr>
        <w:pStyle w:val="Hlistbullet2"/>
        <w:rPr>
          <w:lang w:val="en-US"/>
        </w:rPr>
      </w:pPr>
      <w:r w:rsidRPr="007E5604">
        <w:rPr>
          <w:lang w:val="en-US"/>
        </w:rPr>
        <w:t>specific evaluation activities, such as ongoing evaluation, and accompanying research and studies covering particular themes.</w:t>
      </w:r>
    </w:p>
    <w:p w:rsidR="001924CD" w:rsidRPr="007E5604" w:rsidRDefault="001924CD" w:rsidP="00975D9B">
      <w:pPr>
        <w:pStyle w:val="HStandard"/>
        <w:rPr>
          <w:lang w:val="en-US"/>
        </w:rPr>
      </w:pPr>
      <w:r w:rsidRPr="007E5604">
        <w:rPr>
          <w:lang w:val="en-US"/>
        </w:rPr>
        <w:t>The main choice will be that of the right weighting in a mixed quantitative and qualitative approach in relation to chosen evaluation themes. Some themes (e.g. information and dissemination activities; training activities) will allow for more, some for less quantification (e.g. fostering innovation in rural areas; involvement of stakeholders in RD).</w:t>
      </w:r>
    </w:p>
    <w:p w:rsidR="001924CD" w:rsidRPr="007E5604" w:rsidRDefault="001924CD" w:rsidP="00320BBA">
      <w:pPr>
        <w:pStyle w:val="HStandard"/>
        <w:rPr>
          <w:color w:val="538135" w:themeColor="accent6" w:themeShade="BF"/>
          <w:lang w:val="en-US"/>
        </w:rPr>
      </w:pPr>
      <w:r w:rsidRPr="007E5604">
        <w:rPr>
          <w:lang w:val="en-US"/>
        </w:rPr>
        <w:t>In any event, proportionality should be taken into account. The effort to apply the evaluation methods should match with the scope and scale of NRN tasks and operations.</w:t>
      </w:r>
    </w:p>
    <w:p w:rsidR="001924CD" w:rsidRPr="002809CE" w:rsidRDefault="001924CD" w:rsidP="00340AD4">
      <w:pPr>
        <w:pStyle w:val="Heading6"/>
      </w:pPr>
      <w:r>
        <w:rPr>
          <w:highlight w:val="yellow"/>
        </w:rPr>
        <w:t>Jakie są główne etapy wyboru podejścia ewaluacyjnego?</w:t>
      </w:r>
    </w:p>
    <w:p w:rsidR="001924CD" w:rsidRPr="002809CE" w:rsidRDefault="001924CD" w:rsidP="00975D9B">
      <w:pPr>
        <w:pStyle w:val="HStandard"/>
      </w:pPr>
      <w:r w:rsidRPr="007E5604">
        <w:rPr>
          <w:lang w:val="en-US"/>
        </w:rPr>
        <w:t xml:space="preserve">The chosen evaluation approach is affecting the selection of methods and requirements for data and information to be collected and analysed for answering the evaluation questions. It also influences the </w:t>
      </w:r>
      <w:r w:rsidRPr="007E5604">
        <w:rPr>
          <w:lang w:val="en-US"/>
        </w:rPr>
        <w:lastRenderedPageBreak/>
        <w:t xml:space="preserve">quality of evaluation findings and conclusions and recommendations to improve the NRN related policy objectives and interventions. </w:t>
      </w:r>
      <w:r>
        <w:rPr>
          <w:highlight w:val="yellow"/>
        </w:rPr>
        <w:t>Zalecane etapy pracy oraz spodziewane wyniki są następujące:</w:t>
      </w:r>
    </w:p>
    <w:p w:rsidR="001924CD" w:rsidRPr="002809CE" w:rsidRDefault="001924CD">
      <w:pPr>
        <w:spacing w:after="0" w:line="240" w:lineRule="auto"/>
        <w:rPr>
          <w:rFonts w:cs="Arial"/>
          <w:color w:val="576C88" w:themeColor="text2" w:themeTint="D9"/>
          <w:sz w:val="20"/>
          <w:szCs w:val="20"/>
        </w:rPr>
      </w:pPr>
      <w:r>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924CD" w:rsidRPr="000A700F" w:rsidTr="00975D9B">
        <w:tc>
          <w:tcPr>
            <w:tcW w:w="988" w:type="dxa"/>
            <w:shd w:val="clear" w:color="auto" w:fill="E7E6E6" w:themeFill="background2"/>
          </w:tcPr>
          <w:p w:rsidR="001924CD" w:rsidRPr="000A700F" w:rsidRDefault="001924CD" w:rsidP="00975D9B">
            <w:pPr>
              <w:pStyle w:val="HStandard"/>
              <w:jc w:val="center"/>
              <w:rPr>
                <w:b/>
                <w:color w:val="5B9BD5" w:themeColor="accent1"/>
                <w:sz w:val="18"/>
                <w:szCs w:val="18"/>
                <w:highlight w:val="yellow"/>
              </w:rPr>
            </w:pPr>
            <w:r>
              <w:rPr>
                <w:b/>
                <w:color w:val="5B9BD5" w:themeColor="accent1"/>
                <w:sz w:val="18"/>
                <w:highlight w:val="yellow"/>
              </w:rPr>
              <w:lastRenderedPageBreak/>
              <w:t>1</w:t>
            </w:r>
          </w:p>
        </w:tc>
        <w:tc>
          <w:tcPr>
            <w:tcW w:w="8028" w:type="dxa"/>
          </w:tcPr>
          <w:p w:rsidR="001924CD" w:rsidRPr="000A700F" w:rsidRDefault="001924CD" w:rsidP="004C05DD">
            <w:pPr>
              <w:pStyle w:val="HStandard"/>
              <w:rPr>
                <w:b/>
                <w:i/>
                <w:sz w:val="18"/>
                <w:szCs w:val="18"/>
                <w:highlight w:val="yellow"/>
              </w:rPr>
            </w:pPr>
            <w:r>
              <w:rPr>
                <w:sz w:val="18"/>
                <w:highlight w:val="yellow"/>
              </w:rPr>
              <w:t>Wskazanie zakresu ewaluacji KSOW</w:t>
            </w:r>
          </w:p>
        </w:tc>
      </w:tr>
      <w:tr w:rsidR="001924CD" w:rsidRPr="000A700F" w:rsidTr="00975D9B">
        <w:tc>
          <w:tcPr>
            <w:tcW w:w="988" w:type="dxa"/>
            <w:shd w:val="clear" w:color="auto" w:fill="E7E6E6" w:themeFill="background2"/>
          </w:tcPr>
          <w:p w:rsidR="001924CD" w:rsidRPr="000A700F" w:rsidRDefault="001924CD" w:rsidP="00975D9B">
            <w:pPr>
              <w:pStyle w:val="HStandard"/>
              <w:jc w:val="center"/>
              <w:rPr>
                <w:b/>
                <w:color w:val="5B9BD5" w:themeColor="accent1"/>
                <w:sz w:val="18"/>
                <w:szCs w:val="18"/>
                <w:highlight w:val="yellow"/>
              </w:rPr>
            </w:pPr>
            <w:r>
              <w:rPr>
                <w:b/>
                <w:color w:val="5B9BD5" w:themeColor="accent1"/>
                <w:sz w:val="18"/>
                <w:highlight w:val="yellow"/>
              </w:rPr>
              <w:t>2</w:t>
            </w:r>
          </w:p>
        </w:tc>
        <w:tc>
          <w:tcPr>
            <w:tcW w:w="8028" w:type="dxa"/>
          </w:tcPr>
          <w:p w:rsidR="001924CD" w:rsidRPr="000A700F" w:rsidRDefault="001924CD" w:rsidP="004C05DD">
            <w:pPr>
              <w:pStyle w:val="HStandard"/>
              <w:spacing w:after="0"/>
              <w:rPr>
                <w:sz w:val="18"/>
                <w:szCs w:val="18"/>
                <w:highlight w:val="yellow"/>
              </w:rPr>
            </w:pPr>
            <w:r>
              <w:rPr>
                <w:sz w:val="18"/>
                <w:highlight w:val="yellow"/>
              </w:rPr>
              <w:t>Zrozumienie wyzwań w zakresie oceny rezultatów i oddziaływania KSOW</w:t>
            </w:r>
          </w:p>
        </w:tc>
      </w:tr>
      <w:tr w:rsidR="001924CD" w:rsidRPr="000A700F" w:rsidTr="00975D9B">
        <w:tc>
          <w:tcPr>
            <w:tcW w:w="988" w:type="dxa"/>
            <w:shd w:val="clear" w:color="auto" w:fill="E7E6E6" w:themeFill="background2"/>
          </w:tcPr>
          <w:p w:rsidR="001924CD" w:rsidRPr="000A700F" w:rsidRDefault="001924CD" w:rsidP="00975D9B">
            <w:pPr>
              <w:pStyle w:val="HStandard"/>
              <w:jc w:val="center"/>
              <w:rPr>
                <w:b/>
                <w:color w:val="5B9BD5" w:themeColor="accent1"/>
                <w:sz w:val="18"/>
                <w:szCs w:val="18"/>
                <w:highlight w:val="yellow"/>
              </w:rPr>
            </w:pPr>
            <w:r>
              <w:rPr>
                <w:b/>
                <w:color w:val="5B9BD5" w:themeColor="accent1"/>
                <w:sz w:val="18"/>
                <w:highlight w:val="yellow"/>
              </w:rPr>
              <w:t>3</w:t>
            </w:r>
          </w:p>
        </w:tc>
        <w:tc>
          <w:tcPr>
            <w:tcW w:w="8028" w:type="dxa"/>
          </w:tcPr>
          <w:p w:rsidR="001924CD" w:rsidRPr="000A700F" w:rsidRDefault="001924CD" w:rsidP="004C05DD">
            <w:pPr>
              <w:spacing w:line="280" w:lineRule="atLeast"/>
              <w:rPr>
                <w:color w:val="576C88" w:themeColor="text2" w:themeTint="D9"/>
                <w:szCs w:val="18"/>
                <w:highlight w:val="yellow"/>
              </w:rPr>
            </w:pPr>
            <w:r>
              <w:rPr>
                <w:color w:val="576C88" w:themeColor="text2" w:themeTint="D9"/>
                <w:highlight w:val="yellow"/>
              </w:rPr>
              <w:t>Uzyskanie przeglądu możliwych podejść w zakresie ewaluacji KSOW oraz ich przewag komparatywnych</w:t>
            </w:r>
          </w:p>
        </w:tc>
      </w:tr>
      <w:tr w:rsidR="001924CD" w:rsidRPr="000A700F" w:rsidTr="00975D9B">
        <w:tc>
          <w:tcPr>
            <w:tcW w:w="988" w:type="dxa"/>
            <w:shd w:val="clear" w:color="auto" w:fill="E7E6E6" w:themeFill="background2"/>
          </w:tcPr>
          <w:p w:rsidR="001924CD" w:rsidRPr="000A700F" w:rsidRDefault="001924CD" w:rsidP="00975D9B">
            <w:pPr>
              <w:pStyle w:val="HStandard"/>
              <w:jc w:val="center"/>
              <w:rPr>
                <w:b/>
                <w:color w:val="5B9BD5" w:themeColor="accent1"/>
                <w:sz w:val="18"/>
                <w:szCs w:val="18"/>
                <w:highlight w:val="yellow"/>
              </w:rPr>
            </w:pPr>
            <w:r>
              <w:rPr>
                <w:b/>
                <w:color w:val="5B9BD5" w:themeColor="accent1"/>
                <w:sz w:val="18"/>
                <w:highlight w:val="yellow"/>
              </w:rPr>
              <w:t>4</w:t>
            </w:r>
          </w:p>
        </w:tc>
        <w:tc>
          <w:tcPr>
            <w:tcW w:w="8028" w:type="dxa"/>
          </w:tcPr>
          <w:p w:rsidR="001924CD" w:rsidRPr="000A700F" w:rsidRDefault="001924CD" w:rsidP="004C05DD">
            <w:pPr>
              <w:pStyle w:val="HStandard"/>
              <w:rPr>
                <w:b/>
                <w:i/>
                <w:sz w:val="18"/>
                <w:szCs w:val="18"/>
                <w:highlight w:val="yellow"/>
              </w:rPr>
            </w:pPr>
            <w:r>
              <w:rPr>
                <w:sz w:val="18"/>
                <w:highlight w:val="yellow"/>
              </w:rPr>
              <w:t>Wybór podejścia w zakresie ewaluacji KSOW</w:t>
            </w:r>
          </w:p>
        </w:tc>
      </w:tr>
      <w:tr w:rsidR="001924CD" w:rsidRPr="008D0759" w:rsidTr="00975D9B">
        <w:tc>
          <w:tcPr>
            <w:tcW w:w="9016" w:type="dxa"/>
            <w:gridSpan w:val="2"/>
          </w:tcPr>
          <w:p w:rsidR="001924CD" w:rsidRPr="008D0759" w:rsidRDefault="001924CD" w:rsidP="004C05DD">
            <w:pPr>
              <w:pStyle w:val="HStandard"/>
              <w:rPr>
                <w:b/>
                <w:i/>
                <w:sz w:val="18"/>
                <w:szCs w:val="18"/>
              </w:rPr>
            </w:pPr>
            <w:r>
              <w:rPr>
                <w:b/>
                <w:sz w:val="18"/>
                <w:highlight w:val="yellow"/>
              </w:rPr>
              <w:t>Oczekiwany wynik:</w:t>
            </w:r>
            <w:r>
              <w:t xml:space="preserve"> </w:t>
            </w:r>
            <w:r>
              <w:rPr>
                <w:sz w:val="18"/>
                <w:highlight w:val="yellow"/>
              </w:rPr>
              <w:t>Wybór podejścia ewaluacyjnego</w:t>
            </w:r>
          </w:p>
        </w:tc>
      </w:tr>
    </w:tbl>
    <w:p w:rsidR="001924CD" w:rsidRPr="007E5604" w:rsidRDefault="001924CD" w:rsidP="00975D9B">
      <w:pPr>
        <w:pStyle w:val="HStandard"/>
        <w:rPr>
          <w:lang w:val="en-US"/>
        </w:rPr>
      </w:pPr>
      <w:r w:rsidRPr="007E5604">
        <w:rPr>
          <w:lang w:val="en-US"/>
        </w:rPr>
        <w:t>Steps in choosing the evaluation approach are detailed below.</w:t>
      </w:r>
    </w:p>
    <w:p w:rsidR="001924CD" w:rsidRPr="007E5604" w:rsidRDefault="001924CD" w:rsidP="007046A4">
      <w:pPr>
        <w:pStyle w:val="HStandard"/>
        <w:rPr>
          <w:b/>
          <w:lang w:val="en-US"/>
        </w:rPr>
      </w:pPr>
      <w:r w:rsidRPr="007E5604">
        <w:rPr>
          <w:b/>
          <w:color w:val="ED7D31" w:themeColor="accent2"/>
          <w:lang w:val="en-US"/>
        </w:rPr>
        <w:t>Step 1 - Identify the scope of the NRN evaluation</w:t>
      </w:r>
    </w:p>
    <w:p w:rsidR="001924CD" w:rsidRPr="007E5604" w:rsidRDefault="001924CD" w:rsidP="00340AD4">
      <w:pPr>
        <w:pStyle w:val="HStandard"/>
        <w:rPr>
          <w:lang w:val="en-US"/>
        </w:rPr>
      </w:pPr>
      <w:r w:rsidRPr="007E5604">
        <w:rPr>
          <w:lang w:val="en-US"/>
        </w:rPr>
        <w:t>The scope of the NRN evaluation should be defined by the evaluation plan or a similar internal evaluation planning document. Within this scope it is important to include the assessment of the achievements of the NRN’s common and programme-specific objectives (see also Introduction, chapter 1.4.2), as well as the NRN’s results (in the AIR submitted in 2017). This can cover changes in the behaviour of the NRN’s members and beneficiaries and impacts (in the AIR submitted in 2019), such as more effective RDP implementation due to the NRN’s activities, and changes in human and social capital. For example, networking and cooperation activities and structures, increased participation of the civil society in rural development, increased individual, organisational and societal capacities through the exchange of information and experience, etc.</w:t>
      </w:r>
    </w:p>
    <w:p w:rsidR="001924CD" w:rsidRPr="007E5604" w:rsidRDefault="001924CD" w:rsidP="00340AD4">
      <w:pPr>
        <w:pStyle w:val="HStandard"/>
        <w:rPr>
          <w:lang w:val="en-US"/>
        </w:rPr>
      </w:pPr>
      <w:r w:rsidRPr="007E5604">
        <w:rPr>
          <w:lang w:val="en-US"/>
        </w:rPr>
        <w:t>The preliminary review of existing NRNPs 2014-2020 and their evaluation plans shows that in addition to the common evaluation requirements for 2017, 2019 and the ex post, the evaluation activities of NRNPs may also focus on building the methodological capacity for carrying out evaluations of the programme’s effects, e.g. through studies to develop result and impact indicators or to develop methods for the evaluation of the essentially intangible results and impacts of the NRNP.</w:t>
      </w:r>
    </w:p>
    <w:p w:rsidR="001924CD" w:rsidRPr="007E5604" w:rsidRDefault="001924CD" w:rsidP="007046A4">
      <w:pPr>
        <w:pStyle w:val="HStandard"/>
        <w:rPr>
          <w:b/>
          <w:color w:val="ED7D31" w:themeColor="accent2"/>
          <w:lang w:val="en-US"/>
        </w:rPr>
      </w:pPr>
      <w:r w:rsidRPr="007E5604">
        <w:rPr>
          <w:b/>
          <w:color w:val="ED7D31" w:themeColor="accent2"/>
          <w:lang w:val="en-US"/>
        </w:rPr>
        <w:t>Step 2 - Understand the challenges in assessing NRN results and impacts</w:t>
      </w:r>
    </w:p>
    <w:p w:rsidR="001924CD" w:rsidRPr="007E5604" w:rsidRDefault="001924CD" w:rsidP="00340AD4">
      <w:pPr>
        <w:pStyle w:val="HStandard"/>
        <w:rPr>
          <w:lang w:val="en-US"/>
        </w:rPr>
      </w:pPr>
      <w:r w:rsidRPr="007E5604">
        <w:rPr>
          <w:lang w:val="en-US"/>
        </w:rPr>
        <w:t>Before selecting the evaluation approach, the evaluator needs to have a full picture of the challenges associated with the specificities of NRNs, including inter alia</w:t>
      </w:r>
      <w:r w:rsidRPr="007E5604">
        <w:rPr>
          <w:rFonts w:ascii="ZWAdobeF" w:hAnsi="ZWAdobeF"/>
          <w:color w:val="auto"/>
          <w:sz w:val="2"/>
          <w:lang w:val="en-US"/>
        </w:rPr>
        <w:t>92F</w:t>
      </w:r>
      <w:r>
        <w:rPr>
          <w:rStyle w:val="FootnoteReference"/>
        </w:rPr>
        <w:footnoteReference w:id="93"/>
      </w:r>
      <w:r w:rsidRPr="007E5604">
        <w:rPr>
          <w:lang w:val="en-US"/>
        </w:rPr>
        <w:t>:</w:t>
      </w:r>
    </w:p>
    <w:p w:rsidR="001924CD" w:rsidRPr="007E5604" w:rsidRDefault="001924CD" w:rsidP="00340AD4">
      <w:pPr>
        <w:pStyle w:val="Hlistbullet2"/>
        <w:rPr>
          <w:lang w:val="en-US"/>
        </w:rPr>
      </w:pPr>
      <w:bookmarkStart w:id="198" w:name="_Toc434744508"/>
      <w:r w:rsidRPr="007E5604">
        <w:rPr>
          <w:lang w:val="en-US"/>
        </w:rPr>
        <w:t>Networking activities often produce intangible results and impacts that are difficult to measure. The emergence of behavioural changes, social innovation and the enhancement of human and social capital constitutes the most important results and impacts of networking activities which may also go beyond the NRN’s members and RDP’s beneficiaries. The field of expertise in this realm is quickly expanding, and evaluators are called upon to draw on the most recent studies</w:t>
      </w:r>
      <w:r w:rsidRPr="007E5604">
        <w:rPr>
          <w:rFonts w:ascii="ZWAdobeF" w:hAnsi="ZWAdobeF"/>
          <w:color w:val="auto"/>
          <w:sz w:val="2"/>
          <w:lang w:val="en-US"/>
        </w:rPr>
        <w:t>93F</w:t>
      </w:r>
      <w:r>
        <w:rPr>
          <w:rStyle w:val="FootnoteReference"/>
        </w:rPr>
        <w:footnoteReference w:id="94"/>
      </w:r>
      <w:r w:rsidRPr="007E5604">
        <w:rPr>
          <w:lang w:val="en-US"/>
        </w:rPr>
        <w:t>.</w:t>
      </w:r>
      <w:bookmarkEnd w:id="198"/>
    </w:p>
    <w:p w:rsidR="001924CD" w:rsidRPr="007E5604" w:rsidRDefault="001924CD" w:rsidP="00340AD4">
      <w:pPr>
        <w:pStyle w:val="Hlistbullet2"/>
        <w:rPr>
          <w:lang w:val="en-US"/>
        </w:rPr>
      </w:pPr>
      <w:bookmarkStart w:id="199" w:name="_Toc434744509"/>
      <w:r w:rsidRPr="007E5604">
        <w:rPr>
          <w:lang w:val="en-US"/>
        </w:rPr>
        <w:t>The scope of NRN activities can be very broad, since events and training activities may permeate all aspects of rural development policy (competitiveness, environment, socio-economic development), potentially generating results in all these spheres.</w:t>
      </w:r>
      <w:bookmarkEnd w:id="199"/>
    </w:p>
    <w:p w:rsidR="001924CD" w:rsidRPr="007E5604" w:rsidRDefault="001924CD" w:rsidP="00340AD4">
      <w:pPr>
        <w:pStyle w:val="Hlistbullet2"/>
        <w:rPr>
          <w:i/>
          <w:lang w:val="en-US"/>
        </w:rPr>
      </w:pPr>
      <w:bookmarkStart w:id="200" w:name="_Toc434744510"/>
      <w:r w:rsidRPr="007E5604">
        <w:rPr>
          <w:lang w:val="en-US"/>
        </w:rPr>
        <w:t xml:space="preserve">The assessment of NRN results and impacts should chisel out causal relations between NRN(P) activities and indicator values, notwithstanding the difficulties to observe intangible changes. </w:t>
      </w:r>
      <w:bookmarkEnd w:id="200"/>
      <w:r w:rsidRPr="007E5604">
        <w:rPr>
          <w:lang w:val="en-US"/>
        </w:rPr>
        <w:t xml:space="preserve">Put as a question: </w:t>
      </w:r>
      <w:r w:rsidRPr="007E5604">
        <w:rPr>
          <w:i/>
          <w:lang w:val="en-US"/>
        </w:rPr>
        <w:t>“To what extent are observed changes expressed in indicators´ values due to the NRN’s activities or what changes would have happened without them?”</w:t>
      </w:r>
    </w:p>
    <w:p w:rsidR="001924CD" w:rsidRPr="007E5604" w:rsidRDefault="001924CD" w:rsidP="00340AD4">
      <w:pPr>
        <w:pStyle w:val="Hlistbullet2"/>
        <w:rPr>
          <w:lang w:val="en-US"/>
        </w:rPr>
      </w:pPr>
      <w:bookmarkStart w:id="201" w:name="_Toc434744511"/>
      <w:r w:rsidRPr="007E5604">
        <w:rPr>
          <w:lang w:val="en-US"/>
        </w:rPr>
        <w:lastRenderedPageBreak/>
        <w:t>Experience shows that some NRNs may start their activities in a relatively late stage of RDP implementation, in which case the scope for measuring results and impacts will be limited (e.g. due to missing baseline values of indicators or inadequate data collection system).</w:t>
      </w:r>
      <w:bookmarkEnd w:id="201"/>
    </w:p>
    <w:p w:rsidR="001924CD" w:rsidRPr="007E5604" w:rsidRDefault="001924CD" w:rsidP="00340AD4">
      <w:pPr>
        <w:pStyle w:val="Hlistbullet2"/>
        <w:rPr>
          <w:lang w:val="en-US"/>
        </w:rPr>
      </w:pPr>
      <w:bookmarkStart w:id="202" w:name="_Toc434744512"/>
      <w:r w:rsidRPr="007E5604">
        <w:rPr>
          <w:lang w:val="en-US"/>
        </w:rPr>
        <w:t>In some cases, the NRN is merely considered as an auxiliary device to promote RDP measures, disregarding other NRN objectives (e.g. the generation of new knowledge, the contribution to rural innovation).</w:t>
      </w:r>
      <w:bookmarkEnd w:id="202"/>
      <w:r w:rsidRPr="007E5604">
        <w:rPr>
          <w:lang w:val="en-US"/>
        </w:rPr>
        <w:t xml:space="preserve"> </w:t>
      </w:r>
    </w:p>
    <w:p w:rsidR="001924CD" w:rsidRPr="007E5604" w:rsidRDefault="001924CD" w:rsidP="00340AD4">
      <w:pPr>
        <w:pStyle w:val="Hlistbullet2"/>
        <w:rPr>
          <w:lang w:val="en-US"/>
        </w:rPr>
      </w:pPr>
      <w:bookmarkStart w:id="203" w:name="_Toc434744513"/>
      <w:r w:rsidRPr="007E5604">
        <w:rPr>
          <w:lang w:val="en-US"/>
        </w:rPr>
        <w:t>The monitoring of NRN activities generates data related to the frequency of events, exchanges or trainings, and the number of people participating. All this is easy to collect. However, there is limited possibility to collect evidence in relation to expected result and impacts, such as the establishment of a consolidated cooperation framework or the generation of knowledge in LEADER areas that the NRN activities may have spawned.</w:t>
      </w:r>
    </w:p>
    <w:p w:rsidR="001924CD" w:rsidRPr="007E5604" w:rsidRDefault="001924CD" w:rsidP="00340AD4">
      <w:pPr>
        <w:pStyle w:val="Hlistbullet2"/>
        <w:rPr>
          <w:lang w:val="en-US"/>
        </w:rPr>
      </w:pPr>
      <w:r w:rsidRPr="007E5604">
        <w:rPr>
          <w:lang w:val="en-US"/>
        </w:rPr>
        <w:t>Several NRN effects on the RDP implementation would appear in the long-term. Tracing them back to the NRN’s activities could turn out as a highly speculative exercise. This does not mean that the evaluator should refrain from drawing hypothetical conclusions, but not without the necessary caveats.</w:t>
      </w:r>
      <w:bookmarkEnd w:id="203"/>
    </w:p>
    <w:p w:rsidR="001924CD" w:rsidRPr="007E5604" w:rsidRDefault="001924CD" w:rsidP="007046A4">
      <w:pPr>
        <w:pStyle w:val="HStandard"/>
        <w:rPr>
          <w:b/>
          <w:color w:val="ED7D31" w:themeColor="accent2"/>
          <w:lang w:val="en-US"/>
        </w:rPr>
      </w:pPr>
      <w:r w:rsidRPr="007E5604">
        <w:rPr>
          <w:b/>
          <w:color w:val="ED7D31" w:themeColor="accent2"/>
          <w:lang w:val="en-US"/>
        </w:rPr>
        <w:t>Step 3 - Obtain an overview of possible evaluation approaches for the NRN and their comparative advantages</w:t>
      </w:r>
    </w:p>
    <w:p w:rsidR="001924CD" w:rsidRPr="007E5604" w:rsidRDefault="001924CD" w:rsidP="00340AD4">
      <w:pPr>
        <w:pStyle w:val="HStandard"/>
        <w:rPr>
          <w:lang w:val="en-US"/>
        </w:rPr>
      </w:pPr>
      <w:r w:rsidRPr="007E5604">
        <w:rPr>
          <w:lang w:val="en-US"/>
        </w:rPr>
        <w:t>In rural development evaluation, the theory of change is expressed by the intervention logic (see chapter 3.1). Theory of change is focused not just on generating knowledge about whether a programme is effective, but also to explain what methods can be considered to be effective.</w:t>
      </w:r>
    </w:p>
    <w:p w:rsidR="001924CD" w:rsidRPr="007E5604" w:rsidRDefault="001924CD" w:rsidP="00340AD4">
      <w:pPr>
        <w:pStyle w:val="HStandard"/>
        <w:rPr>
          <w:lang w:val="en-US"/>
        </w:rPr>
      </w:pPr>
      <w:r w:rsidRPr="007E5604">
        <w:rPr>
          <w:lang w:val="en-US"/>
        </w:rPr>
        <w:t xml:space="preserve">The solution for sound NRN(P) evaluations is to rely on a well-designed mix of quantitative and qualitative approaches. </w:t>
      </w:r>
      <w:r>
        <w:fldChar w:fldCharType="begin" w:fldLock="1"/>
      </w:r>
      <w:r w:rsidRPr="007E5604">
        <w:rPr>
          <w:lang w:val="en-US"/>
        </w:rPr>
        <w:instrText xml:space="preserve"> REF _Ref451785030 \r \h </w:instrText>
      </w:r>
      <w:r>
        <w:fldChar w:fldCharType="separate"/>
      </w:r>
      <w:r w:rsidRPr="007E5604">
        <w:rPr>
          <w:lang w:val="en-US"/>
        </w:rPr>
        <w:t>Table 11</w:t>
      </w:r>
      <w:r>
        <w:fldChar w:fldCharType="end"/>
      </w:r>
      <w:r w:rsidRPr="007E5604">
        <w:rPr>
          <w:lang w:val="en-US"/>
        </w:rPr>
        <w:t xml:space="preserve"> provides an overview of the advantages and drawbacks of qualitative and quantitative approaches in the context of NRN(P) evaluations.</w:t>
      </w:r>
    </w:p>
    <w:p w:rsidR="001924CD" w:rsidRPr="007E5604" w:rsidRDefault="001924CD" w:rsidP="00340AD4">
      <w:pPr>
        <w:pStyle w:val="HHeadingtables"/>
        <w:rPr>
          <w:lang w:val="en-US"/>
        </w:rPr>
      </w:pPr>
      <w:bookmarkStart w:id="204" w:name="_Toc436140067"/>
      <w:bookmarkStart w:id="205" w:name="_Toc436383153"/>
      <w:bookmarkStart w:id="206" w:name="_Toc451781915"/>
      <w:bookmarkStart w:id="207" w:name="_Ref451785030"/>
      <w:r w:rsidRPr="007E5604">
        <w:rPr>
          <w:lang w:val="en-US"/>
        </w:rPr>
        <w:t xml:space="preserve">Overview </w:t>
      </w:r>
      <w:bookmarkEnd w:id="204"/>
      <w:bookmarkEnd w:id="205"/>
      <w:r w:rsidRPr="007E5604">
        <w:rPr>
          <w:lang w:val="en-US"/>
        </w:rPr>
        <w:t>of the qualitative and quantitative evaluation approaches</w:t>
      </w:r>
      <w:bookmarkEnd w:id="206"/>
      <w:bookmarkEnd w:id="207"/>
      <w:r w:rsidRPr="007E5604">
        <w:rPr>
          <w:lang w:val="en-US"/>
        </w:rPr>
        <w:t xml:space="preserve"> </w:t>
      </w:r>
    </w:p>
    <w:tbl>
      <w:tblPr>
        <w:tblStyle w:val="TableGrid"/>
        <w:tblW w:w="9816"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41"/>
        <w:gridCol w:w="3131"/>
        <w:gridCol w:w="2822"/>
        <w:gridCol w:w="2422"/>
      </w:tblGrid>
      <w:tr w:rsidR="001924CD" w:rsidRPr="00921C8E" w:rsidTr="004C05DD">
        <w:trPr>
          <w:trHeight w:val="53"/>
          <w:tblHeader/>
          <w:jc w:val="center"/>
        </w:trPr>
        <w:tc>
          <w:tcPr>
            <w:tcW w:w="1441" w:type="dxa"/>
            <w:vMerge w:val="restart"/>
            <w:shd w:val="clear" w:color="auto" w:fill="E7E6E6" w:themeFill="background2"/>
          </w:tcPr>
          <w:p w:rsidR="001924CD" w:rsidRPr="008D0759" w:rsidRDefault="001924CD" w:rsidP="004C05DD">
            <w:pPr>
              <w:pStyle w:val="Htableleftbolt"/>
              <w:rPr>
                <w:color w:val="5B9BD5" w:themeColor="accent1"/>
              </w:rPr>
            </w:pPr>
            <w:r>
              <w:rPr>
                <w:color w:val="5B9BD5" w:themeColor="accent1"/>
              </w:rPr>
              <w:t>Evaluation approach</w:t>
            </w:r>
          </w:p>
        </w:tc>
        <w:tc>
          <w:tcPr>
            <w:tcW w:w="5953" w:type="dxa"/>
            <w:gridSpan w:val="2"/>
            <w:shd w:val="clear" w:color="auto" w:fill="E7E6E6" w:themeFill="background2"/>
          </w:tcPr>
          <w:p w:rsidR="001924CD" w:rsidRPr="007E5604" w:rsidRDefault="001924CD" w:rsidP="004C05DD">
            <w:pPr>
              <w:pStyle w:val="Htableleftbolt"/>
              <w:jc w:val="center"/>
              <w:rPr>
                <w:color w:val="5B9BD5" w:themeColor="accent1"/>
                <w:lang w:val="en-US"/>
              </w:rPr>
            </w:pPr>
            <w:r w:rsidRPr="007E5604">
              <w:rPr>
                <w:color w:val="5B9BD5" w:themeColor="accent1"/>
                <w:lang w:val="en-US"/>
              </w:rPr>
              <w:t>Suitability for the evaluation of NRN(P)</w:t>
            </w:r>
          </w:p>
        </w:tc>
        <w:tc>
          <w:tcPr>
            <w:tcW w:w="2422" w:type="dxa"/>
            <w:shd w:val="clear" w:color="auto" w:fill="E7E6E6" w:themeFill="background2"/>
          </w:tcPr>
          <w:p w:rsidR="001924CD" w:rsidRPr="007E5604" w:rsidRDefault="001924CD" w:rsidP="004C05DD">
            <w:pPr>
              <w:pStyle w:val="Htableleftbolt"/>
              <w:rPr>
                <w:color w:val="5B9BD5" w:themeColor="accent1"/>
                <w:lang w:val="en-US"/>
              </w:rPr>
            </w:pPr>
            <w:r w:rsidRPr="007E5604">
              <w:rPr>
                <w:color w:val="5B9BD5" w:themeColor="accent1"/>
                <w:lang w:val="en-US"/>
              </w:rPr>
              <w:t>Examples of where to use</w:t>
            </w:r>
          </w:p>
        </w:tc>
      </w:tr>
      <w:tr w:rsidR="001924CD" w:rsidRPr="008D0759" w:rsidTr="004C05DD">
        <w:trPr>
          <w:trHeight w:val="53"/>
          <w:tblHeader/>
          <w:jc w:val="center"/>
        </w:trPr>
        <w:tc>
          <w:tcPr>
            <w:tcW w:w="1441" w:type="dxa"/>
            <w:vMerge/>
            <w:shd w:val="clear" w:color="auto" w:fill="E7E6E6" w:themeFill="background2"/>
          </w:tcPr>
          <w:p w:rsidR="001924CD" w:rsidRPr="007E5604" w:rsidRDefault="001924CD" w:rsidP="004C05DD">
            <w:pPr>
              <w:pStyle w:val="Htableleftbolt"/>
              <w:rPr>
                <w:color w:val="5B9BD5" w:themeColor="accent1"/>
                <w:lang w:val="en-US"/>
              </w:rPr>
            </w:pPr>
          </w:p>
        </w:tc>
        <w:tc>
          <w:tcPr>
            <w:tcW w:w="3131" w:type="dxa"/>
            <w:shd w:val="clear" w:color="auto" w:fill="E7E6E6" w:themeFill="background2"/>
          </w:tcPr>
          <w:p w:rsidR="001924CD" w:rsidRPr="008D0759" w:rsidRDefault="001924CD" w:rsidP="004C05DD">
            <w:pPr>
              <w:pStyle w:val="Htableleftbolt"/>
              <w:rPr>
                <w:color w:val="5B9BD5" w:themeColor="accent1"/>
              </w:rPr>
            </w:pPr>
            <w:r>
              <w:rPr>
                <w:color w:val="5B9BD5" w:themeColor="accent1"/>
              </w:rPr>
              <w:t>Advantages</w:t>
            </w:r>
          </w:p>
        </w:tc>
        <w:tc>
          <w:tcPr>
            <w:tcW w:w="2822" w:type="dxa"/>
            <w:shd w:val="clear" w:color="auto" w:fill="E7E6E6" w:themeFill="background2"/>
          </w:tcPr>
          <w:p w:rsidR="001924CD" w:rsidRPr="008D0759" w:rsidRDefault="001924CD" w:rsidP="004C05DD">
            <w:pPr>
              <w:pStyle w:val="Htableleftbolt"/>
              <w:rPr>
                <w:color w:val="5B9BD5" w:themeColor="accent1"/>
              </w:rPr>
            </w:pPr>
            <w:r>
              <w:rPr>
                <w:color w:val="5B9BD5" w:themeColor="accent1"/>
              </w:rPr>
              <w:t>Drawbacks</w:t>
            </w:r>
          </w:p>
        </w:tc>
        <w:tc>
          <w:tcPr>
            <w:tcW w:w="2422" w:type="dxa"/>
            <w:shd w:val="clear" w:color="auto" w:fill="E7E6E6" w:themeFill="background2"/>
          </w:tcPr>
          <w:p w:rsidR="001924CD" w:rsidRPr="008D0759" w:rsidRDefault="001924CD" w:rsidP="004C05DD">
            <w:pPr>
              <w:pStyle w:val="Htableleftbolt"/>
              <w:rPr>
                <w:color w:val="5B9BD5" w:themeColor="accent1"/>
              </w:rPr>
            </w:pPr>
          </w:p>
        </w:tc>
      </w:tr>
      <w:tr w:rsidR="001924CD" w:rsidRPr="00921C8E" w:rsidTr="004C05DD">
        <w:trPr>
          <w:jc w:val="center"/>
        </w:trPr>
        <w:tc>
          <w:tcPr>
            <w:tcW w:w="1441" w:type="dxa"/>
            <w:shd w:val="clear" w:color="auto" w:fill="auto"/>
          </w:tcPr>
          <w:p w:rsidR="001924CD" w:rsidRPr="008D0759" w:rsidRDefault="001924CD" w:rsidP="004C05DD">
            <w:pPr>
              <w:pStyle w:val="Htableleft"/>
              <w:rPr>
                <w:color w:val="576C88" w:themeColor="text2" w:themeTint="D9"/>
              </w:rPr>
            </w:pPr>
            <w:r>
              <w:rPr>
                <w:color w:val="576C88" w:themeColor="text2" w:themeTint="D9"/>
              </w:rPr>
              <w:t xml:space="preserve">Qualitative approach </w:t>
            </w:r>
          </w:p>
        </w:tc>
        <w:tc>
          <w:tcPr>
            <w:tcW w:w="3131" w:type="dxa"/>
            <w:shd w:val="clear" w:color="auto" w:fill="auto"/>
          </w:tcPr>
          <w:p w:rsidR="001924CD" w:rsidRPr="007E5604" w:rsidRDefault="001924CD" w:rsidP="004C05DD">
            <w:pPr>
              <w:pStyle w:val="Htableleft"/>
              <w:rPr>
                <w:color w:val="576C88" w:themeColor="text2" w:themeTint="D9"/>
                <w:lang w:val="en-US"/>
              </w:rPr>
            </w:pPr>
            <w:r w:rsidRPr="007E5604">
              <w:rPr>
                <w:color w:val="576C88" w:themeColor="text2" w:themeTint="D9"/>
                <w:lang w:val="en-US"/>
              </w:rPr>
              <w:t>Qualitative approaches are used in the evaluation of networks since they allow the assessment of effects that are difficult to quantify and to corroborate or adjust hypotheses on factors of success for specific interventions in specific contexts.</w:t>
            </w:r>
          </w:p>
        </w:tc>
        <w:tc>
          <w:tcPr>
            <w:tcW w:w="2822" w:type="dxa"/>
            <w:shd w:val="clear" w:color="auto" w:fill="auto"/>
          </w:tcPr>
          <w:p w:rsidR="001924CD" w:rsidRPr="007E5604" w:rsidRDefault="001924CD" w:rsidP="004C05DD">
            <w:pPr>
              <w:pStyle w:val="Htableleft"/>
              <w:rPr>
                <w:color w:val="576C88" w:themeColor="text2" w:themeTint="D9"/>
                <w:lang w:val="en-US"/>
              </w:rPr>
            </w:pPr>
            <w:r w:rsidRPr="007E5604">
              <w:rPr>
                <w:color w:val="576C88" w:themeColor="text2" w:themeTint="D9"/>
                <w:lang w:val="en-US"/>
              </w:rPr>
              <w:t>The results are not always precise. The approach heavily relies on methods that offer subjective information (interviews, participant surveys, questionnaires).</w:t>
            </w:r>
          </w:p>
          <w:p w:rsidR="001924CD" w:rsidRPr="007E5604" w:rsidRDefault="001924CD" w:rsidP="004C05DD">
            <w:pPr>
              <w:pStyle w:val="Htableleft"/>
              <w:rPr>
                <w:color w:val="576C88" w:themeColor="text2" w:themeTint="D9"/>
                <w:lang w:val="en-US"/>
              </w:rPr>
            </w:pPr>
          </w:p>
        </w:tc>
        <w:tc>
          <w:tcPr>
            <w:tcW w:w="2422" w:type="dxa"/>
            <w:shd w:val="clear" w:color="auto" w:fill="auto"/>
          </w:tcPr>
          <w:p w:rsidR="001924CD" w:rsidRPr="008D0759" w:rsidRDefault="001924CD" w:rsidP="004C05DD">
            <w:pPr>
              <w:pStyle w:val="Htableleft"/>
              <w:rPr>
                <w:color w:val="576C88" w:themeColor="text2" w:themeTint="D9"/>
              </w:rPr>
            </w:pPr>
            <w:r>
              <w:rPr>
                <w:color w:val="576C88" w:themeColor="text2" w:themeTint="D9"/>
              </w:rPr>
              <w:t xml:space="preserve">The results and impacts of </w:t>
            </w:r>
          </w:p>
          <w:p w:rsidR="001924CD" w:rsidRPr="008D0759" w:rsidRDefault="001924CD" w:rsidP="001924CD">
            <w:pPr>
              <w:pStyle w:val="Htableleft"/>
              <w:numPr>
                <w:ilvl w:val="0"/>
                <w:numId w:val="17"/>
              </w:numPr>
              <w:rPr>
                <w:color w:val="576C88" w:themeColor="text2" w:themeTint="D9"/>
              </w:rPr>
            </w:pPr>
            <w:r>
              <w:rPr>
                <w:color w:val="576C88" w:themeColor="text2" w:themeTint="D9"/>
              </w:rPr>
              <w:t>good practice collection;</w:t>
            </w:r>
          </w:p>
          <w:p w:rsidR="001924CD" w:rsidRPr="007E5604" w:rsidRDefault="001924CD" w:rsidP="001924CD">
            <w:pPr>
              <w:pStyle w:val="Htableleft"/>
              <w:numPr>
                <w:ilvl w:val="0"/>
                <w:numId w:val="17"/>
              </w:numPr>
              <w:rPr>
                <w:color w:val="576C88" w:themeColor="text2" w:themeTint="D9"/>
                <w:lang w:val="en-US"/>
              </w:rPr>
            </w:pPr>
            <w:r w:rsidRPr="007E5604">
              <w:rPr>
                <w:color w:val="576C88" w:themeColor="text2" w:themeTint="D9"/>
                <w:lang w:val="en-US"/>
              </w:rPr>
              <w:t>the generation or exchange of new knowledge;</w:t>
            </w:r>
          </w:p>
          <w:p w:rsidR="001924CD" w:rsidRPr="007E5604" w:rsidRDefault="001924CD" w:rsidP="001924CD">
            <w:pPr>
              <w:pStyle w:val="Htableleft"/>
              <w:numPr>
                <w:ilvl w:val="0"/>
                <w:numId w:val="17"/>
              </w:numPr>
              <w:rPr>
                <w:color w:val="576C88" w:themeColor="text2" w:themeTint="D9"/>
                <w:lang w:val="en-US"/>
              </w:rPr>
            </w:pPr>
            <w:r w:rsidRPr="007E5604">
              <w:rPr>
                <w:color w:val="576C88" w:themeColor="text2" w:themeTint="D9"/>
                <w:lang w:val="en-US"/>
              </w:rPr>
              <w:t>the participation in ENRD activities.</w:t>
            </w:r>
          </w:p>
        </w:tc>
      </w:tr>
      <w:tr w:rsidR="001924CD" w:rsidRPr="008D0759" w:rsidTr="004C05DD">
        <w:trPr>
          <w:jc w:val="center"/>
        </w:trPr>
        <w:tc>
          <w:tcPr>
            <w:tcW w:w="1441" w:type="dxa"/>
            <w:shd w:val="clear" w:color="auto" w:fill="auto"/>
          </w:tcPr>
          <w:p w:rsidR="001924CD" w:rsidRPr="008D0759" w:rsidRDefault="001924CD" w:rsidP="004C05DD">
            <w:pPr>
              <w:pStyle w:val="Htableleft"/>
              <w:rPr>
                <w:color w:val="576C88" w:themeColor="text2" w:themeTint="D9"/>
              </w:rPr>
            </w:pPr>
            <w:r>
              <w:rPr>
                <w:color w:val="576C88" w:themeColor="text2" w:themeTint="D9"/>
              </w:rPr>
              <w:t>Quantitative approach</w:t>
            </w:r>
          </w:p>
        </w:tc>
        <w:tc>
          <w:tcPr>
            <w:tcW w:w="3131" w:type="dxa"/>
            <w:shd w:val="clear" w:color="auto" w:fill="auto"/>
          </w:tcPr>
          <w:p w:rsidR="001924CD" w:rsidRPr="007E5604" w:rsidRDefault="001924CD" w:rsidP="004C05DD">
            <w:pPr>
              <w:pStyle w:val="Htableleft"/>
              <w:rPr>
                <w:color w:val="576C88" w:themeColor="text2" w:themeTint="D9"/>
                <w:lang w:val="en-US"/>
              </w:rPr>
            </w:pPr>
            <w:r w:rsidRPr="007E5604">
              <w:rPr>
                <w:color w:val="576C88" w:themeColor="text2" w:themeTint="D9"/>
                <w:lang w:val="en-US"/>
              </w:rPr>
              <w:t>The quantitative approach allows the assessment of net effects of precisely delimited NRN activities and make comparisons of evaluation results across NRNs/countries easier.</w:t>
            </w:r>
          </w:p>
        </w:tc>
        <w:tc>
          <w:tcPr>
            <w:tcW w:w="2822" w:type="dxa"/>
            <w:shd w:val="clear" w:color="auto" w:fill="auto"/>
          </w:tcPr>
          <w:p w:rsidR="001924CD" w:rsidRPr="008D0759" w:rsidRDefault="001924CD" w:rsidP="004C05DD">
            <w:pPr>
              <w:pStyle w:val="Htableleft"/>
              <w:rPr>
                <w:color w:val="576C88" w:themeColor="text2" w:themeTint="D9"/>
              </w:rPr>
            </w:pPr>
            <w:r>
              <w:rPr>
                <w:color w:val="576C88" w:themeColor="text2" w:themeTint="D9"/>
              </w:rPr>
              <w:t xml:space="preserve">There are difficulties </w:t>
            </w:r>
          </w:p>
          <w:p w:rsidR="001924CD" w:rsidRPr="007E5604" w:rsidRDefault="001924CD" w:rsidP="001924CD">
            <w:pPr>
              <w:pStyle w:val="Htablebullet"/>
              <w:rPr>
                <w:color w:val="576C88" w:themeColor="text2" w:themeTint="D9"/>
                <w:lang w:val="en-US"/>
              </w:rPr>
            </w:pPr>
            <w:r w:rsidRPr="007E5604">
              <w:rPr>
                <w:color w:val="576C88" w:themeColor="text2" w:themeTint="D9"/>
                <w:lang w:val="en-US"/>
              </w:rPr>
              <w:t>to quantify changes in the human and social capital;</w:t>
            </w:r>
          </w:p>
          <w:p w:rsidR="001924CD" w:rsidRPr="007E5604" w:rsidRDefault="001924CD" w:rsidP="001924CD">
            <w:pPr>
              <w:pStyle w:val="Htablebullet"/>
              <w:rPr>
                <w:color w:val="576C88" w:themeColor="text2" w:themeTint="D9"/>
                <w:lang w:val="en-US"/>
              </w:rPr>
            </w:pPr>
            <w:r w:rsidRPr="007E5604">
              <w:rPr>
                <w:color w:val="576C88" w:themeColor="text2" w:themeTint="D9"/>
                <w:lang w:val="en-US"/>
              </w:rPr>
              <w:t>to delimitate beneficiaries from non-beneficiaries in many areas of NRN interventions, at least in quantitative terms</w:t>
            </w:r>
          </w:p>
          <w:p w:rsidR="001924CD" w:rsidRPr="007E5604" w:rsidRDefault="001924CD" w:rsidP="001924CD">
            <w:pPr>
              <w:pStyle w:val="Htablebullet"/>
              <w:rPr>
                <w:color w:val="576C88" w:themeColor="text2" w:themeTint="D9"/>
                <w:lang w:val="en-US"/>
              </w:rPr>
            </w:pPr>
            <w:r w:rsidRPr="007E5604">
              <w:rPr>
                <w:color w:val="576C88" w:themeColor="text2" w:themeTint="D9"/>
                <w:lang w:val="en-US"/>
              </w:rPr>
              <w:t>to obtain data for NRN activities which are meaningful in relation to the stipulated added value of NRN;</w:t>
            </w:r>
          </w:p>
          <w:p w:rsidR="001924CD" w:rsidRPr="007E5604" w:rsidRDefault="001924CD" w:rsidP="001924CD">
            <w:pPr>
              <w:pStyle w:val="Htablebullet"/>
              <w:rPr>
                <w:color w:val="576C88" w:themeColor="text2" w:themeTint="D9"/>
                <w:lang w:val="en-US"/>
              </w:rPr>
            </w:pPr>
            <w:r w:rsidRPr="007E5604">
              <w:rPr>
                <w:color w:val="576C88" w:themeColor="text2" w:themeTint="D9"/>
                <w:lang w:val="en-US"/>
              </w:rPr>
              <w:t>to number activities and outputs in a context of matchless and nonrecurring interventions;</w:t>
            </w:r>
          </w:p>
          <w:p w:rsidR="001924CD" w:rsidRPr="007E5604" w:rsidRDefault="001924CD" w:rsidP="001924CD">
            <w:pPr>
              <w:pStyle w:val="Htablebullet"/>
              <w:rPr>
                <w:color w:val="576C88" w:themeColor="text2" w:themeTint="D9"/>
                <w:lang w:val="en-US"/>
              </w:rPr>
            </w:pPr>
            <w:r w:rsidRPr="007E5604">
              <w:rPr>
                <w:color w:val="576C88" w:themeColor="text2" w:themeTint="D9"/>
                <w:lang w:val="en-US"/>
              </w:rPr>
              <w:lastRenderedPageBreak/>
              <w:t>to net out any observed effects by pondering the influence of other interventions;</w:t>
            </w:r>
          </w:p>
          <w:p w:rsidR="001924CD" w:rsidRPr="007E5604" w:rsidRDefault="001924CD" w:rsidP="001924CD">
            <w:pPr>
              <w:pStyle w:val="Htablebullet"/>
              <w:rPr>
                <w:color w:val="576C88" w:themeColor="text2" w:themeTint="D9"/>
                <w:lang w:val="en-US"/>
              </w:rPr>
            </w:pPr>
            <w:r w:rsidRPr="007E5604">
              <w:rPr>
                <w:color w:val="576C88" w:themeColor="text2" w:themeTint="D9"/>
                <w:lang w:val="en-US"/>
              </w:rPr>
              <w:t>to get reliable quantitative data over a longer period of time (as in the past mostly qualitative information on NRN has been collected).</w:t>
            </w:r>
          </w:p>
        </w:tc>
        <w:tc>
          <w:tcPr>
            <w:tcW w:w="2422" w:type="dxa"/>
            <w:shd w:val="clear" w:color="auto" w:fill="auto"/>
          </w:tcPr>
          <w:p w:rsidR="001924CD" w:rsidRPr="007E5604" w:rsidRDefault="001924CD" w:rsidP="001924CD">
            <w:pPr>
              <w:pStyle w:val="Htableleft"/>
              <w:numPr>
                <w:ilvl w:val="0"/>
                <w:numId w:val="17"/>
              </w:numPr>
              <w:rPr>
                <w:lang w:val="en-US"/>
              </w:rPr>
            </w:pPr>
            <w:r w:rsidRPr="007E5604">
              <w:rPr>
                <w:color w:val="576C88" w:themeColor="text2" w:themeTint="D9"/>
                <w:lang w:val="en-US"/>
              </w:rPr>
              <w:lastRenderedPageBreak/>
              <w:t>Outputs of NRN activities, e.g. the three common output indicators;</w:t>
            </w:r>
          </w:p>
          <w:p w:rsidR="001924CD" w:rsidRPr="007E5604" w:rsidRDefault="001924CD" w:rsidP="001924CD">
            <w:pPr>
              <w:pStyle w:val="Htableleft"/>
              <w:numPr>
                <w:ilvl w:val="0"/>
                <w:numId w:val="17"/>
              </w:numPr>
              <w:rPr>
                <w:lang w:val="en-US"/>
              </w:rPr>
            </w:pPr>
            <w:r w:rsidRPr="007E5604">
              <w:rPr>
                <w:color w:val="576C88" w:themeColor="text2" w:themeTint="D9"/>
                <w:lang w:val="en-US"/>
              </w:rPr>
              <w:t>Results of NRN activities where the use of outputs can be clearly attributed to certain beneficiaries or users</w:t>
            </w:r>
            <w:r w:rsidRPr="007E5604">
              <w:rPr>
                <w:lang w:val="en-US"/>
              </w:rPr>
              <w:t xml:space="preserve">, e.g. </w:t>
            </w:r>
          </w:p>
          <w:p w:rsidR="001924CD" w:rsidRPr="007E5604" w:rsidRDefault="001924CD" w:rsidP="001924CD">
            <w:pPr>
              <w:pStyle w:val="Htableleft"/>
              <w:numPr>
                <w:ilvl w:val="1"/>
                <w:numId w:val="17"/>
              </w:numPr>
              <w:ind w:left="624" w:hanging="284"/>
              <w:rPr>
                <w:lang w:val="en-US"/>
              </w:rPr>
            </w:pPr>
            <w:r w:rsidRPr="007E5604">
              <w:rPr>
                <w:lang w:val="en-US"/>
              </w:rPr>
              <w:t>the degree of information enquired among readers of newsletters;</w:t>
            </w:r>
          </w:p>
          <w:p w:rsidR="001924CD" w:rsidRPr="007E5604" w:rsidRDefault="001924CD" w:rsidP="001924CD">
            <w:pPr>
              <w:pStyle w:val="Htableleft"/>
              <w:numPr>
                <w:ilvl w:val="1"/>
                <w:numId w:val="17"/>
              </w:numPr>
              <w:ind w:left="624" w:hanging="284"/>
              <w:rPr>
                <w:lang w:val="en-US"/>
              </w:rPr>
            </w:pPr>
            <w:r w:rsidRPr="007E5604">
              <w:rPr>
                <w:lang w:val="en-US"/>
              </w:rPr>
              <w:t xml:space="preserve">the degree of satisfaction of </w:t>
            </w:r>
            <w:r w:rsidRPr="007E5604">
              <w:rPr>
                <w:lang w:val="en-US"/>
              </w:rPr>
              <w:lastRenderedPageBreak/>
              <w:t>inquirers in search for support;</w:t>
            </w:r>
          </w:p>
          <w:p w:rsidR="001924CD" w:rsidRPr="007E5604" w:rsidRDefault="001924CD" w:rsidP="001924CD">
            <w:pPr>
              <w:pStyle w:val="Htableleft"/>
              <w:numPr>
                <w:ilvl w:val="1"/>
                <w:numId w:val="17"/>
              </w:numPr>
              <w:ind w:left="624" w:hanging="284"/>
              <w:rPr>
                <w:lang w:val="en-US"/>
              </w:rPr>
            </w:pPr>
            <w:r w:rsidRPr="007E5604">
              <w:rPr>
                <w:lang w:val="en-US"/>
              </w:rPr>
              <w:t>the degree of use of the website, distinguished by offers (downloads, blogs…)</w:t>
            </w:r>
          </w:p>
          <w:p w:rsidR="001924CD" w:rsidRPr="008D0759" w:rsidRDefault="001924CD" w:rsidP="004C05DD">
            <w:pPr>
              <w:pStyle w:val="Htableleft"/>
            </w:pPr>
            <w:r>
              <w:t xml:space="preserve">Measuring involvement of stakeholders </w:t>
            </w:r>
          </w:p>
        </w:tc>
      </w:tr>
    </w:tbl>
    <w:p w:rsidR="001924CD" w:rsidRPr="007E5604" w:rsidRDefault="001924CD" w:rsidP="00340AD4">
      <w:pPr>
        <w:pStyle w:val="HStandard"/>
        <w:rPr>
          <w:lang w:val="en-US"/>
        </w:rPr>
      </w:pPr>
      <w:r w:rsidRPr="007E5604">
        <w:rPr>
          <w:b/>
          <w:lang w:val="en-US"/>
        </w:rPr>
        <w:lastRenderedPageBreak/>
        <w:t xml:space="preserve">Mixing of both approaches </w:t>
      </w:r>
      <w:r w:rsidRPr="007E5604">
        <w:rPr>
          <w:lang w:val="en-US"/>
        </w:rPr>
        <w:t>facilitates applying quantitative approaches for quantifiable NRN activities and qualitative ones for non-quantifiable ones; for instance, the quantitative assessment of good practice collection can be combined with the qualitative assessment of how this has contributed to increasing the knowledge base amongst rural stakeholders. This also allows for the cross-checking of findings from quantitative approaches with the use of qualitative ones; for instance, the quantitative results from the assessment of NRN events can be verified with the qualitative results of opinion surveys and stakeholder interviews.</w:t>
      </w:r>
    </w:p>
    <w:p w:rsidR="001924CD" w:rsidRPr="007E5604" w:rsidRDefault="001924CD" w:rsidP="007046A4">
      <w:pPr>
        <w:pStyle w:val="HStandard"/>
        <w:rPr>
          <w:b/>
          <w:color w:val="ED7D31" w:themeColor="accent2"/>
          <w:lang w:val="en-US"/>
        </w:rPr>
      </w:pPr>
      <w:r w:rsidRPr="007E5604">
        <w:rPr>
          <w:b/>
          <w:color w:val="ED7D31" w:themeColor="accent2"/>
          <w:lang w:val="en-US"/>
        </w:rPr>
        <w:t>Step 4 - Decide on the NRN evaluation approach</w:t>
      </w:r>
    </w:p>
    <w:p w:rsidR="001924CD" w:rsidRPr="007E5604" w:rsidRDefault="001924CD" w:rsidP="00340AD4">
      <w:pPr>
        <w:pStyle w:val="HStandard"/>
        <w:rPr>
          <w:lang w:val="en-US"/>
        </w:rPr>
      </w:pPr>
      <w:r w:rsidRPr="007E5604">
        <w:rPr>
          <w:lang w:val="en-US"/>
        </w:rPr>
        <w:t>Apart from considering the advantages and drawbacks of different evaluation approaches, the selection of a robust evaluation approach should account for:</w:t>
      </w:r>
    </w:p>
    <w:p w:rsidR="001924CD" w:rsidRPr="007E5604" w:rsidRDefault="001924CD" w:rsidP="00340AD4">
      <w:pPr>
        <w:pStyle w:val="Hlistbullet2"/>
        <w:rPr>
          <w:lang w:val="en-US"/>
        </w:rPr>
      </w:pPr>
      <w:r w:rsidRPr="007E5604">
        <w:rPr>
          <w:lang w:val="en-US"/>
        </w:rPr>
        <w:t xml:space="preserve">the validity of results offered by the evaluation approach, </w:t>
      </w:r>
    </w:p>
    <w:p w:rsidR="001924CD" w:rsidRPr="008D0759" w:rsidRDefault="001924CD" w:rsidP="00340AD4">
      <w:pPr>
        <w:pStyle w:val="Hlistbullet2"/>
      </w:pPr>
      <w:r>
        <w:t xml:space="preserve">the scale of measurement, </w:t>
      </w:r>
    </w:p>
    <w:p w:rsidR="001924CD" w:rsidRPr="007E5604" w:rsidRDefault="001924CD" w:rsidP="00340AD4">
      <w:pPr>
        <w:pStyle w:val="Hlistbullet2"/>
        <w:rPr>
          <w:lang w:val="en-US"/>
        </w:rPr>
      </w:pPr>
      <w:r w:rsidRPr="007E5604">
        <w:rPr>
          <w:lang w:val="en-US"/>
        </w:rPr>
        <w:t>the possibility to model output, result and impact indicators into a coherent cause-effect structure,</w:t>
      </w:r>
    </w:p>
    <w:p w:rsidR="001924CD" w:rsidRPr="007E5604" w:rsidRDefault="001924CD" w:rsidP="00340AD4">
      <w:pPr>
        <w:pStyle w:val="Hlistbullet2"/>
        <w:rPr>
          <w:lang w:val="en-US"/>
        </w:rPr>
      </w:pPr>
      <w:r w:rsidRPr="007E5604">
        <w:rPr>
          <w:lang w:val="en-US"/>
        </w:rPr>
        <w:t xml:space="preserve">the ability to analyse the counterfactual where it seems to be feasible, </w:t>
      </w:r>
    </w:p>
    <w:p w:rsidR="001924CD" w:rsidRPr="007E5604" w:rsidRDefault="001924CD" w:rsidP="00340AD4">
      <w:pPr>
        <w:pStyle w:val="Hlistbullet2"/>
        <w:rPr>
          <w:lang w:val="en-US"/>
        </w:rPr>
      </w:pPr>
      <w:r w:rsidRPr="007E5604">
        <w:rPr>
          <w:lang w:val="en-US"/>
        </w:rPr>
        <w:t>the ability to capture unintended effects and</w:t>
      </w:r>
    </w:p>
    <w:p w:rsidR="001924CD" w:rsidRPr="007E5604" w:rsidRDefault="001924CD" w:rsidP="00340AD4">
      <w:pPr>
        <w:pStyle w:val="Hlistbullet2"/>
        <w:rPr>
          <w:lang w:val="en-US"/>
        </w:rPr>
      </w:pPr>
      <w:r w:rsidRPr="007E5604">
        <w:rPr>
          <w:lang w:val="en-US"/>
        </w:rPr>
        <w:t>the antecedents and the actual time horizon of the intervention</w:t>
      </w:r>
      <w:r w:rsidRPr="007E5604">
        <w:rPr>
          <w:rFonts w:ascii="ZWAdobeF" w:hAnsi="ZWAdobeF"/>
          <w:color w:val="auto"/>
          <w:sz w:val="2"/>
          <w:lang w:val="en-US"/>
        </w:rPr>
        <w:t>94F</w:t>
      </w:r>
      <w:r>
        <w:rPr>
          <w:rStyle w:val="FootnoteReference"/>
        </w:rPr>
        <w:footnoteReference w:id="95"/>
      </w:r>
      <w:r w:rsidRPr="007E5604">
        <w:rPr>
          <w:lang w:val="en-US"/>
        </w:rPr>
        <w:t>.</w:t>
      </w:r>
    </w:p>
    <w:p w:rsidR="001924CD" w:rsidRPr="007E5604" w:rsidRDefault="001924CD" w:rsidP="00340AD4">
      <w:pPr>
        <w:pStyle w:val="HStandard"/>
        <w:rPr>
          <w:lang w:val="en-US"/>
        </w:rPr>
      </w:pPr>
      <w:r w:rsidRPr="007E5604">
        <w:rPr>
          <w:lang w:val="en-US"/>
        </w:rPr>
        <w:t xml:space="preserve">Given the complexity of NRN evaluation, a </w:t>
      </w:r>
      <w:r w:rsidRPr="007E5604">
        <w:rPr>
          <w:b/>
          <w:lang w:val="en-US"/>
        </w:rPr>
        <w:t>mixed approach</w:t>
      </w:r>
      <w:r w:rsidRPr="007E5604">
        <w:rPr>
          <w:lang w:val="en-US"/>
        </w:rPr>
        <w:t>, combining qualitative with quantitative methods will be the appropriate choice.</w:t>
      </w:r>
    </w:p>
    <w:p w:rsidR="001924CD" w:rsidRPr="007E5604" w:rsidRDefault="001924CD" w:rsidP="00340AD4">
      <w:pPr>
        <w:pStyle w:val="HStandard"/>
        <w:rPr>
          <w:lang w:val="en-US"/>
        </w:rPr>
      </w:pPr>
      <w:r w:rsidRPr="007E5604">
        <w:rPr>
          <w:lang w:val="en-US"/>
        </w:rPr>
        <w:t xml:space="preserve">Particularly at the higher level of NRN objectives, at the level of NRN results and impacts, the character of NRNs implies a strong emphasis on qualitative evaluation:  </w:t>
      </w:r>
    </w:p>
    <w:p w:rsidR="001924CD" w:rsidRPr="007E5604" w:rsidRDefault="001924CD" w:rsidP="00340AD4">
      <w:pPr>
        <w:pStyle w:val="Hlistbullet2"/>
        <w:rPr>
          <w:lang w:val="en-US"/>
        </w:rPr>
      </w:pPr>
      <w:r w:rsidRPr="007E5604">
        <w:rPr>
          <w:lang w:val="en-US"/>
        </w:rPr>
        <w:t xml:space="preserve">firstly, because the sphere of activities and influence of the NRN goes beyond the RDP beneficiaries and affects the wider range of the rural actors; </w:t>
      </w:r>
    </w:p>
    <w:p w:rsidR="001924CD" w:rsidRPr="007E5604" w:rsidRDefault="001924CD" w:rsidP="00340AD4">
      <w:pPr>
        <w:pStyle w:val="Hlistbullet2"/>
        <w:rPr>
          <w:lang w:val="en-US"/>
        </w:rPr>
      </w:pPr>
      <w:r w:rsidRPr="007E5604">
        <w:rPr>
          <w:lang w:val="en-US"/>
        </w:rPr>
        <w:t>secondly, NRN activities addressed to a specific target group may have an effect also on non-beneficiaries; for instance, the information of a thematic exchange event targeting farmers will also have an effect on awareness raising of other stakeholders in the area. There is no such thing as linear cause-effect chains in social systems. Moreover, NRNs are social systems and any intervention from a NSU inseparably blends with the signal noise from other communications, interactions and any occurrences influencing the behaviour of beneficiaries and stakeholders.</w:t>
      </w:r>
    </w:p>
    <w:p w:rsidR="001924CD" w:rsidRPr="007E5604" w:rsidRDefault="001924CD">
      <w:pPr>
        <w:spacing w:after="0" w:line="240" w:lineRule="auto"/>
        <w:rPr>
          <w:b/>
          <w:bCs/>
          <w:color w:val="576C88" w:themeColor="text2" w:themeTint="D9"/>
          <w:sz w:val="20"/>
          <w:lang w:val="en-US"/>
        </w:rPr>
      </w:pPr>
      <w:r w:rsidRPr="007E5604">
        <w:rPr>
          <w:lang w:val="en-US"/>
        </w:rPr>
        <w:br w:type="page"/>
      </w:r>
    </w:p>
    <w:p w:rsidR="001924CD" w:rsidRPr="007E5604" w:rsidRDefault="001924CD" w:rsidP="00340AD4">
      <w:pPr>
        <w:pStyle w:val="Heading6"/>
        <w:rPr>
          <w:lang w:val="en-US"/>
        </w:rPr>
      </w:pPr>
      <w:r w:rsidRPr="007E5604">
        <w:rPr>
          <w:lang w:val="en-US"/>
        </w:rPr>
        <w:lastRenderedPageBreak/>
        <w:t>Counterfactual assessment: where and when?</w:t>
      </w:r>
    </w:p>
    <w:p w:rsidR="001924CD" w:rsidRPr="007E5604" w:rsidRDefault="001924CD" w:rsidP="00340AD4">
      <w:pPr>
        <w:pStyle w:val="HStandard"/>
        <w:rPr>
          <w:lang w:val="en-US"/>
        </w:rPr>
      </w:pPr>
      <w:r w:rsidRPr="007E5604">
        <w:rPr>
          <w:lang w:val="en-US"/>
        </w:rPr>
        <w:t>Sound evaluation practices require the counterfactual to attribute observable effects to programme interventions</w:t>
      </w:r>
      <w:r w:rsidRPr="007E5604">
        <w:rPr>
          <w:rFonts w:ascii="ZWAdobeF" w:hAnsi="ZWAdobeF"/>
          <w:color w:val="auto"/>
          <w:sz w:val="2"/>
          <w:lang w:val="en-US"/>
        </w:rPr>
        <w:t>95F</w:t>
      </w:r>
      <w:r>
        <w:rPr>
          <w:rStyle w:val="FootnoteReference"/>
        </w:rPr>
        <w:footnoteReference w:id="96"/>
      </w:r>
      <w:r w:rsidRPr="007E5604">
        <w:rPr>
          <w:lang w:val="en-US"/>
        </w:rPr>
        <w:t xml:space="preserve">. Counterfactual assessment is possible with both quantitative and qualitative approaches and can be applied without clear-cut control groups in the situation when there are no non-beneficiaries. There are different possibilities to design and apply a counterfactual by using various methods and techniques (counterfactual design based on statistics, on modelling or on qualitative approaches), even when all rural actors are included in NRN’s activities (although to varying degrees). </w:t>
      </w:r>
    </w:p>
    <w:p w:rsidR="001924CD" w:rsidRPr="007E5604" w:rsidRDefault="001924CD" w:rsidP="00340AD4">
      <w:pPr>
        <w:pStyle w:val="HStandard"/>
        <w:rPr>
          <w:b/>
          <w:lang w:val="en-US"/>
        </w:rPr>
      </w:pPr>
      <w:r w:rsidRPr="007E5604">
        <w:rPr>
          <w:lang w:val="en-US"/>
        </w:rPr>
        <w:t>All in all, the more targeted and standardised the type of intervention is, the more appropriate and feasible will be the counterfactual assessment</w:t>
      </w:r>
      <w:r w:rsidRPr="007E5604">
        <w:rPr>
          <w:rFonts w:ascii="ZWAdobeF" w:hAnsi="ZWAdobeF"/>
          <w:color w:val="auto"/>
          <w:sz w:val="2"/>
          <w:lang w:val="en-US"/>
        </w:rPr>
        <w:t>96F</w:t>
      </w:r>
      <w:r>
        <w:rPr>
          <w:rStyle w:val="FootnoteReference"/>
        </w:rPr>
        <w:footnoteReference w:id="97"/>
      </w:r>
      <w:r w:rsidRPr="007E5604">
        <w:rPr>
          <w:lang w:val="en-US"/>
        </w:rPr>
        <w:t>. It should be decided at an early stage of programme evaluation (ideally in the setting up of the evaluation plan), which thematic areas and indicators would be subject to counterfactual assessment, in order to set appropriate baselines and cater for the subsequent data collection</w:t>
      </w:r>
      <w:r w:rsidRPr="007E5604">
        <w:rPr>
          <w:rFonts w:ascii="ZWAdobeF" w:hAnsi="ZWAdobeF"/>
          <w:color w:val="auto"/>
          <w:sz w:val="2"/>
          <w:lang w:val="en-US"/>
        </w:rPr>
        <w:t>97F</w:t>
      </w:r>
      <w:r>
        <w:rPr>
          <w:rStyle w:val="FootnoteReference"/>
        </w:rPr>
        <w:footnoteReference w:id="98"/>
      </w:r>
      <w:bookmarkStart w:id="208" w:name="_Toc434744515"/>
      <w:bookmarkStart w:id="209" w:name="_Toc433481230"/>
      <w:bookmarkStart w:id="210" w:name="_Toc433718138"/>
      <w:bookmarkStart w:id="211" w:name="_Toc436140057"/>
      <w:r w:rsidRPr="007E5604">
        <w:rPr>
          <w:lang w:val="en-US"/>
        </w:rPr>
        <w:t>.</w:t>
      </w:r>
    </w:p>
    <w:p w:rsidR="001924CD" w:rsidRPr="007E5604" w:rsidRDefault="001924CD" w:rsidP="00340AD4">
      <w:pPr>
        <w:pStyle w:val="Heading6"/>
        <w:rPr>
          <w:lang w:val="en-US"/>
        </w:rPr>
      </w:pPr>
      <w:r w:rsidRPr="007E5604">
        <w:rPr>
          <w:lang w:val="en-US"/>
        </w:rPr>
        <w:t>Choosing evaluation methods for NRNs</w:t>
      </w:r>
      <w:bookmarkEnd w:id="208"/>
      <w:bookmarkEnd w:id="209"/>
      <w:bookmarkEnd w:id="210"/>
      <w:bookmarkEnd w:id="211"/>
    </w:p>
    <w:p w:rsidR="001924CD" w:rsidRPr="007E5604" w:rsidRDefault="001924CD" w:rsidP="00340AD4">
      <w:pPr>
        <w:pStyle w:val="HStandard"/>
        <w:rPr>
          <w:lang w:val="en-US"/>
        </w:rPr>
      </w:pPr>
      <w:r w:rsidRPr="007E5604">
        <w:rPr>
          <w:lang w:val="en-US"/>
        </w:rPr>
        <w:t xml:space="preserve">Choosing a mixed-methods approach means to systematically adopt various perspectives and observation devices. The Helpdesk’s Guidance on </w:t>
      </w:r>
      <w:r w:rsidRPr="007E5604">
        <w:rPr>
          <w:i/>
          <w:lang w:val="en-US"/>
        </w:rPr>
        <w:t>“Capturing the Impacts of LEADER and of measures to improve the quality of life in rural areas”</w:t>
      </w:r>
      <w:r w:rsidRPr="007E5604">
        <w:rPr>
          <w:rFonts w:ascii="ZWAdobeF" w:hAnsi="ZWAdobeF"/>
          <w:color w:val="auto"/>
          <w:sz w:val="2"/>
          <w:lang w:val="en-US"/>
        </w:rPr>
        <w:t>98F</w:t>
      </w:r>
      <w:r>
        <w:rPr>
          <w:rStyle w:val="FootnoteReference"/>
        </w:rPr>
        <w:footnoteReference w:id="99"/>
      </w:r>
      <w:r w:rsidRPr="007E5604">
        <w:rPr>
          <w:lang w:val="en-US"/>
        </w:rPr>
        <w:t xml:space="preserve"> devotes a whole chapter to “matching complexity with triangulation”. A closer look at the term reveals that </w:t>
      </w:r>
      <w:r w:rsidRPr="007E5604">
        <w:rPr>
          <w:b/>
          <w:lang w:val="en-US"/>
        </w:rPr>
        <w:t>triangulation</w:t>
      </w:r>
      <w:r w:rsidRPr="007E5604">
        <w:rPr>
          <w:lang w:val="en-US"/>
        </w:rPr>
        <w:t xml:space="preserve"> can refer to different aspects:</w:t>
      </w:r>
    </w:p>
    <w:p w:rsidR="001924CD" w:rsidRPr="007E5604" w:rsidRDefault="001924CD" w:rsidP="00340AD4">
      <w:pPr>
        <w:pStyle w:val="Hlistbullet2"/>
        <w:rPr>
          <w:lang w:val="en-US"/>
        </w:rPr>
      </w:pPr>
      <w:r w:rsidRPr="007E5604">
        <w:rPr>
          <w:lang w:val="en-US"/>
        </w:rPr>
        <w:t>Evaluator triangulation involves a broad range of competences within the evaluation team;</w:t>
      </w:r>
    </w:p>
    <w:p w:rsidR="001924CD" w:rsidRPr="007E5604" w:rsidRDefault="001924CD" w:rsidP="00340AD4">
      <w:pPr>
        <w:pStyle w:val="Hlistbullet2"/>
        <w:rPr>
          <w:lang w:val="en-US"/>
        </w:rPr>
      </w:pPr>
      <w:r w:rsidRPr="007E5604">
        <w:rPr>
          <w:lang w:val="en-US"/>
        </w:rPr>
        <w:t>Methodological triangulation, which means using more than one method to gather data (such as interviews, questionnaires, focus groups and documentary analysis);</w:t>
      </w:r>
    </w:p>
    <w:p w:rsidR="001924CD" w:rsidRPr="007E5604" w:rsidRDefault="001924CD" w:rsidP="00340AD4">
      <w:pPr>
        <w:pStyle w:val="Hlistbullet2"/>
        <w:rPr>
          <w:lang w:val="en-US"/>
        </w:rPr>
      </w:pPr>
      <w:r w:rsidRPr="007E5604">
        <w:rPr>
          <w:lang w:val="en-US"/>
        </w:rPr>
        <w:t>Data triangulation in respect to space and people.</w:t>
      </w:r>
    </w:p>
    <w:p w:rsidR="001924CD" w:rsidRPr="000D1D32" w:rsidRDefault="001924CD" w:rsidP="00340AD4">
      <w:pPr>
        <w:pStyle w:val="Heading6"/>
        <w:rPr>
          <w:highlight w:val="yellow"/>
        </w:rPr>
      </w:pPr>
      <w:r>
        <w:rPr>
          <w:highlight w:val="yellow"/>
        </w:rPr>
        <w:t>Jakie są odpowiednie metody ewaluacji KSOW?</w:t>
      </w:r>
    </w:p>
    <w:p w:rsidR="001924CD" w:rsidRPr="000D1D32" w:rsidRDefault="001924CD" w:rsidP="00340AD4">
      <w:pPr>
        <w:pStyle w:val="HStandard"/>
        <w:rPr>
          <w:highlight w:val="yellow"/>
        </w:rPr>
      </w:pPr>
      <w:r>
        <w:rPr>
          <w:highlight w:val="yellow"/>
        </w:rPr>
        <w:fldChar w:fldCharType="begin" w:fldLock="1"/>
      </w:r>
      <w:r>
        <w:rPr>
          <w:highlight w:val="yellow"/>
        </w:rPr>
        <w:instrText xml:space="preserve"> REF _Ref433724277 \r \h  \* MERGEFORMAT </w:instrText>
      </w:r>
      <w:r>
        <w:rPr>
          <w:highlight w:val="yellow"/>
        </w:rPr>
      </w:r>
      <w:r>
        <w:rPr>
          <w:highlight w:val="yellow"/>
        </w:rPr>
        <w:fldChar w:fldCharType="separate"/>
      </w:r>
      <w:r>
        <w:rPr>
          <w:highlight w:val="yellow"/>
        </w:rPr>
        <w:t>Figure 19</w:t>
      </w:r>
      <w:r>
        <w:rPr>
          <w:highlight w:val="yellow"/>
        </w:rPr>
        <w:fldChar w:fldCharType="end"/>
      </w:r>
      <w:r>
        <w:rPr>
          <w:highlight w:val="yellow"/>
        </w:rPr>
        <w:t xml:space="preserve"> przedstawia metody, które można polecić do celów ewaluacji interwencji PROW, przy czym nie jest to kompletny </w:t>
      </w:r>
      <w:r w:rsidRPr="006169E7">
        <w:rPr>
          <w:highlight w:val="yellow"/>
        </w:rPr>
        <w:t xml:space="preserve">wykaz. Solidne </w:t>
      </w:r>
      <w:r>
        <w:rPr>
          <w:highlight w:val="yellow"/>
        </w:rPr>
        <w:t>podejście metodologiczne obejmuje zestaw różnorodnych metod, aby zapewnić uzyskanie wielowymiarowego obrazu tego, co dzieje się w rzeczywistości.</w:t>
      </w:r>
    </w:p>
    <w:p w:rsidR="001924CD" w:rsidRPr="000D1D32" w:rsidRDefault="001924CD">
      <w:pPr>
        <w:spacing w:after="0" w:line="240" w:lineRule="auto"/>
        <w:rPr>
          <w:rFonts w:cs="Arial"/>
          <w:color w:val="576C88" w:themeColor="text2" w:themeTint="D9"/>
          <w:sz w:val="20"/>
          <w:szCs w:val="20"/>
          <w:highlight w:val="yellow"/>
        </w:rPr>
      </w:pPr>
      <w:r>
        <w:br w:type="page"/>
      </w:r>
    </w:p>
    <w:p w:rsidR="001924CD" w:rsidRPr="000D1D32" w:rsidRDefault="001924CD" w:rsidP="00340AD4">
      <w:pPr>
        <w:pStyle w:val="HHeadingfigures"/>
        <w:rPr>
          <w:highlight w:val="yellow"/>
        </w:rPr>
      </w:pPr>
      <w:bookmarkStart w:id="212" w:name="_Ref433724277"/>
      <w:bookmarkStart w:id="213" w:name="_Toc436140076"/>
      <w:bookmarkStart w:id="214" w:name="_Toc436383168"/>
      <w:bookmarkStart w:id="215" w:name="_Toc451781938"/>
      <w:r>
        <w:rPr>
          <w:highlight w:val="yellow"/>
        </w:rPr>
        <w:lastRenderedPageBreak/>
        <w:t>Metody ewaluacji KSOW/PKSOW</w:t>
      </w:r>
      <w:bookmarkEnd w:id="212"/>
      <w:bookmarkEnd w:id="213"/>
      <w:bookmarkEnd w:id="214"/>
      <w:bookmarkEnd w:id="215"/>
    </w:p>
    <w:p w:rsidR="001924CD" w:rsidRPr="000D1D32" w:rsidRDefault="001924CD" w:rsidP="00320BBA">
      <w:pPr>
        <w:jc w:val="center"/>
        <w:rPr>
          <w:highlight w:val="yellow"/>
        </w:rPr>
      </w:pPr>
      <w:r w:rsidRPr="007E5604">
        <w:rPr>
          <w:noProof/>
          <w:highlight w:val="yellow"/>
          <w:lang w:eastAsia="en-GB"/>
        </w:rPr>
        <w:drawing>
          <wp:inline distT="0" distB="0" distL="0" distR="0" wp14:anchorId="44BF2D0B" wp14:editId="519F46E3">
            <wp:extent cx="5699228" cy="411480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1969" cy="4131219"/>
                    </a:xfrm>
                    <a:prstGeom prst="rect">
                      <a:avLst/>
                    </a:prstGeom>
                    <a:noFill/>
                    <a:ln>
                      <a:noFill/>
                    </a:ln>
                  </pic:spPr>
                </pic:pic>
              </a:graphicData>
            </a:graphic>
          </wp:inline>
        </w:drawing>
      </w:r>
      <w:r w:rsidRPr="007E5604">
        <w:rPr>
          <w:highlight w:val="yellow"/>
        </w:rPr>
        <w:t xml:space="preserve"> </w:t>
      </w:r>
    </w:p>
    <w:p w:rsidR="001924CD" w:rsidRPr="000D1D32" w:rsidRDefault="001924CD" w:rsidP="00320BBA">
      <w:pPr>
        <w:pStyle w:val="HSource"/>
        <w:rPr>
          <w:highlight w:val="yellow"/>
        </w:rPr>
      </w:pPr>
      <w:r>
        <w:rPr>
          <w:highlight w:val="yellow"/>
        </w:rPr>
        <w:t>Source: Europejskie Biuro Pomocy ds. Ewaluacji Rozwoju Obszarów Wiejskich, 2016 r.</w:t>
      </w:r>
    </w:p>
    <w:p w:rsidR="001924CD" w:rsidRPr="000D1D32" w:rsidRDefault="001924CD" w:rsidP="00340AD4">
      <w:pPr>
        <w:pStyle w:val="HStandard"/>
        <w:rPr>
          <w:highlight w:val="yellow"/>
        </w:rPr>
      </w:pPr>
      <w:r>
        <w:rPr>
          <w:highlight w:val="yellow"/>
        </w:rPr>
        <w:t xml:space="preserve">Metody na żółtym polu można z grubsza podzielić na: </w:t>
      </w:r>
    </w:p>
    <w:p w:rsidR="001924CD" w:rsidRPr="000D1D32" w:rsidRDefault="001924CD" w:rsidP="00340AD4">
      <w:pPr>
        <w:pStyle w:val="Hlistbullet2"/>
        <w:rPr>
          <w:highlight w:val="yellow"/>
        </w:rPr>
      </w:pPr>
      <w:r>
        <w:rPr>
          <w:highlight w:val="yellow"/>
        </w:rPr>
        <w:t>Sondaże</w:t>
      </w:r>
    </w:p>
    <w:p w:rsidR="001924CD" w:rsidRPr="000D1D32" w:rsidRDefault="001924CD" w:rsidP="00340AD4">
      <w:pPr>
        <w:pStyle w:val="Hlistbullet2"/>
        <w:rPr>
          <w:highlight w:val="yellow"/>
        </w:rPr>
      </w:pPr>
      <w:r>
        <w:rPr>
          <w:highlight w:val="yellow"/>
        </w:rPr>
        <w:t>Metody oparte na dialogu</w:t>
      </w:r>
    </w:p>
    <w:p w:rsidR="001924CD" w:rsidRPr="000D1D32" w:rsidRDefault="001924CD" w:rsidP="00340AD4">
      <w:pPr>
        <w:pStyle w:val="Hlistbullet2"/>
        <w:rPr>
          <w:highlight w:val="yellow"/>
        </w:rPr>
      </w:pPr>
      <w:r>
        <w:rPr>
          <w:highlight w:val="yellow"/>
        </w:rPr>
        <w:t>Metody analityczne</w:t>
      </w:r>
    </w:p>
    <w:p w:rsidR="001924CD" w:rsidRPr="000D1D32" w:rsidRDefault="001924CD" w:rsidP="00340AD4">
      <w:pPr>
        <w:pStyle w:val="Hlistbullet2"/>
        <w:rPr>
          <w:highlight w:val="yellow"/>
        </w:rPr>
      </w:pPr>
      <w:r>
        <w:rPr>
          <w:highlight w:val="yellow"/>
        </w:rPr>
        <w:t>Metody diagnostyczne</w:t>
      </w:r>
    </w:p>
    <w:p w:rsidR="001924CD" w:rsidRPr="000D1D32" w:rsidRDefault="001924CD" w:rsidP="00340AD4">
      <w:pPr>
        <w:pStyle w:val="HStandard"/>
        <w:rPr>
          <w:highlight w:val="yellow"/>
        </w:rPr>
      </w:pPr>
      <w:r>
        <w:rPr>
          <w:b/>
          <w:highlight w:val="yellow"/>
          <w:u w:val="single"/>
        </w:rPr>
        <w:t>Sondaże</w:t>
      </w:r>
      <w:r>
        <w:rPr>
          <w:b/>
          <w:highlight w:val="yellow"/>
        </w:rPr>
        <w:t xml:space="preserve"> </w:t>
      </w:r>
      <w:r>
        <w:rPr>
          <w:highlight w:val="yellow"/>
        </w:rPr>
        <w:t xml:space="preserve">mogą opierać się na: </w:t>
      </w:r>
    </w:p>
    <w:p w:rsidR="001924CD" w:rsidRPr="000D1D32" w:rsidRDefault="001924CD" w:rsidP="00340AD4">
      <w:pPr>
        <w:pStyle w:val="Hlistbullet2"/>
        <w:rPr>
          <w:highlight w:val="yellow"/>
        </w:rPr>
      </w:pPr>
      <w:r>
        <w:rPr>
          <w:b/>
          <w:highlight w:val="yellow"/>
        </w:rPr>
        <w:t>Standardowych wywiadach ankietowych</w:t>
      </w:r>
      <w:r>
        <w:rPr>
          <w:highlight w:val="yellow"/>
        </w:rPr>
        <w:t xml:space="preserve"> skierowanych do uczestników sieci i zainteresowanych stron, wraz z późniejszą analizą statystyczną</w:t>
      </w:r>
      <w:r w:rsidRPr="00355CE9">
        <w:rPr>
          <w:highlight w:val="yellow"/>
        </w:rPr>
        <w:t xml:space="preserve">. Ankiety </w:t>
      </w:r>
      <w:r>
        <w:rPr>
          <w:highlight w:val="yellow"/>
        </w:rPr>
        <w:t>są zwykle wysyłane, wypełniane i odsyłane za pośrednictwem internetu, przy użyciu narzędzi online</w:t>
      </w:r>
      <w:r>
        <w:rPr>
          <w:rFonts w:ascii="ZWAdobeF" w:hAnsi="ZWAdobeF"/>
          <w:color w:val="auto"/>
          <w:sz w:val="2"/>
          <w:highlight w:val="yellow"/>
        </w:rPr>
        <w:t>99F</w:t>
      </w:r>
      <w:r>
        <w:rPr>
          <w:rStyle w:val="FootnoteReference"/>
          <w:highlight w:val="yellow"/>
        </w:rPr>
        <w:footnoteReference w:id="100"/>
      </w:r>
      <w:r>
        <w:rPr>
          <w:highlight w:val="yellow"/>
        </w:rPr>
        <w:t>, które są często bezpłatne.</w:t>
      </w:r>
    </w:p>
    <w:p w:rsidR="001924CD" w:rsidRPr="000D1D32" w:rsidRDefault="001924CD" w:rsidP="00320BBA">
      <w:pPr>
        <w:pStyle w:val="Hlistbullet"/>
        <w:numPr>
          <w:ilvl w:val="1"/>
          <w:numId w:val="2"/>
        </w:numPr>
        <w:tabs>
          <w:tab w:val="left" w:pos="567"/>
        </w:tabs>
        <w:ind w:left="1037" w:hanging="357"/>
        <w:rPr>
          <w:highlight w:val="yellow"/>
        </w:rPr>
      </w:pPr>
      <w:r>
        <w:rPr>
          <w:highlight w:val="yellow"/>
        </w:rPr>
        <w:t>Przykład: Ankieta online z udziałem liderów i menedżerów LGD w sprawie rodzaju i intensywności ich zaangażowania w działalność KSOW, jak również poziomu zadowolenia i ewentualnych dalszych działań.</w:t>
      </w:r>
    </w:p>
    <w:p w:rsidR="001924CD" w:rsidRPr="000D1D32" w:rsidRDefault="001924CD" w:rsidP="00340AD4">
      <w:pPr>
        <w:pStyle w:val="Hlistbullet2"/>
        <w:rPr>
          <w:highlight w:val="yellow"/>
        </w:rPr>
      </w:pPr>
      <w:r>
        <w:rPr>
          <w:b/>
          <w:highlight w:val="yellow"/>
        </w:rPr>
        <w:t>Wywiady częściowo ustrukturyzowane (pogłębione)</w:t>
      </w:r>
      <w:r>
        <w:rPr>
          <w:highlight w:val="yellow"/>
        </w:rPr>
        <w:t xml:space="preserve"> z ekspertami, zainteresowanymi stronami lub beneficjentami, bezpośrednio badające ich stanowisko na tematy, których dotyczą pytania ewaluacyjne</w:t>
      </w:r>
      <w:r w:rsidRPr="00355CE9">
        <w:rPr>
          <w:highlight w:val="yellow"/>
        </w:rPr>
        <w:t xml:space="preserve">. Wiążą </w:t>
      </w:r>
      <w:r>
        <w:rPr>
          <w:highlight w:val="yellow"/>
        </w:rPr>
        <w:t>się one zazwyczaj z bezpośrednim kontaktem lub odbywają się za pośrednictwem telefonu bądź skype’a.</w:t>
      </w:r>
    </w:p>
    <w:p w:rsidR="001924CD" w:rsidRPr="000D1D32" w:rsidRDefault="001924CD" w:rsidP="00320BBA">
      <w:pPr>
        <w:pStyle w:val="Hlistbullet"/>
        <w:numPr>
          <w:ilvl w:val="1"/>
          <w:numId w:val="2"/>
        </w:numPr>
        <w:tabs>
          <w:tab w:val="left" w:pos="567"/>
        </w:tabs>
        <w:spacing w:before="0" w:line="280" w:lineRule="atLeast"/>
        <w:ind w:left="1037" w:hanging="357"/>
        <w:rPr>
          <w:highlight w:val="yellow"/>
        </w:rPr>
      </w:pPr>
      <w:r>
        <w:rPr>
          <w:highlight w:val="yellow"/>
        </w:rPr>
        <w:lastRenderedPageBreak/>
        <w:t>Przykład: Indywidualne wywiady z wybranymi przedstawicielami instytucji zarządzającej i organów wykonawczych na temat tego, co myślą o osiągnięciach KSOW w stosunku do oczekiwanych rezultatów.</w:t>
      </w:r>
    </w:p>
    <w:p w:rsidR="001924CD" w:rsidRPr="000D1D32" w:rsidRDefault="001924CD" w:rsidP="00340AD4">
      <w:pPr>
        <w:pStyle w:val="Hlistbullet2"/>
        <w:rPr>
          <w:highlight w:val="yellow"/>
        </w:rPr>
      </w:pPr>
      <w:r>
        <w:rPr>
          <w:highlight w:val="yellow"/>
        </w:rPr>
        <w:t>Wywiady metodą siatki konstruktów Kelly'ego (ang. repertory-grid)</w:t>
      </w:r>
      <w:r>
        <w:rPr>
          <w:rFonts w:ascii="ZWAdobeF" w:hAnsi="ZWAdobeF"/>
          <w:color w:val="auto"/>
          <w:sz w:val="2"/>
          <w:highlight w:val="yellow"/>
        </w:rPr>
        <w:t>100F</w:t>
      </w:r>
      <w:r>
        <w:rPr>
          <w:rStyle w:val="FootnoteReference"/>
          <w:highlight w:val="yellow"/>
        </w:rPr>
        <w:footnoteReference w:id="101"/>
      </w:r>
      <w:r>
        <w:rPr>
          <w:highlight w:val="yellow"/>
        </w:rPr>
        <w:t xml:space="preserve">, które umożliwiają ilościowe ujmowanie informacji jakościowych uzyskanych od stosunkowo niewielkiej liczby respondentów. „Siatki konstruktów” służą jako narzędzie badania konstruktów osobistych (światopoglądu, wartości i postaw), które ze społecznego punktu widzenia kierują naszymi działaniami, tj. naszymi wzorcami zachowań. </w:t>
      </w:r>
      <w:r>
        <w:rPr>
          <w:highlight w:val="yellow"/>
        </w:rPr>
        <w:sym w:font="Wingdings" w:char="F0E0"/>
      </w:r>
      <w:r>
        <w:rPr>
          <w:highlight w:val="yellow"/>
        </w:rPr>
        <w:t xml:space="preserve">Zob. także </w:t>
      </w:r>
      <w:r>
        <w:rPr>
          <w:b/>
          <w:color w:val="E7E6E6" w:themeColor="background2"/>
          <w:highlight w:val="yellow"/>
        </w:rPr>
        <w:t>CZĘŚĆ III</w:t>
      </w:r>
      <w:r>
        <w:rPr>
          <w:highlight w:val="yellow"/>
        </w:rPr>
        <w:t xml:space="preserve"> niniejszych wytycznych.</w:t>
      </w:r>
    </w:p>
    <w:p w:rsidR="001924CD" w:rsidRPr="000D1D32" w:rsidRDefault="001924CD" w:rsidP="00340AD4">
      <w:pPr>
        <w:pStyle w:val="Hlistbullet"/>
        <w:numPr>
          <w:ilvl w:val="1"/>
          <w:numId w:val="2"/>
        </w:numPr>
        <w:tabs>
          <w:tab w:val="left" w:pos="567"/>
        </w:tabs>
        <w:spacing w:before="0" w:after="120" w:line="280" w:lineRule="atLeast"/>
        <w:ind w:left="1037" w:hanging="357"/>
        <w:rPr>
          <w:highlight w:val="yellow"/>
        </w:rPr>
      </w:pPr>
      <w:r>
        <w:rPr>
          <w:highlight w:val="yellow"/>
        </w:rPr>
        <w:t>Przykład: Wywiady metodą siatki konstruktów Kelly'ego z wybranymi członkami sieci (np. przedstawicielami „rdzenia wewnętrznego” wskazanymi w wyniku wcześniejszej społecznej analizy sieciowej) w sprawie ich poglądów na temat jakości i ewolucji sieci (wskazane jest, aby tego typu wywiady były przeprowadzane co najmniej dwukrotnie, np. w 2017 i 2019 r.).</w:t>
      </w:r>
    </w:p>
    <w:p w:rsidR="001924CD" w:rsidRPr="000D1D32" w:rsidRDefault="001924CD" w:rsidP="00340AD4">
      <w:pPr>
        <w:pStyle w:val="HStandard"/>
        <w:rPr>
          <w:highlight w:val="yellow"/>
        </w:rPr>
      </w:pPr>
      <w:r>
        <w:rPr>
          <w:highlight w:val="yellow"/>
        </w:rPr>
        <w:t>Standardowe wywiady ankietowe, ale także wywiady częściowo ustrukturyzowane pozwalają na gromadzenie informacji dotyczących faktów, jak również opinii i deklarowanych wartości. Te subiektywne wypowiedzi można ująć ilościowo do celów statystycznych za pomocą punktacji (np. % realizacji), rankingu (szeregowanie w zależności od preferencji) lub skali Likerta, która umożliwia stopniowanie twierdzeń pomiędzy dwoma wartościami skrajnymi (np. od „bardzo źle” do „bardzo dobrze”). Punktacja i skalowanie pozwalają na kontekstowe porównanie w oparciu o subiektywne opinie (zwłaszcza dla wskaźników oddziaływania)</w:t>
      </w:r>
      <w:r>
        <w:rPr>
          <w:rFonts w:ascii="ZWAdobeF" w:hAnsi="ZWAdobeF"/>
          <w:color w:val="auto"/>
          <w:sz w:val="2"/>
          <w:highlight w:val="yellow"/>
        </w:rPr>
        <w:t>101F</w:t>
      </w:r>
      <w:r>
        <w:rPr>
          <w:rStyle w:val="FootnoteReference"/>
          <w:highlight w:val="yellow"/>
        </w:rPr>
        <w:footnoteReference w:id="102"/>
      </w:r>
      <w:r>
        <w:rPr>
          <w:highlight w:val="yellow"/>
        </w:rPr>
        <w:t>.</w:t>
      </w:r>
    </w:p>
    <w:p w:rsidR="001924CD" w:rsidRPr="000D1D32" w:rsidRDefault="001924CD" w:rsidP="00320BBA">
      <w:pPr>
        <w:pStyle w:val="HStandard"/>
        <w:spacing w:after="0"/>
        <w:rPr>
          <w:highlight w:val="yellow"/>
        </w:rPr>
      </w:pPr>
      <w:r>
        <w:rPr>
          <w:b/>
          <w:highlight w:val="yellow"/>
          <w:u w:val="single"/>
        </w:rPr>
        <w:t>Metody oparte na dialogu lub partycypacyjne</w:t>
      </w:r>
      <w:r>
        <w:rPr>
          <w:highlight w:val="yellow"/>
        </w:rPr>
        <w:t xml:space="preserve"> zakładają „inteligencję zbiorową”</w:t>
      </w:r>
      <w:r>
        <w:rPr>
          <w:rFonts w:ascii="ZWAdobeF" w:hAnsi="ZWAdobeF"/>
          <w:color w:val="auto"/>
          <w:sz w:val="2"/>
          <w:highlight w:val="yellow"/>
        </w:rPr>
        <w:t>102F</w:t>
      </w:r>
      <w:r>
        <w:rPr>
          <w:rStyle w:val="FootnoteReference"/>
          <w:highlight w:val="yellow"/>
        </w:rPr>
        <w:footnoteReference w:id="103"/>
      </w:r>
      <w:r>
        <w:rPr>
          <w:highlight w:val="yellow"/>
        </w:rPr>
        <w:t xml:space="preserve"> lub „intuicję grupy”</w:t>
      </w:r>
      <w:r>
        <w:rPr>
          <w:rFonts w:ascii="ZWAdobeF" w:hAnsi="ZWAdobeF"/>
          <w:color w:val="auto"/>
          <w:sz w:val="2"/>
          <w:highlight w:val="yellow"/>
        </w:rPr>
        <w:t>103F</w:t>
      </w:r>
      <w:r>
        <w:rPr>
          <w:rStyle w:val="FootnoteReference"/>
          <w:highlight w:val="yellow"/>
        </w:rPr>
        <w:footnoteReference w:id="104"/>
      </w:r>
      <w:r>
        <w:rPr>
          <w:highlight w:val="yellow"/>
        </w:rPr>
        <w:t xml:space="preserve">, która stanowi uzupełnienie indywidualnych opinii i ustaleń faktycznych dokonanych w badaniach ankietowych. </w:t>
      </w:r>
    </w:p>
    <w:p w:rsidR="001924CD" w:rsidRPr="000D1D32" w:rsidRDefault="001924CD" w:rsidP="00340AD4">
      <w:pPr>
        <w:pStyle w:val="Hlistbullet2"/>
        <w:rPr>
          <w:highlight w:val="yellow"/>
        </w:rPr>
      </w:pPr>
      <w:r>
        <w:rPr>
          <w:highlight w:val="yellow"/>
        </w:rPr>
        <w:t xml:space="preserve">Metody oparte na dialogu i partycypacyjne stanowią pomost do </w:t>
      </w:r>
      <w:r>
        <w:rPr>
          <w:b/>
          <w:highlight w:val="yellow"/>
        </w:rPr>
        <w:t>praktyk samooceny</w:t>
      </w:r>
      <w:r>
        <w:rPr>
          <w:highlight w:val="yellow"/>
        </w:rPr>
        <w:t>, które mogą obejmować spotkania koordynacyjne lub monitorujące grup roboczych o charakterze tematycznym lub metodologicznym w oparciu o stale aktualizowane dane z monitoringu. Łączne wyniki sesji samooceny i arkuszy informacji zwrotnych mogą stanowić wkład w dialog moderowany przez ewaluatora zewnętrznego.</w:t>
      </w:r>
    </w:p>
    <w:p w:rsidR="001924CD" w:rsidRPr="000D1D32" w:rsidRDefault="001924CD" w:rsidP="00320BBA">
      <w:pPr>
        <w:pStyle w:val="Hlistbullet"/>
        <w:numPr>
          <w:ilvl w:val="1"/>
          <w:numId w:val="2"/>
        </w:numPr>
        <w:tabs>
          <w:tab w:val="left" w:pos="567"/>
        </w:tabs>
        <w:spacing w:before="0" w:line="280" w:lineRule="atLeast"/>
        <w:ind w:left="1037" w:hanging="357"/>
        <w:rPr>
          <w:highlight w:val="yellow"/>
        </w:rPr>
      </w:pPr>
      <w:r>
        <w:rPr>
          <w:highlight w:val="yellow"/>
        </w:rPr>
        <w:t xml:space="preserve">Przykład: Roczne spotkanie w sprawie strategii prowadzone przez zewnętrznego moderatora, podczas którego omawiane są sukcesy i porażki z zeszłego roku, a dane z monitoringu, badania i ankiety wewnętrzne są wykorzystywane jako materiały do rozważań. Moderator może zaproponować niekonwencjonalne formy dialogu, nietypową oprawę spotkania lub udział osób z zewnątrz, aby skłonić uczestników do nieszablonowego myślenia. Spotkania w latach 2017, 2019 i po zakończeniu programu mogłyby bezpośrednio dostarczać danych na potrzeby odpowiednich ewaluacji. </w:t>
      </w:r>
    </w:p>
    <w:p w:rsidR="001924CD" w:rsidRPr="000D1D32" w:rsidRDefault="001924CD" w:rsidP="00340AD4">
      <w:pPr>
        <w:pStyle w:val="Hlistbullet2"/>
        <w:rPr>
          <w:highlight w:val="yellow"/>
        </w:rPr>
      </w:pPr>
      <w:r>
        <w:rPr>
          <w:b/>
          <w:highlight w:val="yellow"/>
        </w:rPr>
        <w:t>Grupy fokusowe</w:t>
      </w:r>
      <w:r>
        <w:rPr>
          <w:highlight w:val="yellow"/>
        </w:rPr>
        <w:t xml:space="preserve"> są szeroko rozpowszechnioną metodą ewaluacji opartej na dialogu.</w:t>
      </w:r>
      <w:r>
        <w:t xml:space="preserve"> </w:t>
      </w:r>
      <w:r>
        <w:rPr>
          <w:highlight w:val="yellow"/>
        </w:rPr>
        <w:t xml:space="preserve">Poza seriami grup fokusowych trwającymi przez określony czas, mogą one być organizowane na zasadzie architektury dwustopniowej (kaskadowe grupy fokusowe na dwóch poziomach decyzyjnych, np. na poziomie przedstawicieli LGD i KSOW). Grupy fokusowe mogą skupiać się na obszarach tematycznych lub na pytaniach przekrojowych. W każdym z tych przypadków cechują się one wyższą jakością, jeśli ich skład jest dostatecznie zróżnicowany, a liczba uczestników ograniczona (do 5–12 osób na spotkanie grupy; w przypadku większych grup muszą obowiązywać odpowiednie dla wielkości danej grupy zasady organizacji pracy. Powinny one też być moderowane przez osobę z zewnątrz (tj. ewaluatorów, a jeśli nie są oni wykwalifikowanymi moderatorami – osobę działającą w ich imieniu). Posiedzenia komitetu </w:t>
      </w:r>
      <w:r>
        <w:rPr>
          <w:highlight w:val="yellow"/>
        </w:rPr>
        <w:lastRenderedPageBreak/>
        <w:t>sterującego ds. ewaluacji, o ile istnieje, mogą być również organizowane na zasadzie spotkań grupy fokusowej „drugiego stopnia”.</w:t>
      </w:r>
    </w:p>
    <w:p w:rsidR="001924CD" w:rsidRPr="000D1D32" w:rsidRDefault="001924CD" w:rsidP="00340AD4">
      <w:pPr>
        <w:pStyle w:val="Hlistbullet"/>
        <w:numPr>
          <w:ilvl w:val="1"/>
          <w:numId w:val="2"/>
        </w:numPr>
        <w:tabs>
          <w:tab w:val="left" w:pos="567"/>
        </w:tabs>
        <w:spacing w:before="0" w:after="120" w:line="280" w:lineRule="atLeast"/>
        <w:ind w:left="1037" w:hanging="357"/>
        <w:rPr>
          <w:highlight w:val="yellow"/>
        </w:rPr>
      </w:pPr>
      <w:r>
        <w:rPr>
          <w:highlight w:val="yellow"/>
        </w:rPr>
        <w:t xml:space="preserve">Przykład: Utworzenie grup osób o bardzo zróżnicowanych poglądach, aby weryfikować określone segmenty działalności KSOW (np. komunikacja i publikacje/architektura warsztatów i zdarzeń/wspieranie innowacji). Grupy te mogą się pokrywać, czyli dwie grupy mogą weryfikować ten sam temat niezależnie od siebie (aby uzyskać wielowymiarowy ogląd sytuacji). </w:t>
      </w:r>
    </w:p>
    <w:p w:rsidR="001924CD" w:rsidRPr="000D1D32" w:rsidRDefault="001924CD" w:rsidP="00320BBA">
      <w:pPr>
        <w:pStyle w:val="HStandard"/>
        <w:spacing w:after="0"/>
        <w:rPr>
          <w:highlight w:val="yellow"/>
        </w:rPr>
      </w:pPr>
      <w:r>
        <w:rPr>
          <w:b/>
          <w:highlight w:val="yellow"/>
          <w:u w:val="single"/>
        </w:rPr>
        <w:t>Metody analityczne</w:t>
      </w:r>
      <w:r>
        <w:rPr>
          <w:highlight w:val="yellow"/>
        </w:rPr>
        <w:t xml:space="preserve"> stosowane są głównie w celu uchwycenia efektywności i skuteczności interwencji. </w:t>
      </w:r>
    </w:p>
    <w:p w:rsidR="001924CD" w:rsidRPr="000D1D32" w:rsidRDefault="001924CD" w:rsidP="00340AD4">
      <w:pPr>
        <w:pStyle w:val="Hlistbullet2"/>
        <w:rPr>
          <w:highlight w:val="yellow"/>
        </w:rPr>
      </w:pPr>
      <w:r>
        <w:rPr>
          <w:highlight w:val="yellow"/>
        </w:rPr>
        <w:t xml:space="preserve">Produkty działalności KSOW można ustalić za pomocą </w:t>
      </w:r>
      <w:r>
        <w:rPr>
          <w:b/>
          <w:highlight w:val="yellow"/>
        </w:rPr>
        <w:t>analizy kosztów i korzyści</w:t>
      </w:r>
      <w:r>
        <w:rPr>
          <w:highlight w:val="yellow"/>
        </w:rPr>
        <w:t xml:space="preserve"> (np. w odniesieniu do produkcji i rozpowszechniania ulotek, czasopism itp. lub organizacji szkoleń i warsztatów dla zainteresowanych stron).</w:t>
      </w:r>
    </w:p>
    <w:p w:rsidR="001924CD" w:rsidRPr="000D1D32" w:rsidRDefault="001924CD" w:rsidP="00320BBA">
      <w:pPr>
        <w:pStyle w:val="Hlistbullet"/>
        <w:numPr>
          <w:ilvl w:val="1"/>
          <w:numId w:val="2"/>
        </w:numPr>
        <w:tabs>
          <w:tab w:val="left" w:pos="567"/>
        </w:tabs>
        <w:spacing w:before="0" w:line="280" w:lineRule="atLeast"/>
        <w:ind w:left="1037" w:hanging="357"/>
        <w:rPr>
          <w:highlight w:val="yellow"/>
        </w:rPr>
      </w:pPr>
      <w:r>
        <w:rPr>
          <w:highlight w:val="yellow"/>
        </w:rPr>
        <w:t>Przykład: Analiza kosztów i korzyści dotycząca całkowitych kosztów szkoleń, mierzonych w stosunku do liczby uczestników i stopnia satysfakcji (wartość skali).</w:t>
      </w:r>
    </w:p>
    <w:p w:rsidR="001924CD" w:rsidRPr="000D1D32" w:rsidRDefault="001924CD" w:rsidP="00E57366">
      <w:pPr>
        <w:pStyle w:val="Hlistbullet2"/>
        <w:rPr>
          <w:highlight w:val="yellow"/>
        </w:rPr>
      </w:pPr>
      <w:r>
        <w:rPr>
          <w:highlight w:val="yellow"/>
        </w:rPr>
        <w:t>Jako że działania KSOW powinny powodować zmiany zachowań użytkowników produktów sieci, metody czysto ilościowe nie będą wystarczające, aby uchwycić wyniki na takim poziomie; temu mogłaby służyć analiza kosztów i wyników. Podczas gdy strona kosztowa jest nadal wyrażana w kategoriach monetarnych (podobnie jak w analizie kosztów i korzyści), efekty są określane za pomocą szeregu wskaźników jakościowych, które mogą być zarówno wskaźnikami specyficznymi dla programu, jak i specyficznymi zmiennymi wybranymi po prostu do tego celu.</w:t>
      </w:r>
    </w:p>
    <w:p w:rsidR="001924CD" w:rsidRPr="000D1D32" w:rsidRDefault="001924CD" w:rsidP="00340AD4">
      <w:pPr>
        <w:pStyle w:val="Hlistbullet2"/>
        <w:numPr>
          <w:ilvl w:val="1"/>
          <w:numId w:val="2"/>
        </w:numPr>
        <w:tabs>
          <w:tab w:val="left" w:pos="567"/>
        </w:tabs>
        <w:spacing w:before="0" w:after="120" w:line="280" w:lineRule="atLeast"/>
        <w:ind w:left="1037" w:hanging="357"/>
        <w:rPr>
          <w:highlight w:val="yellow"/>
        </w:rPr>
      </w:pPr>
      <w:r>
        <w:rPr>
          <w:highlight w:val="yellow"/>
        </w:rPr>
        <w:t>Przykład: Analiza kosztów i wyników dotycząca całkowitych kosztów szkoleń, a następnie wdrożenia i zastosowania treści będących przedmiotem szkolenia, mierzonych również pod względem zapotrzebowania na dodatkowe doradztwo lub nadzór.</w:t>
      </w:r>
    </w:p>
    <w:p w:rsidR="001924CD" w:rsidRPr="000D1D32" w:rsidRDefault="001924CD" w:rsidP="00320BBA">
      <w:pPr>
        <w:pStyle w:val="HStandard"/>
        <w:spacing w:after="0"/>
        <w:rPr>
          <w:highlight w:val="yellow"/>
        </w:rPr>
      </w:pPr>
      <w:r>
        <w:rPr>
          <w:b/>
          <w:highlight w:val="yellow"/>
          <w:u w:val="single"/>
        </w:rPr>
        <w:t>Metody diagnostyczne</w:t>
      </w:r>
      <w:r>
        <w:rPr>
          <w:highlight w:val="yellow"/>
        </w:rPr>
        <w:t xml:space="preserve"> obejmują różne metody, od czysto heurystycznych po metody wspierane przez oprogramowanie obliczeniowe:</w:t>
      </w:r>
    </w:p>
    <w:p w:rsidR="001924CD" w:rsidRPr="000D1D32" w:rsidRDefault="001924CD" w:rsidP="00340AD4">
      <w:pPr>
        <w:pStyle w:val="Hlistbullet2"/>
        <w:rPr>
          <w:highlight w:val="yellow"/>
        </w:rPr>
      </w:pPr>
      <w:r>
        <w:rPr>
          <w:b/>
          <w:highlight w:val="yellow"/>
        </w:rPr>
        <w:t>Analiza funkcjonalna sieci</w:t>
      </w:r>
      <w:r>
        <w:rPr>
          <w:rFonts w:ascii="ZWAdobeF" w:hAnsi="ZWAdobeF"/>
          <w:color w:val="auto"/>
          <w:sz w:val="2"/>
          <w:highlight w:val="yellow"/>
        </w:rPr>
        <w:t>104F</w:t>
      </w:r>
      <w:r w:rsidRPr="00363315">
        <w:rPr>
          <w:rStyle w:val="FootnoteReference"/>
          <w:highlight w:val="yellow"/>
        </w:rPr>
        <w:footnoteReference w:id="105"/>
      </w:r>
      <w:r w:rsidRPr="00363315">
        <w:rPr>
          <w:highlight w:val="yellow"/>
        </w:rPr>
        <w:t>: M</w:t>
      </w:r>
      <w:r>
        <w:rPr>
          <w:highlight w:val="yellow"/>
        </w:rPr>
        <w:t xml:space="preserve">etoda ta analizuje sieci za pośrednictwem jednostek wsparcia sieci (NSUs) w oparciu o sześć typowych funkcji (tj. filtrowanie, wzmocnienie, inwestowanie i świadczenie, gromadzenie, budowanie wspólnoty i ułatwianie) oraz dwie funkcje lub role nadrzędne (rola agencji i rola wsparcia). Połączenie tych funkcji determinuje wybór stosowanych przez JWS sposobów interwencji w działalność sieci. W praktyce większość sieci politycznych posiada znamiona obu tych ról (zob. też </w:t>
      </w:r>
      <w:r>
        <w:rPr>
          <w:b/>
          <w:color w:val="E7E6E6" w:themeColor="background2"/>
          <w:highlight w:val="yellow"/>
        </w:rPr>
        <w:t>CZĘŚĆ III</w:t>
      </w:r>
      <w:r>
        <w:rPr>
          <w:highlight w:val="yellow"/>
        </w:rPr>
        <w:t>).</w:t>
      </w:r>
    </w:p>
    <w:p w:rsidR="001924CD" w:rsidRPr="000D1D32" w:rsidRDefault="001924CD" w:rsidP="00320BBA">
      <w:pPr>
        <w:pStyle w:val="Hlistbullet"/>
        <w:numPr>
          <w:ilvl w:val="1"/>
          <w:numId w:val="2"/>
        </w:numPr>
        <w:tabs>
          <w:tab w:val="left" w:pos="567"/>
        </w:tabs>
        <w:spacing w:before="0" w:line="280" w:lineRule="atLeast"/>
        <w:ind w:left="1037" w:hanging="357"/>
        <w:rPr>
          <w:highlight w:val="yellow"/>
        </w:rPr>
      </w:pPr>
      <w:r>
        <w:rPr>
          <w:highlight w:val="yellow"/>
        </w:rPr>
        <w:t>Przykład: Niniejsza analiza mogłaby być przeprowadzona w oparciu o szeroko zakrojone internetowe badanie ankietowe w połączeniu z serią wywiadów pogłębionych z wybranymi zainteresowanymi stronami lub grupą fokusową korzystającą ze wstępnych wyników ankiety internetowej.</w:t>
      </w:r>
    </w:p>
    <w:p w:rsidR="001924CD" w:rsidRPr="000D1D32" w:rsidRDefault="001924CD" w:rsidP="00E57366">
      <w:pPr>
        <w:pStyle w:val="Hlistbullet2"/>
        <w:rPr>
          <w:highlight w:val="yellow"/>
        </w:rPr>
      </w:pPr>
      <w:r>
        <w:rPr>
          <w:b/>
          <w:highlight w:val="yellow"/>
        </w:rPr>
        <w:t>Analiza zainteresowanych stron</w:t>
      </w:r>
      <w:r w:rsidRPr="00363315">
        <w:rPr>
          <w:rStyle w:val="FootnoteReference"/>
          <w:highlight w:val="yellow"/>
        </w:rPr>
        <w:footnoteReference w:id="106"/>
      </w:r>
      <w:r w:rsidRPr="00363315">
        <w:rPr>
          <w:highlight w:val="yellow"/>
        </w:rPr>
        <w:t xml:space="preserve">: Analiza </w:t>
      </w:r>
      <w:r>
        <w:rPr>
          <w:highlight w:val="yellow"/>
        </w:rPr>
        <w:t xml:space="preserve">zainteresowanych stron (ang. stakeholder analysis) jest procesem wykrywania osób lub grup, które mogą mieć wpływ na planowane działanie lub odczuć jego skutki, a następnie szeregowania ich w zależności od wpływu na działanie i jego skutków (zob. też </w:t>
      </w:r>
      <w:r>
        <w:rPr>
          <w:b/>
          <w:color w:val="E7E6E6" w:themeColor="background2"/>
          <w:highlight w:val="yellow"/>
        </w:rPr>
        <w:t>CZĘŚĆ III</w:t>
      </w:r>
      <w:r>
        <w:rPr>
          <w:highlight w:val="yellow"/>
        </w:rPr>
        <w:t>).</w:t>
      </w:r>
    </w:p>
    <w:p w:rsidR="001924CD" w:rsidRPr="000D1D32" w:rsidRDefault="001924CD" w:rsidP="00E57366">
      <w:pPr>
        <w:pStyle w:val="Hlistbullet"/>
        <w:numPr>
          <w:ilvl w:val="1"/>
          <w:numId w:val="2"/>
        </w:numPr>
        <w:tabs>
          <w:tab w:val="left" w:pos="567"/>
        </w:tabs>
        <w:spacing w:before="0" w:after="120" w:line="280" w:lineRule="atLeast"/>
        <w:ind w:left="1037" w:hanging="357"/>
        <w:rPr>
          <w:highlight w:val="yellow"/>
        </w:rPr>
      </w:pPr>
      <w:r>
        <w:rPr>
          <w:highlight w:val="yellow"/>
        </w:rPr>
        <w:t>Przykład: Analizę można przeprowadzić na zasadzie samooceny, np. dostarczając materiałów do ewaluacji w 2017 r., a następnie ją powtórzyć w późniejszym czasie, np. podczas ewaluacji w 2019 r. lub bezpośrednio po zakończeniu programu.</w:t>
      </w:r>
    </w:p>
    <w:p w:rsidR="001924CD" w:rsidRPr="000D1D32" w:rsidRDefault="001924CD" w:rsidP="00E57366">
      <w:pPr>
        <w:pStyle w:val="Hlistbullet2"/>
        <w:rPr>
          <w:highlight w:val="yellow"/>
        </w:rPr>
      </w:pPr>
      <w:r>
        <w:rPr>
          <w:b/>
          <w:highlight w:val="yellow"/>
        </w:rPr>
        <w:lastRenderedPageBreak/>
        <w:t>Społeczna analiza sieciowa (SNA)</w:t>
      </w:r>
      <w:r>
        <w:rPr>
          <w:rFonts w:ascii="ZWAdobeF" w:hAnsi="ZWAdobeF"/>
          <w:color w:val="auto"/>
          <w:sz w:val="2"/>
          <w:highlight w:val="yellow"/>
        </w:rPr>
        <w:t>106F</w:t>
      </w:r>
      <w:r w:rsidRPr="00363315">
        <w:rPr>
          <w:rStyle w:val="FootnoteReference"/>
          <w:highlight w:val="yellow"/>
        </w:rPr>
        <w:footnoteReference w:id="107"/>
      </w:r>
      <w:r w:rsidRPr="00363315">
        <w:rPr>
          <w:highlight w:val="yellow"/>
        </w:rPr>
        <w:t>: S</w:t>
      </w:r>
      <w:r>
        <w:rPr>
          <w:highlight w:val="yellow"/>
        </w:rPr>
        <w:t xml:space="preserve">połeczna analiza sieciowa (ang. Social Network Analysis) opiera się na założeniu, że uczestnicy sieci (tj. węzły) i ich działania są współzależne. Związki między uczestnikami są traktowane na zasadzie kanałów transferu lub przepływu zasobów (informacji, wpływów, pieniędzy itp.), a sama sieć jest postrzegana jako źródło możliwości dla uczestników lub ograniczeń ich zachowania. Analiza SNA polega na mapowaniu i pomiarze relacji oraz przepływu zasobów pomiędzy podmiotami. Z pomocą oprogramowania SNA można uzyskać reprezentację wizualną (w postaci wykresu sieciowego) i matematyczną analizę relacji między podmiotami (zob. też </w:t>
      </w:r>
      <w:r>
        <w:rPr>
          <w:b/>
          <w:color w:val="E7E6E6" w:themeColor="background2"/>
          <w:highlight w:val="yellow"/>
        </w:rPr>
        <w:t>CZĘŚĆ III</w:t>
      </w:r>
      <w:r>
        <w:rPr>
          <w:highlight w:val="yellow"/>
        </w:rPr>
        <w:t>).</w:t>
      </w:r>
    </w:p>
    <w:p w:rsidR="001924CD" w:rsidRPr="000D1D32" w:rsidRDefault="001924CD" w:rsidP="00E57366">
      <w:pPr>
        <w:pStyle w:val="Hlistbullet"/>
        <w:numPr>
          <w:ilvl w:val="1"/>
          <w:numId w:val="2"/>
        </w:numPr>
        <w:tabs>
          <w:tab w:val="left" w:pos="567"/>
        </w:tabs>
        <w:spacing w:before="0" w:after="120" w:line="280" w:lineRule="atLeast"/>
        <w:ind w:left="1037" w:hanging="357"/>
        <w:rPr>
          <w:highlight w:val="yellow"/>
        </w:rPr>
      </w:pPr>
      <w:r>
        <w:rPr>
          <w:highlight w:val="yellow"/>
        </w:rPr>
        <w:t>Przykład: Prowadzenie analizy SNA w odniesieniu do konkretnych aspektów tematycznych (np. zgodnie z trzema celami WPR lub sześcioma priorytetami). Analizowana jest sieć połączeń (np. w celu wskazania głównych uczestników) i przypadki ich pokrywania się (np. w celu wskazania głównych punktów łączenia), a wnioski omawiane są na forum grupy fokusowej.</w:t>
      </w:r>
    </w:p>
    <w:p w:rsidR="001924CD" w:rsidRPr="000D1D32" w:rsidRDefault="001924CD" w:rsidP="00E57366">
      <w:pPr>
        <w:pStyle w:val="HStandard"/>
        <w:rPr>
          <w:highlight w:val="yellow"/>
        </w:rPr>
      </w:pPr>
      <w:r>
        <w:rPr>
          <w:highlight w:val="yellow"/>
        </w:rPr>
        <w:t>Więcej narzędzi diagnostycznych do oceny potencjału organizacji i sieci w zakresie innowacji i uczenia zostało omówionych w podręczniku GIZ na temat zarządzania współpracą</w:t>
      </w:r>
      <w:r>
        <w:rPr>
          <w:rFonts w:ascii="ZWAdobeF" w:hAnsi="ZWAdobeF"/>
          <w:color w:val="auto"/>
          <w:sz w:val="2"/>
          <w:highlight w:val="yellow"/>
        </w:rPr>
        <w:t>107F</w:t>
      </w:r>
      <w:r>
        <w:rPr>
          <w:rStyle w:val="FootnoteReference"/>
          <w:highlight w:val="yellow"/>
        </w:rPr>
        <w:footnoteReference w:id="108"/>
      </w:r>
      <w:r>
        <w:rPr>
          <w:highlight w:val="yellow"/>
        </w:rPr>
        <w:t xml:space="preserve">. Analiza potencjału innowacji i uczenia się może skupiać się na aspektach predefiniowanych w ramach systemu CMES. Można ją jednak również traktować na zasadzie bardziej kompleksowego i interaktywnego procesu mającego na celu zrozumienie wzorców systemowych leżących u podstaw obserwowanych zmian (zob. także </w:t>
      </w:r>
      <w:r>
        <w:rPr>
          <w:b/>
          <w:color w:val="E7E6E6" w:themeColor="background2"/>
          <w:highlight w:val="yellow"/>
        </w:rPr>
        <w:t>CZEŚĆ III</w:t>
      </w:r>
      <w:r>
        <w:rPr>
          <w:highlight w:val="yellow"/>
        </w:rPr>
        <w:t>).</w:t>
      </w:r>
    </w:p>
    <w:p w:rsidR="001924CD" w:rsidRPr="000D1D32" w:rsidRDefault="001924CD" w:rsidP="00E57366">
      <w:pPr>
        <w:pStyle w:val="Heading6"/>
        <w:rPr>
          <w:highlight w:val="yellow"/>
        </w:rPr>
      </w:pPr>
      <w:r>
        <w:rPr>
          <w:highlight w:val="yellow"/>
        </w:rPr>
        <w:t>Co ze studiami przypadku?</w:t>
      </w:r>
    </w:p>
    <w:p w:rsidR="001924CD" w:rsidRPr="000D1D32" w:rsidRDefault="001924CD" w:rsidP="00E57366">
      <w:pPr>
        <w:pStyle w:val="HStandard"/>
        <w:rPr>
          <w:highlight w:val="yellow"/>
        </w:rPr>
      </w:pPr>
      <w:r>
        <w:rPr>
          <w:b/>
          <w:highlight w:val="yellow"/>
        </w:rPr>
        <w:t>Studia przypadku</w:t>
      </w:r>
      <w:r>
        <w:rPr>
          <w:highlight w:val="yellow"/>
        </w:rPr>
        <w:t xml:space="preserve"> stanowią zazwyczaj kombinację różnych metod</w:t>
      </w:r>
      <w:r w:rsidRPr="00363315">
        <w:rPr>
          <w:highlight w:val="yellow"/>
        </w:rPr>
        <w:t>. O</w:t>
      </w:r>
      <w:r>
        <w:rPr>
          <w:highlight w:val="yellow"/>
        </w:rPr>
        <w:t>ferują one szeroki wachlarz możliwości łączenia metod ilościowych z jakościowymi: poczynając od porównawczych analiz kosztów i wyników, a na analizach heurystycznych kończąc. Istnieje wiele różnych sposobów opracowania studium przypadku. „Tematyczne studia przypadku” polegają na zgłębianiu kwestii, którym należy przyjrzeć się bliżej, aby rozwiązać konkretny dylemat z zakresu ewaluacji. Na każdym etapie studium przypadku wymaga od ewaluatorów dokonywania wielu interpretacji i osądów:</w:t>
      </w:r>
    </w:p>
    <w:p w:rsidR="001924CD" w:rsidRPr="000D1D32" w:rsidRDefault="001924CD" w:rsidP="00E57366">
      <w:pPr>
        <w:pStyle w:val="Hlistbullet2"/>
        <w:rPr>
          <w:highlight w:val="yellow"/>
        </w:rPr>
      </w:pPr>
      <w:r>
        <w:rPr>
          <w:highlight w:val="yellow"/>
        </w:rPr>
        <w:t>Co czyni daną kwestię istotną z punktu widzenia studium przypadku?</w:t>
      </w:r>
    </w:p>
    <w:p w:rsidR="001924CD" w:rsidRPr="000D1D32" w:rsidRDefault="001924CD" w:rsidP="00E57366">
      <w:pPr>
        <w:pStyle w:val="Hlistbullet2"/>
        <w:rPr>
          <w:highlight w:val="yellow"/>
        </w:rPr>
      </w:pPr>
      <w:r>
        <w:rPr>
          <w:highlight w:val="yellow"/>
        </w:rPr>
        <w:t>Jak należy wybierać konkretne przypadki?</w:t>
      </w:r>
    </w:p>
    <w:p w:rsidR="001924CD" w:rsidRPr="000D1D32" w:rsidRDefault="001924CD" w:rsidP="00E57366">
      <w:pPr>
        <w:pStyle w:val="Hlistbullet2"/>
        <w:rPr>
          <w:highlight w:val="yellow"/>
        </w:rPr>
      </w:pPr>
      <w:r>
        <w:rPr>
          <w:highlight w:val="yellow"/>
        </w:rPr>
        <w:t>Jakie modele należy stosować, aby ująć wyniki empiryczne w ramy wyjaśniające?</w:t>
      </w:r>
    </w:p>
    <w:p w:rsidR="001924CD" w:rsidRPr="000D1D32" w:rsidRDefault="001924CD" w:rsidP="00E57366">
      <w:pPr>
        <w:pStyle w:val="Hlistbullet2"/>
        <w:rPr>
          <w:highlight w:val="yellow"/>
        </w:rPr>
      </w:pPr>
      <w:r>
        <w:rPr>
          <w:highlight w:val="yellow"/>
        </w:rPr>
        <w:t>Do jakich uogólnionych wniosków prowadzą ustalenia?</w:t>
      </w:r>
    </w:p>
    <w:p w:rsidR="001924CD" w:rsidRPr="000D1D32" w:rsidRDefault="001924CD" w:rsidP="00E57366">
      <w:pPr>
        <w:pStyle w:val="HStandard"/>
        <w:rPr>
          <w:highlight w:val="yellow"/>
        </w:rPr>
      </w:pPr>
      <w:r>
        <w:rPr>
          <w:highlight w:val="yellow"/>
        </w:rPr>
        <w:t>Studia przypadku to odpowiednie narzędzie, aby uzupełnić badania ankietowe i odpowiedzieć na trudniejsze pytania: poza samą obserwacją zmian pozwalają one bowiem głębiej przeanalizować, dlaczego i w jaki sposób sprawy potoczyły się tak, a nie inaczej. Mogą one być również stosowane w celu zbadania hipotezy przyczynowo-skutkowej lub efektów łańcuchowych. Biorąc pod uwagę czas potrzebny na realizację dobrej jakości studiów przypadku, zaleca się ich prowadzenie przy okazji wdrażania PROW/PKSOW (np. we współpracy z instytutem badawczym lub uczelnią wyższą) oraz wykorzystywanie ich wyników do celów ewaluacji. Niewskazane jest natomiast prowadzenie studiów przypadku w ramach samej ewaluacji.</w:t>
      </w:r>
    </w:p>
    <w:p w:rsidR="001924CD" w:rsidRPr="000D1D32" w:rsidRDefault="001924CD" w:rsidP="00E57366">
      <w:pPr>
        <w:pStyle w:val="HStandard"/>
        <w:rPr>
          <w:highlight w:val="yellow"/>
        </w:rPr>
      </w:pPr>
      <w:r>
        <w:rPr>
          <w:highlight w:val="yellow"/>
        </w:rPr>
        <w:t xml:space="preserve">Poza zastosowaniem ustalonych metod ewaluator powinien wypróbować metody niekonwencjonalne, które mogą pozwolić na doprecyzowanie ustaleń lub wręcz na ich pogłębioną analizę. Specyfikacja istotnych warunków zamówienia powinna umożliwiać zastosowanie metod pochodzących z dziedziny </w:t>
      </w:r>
      <w:r>
        <w:rPr>
          <w:highlight w:val="yellow"/>
        </w:rPr>
        <w:lastRenderedPageBreak/>
        <w:t xml:space="preserve">badań w działaniu (ang. action research), antropologii kulturowej, badań edukacyjnych i rozwoju organizacyjnego, takich jak: </w:t>
      </w:r>
    </w:p>
    <w:p w:rsidR="001924CD" w:rsidRPr="000D1D32" w:rsidRDefault="001924CD" w:rsidP="00E57366">
      <w:pPr>
        <w:pStyle w:val="Hlistbullet2"/>
        <w:rPr>
          <w:highlight w:val="yellow"/>
        </w:rPr>
      </w:pPr>
      <w:r>
        <w:rPr>
          <w:highlight w:val="yellow"/>
        </w:rPr>
        <w:t>analiza obrazu (interpretacja filmów i fotografii, za pomocą których podmioty z obszarów wiejskich wyrażają własne postrzeganie tego, co dzieje się na ich terenie);</w:t>
      </w:r>
    </w:p>
    <w:p w:rsidR="001924CD" w:rsidRPr="000D1D32" w:rsidRDefault="001924CD" w:rsidP="00E57366">
      <w:pPr>
        <w:pStyle w:val="Hlistbullet2"/>
        <w:rPr>
          <w:highlight w:val="yellow"/>
        </w:rPr>
      </w:pPr>
      <w:r>
        <w:rPr>
          <w:highlight w:val="yellow"/>
        </w:rPr>
        <w:t>analiza tekstu (językowa i kulturowa interpretacja wzorców językowych używanych w komunikacji wewnętrznej i w publikacjach);</w:t>
      </w:r>
    </w:p>
    <w:p w:rsidR="001924CD" w:rsidRPr="000D1D32" w:rsidRDefault="001924CD" w:rsidP="00E57366">
      <w:pPr>
        <w:pStyle w:val="Hlistbullet2"/>
        <w:rPr>
          <w:highlight w:val="yellow"/>
        </w:rPr>
      </w:pPr>
      <w:r>
        <w:rPr>
          <w:highlight w:val="yellow"/>
        </w:rPr>
        <w:t xml:space="preserve">technika zdarzeń krytycznych (ang. critical incidence) (stosowana w grupach fokusowych, analizie tekstu itp.); </w:t>
      </w:r>
    </w:p>
    <w:p w:rsidR="001924CD" w:rsidRPr="000D1D32" w:rsidRDefault="001924CD" w:rsidP="00E57366">
      <w:pPr>
        <w:pStyle w:val="Hlistbullet2"/>
        <w:rPr>
          <w:highlight w:val="yellow"/>
        </w:rPr>
      </w:pPr>
      <w:r>
        <w:rPr>
          <w:highlight w:val="yellow"/>
        </w:rPr>
        <w:t>konstelacje systemowe</w:t>
      </w:r>
      <w:r>
        <w:rPr>
          <w:rFonts w:ascii="ZWAdobeF" w:hAnsi="ZWAdobeF"/>
          <w:color w:val="auto"/>
          <w:sz w:val="2"/>
          <w:highlight w:val="yellow"/>
        </w:rPr>
        <w:t>108F</w:t>
      </w:r>
      <w:r>
        <w:rPr>
          <w:rStyle w:val="FootnoteReference"/>
          <w:highlight w:val="yellow"/>
        </w:rPr>
        <w:footnoteReference w:id="109"/>
      </w:r>
      <w:r>
        <w:rPr>
          <w:highlight w:val="yellow"/>
        </w:rPr>
        <w:t>, scenki rodzajowe</w:t>
      </w:r>
      <w:r>
        <w:rPr>
          <w:rFonts w:ascii="ZWAdobeF" w:hAnsi="ZWAdobeF"/>
          <w:color w:val="auto"/>
          <w:sz w:val="2"/>
          <w:highlight w:val="yellow"/>
        </w:rPr>
        <w:t>109F</w:t>
      </w:r>
      <w:r>
        <w:rPr>
          <w:rStyle w:val="FootnoteReference"/>
          <w:highlight w:val="yellow"/>
        </w:rPr>
        <w:footnoteReference w:id="110"/>
      </w:r>
      <w:r>
        <w:rPr>
          <w:highlight w:val="yellow"/>
        </w:rPr>
        <w:t xml:space="preserve"> i inne metody socjometryczne</w:t>
      </w:r>
      <w:r>
        <w:rPr>
          <w:rFonts w:ascii="ZWAdobeF" w:hAnsi="ZWAdobeF"/>
          <w:color w:val="auto"/>
          <w:sz w:val="2"/>
          <w:highlight w:val="yellow"/>
        </w:rPr>
        <w:t>110F</w:t>
      </w:r>
      <w:r>
        <w:rPr>
          <w:rStyle w:val="FootnoteReference"/>
          <w:highlight w:val="yellow"/>
        </w:rPr>
        <w:footnoteReference w:id="111"/>
      </w:r>
      <w:r>
        <w:rPr>
          <w:highlight w:val="yellow"/>
        </w:rPr>
        <w:t>.</w:t>
      </w:r>
    </w:p>
    <w:p w:rsidR="001924CD" w:rsidRPr="002809CE" w:rsidRDefault="001924CD" w:rsidP="00E57366">
      <w:pPr>
        <w:pStyle w:val="HStandard"/>
      </w:pPr>
      <w:r>
        <w:rPr>
          <w:highlight w:val="yellow"/>
        </w:rPr>
        <w:t>Wszystkie powyższe metody, jak i te bardziej niekonwencjonalne, można również wbudować w ogólną architekturę monitorowania i ewaluacji, np. na zasadzie praktyk samooceny.</w:t>
      </w:r>
    </w:p>
    <w:p w:rsidR="001924CD" w:rsidRPr="002809CE" w:rsidRDefault="001924CD" w:rsidP="00E57366">
      <w:pPr>
        <w:pStyle w:val="Heading6"/>
      </w:pPr>
      <w:bookmarkStart w:id="216" w:name="_Toc433481231"/>
      <w:bookmarkStart w:id="217" w:name="_Toc433718139"/>
      <w:bookmarkStart w:id="218" w:name="_Toc434744516"/>
      <w:bookmarkStart w:id="219" w:name="_Toc436140058"/>
      <w:r>
        <w:rPr>
          <w:highlight w:val="yellow"/>
        </w:rPr>
        <w:t>Jakie są główne etapy wyboru metod ewaluacji KSOW</w:t>
      </w:r>
      <w:bookmarkEnd w:id="216"/>
      <w:bookmarkEnd w:id="217"/>
      <w:bookmarkEnd w:id="218"/>
      <w:bookmarkEnd w:id="219"/>
      <w:r>
        <w:rPr>
          <w:highlight w:val="yellow"/>
        </w:rPr>
        <w:t>?</w:t>
      </w:r>
    </w:p>
    <w:p w:rsidR="001924CD" w:rsidRPr="000A700F" w:rsidRDefault="001924CD" w:rsidP="00E57366">
      <w:pPr>
        <w:pStyle w:val="HStandard"/>
        <w:rPr>
          <w:highlight w:val="yellow"/>
        </w:rPr>
      </w:pPr>
      <w:r w:rsidRPr="007E5604">
        <w:rPr>
          <w:lang w:val="en-US"/>
        </w:rPr>
        <w:t xml:space="preserve">Following the selection of the evaluation approach and the review of different evaluation methods, the evaluator should select the evaluation methods. </w:t>
      </w:r>
      <w:r>
        <w:rPr>
          <w:highlight w:val="yellow"/>
        </w:rPr>
        <w:t>Zalecane etapy pracy oraz spodziewane wyniki są następujące:</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1924CD" w:rsidRPr="000A700F" w:rsidTr="00E57366">
        <w:tc>
          <w:tcPr>
            <w:tcW w:w="846" w:type="dxa"/>
            <w:shd w:val="clear" w:color="auto" w:fill="E7E6E6" w:themeFill="background2"/>
          </w:tcPr>
          <w:p w:rsidR="001924CD" w:rsidRPr="000A700F" w:rsidRDefault="001924CD"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1</w:t>
            </w:r>
          </w:p>
        </w:tc>
        <w:tc>
          <w:tcPr>
            <w:tcW w:w="8170" w:type="dxa"/>
          </w:tcPr>
          <w:p w:rsidR="001924CD" w:rsidRPr="000A700F" w:rsidRDefault="001924CD" w:rsidP="00E57366">
            <w:pPr>
              <w:pStyle w:val="Hlistbullet"/>
              <w:numPr>
                <w:ilvl w:val="0"/>
                <w:numId w:val="0"/>
              </w:numPr>
              <w:spacing w:before="0" w:line="280" w:lineRule="atLeast"/>
              <w:rPr>
                <w:sz w:val="18"/>
                <w:szCs w:val="18"/>
                <w:highlight w:val="yellow"/>
              </w:rPr>
            </w:pPr>
            <w:r>
              <w:rPr>
                <w:sz w:val="18"/>
                <w:highlight w:val="yellow"/>
              </w:rPr>
              <w:t xml:space="preserve">Weryfikacja przydatności metody. </w:t>
            </w:r>
          </w:p>
        </w:tc>
      </w:tr>
      <w:tr w:rsidR="001924CD" w:rsidRPr="000A700F" w:rsidTr="00E57366">
        <w:tc>
          <w:tcPr>
            <w:tcW w:w="846" w:type="dxa"/>
            <w:shd w:val="clear" w:color="auto" w:fill="E7E6E6" w:themeFill="background2"/>
          </w:tcPr>
          <w:p w:rsidR="001924CD" w:rsidRPr="000A700F" w:rsidRDefault="001924CD"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2</w:t>
            </w:r>
          </w:p>
        </w:tc>
        <w:tc>
          <w:tcPr>
            <w:tcW w:w="8170" w:type="dxa"/>
          </w:tcPr>
          <w:p w:rsidR="001924CD" w:rsidRPr="000A700F" w:rsidRDefault="001924CD" w:rsidP="004C05DD">
            <w:pPr>
              <w:pStyle w:val="Hlistbullet"/>
              <w:numPr>
                <w:ilvl w:val="0"/>
                <w:numId w:val="0"/>
              </w:numPr>
              <w:spacing w:before="0" w:line="280" w:lineRule="atLeast"/>
              <w:rPr>
                <w:sz w:val="18"/>
                <w:szCs w:val="18"/>
                <w:highlight w:val="yellow"/>
              </w:rPr>
            </w:pPr>
            <w:r>
              <w:rPr>
                <w:sz w:val="18"/>
                <w:highlight w:val="yellow"/>
              </w:rPr>
              <w:t>Sprawdzenie, czy metoda spełnia standardy ewaluacji (ścisłość, wiarygodność, rzetelność, solidność, ważność i przejrzystość).</w:t>
            </w:r>
          </w:p>
        </w:tc>
      </w:tr>
      <w:tr w:rsidR="001924CD" w:rsidRPr="000A700F" w:rsidTr="00E57366">
        <w:tc>
          <w:tcPr>
            <w:tcW w:w="846" w:type="dxa"/>
            <w:shd w:val="clear" w:color="auto" w:fill="E7E6E6" w:themeFill="background2"/>
          </w:tcPr>
          <w:p w:rsidR="001924CD" w:rsidRPr="000A700F" w:rsidRDefault="001924CD"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3</w:t>
            </w:r>
          </w:p>
        </w:tc>
        <w:tc>
          <w:tcPr>
            <w:tcW w:w="8170" w:type="dxa"/>
          </w:tcPr>
          <w:p w:rsidR="001924CD" w:rsidRPr="000A700F" w:rsidRDefault="001924CD" w:rsidP="004C05DD">
            <w:pPr>
              <w:pStyle w:val="Hlistbullet"/>
              <w:numPr>
                <w:ilvl w:val="0"/>
                <w:numId w:val="0"/>
              </w:numPr>
              <w:spacing w:before="0" w:line="280" w:lineRule="atLeast"/>
              <w:ind w:left="644" w:hanging="360"/>
              <w:rPr>
                <w:sz w:val="18"/>
                <w:szCs w:val="18"/>
                <w:highlight w:val="yellow"/>
              </w:rPr>
            </w:pPr>
            <w:r>
              <w:rPr>
                <w:sz w:val="18"/>
                <w:highlight w:val="yellow"/>
              </w:rPr>
              <w:t>Przegląd kryteriów specyficznych dla KSOW w zakresie doboru metod ewaluacji, takich jak zdolność do:</w:t>
            </w:r>
          </w:p>
          <w:p w:rsidR="001924CD" w:rsidRPr="000A700F" w:rsidRDefault="001924CD" w:rsidP="001924CD">
            <w:pPr>
              <w:pStyle w:val="Hlistbullet"/>
              <w:numPr>
                <w:ilvl w:val="1"/>
                <w:numId w:val="18"/>
              </w:numPr>
              <w:tabs>
                <w:tab w:val="left" w:pos="567"/>
              </w:tabs>
              <w:spacing w:before="0" w:line="280" w:lineRule="atLeast"/>
              <w:rPr>
                <w:sz w:val="18"/>
                <w:szCs w:val="18"/>
                <w:highlight w:val="yellow"/>
              </w:rPr>
            </w:pPr>
            <w:r>
              <w:rPr>
                <w:sz w:val="18"/>
                <w:highlight w:val="yellow"/>
              </w:rPr>
              <w:t>zapewnienia solidnych odpowiedzi na pytania ewaluacyjne określone przez zamawiającego (IZ/KSOW/JWS);</w:t>
            </w:r>
          </w:p>
          <w:p w:rsidR="001924CD" w:rsidRPr="000A700F" w:rsidRDefault="001924CD" w:rsidP="001924CD">
            <w:pPr>
              <w:pStyle w:val="Hlistbullet"/>
              <w:numPr>
                <w:ilvl w:val="1"/>
                <w:numId w:val="18"/>
              </w:numPr>
              <w:tabs>
                <w:tab w:val="left" w:pos="567"/>
              </w:tabs>
              <w:spacing w:before="0" w:line="280" w:lineRule="atLeast"/>
              <w:rPr>
                <w:sz w:val="18"/>
                <w:szCs w:val="18"/>
                <w:highlight w:val="yellow"/>
              </w:rPr>
            </w:pPr>
            <w:r>
              <w:rPr>
                <w:sz w:val="18"/>
                <w:highlight w:val="yellow"/>
              </w:rPr>
              <w:t>ustalenia wkładu KSOW w rozwój obszarów wiejskich;</w:t>
            </w:r>
          </w:p>
          <w:p w:rsidR="001924CD" w:rsidRPr="000A700F" w:rsidRDefault="001924CD" w:rsidP="001924CD">
            <w:pPr>
              <w:pStyle w:val="Hlistbullet"/>
              <w:numPr>
                <w:ilvl w:val="1"/>
                <w:numId w:val="18"/>
              </w:numPr>
              <w:tabs>
                <w:tab w:val="left" w:pos="567"/>
              </w:tabs>
              <w:spacing w:before="0" w:line="280" w:lineRule="atLeast"/>
              <w:rPr>
                <w:sz w:val="18"/>
                <w:szCs w:val="18"/>
                <w:highlight w:val="yellow"/>
              </w:rPr>
            </w:pPr>
            <w:r>
              <w:rPr>
                <w:sz w:val="18"/>
                <w:highlight w:val="yellow"/>
              </w:rPr>
              <w:t>rozróżnienia pomiędzy osiągnięciami KSOW i PROW;</w:t>
            </w:r>
          </w:p>
          <w:p w:rsidR="001924CD" w:rsidRPr="000A700F" w:rsidRDefault="001924CD" w:rsidP="001924CD">
            <w:pPr>
              <w:pStyle w:val="Hlistbullet"/>
              <w:numPr>
                <w:ilvl w:val="1"/>
                <w:numId w:val="18"/>
              </w:numPr>
              <w:tabs>
                <w:tab w:val="left" w:pos="567"/>
              </w:tabs>
              <w:spacing w:before="0" w:line="280" w:lineRule="atLeast"/>
              <w:rPr>
                <w:sz w:val="18"/>
                <w:szCs w:val="18"/>
                <w:highlight w:val="yellow"/>
              </w:rPr>
            </w:pPr>
            <w:r>
              <w:rPr>
                <w:sz w:val="18"/>
                <w:highlight w:val="yellow"/>
              </w:rPr>
              <w:t>ustalenia rezultatów, oddziaływania i w ostatecznym rozrachunku wartości dodanej KSOW;</w:t>
            </w:r>
          </w:p>
          <w:p w:rsidR="001924CD" w:rsidRPr="000A700F" w:rsidRDefault="001924CD" w:rsidP="001924CD">
            <w:pPr>
              <w:pStyle w:val="Hlistbullet"/>
              <w:numPr>
                <w:ilvl w:val="1"/>
                <w:numId w:val="18"/>
              </w:numPr>
              <w:tabs>
                <w:tab w:val="left" w:pos="567"/>
              </w:tabs>
              <w:spacing w:before="0" w:line="280" w:lineRule="atLeast"/>
              <w:rPr>
                <w:sz w:val="18"/>
                <w:szCs w:val="18"/>
                <w:highlight w:val="yellow"/>
              </w:rPr>
            </w:pPr>
            <w:r>
              <w:rPr>
                <w:sz w:val="18"/>
                <w:highlight w:val="yellow"/>
              </w:rPr>
              <w:t>pomiaru skuteczności i efektywności współpracy w ramach sieci obszarów wiejskich.</w:t>
            </w:r>
          </w:p>
        </w:tc>
      </w:tr>
      <w:tr w:rsidR="001924CD" w:rsidRPr="000A700F" w:rsidTr="00E57366">
        <w:tc>
          <w:tcPr>
            <w:tcW w:w="846" w:type="dxa"/>
            <w:shd w:val="clear" w:color="auto" w:fill="E7E6E6" w:themeFill="background2"/>
          </w:tcPr>
          <w:p w:rsidR="001924CD" w:rsidRPr="000A700F" w:rsidRDefault="001924CD"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4</w:t>
            </w:r>
          </w:p>
        </w:tc>
        <w:tc>
          <w:tcPr>
            <w:tcW w:w="8170" w:type="dxa"/>
          </w:tcPr>
          <w:p w:rsidR="001924CD" w:rsidRPr="000A700F" w:rsidRDefault="001924CD" w:rsidP="00E57366">
            <w:pPr>
              <w:pStyle w:val="Hlistbullet"/>
              <w:numPr>
                <w:ilvl w:val="0"/>
                <w:numId w:val="0"/>
              </w:numPr>
              <w:spacing w:before="0" w:line="280" w:lineRule="atLeast"/>
              <w:rPr>
                <w:sz w:val="18"/>
                <w:szCs w:val="18"/>
                <w:highlight w:val="yellow"/>
              </w:rPr>
            </w:pPr>
            <w:r>
              <w:rPr>
                <w:sz w:val="18"/>
                <w:highlight w:val="yellow"/>
              </w:rPr>
              <w:t>Uwzględnienie ograniczeń w zakresie budżetu, danych i czasu.</w:t>
            </w:r>
          </w:p>
        </w:tc>
      </w:tr>
      <w:tr w:rsidR="001924CD" w:rsidRPr="000A700F" w:rsidTr="00E57366">
        <w:tc>
          <w:tcPr>
            <w:tcW w:w="846" w:type="dxa"/>
            <w:shd w:val="clear" w:color="auto" w:fill="E7E6E6" w:themeFill="background2"/>
          </w:tcPr>
          <w:p w:rsidR="001924CD" w:rsidRPr="000A700F" w:rsidRDefault="001924CD"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5</w:t>
            </w:r>
          </w:p>
        </w:tc>
        <w:tc>
          <w:tcPr>
            <w:tcW w:w="8170" w:type="dxa"/>
          </w:tcPr>
          <w:p w:rsidR="001924CD" w:rsidRPr="000A700F" w:rsidRDefault="001924CD" w:rsidP="004C05DD">
            <w:pPr>
              <w:pStyle w:val="Hlistbullet"/>
              <w:numPr>
                <w:ilvl w:val="0"/>
                <w:numId w:val="0"/>
              </w:numPr>
              <w:spacing w:before="0" w:line="280" w:lineRule="atLeast"/>
              <w:rPr>
                <w:sz w:val="18"/>
                <w:szCs w:val="18"/>
                <w:highlight w:val="yellow"/>
              </w:rPr>
            </w:pPr>
            <w:r>
              <w:rPr>
                <w:sz w:val="18"/>
                <w:highlight w:val="yellow"/>
              </w:rPr>
              <w:t>Wybór odpowiedniego pakietu metod</w:t>
            </w:r>
            <w:r>
              <w:rPr>
                <w:rFonts w:ascii="ZWAdobeF" w:hAnsi="ZWAdobeF"/>
                <w:color w:val="auto"/>
                <w:sz w:val="2"/>
                <w:highlight w:val="yellow"/>
              </w:rPr>
              <w:t>111F</w:t>
            </w:r>
            <w:r w:rsidRPr="00E64BBD">
              <w:rPr>
                <w:rStyle w:val="FootnoteReference"/>
                <w:highlight w:val="yellow"/>
              </w:rPr>
              <w:footnoteReference w:id="112"/>
            </w:r>
            <w:r w:rsidRPr="00E64BBD">
              <w:rPr>
                <w:sz w:val="18"/>
                <w:highlight w:val="yellow"/>
              </w:rPr>
              <w:t>.</w:t>
            </w:r>
            <w:r w:rsidRPr="00E64BBD">
              <w:rPr>
                <w:highlight w:val="yellow"/>
              </w:rPr>
              <w:t xml:space="preserve"> </w:t>
            </w:r>
            <w:r w:rsidRPr="00E64BBD">
              <w:rPr>
                <w:sz w:val="18"/>
                <w:highlight w:val="yellow"/>
              </w:rPr>
              <w:t xml:space="preserve">Wybór </w:t>
            </w:r>
            <w:r>
              <w:rPr>
                <w:sz w:val="18"/>
                <w:highlight w:val="yellow"/>
              </w:rPr>
              <w:t>danej metody powinien być ponadto oparty na zdolności wyjaśnienia związków przyczynowo-skutkowych, wyeliminowania ewentualnej tendencyjności wyboru, wyodrębnienia efektu programu spośród innych czynników itp.</w:t>
            </w:r>
          </w:p>
        </w:tc>
      </w:tr>
      <w:tr w:rsidR="001924CD" w:rsidRPr="002809CE" w:rsidTr="00E57366">
        <w:tc>
          <w:tcPr>
            <w:tcW w:w="9016" w:type="dxa"/>
            <w:gridSpan w:val="2"/>
          </w:tcPr>
          <w:p w:rsidR="001924CD" w:rsidRPr="002809CE" w:rsidRDefault="001924CD" w:rsidP="006D74ED">
            <w:pPr>
              <w:pStyle w:val="Hlistbullet"/>
              <w:numPr>
                <w:ilvl w:val="0"/>
                <w:numId w:val="0"/>
              </w:numPr>
              <w:spacing w:before="0" w:line="280" w:lineRule="atLeast"/>
              <w:rPr>
                <w:b/>
                <w:sz w:val="18"/>
                <w:szCs w:val="18"/>
              </w:rPr>
            </w:pPr>
            <w:r>
              <w:rPr>
                <w:b/>
                <w:sz w:val="18"/>
                <w:highlight w:val="yellow"/>
              </w:rPr>
              <w:t>Oczekiwany wynik</w:t>
            </w:r>
            <w:r w:rsidRPr="00E64BBD">
              <w:rPr>
                <w:b/>
                <w:sz w:val="18"/>
                <w:highlight w:val="yellow"/>
              </w:rPr>
              <w:t>:</w:t>
            </w:r>
            <w:r w:rsidRPr="00E64BBD">
              <w:rPr>
                <w:highlight w:val="yellow"/>
              </w:rPr>
              <w:t xml:space="preserve"> </w:t>
            </w:r>
            <w:r w:rsidRPr="00E64BBD">
              <w:rPr>
                <w:sz w:val="18"/>
                <w:highlight w:val="yellow"/>
              </w:rPr>
              <w:t xml:space="preserve">dobór </w:t>
            </w:r>
            <w:r>
              <w:rPr>
                <w:sz w:val="18"/>
                <w:highlight w:val="yellow"/>
              </w:rPr>
              <w:t>metod ewaluacji.</w:t>
            </w:r>
          </w:p>
        </w:tc>
      </w:tr>
    </w:tbl>
    <w:p w:rsidR="001924CD" w:rsidRPr="007E5604" w:rsidRDefault="001924CD" w:rsidP="00E57366">
      <w:pPr>
        <w:pStyle w:val="HStandard"/>
        <w:spacing w:after="240"/>
        <w:rPr>
          <w:lang w:val="en-US"/>
        </w:rPr>
      </w:pPr>
      <w:r>
        <w:rPr>
          <w:color w:val="E7E6E6" w:themeColor="background2"/>
        </w:rPr>
        <w:sym w:font="Wingdings" w:char="F046"/>
      </w:r>
      <w:r w:rsidRPr="007E5604">
        <w:rPr>
          <w:lang w:val="en-US"/>
        </w:rPr>
        <w:t xml:space="preserve"> </w:t>
      </w:r>
      <w:r w:rsidRPr="007E5604">
        <w:rPr>
          <w:b/>
          <w:color w:val="E7E6E6" w:themeColor="background2"/>
          <w:lang w:val="en-US"/>
        </w:rPr>
        <w:t>PART III</w:t>
      </w:r>
      <w:r w:rsidRPr="007E5604">
        <w:rPr>
          <w:lang w:val="en-US"/>
        </w:rPr>
        <w:t xml:space="preserve"> of the guidelines provides a more detailed description of less well-known methods, such as network function analysis, stakeholder analysis, and social network analysis.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8D0759" w:rsidTr="00E57366">
        <w:tc>
          <w:tcPr>
            <w:tcW w:w="9016" w:type="dxa"/>
            <w:shd w:val="clear" w:color="auto" w:fill="F5F4F4" w:themeFill="background2" w:themeFillTint="66"/>
          </w:tcPr>
          <w:p w:rsidR="001924CD" w:rsidRPr="000A700F" w:rsidRDefault="001924CD" w:rsidP="00E57366">
            <w:pPr>
              <w:pStyle w:val="HStandard"/>
              <w:rPr>
                <w:highlight w:val="yellow"/>
              </w:rPr>
            </w:pPr>
            <w:r>
              <w:rPr>
                <w:highlight w:val="yellow"/>
              </w:rPr>
              <w:t>Pytania pomocnicze dotyczące wyboru odpowiedniego podejścia i metodologii w zakresie ewaluacji:</w:t>
            </w:r>
          </w:p>
          <w:p w:rsidR="001924CD" w:rsidRPr="000A700F" w:rsidRDefault="001924CD" w:rsidP="001924CD">
            <w:pPr>
              <w:pStyle w:val="Hlistbullet2"/>
              <w:rPr>
                <w:highlight w:val="yellow"/>
              </w:rPr>
            </w:pPr>
            <w:r>
              <w:rPr>
                <w:highlight w:val="yellow"/>
              </w:rPr>
              <w:t>Jakie podejście i metodologia ewaluacji najlepiej odpowiadają potrzebom w zakresie ewaluacji KSOW?</w:t>
            </w:r>
          </w:p>
          <w:p w:rsidR="001924CD" w:rsidRPr="000A700F" w:rsidRDefault="001924CD" w:rsidP="001924CD">
            <w:pPr>
              <w:pStyle w:val="Hlistbullet2"/>
              <w:rPr>
                <w:highlight w:val="yellow"/>
              </w:rPr>
            </w:pPr>
            <w:r>
              <w:rPr>
                <w:highlight w:val="yellow"/>
              </w:rPr>
              <w:lastRenderedPageBreak/>
              <w:t>Jakie podejście i metodologia pomagają ustalić wartość dodaną KSOW, która wykracza poza zakładane cele wspólne i cele specyficzne dla programu?</w:t>
            </w:r>
          </w:p>
          <w:p w:rsidR="001924CD" w:rsidRPr="000A700F" w:rsidRDefault="001924CD" w:rsidP="001924CD">
            <w:pPr>
              <w:pStyle w:val="Hlistbullet2"/>
              <w:rPr>
                <w:highlight w:val="yellow"/>
              </w:rPr>
            </w:pPr>
            <w:r>
              <w:rPr>
                <w:highlight w:val="yellow"/>
              </w:rPr>
              <w:t>Jakie podejście i metodologia najlepiej nadają się do oceny niematerialnych efektów KSOW?</w:t>
            </w:r>
          </w:p>
          <w:p w:rsidR="001924CD" w:rsidRPr="000A700F" w:rsidRDefault="001924CD" w:rsidP="001924CD">
            <w:pPr>
              <w:pStyle w:val="Hlistbullet2"/>
              <w:rPr>
                <w:highlight w:val="yellow"/>
              </w:rPr>
            </w:pPr>
            <w:r>
              <w:rPr>
                <w:highlight w:val="yellow"/>
              </w:rPr>
              <w:t>Jakie podejście i metodologia pomagają zaangażować główne zainteresowane strony i wzmocnić powiązania sieciowe między nimi?</w:t>
            </w:r>
          </w:p>
          <w:p w:rsidR="001924CD" w:rsidRPr="000A700F" w:rsidRDefault="001924CD" w:rsidP="001924CD">
            <w:pPr>
              <w:pStyle w:val="Hlistbullet2"/>
              <w:rPr>
                <w:highlight w:val="yellow"/>
              </w:rPr>
            </w:pPr>
            <w:r>
              <w:rPr>
                <w:highlight w:val="yellow"/>
              </w:rPr>
              <w:t>Jakie podejście i metodologia dają szansę na uzyskanie najbardziej wiarygodnych wyników ewaluacji, biorąc pod uwagę niematerialny charakter kapitału ludzkiego i społecznego?</w:t>
            </w:r>
          </w:p>
        </w:tc>
      </w:tr>
    </w:tbl>
    <w:p w:rsidR="001924CD" w:rsidRPr="000A700F" w:rsidRDefault="001924CD" w:rsidP="00320BBA">
      <w:pPr>
        <w:pStyle w:val="HHeading5"/>
        <w:rPr>
          <w:highlight w:val="yellow"/>
        </w:rPr>
      </w:pPr>
      <w:r>
        <w:rPr>
          <w:highlight w:val="yellow"/>
        </w:rPr>
        <w:lastRenderedPageBreak/>
        <w:t>Co należy, a czego nie należy robić</w:t>
      </w:r>
    </w:p>
    <w:tbl>
      <w:tblPr>
        <w:tblStyle w:val="LightList-Accent5"/>
        <w:tblW w:w="0" w:type="auto"/>
        <w:tblLook w:val="04A0" w:firstRow="1" w:lastRow="0" w:firstColumn="1" w:lastColumn="0" w:noHBand="0" w:noVBand="1"/>
      </w:tblPr>
      <w:tblGrid>
        <w:gridCol w:w="4508"/>
        <w:gridCol w:w="4498"/>
      </w:tblGrid>
      <w:tr w:rsidR="001924CD"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1924CD" w:rsidRPr="000A700F" w:rsidRDefault="001924CD"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115F85FE" wp14:editId="18A4098D">
                  <wp:extent cx="360000" cy="360000"/>
                  <wp:effectExtent l="0" t="0" r="254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1924CD" w:rsidRPr="000A700F" w:rsidRDefault="001924CD"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680F1EC1" wp14:editId="271BC0F9">
                  <wp:extent cx="360000" cy="360000"/>
                  <wp:effectExtent l="0" t="0" r="254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1924CD"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1924CD" w:rsidRPr="000A700F" w:rsidRDefault="001924C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Przyjąć mieszane podejście jakościowo-ilościowe, obejmujące wiele różnych metod i łączące różne punkty widzenia.</w:t>
            </w:r>
          </w:p>
          <w:p w:rsidR="001924CD" w:rsidRPr="000A700F" w:rsidRDefault="001924C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Dopasować nakłady i koszty ewaluacji do zakresu i skali działalności KSOW.</w:t>
            </w:r>
          </w:p>
          <w:p w:rsidR="001924CD" w:rsidRPr="000A700F" w:rsidRDefault="001924C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Uznać monitorowanie, samoocenę i ewaluację za elementy kompleksowej architektury uczenia się.</w:t>
            </w:r>
          </w:p>
          <w:p w:rsidR="001924CD" w:rsidRPr="000A700F" w:rsidRDefault="001924CD" w:rsidP="000A3387">
            <w:pPr>
              <w:pStyle w:val="HStandard"/>
              <w:rPr>
                <w:color w:val="FFC000" w:themeColor="accent4"/>
                <w:sz w:val="18"/>
                <w:szCs w:val="18"/>
                <w:highlight w:val="yellow"/>
              </w:rPr>
            </w:pPr>
            <w:r>
              <w:rPr>
                <w:b w:val="0"/>
                <w:color w:val="FFC000" w:themeColor="accent4"/>
                <w:sz w:val="18"/>
                <w:highlight w:val="yellow"/>
              </w:rPr>
              <w:t>Eksperymentować z niekonwencjonalnymi metodami na zasadzie uzupełnienia powszechnie stosowanych metod.</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1924CD" w:rsidRPr="000A700F" w:rsidRDefault="001924CD"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Kłaść nadmierny nacisk na czysto ilościowy pomiar.</w:t>
            </w:r>
          </w:p>
          <w:p w:rsidR="001924CD" w:rsidRPr="000A700F" w:rsidRDefault="001924CD"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Przedstawiać proste związki przyczynowo-skutkowe bez odnoszenia wyników do „teorii zmiany ", która leży u podstaw logiki interwencji.</w:t>
            </w:r>
          </w:p>
          <w:p w:rsidR="001924CD" w:rsidRPr="008D0759" w:rsidRDefault="001924CD"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Ignorować wyniki samooceny lub badań towarzyszących.</w:t>
            </w:r>
          </w:p>
        </w:tc>
      </w:tr>
    </w:tbl>
    <w:p w:rsidR="001924CD" w:rsidRPr="008D0759" w:rsidRDefault="001924CD" w:rsidP="00320BBA">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1924CD" w:rsidRPr="00921C8E" w:rsidTr="004C05DD">
        <w:tc>
          <w:tcPr>
            <w:tcW w:w="9918" w:type="dxa"/>
            <w:shd w:val="clear" w:color="auto" w:fill="FAF9F9" w:themeFill="background2" w:themeFillTint="33"/>
          </w:tcPr>
          <w:p w:rsidR="001924CD" w:rsidRPr="007E5604" w:rsidRDefault="001924CD" w:rsidP="00E57366">
            <w:pPr>
              <w:pStyle w:val="HStandard"/>
              <w:rPr>
                <w:sz w:val="16"/>
                <w:szCs w:val="16"/>
                <w:lang w:val="en-US"/>
              </w:rPr>
            </w:pPr>
            <w:r w:rsidRPr="007E5604">
              <w:rPr>
                <w:sz w:val="16"/>
                <w:lang w:val="en-US"/>
              </w:rPr>
              <w:t>For all other methods mentioned and more, see the  extensive presentation of qualitative (e.g. interviews, focus groups, surveys, case studies and others) and quantitative methods (e.g. difference in difference, propensity score matching, their combinations) in:</w:t>
            </w:r>
            <w:r w:rsidRPr="007E5604">
              <w:rPr>
                <w:lang w:val="en-US"/>
              </w:rPr>
              <w:t xml:space="preserve"> </w:t>
            </w:r>
            <w:hyperlink r:id="rId47">
              <w:r w:rsidRPr="007E5604">
                <w:rPr>
                  <w:rStyle w:val="Hyperlink"/>
                  <w:sz w:val="16"/>
                  <w:lang w:val="en-US"/>
                </w:rPr>
                <w:t>The Guidelines for ex post evaluation of RDP 2007 - 2013</w:t>
              </w:r>
            </w:hyperlink>
            <w:r w:rsidRPr="007E5604">
              <w:rPr>
                <w:sz w:val="16"/>
                <w:lang w:val="en-US"/>
              </w:rPr>
              <w:t>, Evaluation Helpdesk, Brussels, 2014.</w:t>
            </w:r>
          </w:p>
          <w:p w:rsidR="001924CD" w:rsidRPr="007E5604" w:rsidRDefault="001924CD" w:rsidP="00E57366">
            <w:pPr>
              <w:pStyle w:val="HStandard"/>
              <w:rPr>
                <w:sz w:val="16"/>
                <w:szCs w:val="16"/>
                <w:lang w:val="en-US"/>
              </w:rPr>
            </w:pPr>
            <w:r w:rsidRPr="007E5604">
              <w:rPr>
                <w:sz w:val="16"/>
                <w:lang w:val="en-US"/>
              </w:rPr>
              <w:t>Concerning the assessment of impacts:</w:t>
            </w:r>
          </w:p>
          <w:p w:rsidR="001924CD" w:rsidRPr="007E5604" w:rsidRDefault="001924CD" w:rsidP="00E57366">
            <w:pPr>
              <w:pStyle w:val="HStandard"/>
              <w:rPr>
                <w:sz w:val="16"/>
                <w:szCs w:val="16"/>
                <w:lang w:val="en-US"/>
              </w:rPr>
            </w:pPr>
            <w:r w:rsidRPr="007E5604">
              <w:rPr>
                <w:sz w:val="16"/>
                <w:lang w:val="en-US"/>
              </w:rPr>
              <w:t>Working Paper of the Rural Evaluation Helpdesk (July 2010): Approaches for assessing the impacts of the Rural Development Programmes in the context of multiple intervening factors, p. 26 ff.</w:t>
            </w:r>
          </w:p>
          <w:p w:rsidR="001924CD" w:rsidRPr="007E5604" w:rsidRDefault="001924CD" w:rsidP="00E57366">
            <w:pPr>
              <w:pStyle w:val="HStandard"/>
              <w:rPr>
                <w:sz w:val="16"/>
                <w:szCs w:val="16"/>
                <w:lang w:val="en-US"/>
              </w:rPr>
            </w:pPr>
            <w:r w:rsidRPr="007E5604">
              <w:rPr>
                <w:sz w:val="16"/>
                <w:lang w:val="en-US"/>
              </w:rPr>
              <w:t>Assessment of RDP results: How to prepare for reporting on evaluation in 2017, Evaluation Helpdesk, April 2016</w:t>
            </w:r>
          </w:p>
        </w:tc>
      </w:tr>
    </w:tbl>
    <w:p w:rsidR="001924CD" w:rsidRPr="000D1D32" w:rsidRDefault="001924CD" w:rsidP="00642574">
      <w:pPr>
        <w:pStyle w:val="HHeading3"/>
        <w:rPr>
          <w:highlight w:val="yellow"/>
        </w:rPr>
      </w:pPr>
      <w:bookmarkStart w:id="220" w:name="_Toc434744517"/>
      <w:bookmarkStart w:id="221" w:name="_Toc436140059"/>
      <w:bookmarkStart w:id="222" w:name="_Toc443491684"/>
      <w:bookmarkStart w:id="223" w:name="_Toc453079768"/>
      <w:r>
        <w:rPr>
          <w:highlight w:val="yellow"/>
        </w:rPr>
        <w:t>Utworzenie systemu gromadzenia dowodów do celów ewaluacji</w:t>
      </w:r>
      <w:bookmarkEnd w:id="220"/>
      <w:bookmarkEnd w:id="221"/>
      <w:bookmarkEnd w:id="222"/>
      <w:bookmarkEnd w:id="223"/>
      <w:r>
        <w:rPr>
          <w:highlight w:val="yellow"/>
        </w:rPr>
        <w:t xml:space="preserve"> </w:t>
      </w:r>
    </w:p>
    <w:p w:rsidR="001924CD" w:rsidRPr="007E5604" w:rsidRDefault="001924CD" w:rsidP="00216BE4">
      <w:pPr>
        <w:pStyle w:val="HStandard"/>
        <w:rPr>
          <w:lang w:val="en-US"/>
        </w:rPr>
      </w:pPr>
      <w:r w:rsidRPr="007E5604">
        <w:rPr>
          <w:lang w:val="en-US"/>
        </w:rPr>
        <w:t>The existing set of indicators and the choice of the evaluation methods determine which kind of data and information is needed. Some of the data and information will already exist, albeit not necessarily in the appropriate format for the evaluator, and some has to be collected explicitly for the evaluation. The allocated budget might also influence this decision, since cost-efficiency is often a key factor in selecting methods, sometimes to the detriment of their appropriateness for the specific evaluation.</w:t>
      </w:r>
    </w:p>
    <w:p w:rsidR="001924CD" w:rsidRPr="007E5604" w:rsidRDefault="001924CD" w:rsidP="00216BE4">
      <w:pPr>
        <w:pStyle w:val="HStandard"/>
        <w:rPr>
          <w:lang w:val="en-US"/>
        </w:rPr>
      </w:pPr>
      <w:r w:rsidRPr="007E5604">
        <w:rPr>
          <w:lang w:val="en-US"/>
        </w:rPr>
        <w:t xml:space="preserve">There are four discernible options concerning available data sources for NRNs: </w:t>
      </w:r>
    </w:p>
    <w:p w:rsidR="001924CD" w:rsidRPr="007E5604" w:rsidRDefault="001924CD" w:rsidP="007517DC">
      <w:pPr>
        <w:pStyle w:val="Hlistabc"/>
        <w:numPr>
          <w:ilvl w:val="0"/>
          <w:numId w:val="19"/>
        </w:numPr>
        <w:rPr>
          <w:lang w:val="en-US"/>
        </w:rPr>
      </w:pPr>
      <w:r w:rsidRPr="007E5604">
        <w:rPr>
          <w:lang w:val="en-US"/>
        </w:rPr>
        <w:t>The available data on the NRN(P) action plan implementation is usually kept at output level (number of events, number of participants, newsletters produced, beneficiaries' profiles, information on results achieved, etc.) through the monitoring system (operations database).</w:t>
      </w:r>
    </w:p>
    <w:p w:rsidR="001924CD" w:rsidRPr="007E5604" w:rsidRDefault="001924CD" w:rsidP="00216BE4">
      <w:pPr>
        <w:pStyle w:val="Hlistabc2"/>
        <w:rPr>
          <w:lang w:val="en-US"/>
        </w:rPr>
      </w:pPr>
      <w:r w:rsidRPr="007E5604">
        <w:rPr>
          <w:lang w:val="en-US"/>
        </w:rPr>
        <w:t xml:space="preserve">In cases where programme authorities have developed NRN(P)-specific result and impact indicators at the RDP design phase, relevant data can be incorporated in the data infrastructure </w:t>
      </w:r>
      <w:r w:rsidRPr="007E5604">
        <w:rPr>
          <w:lang w:val="en-US"/>
        </w:rPr>
        <w:lastRenderedPageBreak/>
        <w:t>developed for monitoring purposes by the MA. This would become the basis for the collection, storage and management of all programme data.</w:t>
      </w:r>
    </w:p>
    <w:p w:rsidR="001924CD" w:rsidRPr="007E5604" w:rsidRDefault="001924CD" w:rsidP="00216BE4">
      <w:pPr>
        <w:pStyle w:val="Hlistabc2"/>
        <w:rPr>
          <w:lang w:val="en-US"/>
        </w:rPr>
      </w:pPr>
      <w:r w:rsidRPr="007E5604">
        <w:rPr>
          <w:lang w:val="en-US"/>
        </w:rPr>
        <w:t xml:space="preserve">Data and information for NRN(P)-specific result and impact indicators may also have to be collected by the evaluator or on an ad hoc basis by the NSU (e.g. tracking of feedback on user satisfaction, uptake of good practices by event participants over the programming period, etc.). </w:t>
      </w:r>
    </w:p>
    <w:p w:rsidR="001924CD" w:rsidRPr="007E5604" w:rsidRDefault="001924CD" w:rsidP="00216BE4">
      <w:pPr>
        <w:pStyle w:val="Hlistabc2"/>
        <w:rPr>
          <w:lang w:val="en-US"/>
        </w:rPr>
      </w:pPr>
      <w:r w:rsidRPr="007E5604">
        <w:rPr>
          <w:lang w:val="en-US"/>
        </w:rPr>
        <w:t>There are also cases of NRNs which have developed their own monitoring system (separately from that of the MA) to collect information on their operations through their own database.</w:t>
      </w:r>
    </w:p>
    <w:p w:rsidR="001924CD" w:rsidRPr="007E5604" w:rsidRDefault="001924CD" w:rsidP="00216BE4">
      <w:pPr>
        <w:pStyle w:val="HStandard"/>
        <w:rPr>
          <w:lang w:val="en-US"/>
        </w:rPr>
      </w:pPr>
      <w:r w:rsidRPr="007E5604">
        <w:rPr>
          <w:lang w:val="en-US"/>
        </w:rPr>
        <w:t>Whatever the chosen or available option for collecting and storing data, there should be some harmonisation and coordination of all of the above to avoid duplication of data and effort.</w:t>
      </w:r>
    </w:p>
    <w:p w:rsidR="001924CD" w:rsidRPr="007E5604" w:rsidRDefault="001924CD" w:rsidP="00216BE4">
      <w:pPr>
        <w:pStyle w:val="HStandard"/>
        <w:rPr>
          <w:lang w:val="en-US"/>
        </w:rPr>
      </w:pPr>
      <w:r w:rsidRPr="007E5604">
        <w:rPr>
          <w:lang w:val="en-US"/>
        </w:rPr>
        <w:t>More and more NRNs practice self-assessment or make use of other mechanisms providing expedited feedback (e.g. expert panels). Having such mechanisms built into the steering structure of the NRN does not only support the management but also constitutes a valuable interface between monitoring and evaluation. Some elements used for the self-assessment can be taken up and utilised by the evaluation team (e.g. the minutes of periodic focus groups, or certain judgment criteria for programme-specific indicators). External evaluations of LAGs and other survey studies (ranging from thematic surveys to student’s theses) will feed into the evaluation of NRN(P) as well</w:t>
      </w:r>
      <w:r w:rsidRPr="007E5604">
        <w:rPr>
          <w:rFonts w:ascii="ZWAdobeF" w:hAnsi="ZWAdobeF"/>
          <w:color w:val="auto"/>
          <w:sz w:val="2"/>
          <w:lang w:val="en-US"/>
        </w:rPr>
        <w:t>112F</w:t>
      </w:r>
      <w:r>
        <w:rPr>
          <w:rStyle w:val="FootnoteReference"/>
        </w:rPr>
        <w:footnoteReference w:id="113"/>
      </w:r>
      <w:r w:rsidRPr="007E5604">
        <w:rPr>
          <w:lang w:val="en-US"/>
        </w:rPr>
        <w:t>.</w:t>
      </w:r>
    </w:p>
    <w:p w:rsidR="001924CD" w:rsidRPr="007E5604" w:rsidRDefault="001924CD" w:rsidP="00216BE4">
      <w:pPr>
        <w:pStyle w:val="HStandard"/>
        <w:rPr>
          <w:lang w:val="en-US"/>
        </w:rPr>
      </w:pPr>
      <w:r w:rsidRPr="007E5604">
        <w:rPr>
          <w:lang w:val="en-US"/>
        </w:rPr>
        <w:t>The results of these self-assessments, external evaluations and accompanying research activities should be stored by the NSU as part of its monitoring system. It is advisable that the monitoring system foresees for the collection and management of qualitative data in relation to NRN activities, in addition to quantitative data.</w:t>
      </w:r>
    </w:p>
    <w:p w:rsidR="001924CD" w:rsidRPr="007E5604" w:rsidRDefault="001924CD" w:rsidP="000A3387">
      <w:pPr>
        <w:pStyle w:val="Heading6"/>
        <w:rPr>
          <w:lang w:val="en-US"/>
        </w:rPr>
      </w:pPr>
      <w:bookmarkStart w:id="224" w:name="_Toc434744518"/>
      <w:bookmarkStart w:id="225" w:name="_Toc436140060"/>
      <w:r w:rsidRPr="007E5604">
        <w:rPr>
          <w:lang w:val="en-US"/>
        </w:rPr>
        <w:t>What are the issues to be considered in relation to data/information needs and sources for NRNs</w:t>
      </w:r>
      <w:bookmarkEnd w:id="224"/>
      <w:bookmarkEnd w:id="225"/>
      <w:r w:rsidRPr="007E5604">
        <w:rPr>
          <w:lang w:val="en-US"/>
        </w:rPr>
        <w:t>?</w:t>
      </w:r>
    </w:p>
    <w:p w:rsidR="001924CD" w:rsidRPr="007E5604" w:rsidRDefault="001924CD" w:rsidP="00216BE4">
      <w:pPr>
        <w:pStyle w:val="HStandard"/>
        <w:rPr>
          <w:lang w:val="en-US"/>
        </w:rPr>
      </w:pPr>
      <w:r w:rsidRPr="007E5604">
        <w:rPr>
          <w:lang w:val="en-US"/>
        </w:rPr>
        <w:t xml:space="preserve">Information for NRN results and impacts should be captured where NRN effects are expected: </w:t>
      </w:r>
    </w:p>
    <w:p w:rsidR="001924CD" w:rsidRPr="007E5604" w:rsidRDefault="001924CD" w:rsidP="000A3387">
      <w:pPr>
        <w:pStyle w:val="Hlistbullet2"/>
        <w:rPr>
          <w:lang w:val="en-US"/>
        </w:rPr>
      </w:pPr>
      <w:r w:rsidRPr="007E5604">
        <w:rPr>
          <w:lang w:val="en-US"/>
        </w:rPr>
        <w:t>At the level of individuals (micro level) participating in the network activities, where they acquire knowledge and information in order to conduct their work more effectively;</w:t>
      </w:r>
    </w:p>
    <w:p w:rsidR="001924CD" w:rsidRPr="007E5604" w:rsidRDefault="001924CD" w:rsidP="000A3387">
      <w:pPr>
        <w:pStyle w:val="Hlistbullet2"/>
        <w:rPr>
          <w:lang w:val="en-US"/>
        </w:rPr>
      </w:pPr>
      <w:r w:rsidRPr="007E5604">
        <w:rPr>
          <w:lang w:val="en-US"/>
        </w:rPr>
        <w:t xml:space="preserve">At the level of NRN groups of stakeholders and their organisations (meso level), where effects in relation to building capacities to achieve the NRN and RDP objectives can be expected; </w:t>
      </w:r>
    </w:p>
    <w:p w:rsidR="001924CD" w:rsidRPr="007E5604" w:rsidRDefault="001924CD" w:rsidP="000A3387">
      <w:pPr>
        <w:pStyle w:val="Hlistbullet2"/>
        <w:rPr>
          <w:lang w:val="en-US"/>
        </w:rPr>
      </w:pPr>
      <w:r w:rsidRPr="007E5604">
        <w:rPr>
          <w:lang w:val="en-US"/>
        </w:rPr>
        <w:t>At the level of rural areas (macro level), where effects for example on the improvement of the governance in the rural areas in a broader sense can be expected.</w:t>
      </w:r>
    </w:p>
    <w:p w:rsidR="001924CD" w:rsidRPr="007E5604" w:rsidRDefault="001924CD" w:rsidP="00216BE4">
      <w:pPr>
        <w:pStyle w:val="HStandard"/>
        <w:rPr>
          <w:lang w:val="en-US"/>
        </w:rPr>
      </w:pPr>
      <w:r w:rsidRPr="007E5604">
        <w:rPr>
          <w:lang w:val="en-US"/>
        </w:rPr>
        <w:t xml:space="preserve">Each type of information requires specific collection methods, for instance: </w:t>
      </w:r>
    </w:p>
    <w:p w:rsidR="001924CD" w:rsidRPr="007E5604" w:rsidRDefault="001924CD" w:rsidP="00216BE4">
      <w:pPr>
        <w:pStyle w:val="Hlistbullet2"/>
        <w:rPr>
          <w:lang w:val="en-US"/>
        </w:rPr>
      </w:pPr>
      <w:r w:rsidRPr="007E5604">
        <w:rPr>
          <w:lang w:val="en-US"/>
        </w:rPr>
        <w:t xml:space="preserve">Data &amp; information relating to participation and satisfaction, e.g. via assessment sheets, questionnaires, etc. directly or almost directly at network activities; </w:t>
      </w:r>
    </w:p>
    <w:p w:rsidR="001924CD" w:rsidRPr="007E5604" w:rsidRDefault="001924CD" w:rsidP="00216BE4">
      <w:pPr>
        <w:pStyle w:val="Hlistbullet2"/>
        <w:rPr>
          <w:lang w:val="en-US"/>
        </w:rPr>
      </w:pPr>
      <w:r w:rsidRPr="007E5604">
        <w:rPr>
          <w:lang w:val="en-US"/>
        </w:rPr>
        <w:t>Data &amp; information relating to opinions and social relationships, e.g. via interviews, surveys, self-assessment tools, focus groups, etc. in the course of the routine work of stakeholders and involved actors, or via social network analysis and socio-metric methods in the course of particular investigations;</w:t>
      </w:r>
    </w:p>
    <w:p w:rsidR="001924CD" w:rsidRPr="007E5604" w:rsidRDefault="001924CD" w:rsidP="00216BE4">
      <w:pPr>
        <w:pStyle w:val="Hlistbullet2"/>
        <w:rPr>
          <w:lang w:val="en-US"/>
        </w:rPr>
      </w:pPr>
      <w:r w:rsidRPr="007E5604">
        <w:rPr>
          <w:lang w:val="en-US"/>
        </w:rPr>
        <w:t>Data &amp; information relating to governance issues, e.g. either through social network analysis, visualising the change in the network relations, or through indirect evidence, e.g. through an increase in cooperation becoming manifest in a new institution or a memorandum of understanding induced by network activities.</w:t>
      </w:r>
    </w:p>
    <w:p w:rsidR="001924CD" w:rsidRPr="007E5604" w:rsidRDefault="001924CD" w:rsidP="00216BE4">
      <w:pPr>
        <w:pStyle w:val="HStandard"/>
        <w:rPr>
          <w:lang w:val="en-US"/>
        </w:rPr>
      </w:pPr>
      <w:r w:rsidRPr="007E5604">
        <w:rPr>
          <w:lang w:val="en-US"/>
        </w:rPr>
        <w:t xml:space="preserve">In a schematic way the following data needs and sources can be discerned: </w:t>
      </w:r>
    </w:p>
    <w:p w:rsidR="001924CD" w:rsidRPr="007E5604" w:rsidRDefault="001924CD" w:rsidP="00216BE4">
      <w:pPr>
        <w:pStyle w:val="Hlistbullet2"/>
        <w:rPr>
          <w:lang w:val="en-US"/>
        </w:rPr>
      </w:pPr>
      <w:r w:rsidRPr="007E5604">
        <w:rPr>
          <w:lang w:val="en-US"/>
        </w:rPr>
        <w:lastRenderedPageBreak/>
        <w:t>Quantitative data for input and output indicators (monitoring based on the operations database). Data on result indicators already defined during the programme design phase may also be included in the monitoring system.</w:t>
      </w:r>
    </w:p>
    <w:p w:rsidR="001924CD" w:rsidRPr="007E5604" w:rsidRDefault="001924CD" w:rsidP="00216BE4">
      <w:pPr>
        <w:pStyle w:val="Hlistbullet2"/>
        <w:rPr>
          <w:lang w:val="en-US"/>
        </w:rPr>
      </w:pPr>
      <w:r w:rsidRPr="007E5604">
        <w:rPr>
          <w:lang w:val="en-US"/>
        </w:rPr>
        <w:t>Quantitative data and qualitative information for result indicators collected from NRN beneficiaries (surveys, focus groups, case studies, etc.) by the NSU (self-assessment) or during the evaluation.</w:t>
      </w:r>
    </w:p>
    <w:p w:rsidR="001924CD" w:rsidRPr="007E5604" w:rsidRDefault="001924CD" w:rsidP="00216BE4">
      <w:pPr>
        <w:pStyle w:val="Hlistbullet2"/>
        <w:rPr>
          <w:lang w:val="en-US"/>
        </w:rPr>
      </w:pPr>
      <w:r w:rsidRPr="007E5604">
        <w:rPr>
          <w:lang w:val="en-US"/>
        </w:rPr>
        <w:t xml:space="preserve">Quantitative data and qualitative information for result and impact indicators collected from both beneficiaries and non-beneficiaries of the NRN(P) in order to conduct counterfactual analysis (surveys using questionnaires, interviews, focus groups or case studies, etc.); for example, for the result indicator </w:t>
      </w:r>
      <w:r w:rsidRPr="007E5604">
        <w:rPr>
          <w:i/>
          <w:lang w:val="en-US"/>
        </w:rPr>
        <w:t>‘Number of actors (by type) participating in the implementation of RDPs as a consequence of the NRN activities’</w:t>
      </w:r>
      <w:r w:rsidRPr="007E5604">
        <w:rPr>
          <w:lang w:val="en-US"/>
        </w:rPr>
        <w:t xml:space="preserve"> developed for the Spanish NRN).</w:t>
      </w:r>
    </w:p>
    <w:p w:rsidR="001924CD" w:rsidRPr="000A700F" w:rsidRDefault="001924CD" w:rsidP="000A3387">
      <w:pPr>
        <w:pStyle w:val="Heading6"/>
        <w:rPr>
          <w:highlight w:val="yellow"/>
        </w:rPr>
      </w:pPr>
      <w:bookmarkStart w:id="226" w:name="_Toc434744519"/>
      <w:bookmarkStart w:id="227" w:name="_Toc436140061"/>
      <w:r>
        <w:rPr>
          <w:highlight w:val="yellow"/>
        </w:rPr>
        <w:t xml:space="preserve">Jakie są główne etapy procesu tworzenia systemu gromadzenia danych i informacji? </w:t>
      </w:r>
      <w:bookmarkEnd w:id="226"/>
      <w:bookmarkEnd w:id="227"/>
    </w:p>
    <w:p w:rsidR="001924CD" w:rsidRPr="000A700F" w:rsidRDefault="001924CD" w:rsidP="00216BE4">
      <w:pPr>
        <w:pStyle w:val="HStandard"/>
        <w:rPr>
          <w:highlight w:val="yellow"/>
        </w:rPr>
      </w:pPr>
      <w:r w:rsidRPr="007E5604">
        <w:rPr>
          <w:lang w:val="en-US"/>
        </w:rPr>
        <w:t xml:space="preserve">High quality and timely available data and information are essential for calculating and filling the indicators and applying the selected evaluation methods. Therefore, emphasis should be put on the proper establishment of data and information collection systems. </w:t>
      </w:r>
      <w:r>
        <w:rPr>
          <w:highlight w:val="yellow"/>
        </w:rPr>
        <w:t>Zalecane etapy pracy oraz spodziewane wyniki są następujące:</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1924CD" w:rsidRPr="000A700F" w:rsidTr="00C2517E">
        <w:tc>
          <w:tcPr>
            <w:tcW w:w="988" w:type="dxa"/>
            <w:shd w:val="clear" w:color="auto" w:fill="E7E6E6" w:themeFill="background2"/>
          </w:tcPr>
          <w:p w:rsidR="001924CD" w:rsidRPr="000A700F" w:rsidRDefault="001924CD" w:rsidP="00C2517E">
            <w:pPr>
              <w:pStyle w:val="HStandard"/>
              <w:spacing w:after="0"/>
              <w:jc w:val="center"/>
              <w:rPr>
                <w:b/>
                <w:color w:val="5B9BD5" w:themeColor="accent1"/>
                <w:sz w:val="18"/>
                <w:szCs w:val="18"/>
                <w:highlight w:val="yellow"/>
              </w:rPr>
            </w:pPr>
            <w:r>
              <w:rPr>
                <w:b/>
                <w:color w:val="5B9BD5" w:themeColor="accent1"/>
                <w:sz w:val="18"/>
                <w:highlight w:val="yellow"/>
              </w:rPr>
              <w:t>1</w:t>
            </w:r>
          </w:p>
        </w:tc>
        <w:tc>
          <w:tcPr>
            <w:tcW w:w="8028" w:type="dxa"/>
          </w:tcPr>
          <w:p w:rsidR="001924CD" w:rsidRPr="000A700F" w:rsidRDefault="001924CD" w:rsidP="007046A4">
            <w:pPr>
              <w:pStyle w:val="Hlistbullet"/>
              <w:numPr>
                <w:ilvl w:val="0"/>
                <w:numId w:val="0"/>
              </w:numPr>
              <w:spacing w:before="0" w:line="280" w:lineRule="atLeast"/>
              <w:ind w:left="284"/>
              <w:rPr>
                <w:highlight w:val="yellow"/>
              </w:rPr>
            </w:pPr>
            <w:r>
              <w:rPr>
                <w:sz w:val="18"/>
                <w:highlight w:val="yellow"/>
              </w:rPr>
              <w:t>Określenie potrzeb i źródeł danych (zgodnie ze wskaźnikami i wybranymi metodami ewaluacji)</w:t>
            </w:r>
          </w:p>
        </w:tc>
      </w:tr>
      <w:tr w:rsidR="001924CD" w:rsidRPr="000A700F" w:rsidTr="00C2517E">
        <w:tc>
          <w:tcPr>
            <w:tcW w:w="988" w:type="dxa"/>
            <w:shd w:val="clear" w:color="auto" w:fill="E7E6E6" w:themeFill="background2"/>
          </w:tcPr>
          <w:p w:rsidR="001924CD" w:rsidRPr="000A700F" w:rsidRDefault="001924CD" w:rsidP="00C2517E">
            <w:pPr>
              <w:pStyle w:val="HStandard"/>
              <w:spacing w:after="0"/>
              <w:jc w:val="center"/>
              <w:rPr>
                <w:b/>
                <w:color w:val="5B9BD5" w:themeColor="accent1"/>
                <w:sz w:val="18"/>
                <w:szCs w:val="18"/>
                <w:highlight w:val="yellow"/>
              </w:rPr>
            </w:pPr>
            <w:r>
              <w:rPr>
                <w:b/>
                <w:color w:val="5B9BD5" w:themeColor="accent1"/>
                <w:sz w:val="18"/>
                <w:highlight w:val="yellow"/>
              </w:rPr>
              <w:t>2</w:t>
            </w:r>
          </w:p>
        </w:tc>
        <w:tc>
          <w:tcPr>
            <w:tcW w:w="8028" w:type="dxa"/>
          </w:tcPr>
          <w:p w:rsidR="001924CD" w:rsidRPr="000A700F" w:rsidRDefault="001924CD" w:rsidP="007046A4">
            <w:pPr>
              <w:pStyle w:val="Hlistbullet"/>
              <w:numPr>
                <w:ilvl w:val="0"/>
                <w:numId w:val="0"/>
              </w:numPr>
              <w:spacing w:before="0" w:line="280" w:lineRule="atLeast"/>
              <w:ind w:left="644" w:hanging="360"/>
              <w:rPr>
                <w:highlight w:val="yellow"/>
              </w:rPr>
            </w:pPr>
            <w:r>
              <w:rPr>
                <w:sz w:val="18"/>
                <w:highlight w:val="yellow"/>
              </w:rPr>
              <w:t>Przegląd istniejących danych i źródeł</w:t>
            </w:r>
          </w:p>
        </w:tc>
      </w:tr>
      <w:tr w:rsidR="001924CD" w:rsidRPr="000A700F" w:rsidTr="00C2517E">
        <w:tc>
          <w:tcPr>
            <w:tcW w:w="988" w:type="dxa"/>
            <w:shd w:val="clear" w:color="auto" w:fill="E7E6E6" w:themeFill="background2"/>
          </w:tcPr>
          <w:p w:rsidR="001924CD" w:rsidRPr="000A700F" w:rsidRDefault="001924CD" w:rsidP="00C2517E">
            <w:pPr>
              <w:pStyle w:val="HStandard"/>
              <w:spacing w:after="0"/>
              <w:jc w:val="center"/>
              <w:rPr>
                <w:b/>
                <w:color w:val="5B9BD5" w:themeColor="accent1"/>
                <w:sz w:val="18"/>
                <w:szCs w:val="18"/>
                <w:highlight w:val="yellow"/>
              </w:rPr>
            </w:pPr>
            <w:r>
              <w:rPr>
                <w:b/>
                <w:color w:val="5B9BD5" w:themeColor="accent1"/>
                <w:sz w:val="18"/>
                <w:highlight w:val="yellow"/>
              </w:rPr>
              <w:t>3</w:t>
            </w:r>
          </w:p>
        </w:tc>
        <w:tc>
          <w:tcPr>
            <w:tcW w:w="8028" w:type="dxa"/>
          </w:tcPr>
          <w:p w:rsidR="001924CD" w:rsidRPr="000A700F" w:rsidRDefault="001924CD" w:rsidP="007046A4">
            <w:pPr>
              <w:pStyle w:val="Hlistbullet2"/>
              <w:numPr>
                <w:ilvl w:val="0"/>
                <w:numId w:val="0"/>
              </w:numPr>
              <w:spacing w:before="0" w:after="0" w:line="280" w:lineRule="atLeast"/>
              <w:ind w:left="644" w:hanging="360"/>
              <w:rPr>
                <w:highlight w:val="yellow"/>
              </w:rPr>
            </w:pPr>
            <w:r>
              <w:rPr>
                <w:sz w:val="18"/>
                <w:highlight w:val="yellow"/>
              </w:rPr>
              <w:t>Wybór dodatkowych danych, które należy zgromadzić</w:t>
            </w:r>
          </w:p>
        </w:tc>
      </w:tr>
      <w:tr w:rsidR="001924CD" w:rsidRPr="008D0759" w:rsidTr="00216BE4">
        <w:tc>
          <w:tcPr>
            <w:tcW w:w="9016" w:type="dxa"/>
            <w:gridSpan w:val="2"/>
          </w:tcPr>
          <w:p w:rsidR="001924CD" w:rsidRPr="008D0759" w:rsidRDefault="001924CD" w:rsidP="004C05DD">
            <w:pPr>
              <w:pStyle w:val="HStandard"/>
              <w:spacing w:after="0"/>
              <w:rPr>
                <w:sz w:val="18"/>
                <w:szCs w:val="18"/>
              </w:rPr>
            </w:pPr>
            <w:r>
              <w:rPr>
                <w:b/>
                <w:sz w:val="18"/>
                <w:highlight w:val="yellow"/>
              </w:rPr>
              <w:t>Oczekiwany wynik</w:t>
            </w:r>
            <w:r w:rsidRPr="00E64BBD">
              <w:rPr>
                <w:sz w:val="18"/>
                <w:highlight w:val="yellow"/>
              </w:rPr>
              <w:t>:</w:t>
            </w:r>
            <w:r w:rsidRPr="00E64BBD">
              <w:rPr>
                <w:highlight w:val="yellow"/>
              </w:rPr>
              <w:t xml:space="preserve"> </w:t>
            </w:r>
            <w:r w:rsidRPr="00E64BBD">
              <w:rPr>
                <w:sz w:val="18"/>
                <w:highlight w:val="yellow"/>
              </w:rPr>
              <w:t>s</w:t>
            </w:r>
            <w:r>
              <w:rPr>
                <w:sz w:val="18"/>
                <w:highlight w:val="yellow"/>
              </w:rPr>
              <w:t>porządzenie wykazu istniejących źródeł danych i informacji, ustalenie brakujących danych i wskazanie sposobów ich uzupełnienia</w:t>
            </w:r>
          </w:p>
        </w:tc>
      </w:tr>
    </w:tbl>
    <w:p w:rsidR="001924CD" w:rsidRPr="007E5604" w:rsidRDefault="001924CD" w:rsidP="00C2517E">
      <w:pPr>
        <w:pStyle w:val="HStandard"/>
        <w:rPr>
          <w:lang w:val="en-US"/>
        </w:rPr>
      </w:pPr>
      <w:r w:rsidRPr="007E5604">
        <w:rPr>
          <w:lang w:val="en-US"/>
        </w:rPr>
        <w:t>The steps in establishing the system for collection of data and information is detailed below.</w:t>
      </w:r>
    </w:p>
    <w:p w:rsidR="001924CD" w:rsidRPr="007E5604" w:rsidRDefault="001924CD" w:rsidP="007046A4">
      <w:pPr>
        <w:pStyle w:val="HStandard"/>
        <w:rPr>
          <w:b/>
          <w:color w:val="ED7D31" w:themeColor="accent2"/>
          <w:lang w:val="en-US"/>
        </w:rPr>
      </w:pPr>
      <w:r w:rsidRPr="007E5604">
        <w:rPr>
          <w:b/>
          <w:color w:val="ED7D31" w:themeColor="accent2"/>
          <w:lang w:val="en-US"/>
        </w:rPr>
        <w:t>Step 1 - Identify data needs and sources</w:t>
      </w:r>
    </w:p>
    <w:p w:rsidR="001924CD" w:rsidRPr="007E5604" w:rsidRDefault="001924CD" w:rsidP="00C2517E">
      <w:pPr>
        <w:pStyle w:val="HStandard"/>
        <w:rPr>
          <w:lang w:val="en-US"/>
        </w:rPr>
      </w:pPr>
      <w:r w:rsidRPr="007E5604">
        <w:rPr>
          <w:lang w:val="en-US"/>
        </w:rPr>
        <w:t xml:space="preserve">In cases were the commissioning party (MA or NSU) has defined the NRN related evaluation questions, indicators and evaluation approach and methodology already in the preparation phase, data needs and sources may have already been identified (see step 4, chapter 2.2.6 in </w:t>
      </w:r>
      <w:r w:rsidRPr="007E5604">
        <w:rPr>
          <w:b/>
          <w:color w:val="E7E6E6" w:themeColor="background2"/>
          <w:lang w:val="en-US"/>
        </w:rPr>
        <w:t>PART I</w:t>
      </w:r>
      <w:r w:rsidRPr="007E5604">
        <w:rPr>
          <w:lang w:val="en-US"/>
        </w:rPr>
        <w:t xml:space="preserve"> of this document). In this case the evaluator should get access to all available data and information from the MA or the NSU. </w:t>
      </w:r>
    </w:p>
    <w:p w:rsidR="001924CD" w:rsidRPr="007E5604" w:rsidRDefault="001924CD" w:rsidP="00C2517E">
      <w:pPr>
        <w:pStyle w:val="HStandard"/>
        <w:rPr>
          <w:lang w:val="en-US"/>
        </w:rPr>
      </w:pPr>
      <w:r w:rsidRPr="007E5604">
        <w:rPr>
          <w:lang w:val="en-US"/>
        </w:rPr>
        <w:t>In cases were the evaluator is supposed to choose the evaluation approach and methodology, the probability that data needs are covered by the available information will be lower.</w:t>
      </w:r>
    </w:p>
    <w:p w:rsidR="001924CD" w:rsidRPr="007E5604" w:rsidRDefault="001924CD" w:rsidP="00320BBA">
      <w:pPr>
        <w:pStyle w:val="HStandard"/>
        <w:spacing w:after="0"/>
        <w:rPr>
          <w:lang w:val="en-US"/>
        </w:rPr>
      </w:pPr>
      <w:r>
        <w:fldChar w:fldCharType="begin" w:fldLock="1"/>
      </w:r>
      <w:r w:rsidRPr="007E5604">
        <w:rPr>
          <w:lang w:val="en-US"/>
        </w:rPr>
        <w:instrText xml:space="preserve"> REF _Ref451785052 \r \h </w:instrText>
      </w:r>
      <w:r>
        <w:fldChar w:fldCharType="separate"/>
      </w:r>
      <w:r w:rsidRPr="007E5604">
        <w:rPr>
          <w:lang w:val="en-US"/>
        </w:rPr>
        <w:t>Table 12</w:t>
      </w:r>
      <w:r>
        <w:fldChar w:fldCharType="end"/>
      </w:r>
      <w:r w:rsidRPr="007E5604">
        <w:rPr>
          <w:lang w:val="en-US"/>
        </w:rPr>
        <w:t xml:space="preserve"> gives an indicative overview of which data are needed for which types of methods. </w:t>
      </w:r>
    </w:p>
    <w:p w:rsidR="001924CD" w:rsidRPr="007E5604" w:rsidRDefault="001924CD">
      <w:pPr>
        <w:spacing w:after="0" w:line="240" w:lineRule="auto"/>
        <w:rPr>
          <w:rFonts w:cs="Arial"/>
          <w:color w:val="576C88" w:themeColor="text2" w:themeTint="D9"/>
          <w:sz w:val="20"/>
          <w:szCs w:val="20"/>
          <w:lang w:val="en-US"/>
        </w:rPr>
      </w:pPr>
      <w:r w:rsidRPr="007E5604">
        <w:rPr>
          <w:lang w:val="en-US"/>
        </w:rPr>
        <w:br w:type="page"/>
      </w:r>
    </w:p>
    <w:p w:rsidR="001924CD" w:rsidRPr="007E5604" w:rsidRDefault="001924CD" w:rsidP="00C2517E">
      <w:pPr>
        <w:pStyle w:val="HHeadingtables"/>
        <w:rPr>
          <w:lang w:val="en-US"/>
        </w:rPr>
      </w:pPr>
      <w:bookmarkStart w:id="228" w:name="_Toc436140068"/>
      <w:bookmarkStart w:id="229" w:name="_Toc436383154"/>
      <w:bookmarkStart w:id="230" w:name="_Toc451781916"/>
      <w:bookmarkStart w:id="231" w:name="_Ref451785052"/>
      <w:r w:rsidRPr="007E5604">
        <w:rPr>
          <w:lang w:val="en-US"/>
        </w:rPr>
        <w:lastRenderedPageBreak/>
        <w:t>Type of data required for different evaluation methods</w:t>
      </w:r>
      <w:bookmarkEnd w:id="228"/>
      <w:bookmarkEnd w:id="229"/>
      <w:bookmarkEnd w:id="230"/>
      <w:bookmarkEnd w:id="231"/>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63"/>
        <w:gridCol w:w="2392"/>
        <w:gridCol w:w="2264"/>
        <w:gridCol w:w="2653"/>
      </w:tblGrid>
      <w:tr w:rsidR="001924CD" w:rsidRPr="008D0759" w:rsidTr="004C05DD">
        <w:tc>
          <w:tcPr>
            <w:tcW w:w="1763" w:type="dxa"/>
            <w:shd w:val="clear" w:color="auto" w:fill="E7E6E6" w:themeFill="background2"/>
          </w:tcPr>
          <w:p w:rsidR="001924CD" w:rsidRPr="008D0759" w:rsidRDefault="001924CD" w:rsidP="00C2517E">
            <w:pPr>
              <w:pStyle w:val="Htableleftbolt"/>
              <w:jc w:val="center"/>
              <w:rPr>
                <w:color w:val="5B9BD5" w:themeColor="accent1"/>
                <w:sz w:val="18"/>
                <w:szCs w:val="18"/>
              </w:rPr>
            </w:pPr>
            <w:r>
              <w:rPr>
                <w:color w:val="5B9BD5" w:themeColor="accent1"/>
                <w:sz w:val="18"/>
              </w:rPr>
              <w:t>Method</w:t>
            </w:r>
          </w:p>
        </w:tc>
        <w:tc>
          <w:tcPr>
            <w:tcW w:w="2392" w:type="dxa"/>
            <w:shd w:val="clear" w:color="auto" w:fill="E7E6E6" w:themeFill="background2"/>
          </w:tcPr>
          <w:p w:rsidR="001924CD" w:rsidRPr="008D0759" w:rsidRDefault="001924CD" w:rsidP="00C2517E">
            <w:pPr>
              <w:pStyle w:val="Htableleftbolt"/>
              <w:jc w:val="center"/>
              <w:rPr>
                <w:color w:val="5B9BD5" w:themeColor="accent1"/>
                <w:sz w:val="18"/>
                <w:szCs w:val="18"/>
              </w:rPr>
            </w:pPr>
            <w:r>
              <w:rPr>
                <w:color w:val="5B9BD5" w:themeColor="accent1"/>
                <w:sz w:val="18"/>
              </w:rPr>
              <w:t>Type of data</w:t>
            </w:r>
          </w:p>
        </w:tc>
        <w:tc>
          <w:tcPr>
            <w:tcW w:w="2264" w:type="dxa"/>
            <w:shd w:val="clear" w:color="auto" w:fill="E7E6E6" w:themeFill="background2"/>
          </w:tcPr>
          <w:p w:rsidR="001924CD" w:rsidRPr="008D0759" w:rsidRDefault="001924CD" w:rsidP="00C2517E">
            <w:pPr>
              <w:pStyle w:val="Htableleftbolt"/>
              <w:jc w:val="center"/>
              <w:rPr>
                <w:color w:val="5B9BD5" w:themeColor="accent1"/>
                <w:sz w:val="18"/>
                <w:szCs w:val="18"/>
              </w:rPr>
            </w:pPr>
            <w:r>
              <w:rPr>
                <w:color w:val="5B9BD5" w:themeColor="accent1"/>
                <w:sz w:val="18"/>
              </w:rPr>
              <w:t>Collection</w:t>
            </w:r>
          </w:p>
        </w:tc>
        <w:tc>
          <w:tcPr>
            <w:tcW w:w="2653" w:type="dxa"/>
            <w:shd w:val="clear" w:color="auto" w:fill="E7E6E6" w:themeFill="background2"/>
          </w:tcPr>
          <w:p w:rsidR="001924CD" w:rsidRPr="008D0759" w:rsidRDefault="001924CD" w:rsidP="00C2517E">
            <w:pPr>
              <w:pStyle w:val="Htableleftbolt"/>
              <w:jc w:val="center"/>
              <w:rPr>
                <w:color w:val="5B9BD5" w:themeColor="accent1"/>
                <w:sz w:val="18"/>
                <w:szCs w:val="18"/>
              </w:rPr>
            </w:pPr>
            <w:r>
              <w:rPr>
                <w:color w:val="5B9BD5" w:themeColor="accent1"/>
                <w:sz w:val="18"/>
              </w:rPr>
              <w:t>Possible boundaries</w:t>
            </w:r>
          </w:p>
        </w:tc>
      </w:tr>
      <w:tr w:rsidR="001924CD" w:rsidRPr="00921C8E" w:rsidTr="004C05DD">
        <w:tc>
          <w:tcPr>
            <w:tcW w:w="1763" w:type="dxa"/>
            <w:shd w:val="clear" w:color="auto" w:fill="auto"/>
          </w:tcPr>
          <w:p w:rsidR="001924CD" w:rsidRPr="008D0759" w:rsidRDefault="001924CD" w:rsidP="004C05DD">
            <w:pPr>
              <w:pStyle w:val="Htableleft"/>
              <w:rPr>
                <w:color w:val="576C88" w:themeColor="text2" w:themeTint="D9"/>
                <w:szCs w:val="18"/>
              </w:rPr>
            </w:pPr>
            <w:r>
              <w:rPr>
                <w:color w:val="576C88" w:themeColor="text2" w:themeTint="D9"/>
              </w:rPr>
              <w:t>Surveys (interviews)</w:t>
            </w:r>
          </w:p>
        </w:tc>
        <w:tc>
          <w:tcPr>
            <w:tcW w:w="2392"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Relevant interviewees (stakeholders, beneficiaries, experts, witnesses)</w:t>
            </w:r>
          </w:p>
        </w:tc>
        <w:tc>
          <w:tcPr>
            <w:tcW w:w="2264"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Desk research, information from stakeholders</w:t>
            </w:r>
          </w:p>
        </w:tc>
        <w:tc>
          <w:tcPr>
            <w:tcW w:w="2653"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It is essential to reflect on the boundaries of the system and the number of interviewees; “witnesses” can be valuable as control groups.</w:t>
            </w:r>
          </w:p>
        </w:tc>
      </w:tr>
      <w:tr w:rsidR="001924CD" w:rsidRPr="00921C8E" w:rsidTr="004C05DD">
        <w:tc>
          <w:tcPr>
            <w:tcW w:w="1763"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Dialogue-based methods (self-assessment methods and focus groups)</w:t>
            </w:r>
          </w:p>
        </w:tc>
        <w:tc>
          <w:tcPr>
            <w:tcW w:w="2392" w:type="dxa"/>
            <w:shd w:val="clear" w:color="auto" w:fill="auto"/>
          </w:tcPr>
          <w:p w:rsidR="001924CD" w:rsidRPr="008D0759" w:rsidRDefault="001924CD" w:rsidP="004C05DD">
            <w:pPr>
              <w:pStyle w:val="Htableleft"/>
              <w:rPr>
                <w:color w:val="576C88" w:themeColor="text2" w:themeTint="D9"/>
                <w:szCs w:val="18"/>
              </w:rPr>
            </w:pPr>
            <w:r>
              <w:rPr>
                <w:color w:val="576C88" w:themeColor="text2" w:themeTint="D9"/>
              </w:rPr>
              <w:t>Potential participants and contributors</w:t>
            </w:r>
          </w:p>
        </w:tc>
        <w:tc>
          <w:tcPr>
            <w:tcW w:w="2264"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Desk research, information from stakeholders</w:t>
            </w:r>
          </w:p>
        </w:tc>
        <w:tc>
          <w:tcPr>
            <w:tcW w:w="2653"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Diversity of participants and modularity of dialogue settings are paramount.</w:t>
            </w:r>
          </w:p>
        </w:tc>
      </w:tr>
      <w:tr w:rsidR="001924CD" w:rsidRPr="00921C8E" w:rsidTr="004C05DD">
        <w:tc>
          <w:tcPr>
            <w:tcW w:w="1763"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Analytical methods (cost-benefit and cost-effectiveness analysis)</w:t>
            </w:r>
          </w:p>
        </w:tc>
        <w:tc>
          <w:tcPr>
            <w:tcW w:w="2392"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Quantitative data (volumes and funding)  on specific interventions;  beneficiaries and non-beneficiaries</w:t>
            </w:r>
          </w:p>
        </w:tc>
        <w:tc>
          <w:tcPr>
            <w:tcW w:w="2264"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Reports and monitoring data (from NRN(P) operation database but also from RDP implementation); project managers and beneficiaries</w:t>
            </w:r>
          </w:p>
        </w:tc>
        <w:tc>
          <w:tcPr>
            <w:tcW w:w="2653" w:type="dxa"/>
            <w:shd w:val="clear" w:color="auto" w:fill="auto"/>
          </w:tcPr>
          <w:p w:rsidR="001924CD" w:rsidRPr="007E5604" w:rsidRDefault="001924CD" w:rsidP="00BF3A20">
            <w:pPr>
              <w:pStyle w:val="Htableleft"/>
              <w:rPr>
                <w:color w:val="576C88" w:themeColor="text2" w:themeTint="D9"/>
                <w:szCs w:val="18"/>
                <w:lang w:val="en-US"/>
              </w:rPr>
            </w:pPr>
            <w:r w:rsidRPr="007E5604">
              <w:rPr>
                <w:color w:val="576C88" w:themeColor="text2" w:themeTint="D9"/>
                <w:lang w:val="en-US"/>
              </w:rPr>
              <w:t>Qualitative data complement quantitative data on the effectiveness side; RDP monitoring data is needed if the effects of NRN interventions are used to assess the quality of project implementation.</w:t>
            </w:r>
          </w:p>
        </w:tc>
      </w:tr>
      <w:tr w:rsidR="001924CD" w:rsidRPr="00921C8E" w:rsidTr="004C05DD">
        <w:tc>
          <w:tcPr>
            <w:tcW w:w="1763"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Diagnostic methods (Different network and organization diagnosis methods and Social Network Analysis)</w:t>
            </w:r>
          </w:p>
        </w:tc>
        <w:tc>
          <w:tcPr>
            <w:tcW w:w="2392"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Network participants, NSU team and non-members;</w:t>
            </w:r>
          </w:p>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For the SNA: relational data</w:t>
            </w:r>
          </w:p>
        </w:tc>
        <w:tc>
          <w:tcPr>
            <w:tcW w:w="2264" w:type="dxa"/>
            <w:shd w:val="clear" w:color="auto" w:fill="auto"/>
          </w:tcPr>
          <w:p w:rsidR="001924CD" w:rsidRPr="006D3A5C" w:rsidRDefault="001924CD" w:rsidP="004C05DD">
            <w:pPr>
              <w:pStyle w:val="Htableleft"/>
              <w:rPr>
                <w:color w:val="576C88" w:themeColor="text2" w:themeTint="D9"/>
                <w:szCs w:val="18"/>
                <w:lang w:val="fr-FR"/>
              </w:rPr>
            </w:pPr>
            <w:r w:rsidRPr="006D3A5C">
              <w:rPr>
                <w:color w:val="576C88" w:themeColor="text2" w:themeTint="D9"/>
                <w:lang w:val="fr-FR"/>
              </w:rPr>
              <w:t>Questionnaire; exploitation of written documents (statutes, rules, minutes…)</w:t>
            </w:r>
          </w:p>
        </w:tc>
        <w:tc>
          <w:tcPr>
            <w:tcW w:w="2653"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For the SNA: The boundary should be well considered. It has to cover most of the network, otherwise it would be unreliable.</w:t>
            </w:r>
          </w:p>
        </w:tc>
      </w:tr>
      <w:tr w:rsidR="001924CD" w:rsidRPr="00921C8E" w:rsidTr="004C05DD">
        <w:tc>
          <w:tcPr>
            <w:tcW w:w="1763" w:type="dxa"/>
            <w:shd w:val="clear" w:color="auto" w:fill="auto"/>
          </w:tcPr>
          <w:p w:rsidR="001924CD" w:rsidRPr="008D0759" w:rsidRDefault="001924CD" w:rsidP="004C05DD">
            <w:pPr>
              <w:pStyle w:val="Htableleft"/>
              <w:rPr>
                <w:color w:val="576C88" w:themeColor="text2" w:themeTint="D9"/>
                <w:szCs w:val="18"/>
              </w:rPr>
            </w:pPr>
            <w:r>
              <w:rPr>
                <w:color w:val="576C88" w:themeColor="text2" w:themeTint="D9"/>
              </w:rPr>
              <w:t>Case studies</w:t>
            </w:r>
          </w:p>
        </w:tc>
        <w:tc>
          <w:tcPr>
            <w:tcW w:w="2392"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All kinds of relevant  quantitative and qualitative data</w:t>
            </w:r>
          </w:p>
        </w:tc>
        <w:tc>
          <w:tcPr>
            <w:tcW w:w="2264"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Desk research, interviews, participatory observation</w:t>
            </w:r>
          </w:p>
        </w:tc>
        <w:tc>
          <w:tcPr>
            <w:tcW w:w="2653" w:type="dxa"/>
            <w:shd w:val="clear" w:color="auto" w:fill="auto"/>
          </w:tcPr>
          <w:p w:rsidR="001924CD" w:rsidRPr="007E5604" w:rsidRDefault="001924CD" w:rsidP="004C05DD">
            <w:pPr>
              <w:pStyle w:val="Htableleft"/>
              <w:rPr>
                <w:color w:val="576C88" w:themeColor="text2" w:themeTint="D9"/>
                <w:szCs w:val="18"/>
                <w:lang w:val="en-US"/>
              </w:rPr>
            </w:pPr>
            <w:r w:rsidRPr="007E5604">
              <w:rPr>
                <w:color w:val="576C88" w:themeColor="text2" w:themeTint="D9"/>
                <w:lang w:val="en-US"/>
              </w:rPr>
              <w:t>Collection of data time-consuming; could be commissioned to a study team prior to evaluation.</w:t>
            </w:r>
          </w:p>
        </w:tc>
      </w:tr>
    </w:tbl>
    <w:p w:rsidR="001924CD" w:rsidRPr="007E5604" w:rsidRDefault="001924CD" w:rsidP="007046A4">
      <w:pPr>
        <w:pStyle w:val="HStandard"/>
        <w:rPr>
          <w:b/>
          <w:color w:val="ED7D31" w:themeColor="accent2"/>
          <w:lang w:val="en-US"/>
        </w:rPr>
      </w:pPr>
      <w:r w:rsidRPr="007E5604">
        <w:rPr>
          <w:b/>
          <w:color w:val="ED7D31" w:themeColor="accent2"/>
          <w:lang w:val="en-US"/>
        </w:rPr>
        <w:t>Step 2 - Review existing data and sources</w:t>
      </w:r>
    </w:p>
    <w:p w:rsidR="001924CD" w:rsidRPr="007E5604" w:rsidRDefault="001924CD" w:rsidP="00C2517E">
      <w:pPr>
        <w:pStyle w:val="HStandard"/>
        <w:rPr>
          <w:lang w:val="en-US"/>
        </w:rPr>
      </w:pPr>
      <w:r w:rsidRPr="007E5604">
        <w:rPr>
          <w:lang w:val="en-US"/>
        </w:rPr>
        <w:t>The evaluator will review the existing data and information and their sources for the evaluation of NRN activities including:</w:t>
      </w:r>
    </w:p>
    <w:p w:rsidR="001924CD" w:rsidRPr="007E5604" w:rsidRDefault="001924CD" w:rsidP="00C2517E">
      <w:pPr>
        <w:pStyle w:val="Hlistbullet2"/>
        <w:rPr>
          <w:lang w:val="en-US"/>
        </w:rPr>
      </w:pPr>
      <w:r w:rsidRPr="007E5604">
        <w:rPr>
          <w:lang w:val="en-US"/>
        </w:rPr>
        <w:t xml:space="preserve">NRN action plans: for types of activities and their beneficiaries </w:t>
      </w:r>
    </w:p>
    <w:p w:rsidR="001924CD" w:rsidRPr="007E5604" w:rsidRDefault="001924CD" w:rsidP="00C2517E">
      <w:pPr>
        <w:pStyle w:val="Hlistbullet2"/>
        <w:rPr>
          <w:lang w:val="en-US"/>
        </w:rPr>
      </w:pPr>
      <w:r w:rsidRPr="007E5604">
        <w:rPr>
          <w:lang w:val="en-US"/>
        </w:rPr>
        <w:t>Reports: Periodic progress reports based on monitoring data, information on the implementation of NRN action plans;</w:t>
      </w:r>
    </w:p>
    <w:p w:rsidR="001924CD" w:rsidRPr="008D0759" w:rsidRDefault="001924CD" w:rsidP="00C2517E">
      <w:pPr>
        <w:pStyle w:val="Hlistbullet2"/>
      </w:pPr>
      <w:r>
        <w:t>NRN self-assessment documentation;</w:t>
      </w:r>
    </w:p>
    <w:p w:rsidR="001924CD" w:rsidRPr="007E5604" w:rsidRDefault="001924CD" w:rsidP="00C2517E">
      <w:pPr>
        <w:pStyle w:val="Hlistbullet2"/>
        <w:rPr>
          <w:lang w:val="en-US"/>
        </w:rPr>
      </w:pPr>
      <w:r w:rsidRPr="007E5604">
        <w:rPr>
          <w:lang w:val="en-US"/>
        </w:rPr>
        <w:t>Thematic studies and evaluations of programmes that may include NRN activities: for instance, the example above on innovation can be subject to a thematic evaluation and the NRN contribution would be one component of such an evaluation;</w:t>
      </w:r>
    </w:p>
    <w:p w:rsidR="001924CD" w:rsidRPr="007E5604" w:rsidRDefault="001924CD" w:rsidP="00C2517E">
      <w:pPr>
        <w:pStyle w:val="Hlistbullet2"/>
        <w:rPr>
          <w:lang w:val="en-US"/>
        </w:rPr>
      </w:pPr>
      <w:r w:rsidRPr="007E5604">
        <w:rPr>
          <w:lang w:val="en-US"/>
        </w:rPr>
        <w:t>Readers and reports from events (conferences, workshops) organised by the NRN;</w:t>
      </w:r>
    </w:p>
    <w:p w:rsidR="001924CD" w:rsidRPr="007E5604" w:rsidRDefault="001924CD" w:rsidP="00C2517E">
      <w:pPr>
        <w:pStyle w:val="Hlistbullet2"/>
        <w:rPr>
          <w:lang w:val="en-US"/>
        </w:rPr>
      </w:pPr>
      <w:r w:rsidRPr="007E5604">
        <w:rPr>
          <w:lang w:val="en-US"/>
        </w:rPr>
        <w:t>Publications (journals, newsletters, circular e-mails, press releases, web-based communication);</w:t>
      </w:r>
    </w:p>
    <w:p w:rsidR="001924CD" w:rsidRPr="007E5604" w:rsidRDefault="001924CD" w:rsidP="00C2517E">
      <w:pPr>
        <w:pStyle w:val="Hlistbullet2"/>
        <w:rPr>
          <w:lang w:val="en-US"/>
        </w:rPr>
      </w:pPr>
      <w:r w:rsidRPr="007E5604">
        <w:rPr>
          <w:lang w:val="en-US"/>
        </w:rPr>
        <w:t>Minutes of network management meetings, written regulations;</w:t>
      </w:r>
    </w:p>
    <w:p w:rsidR="001924CD" w:rsidRPr="007E5604" w:rsidRDefault="001924CD" w:rsidP="00C2517E">
      <w:pPr>
        <w:pStyle w:val="Hlistbullet2"/>
        <w:rPr>
          <w:lang w:val="en-US"/>
        </w:rPr>
      </w:pPr>
      <w:r w:rsidRPr="007E5604">
        <w:rPr>
          <w:lang w:val="en-US"/>
        </w:rPr>
        <w:t>Use of the website (visits, % new visits, user submissions, user registrations, newsletter opt-ins, support incidents raised, projects added, new consultations, social media activity, content, countries)</w:t>
      </w:r>
      <w:r w:rsidRPr="007E5604">
        <w:rPr>
          <w:rFonts w:ascii="ZWAdobeF" w:hAnsi="ZWAdobeF"/>
          <w:color w:val="auto"/>
          <w:sz w:val="2"/>
          <w:lang w:val="en-US"/>
        </w:rPr>
        <w:t>113F</w:t>
      </w:r>
      <w:r>
        <w:rPr>
          <w:rStyle w:val="FootnoteReference"/>
        </w:rPr>
        <w:footnoteReference w:id="114"/>
      </w:r>
      <w:r w:rsidRPr="007E5604">
        <w:rPr>
          <w:lang w:val="en-US"/>
        </w:rPr>
        <w:t>;</w:t>
      </w:r>
    </w:p>
    <w:p w:rsidR="001924CD" w:rsidRPr="007E5604" w:rsidRDefault="001924CD" w:rsidP="00C2517E">
      <w:pPr>
        <w:pStyle w:val="Hlistbullet2"/>
        <w:rPr>
          <w:lang w:val="en-US"/>
        </w:rPr>
      </w:pPr>
      <w:r w:rsidRPr="007E5604">
        <w:rPr>
          <w:lang w:val="en-US"/>
        </w:rPr>
        <w:lastRenderedPageBreak/>
        <w:t>Composition of the steering structure and role descriptions of stakeholders involved; and</w:t>
      </w:r>
    </w:p>
    <w:p w:rsidR="001924CD" w:rsidRPr="007E5604" w:rsidRDefault="001924CD" w:rsidP="00C2517E">
      <w:pPr>
        <w:pStyle w:val="Hlistbullet2"/>
        <w:rPr>
          <w:lang w:val="en-US"/>
        </w:rPr>
      </w:pPr>
      <w:r w:rsidRPr="007E5604">
        <w:rPr>
          <w:lang w:val="en-US"/>
        </w:rPr>
        <w:t>Budget sheets and financial monitoring data.</w:t>
      </w:r>
    </w:p>
    <w:p w:rsidR="001924CD" w:rsidRPr="007E5604" w:rsidRDefault="001924CD" w:rsidP="007046A4">
      <w:pPr>
        <w:pStyle w:val="HStandard"/>
        <w:rPr>
          <w:b/>
          <w:color w:val="ED7D31" w:themeColor="accent2"/>
          <w:lang w:val="en-US"/>
        </w:rPr>
      </w:pPr>
      <w:r w:rsidRPr="007E5604">
        <w:rPr>
          <w:b/>
          <w:color w:val="ED7D31" w:themeColor="accent2"/>
          <w:lang w:val="en-US"/>
        </w:rPr>
        <w:t>Step 3 - Decide on additional data to be collected</w:t>
      </w:r>
    </w:p>
    <w:p w:rsidR="001924CD" w:rsidRPr="007E5604" w:rsidRDefault="001924CD" w:rsidP="00C2517E">
      <w:pPr>
        <w:pStyle w:val="HStandard"/>
        <w:rPr>
          <w:lang w:val="en-US"/>
        </w:rPr>
      </w:pPr>
      <w:r w:rsidRPr="007E5604">
        <w:rPr>
          <w:lang w:val="en-US"/>
        </w:rPr>
        <w:t xml:space="preserve">The review of the data and information will enable the evaluator to identify data gaps for the NRN related common and programme-specific indicators and applied methods. Based on the gaps identified, the evaluator will propose additional data to be collected. </w:t>
      </w:r>
    </w:p>
    <w:p w:rsidR="001924CD" w:rsidRPr="008D0759" w:rsidRDefault="001924CD" w:rsidP="00C2517E">
      <w:pPr>
        <w:pStyle w:val="HStandard"/>
      </w:pPr>
      <w:r w:rsidRPr="007E5604">
        <w:rPr>
          <w:lang w:val="en-US"/>
        </w:rPr>
        <w:t xml:space="preserve">The collection of additional data implies additional costs. The cost-effectiveness ratio of additional data collection may be a matter of concern; however, the added value of this data on the quality of the evaluation should also be considered. Ideally, there should not be any trade-off between cost and evaluation quality. If possible, priority should be given to methods and information/data that can generate robust evaluation results. </w:t>
      </w:r>
      <w:r>
        <w:t xml:space="preserve">For example: </w:t>
      </w:r>
    </w:p>
    <w:p w:rsidR="001924CD" w:rsidRPr="007E5604" w:rsidRDefault="001924CD" w:rsidP="00C2517E">
      <w:pPr>
        <w:pStyle w:val="Hlistbullet2"/>
        <w:rPr>
          <w:lang w:val="en-US"/>
        </w:rPr>
      </w:pPr>
      <w:r w:rsidRPr="007E5604">
        <w:rPr>
          <w:lang w:val="en-US"/>
        </w:rPr>
        <w:t>Survey data based on personal interviews (either in the context of a standardised survey or as written notes or transcripts) including scorings (quantified qualitative information);</w:t>
      </w:r>
    </w:p>
    <w:p w:rsidR="001924CD" w:rsidRPr="008D0759" w:rsidRDefault="001924CD" w:rsidP="00C2517E">
      <w:pPr>
        <w:pStyle w:val="Hlistbullet2"/>
      </w:pPr>
      <w:r>
        <w:t>Focus group records;</w:t>
      </w:r>
    </w:p>
    <w:p w:rsidR="001924CD" w:rsidRPr="007E5604" w:rsidRDefault="001924CD" w:rsidP="00C2517E">
      <w:pPr>
        <w:pStyle w:val="Hlistbullet2"/>
        <w:rPr>
          <w:lang w:val="en-US"/>
        </w:rPr>
      </w:pPr>
      <w:r w:rsidRPr="007E5604">
        <w:rPr>
          <w:lang w:val="en-US"/>
        </w:rPr>
        <w:t>RDP project monitoring data (in case the effect of the NRN interventions on projects shall be assessed);</w:t>
      </w:r>
    </w:p>
    <w:p w:rsidR="001924CD" w:rsidRPr="007E5604" w:rsidRDefault="001924CD" w:rsidP="00C2517E">
      <w:pPr>
        <w:pStyle w:val="Hlistbullet2"/>
        <w:rPr>
          <w:lang w:val="en-US"/>
        </w:rPr>
      </w:pPr>
      <w:r w:rsidRPr="007E5604">
        <w:rPr>
          <w:lang w:val="en-US"/>
        </w:rPr>
        <w:t>Social network diagrams, visualising the processed answers to socio-metric questionnaires (frequency and intensity of interactions, key roles in the network, etc.);</w:t>
      </w:r>
    </w:p>
    <w:p w:rsidR="001924CD" w:rsidRPr="007E5604" w:rsidRDefault="001924CD" w:rsidP="00C2517E">
      <w:pPr>
        <w:pStyle w:val="Hlistbullet2"/>
        <w:rPr>
          <w:lang w:val="en-US"/>
        </w:rPr>
      </w:pPr>
      <w:r w:rsidRPr="007E5604">
        <w:rPr>
          <w:lang w:val="en-US"/>
        </w:rPr>
        <w:t>Heuristic narratives (network or organisation diagnosis, picture and text analysis, stories of critical incidents, etc.);</w:t>
      </w:r>
    </w:p>
    <w:p w:rsidR="001924CD" w:rsidRPr="008D0759" w:rsidRDefault="001924CD" w:rsidP="00C2517E">
      <w:pPr>
        <w:pStyle w:val="Hlistbullet2"/>
      </w:pPr>
      <w:r>
        <w:t>Pictures and videos;</w:t>
      </w:r>
    </w:p>
    <w:p w:rsidR="001924CD" w:rsidRPr="008D0759" w:rsidRDefault="001924CD" w:rsidP="00C2517E">
      <w:pPr>
        <w:pStyle w:val="Hlistbullet2"/>
      </w:pPr>
      <w:r>
        <w:t>Case studies.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2809CE" w:rsidTr="00C2517E">
        <w:tc>
          <w:tcPr>
            <w:tcW w:w="9016" w:type="dxa"/>
            <w:shd w:val="clear" w:color="auto" w:fill="F5F4F4" w:themeFill="background2" w:themeFillTint="66"/>
          </w:tcPr>
          <w:p w:rsidR="001924CD" w:rsidRPr="000A700F" w:rsidRDefault="001924CD" w:rsidP="00C2517E">
            <w:pPr>
              <w:pStyle w:val="HStandard"/>
              <w:rPr>
                <w:highlight w:val="yellow"/>
              </w:rPr>
            </w:pPr>
            <w:r>
              <w:rPr>
                <w:highlight w:val="yellow"/>
              </w:rPr>
              <w:t>Pytania pomocnicze dotyczące utworzenia systemu gromadzenia danych:</w:t>
            </w:r>
          </w:p>
          <w:p w:rsidR="001924CD" w:rsidRPr="000A700F" w:rsidRDefault="001924CD" w:rsidP="001924CD">
            <w:pPr>
              <w:pStyle w:val="Hlistbullet2"/>
              <w:rPr>
                <w:highlight w:val="yellow"/>
              </w:rPr>
            </w:pPr>
            <w:r>
              <w:rPr>
                <w:highlight w:val="yellow"/>
              </w:rPr>
              <w:t>Jakiego rodzaju danych i informacji potrzebujemy, aby wybrana metoda mogła być skuteczna?</w:t>
            </w:r>
          </w:p>
          <w:p w:rsidR="001924CD" w:rsidRPr="000A700F" w:rsidRDefault="001924CD" w:rsidP="001924CD">
            <w:pPr>
              <w:pStyle w:val="Hlistbullet2"/>
              <w:rPr>
                <w:highlight w:val="yellow"/>
              </w:rPr>
            </w:pPr>
            <w:r>
              <w:rPr>
                <w:highlight w:val="yellow"/>
              </w:rPr>
              <w:t>W jakim stopniu dane dostarczone przez JWS i IZ są rzetelne i kompletne?</w:t>
            </w:r>
          </w:p>
          <w:p w:rsidR="001924CD" w:rsidRPr="000A700F" w:rsidRDefault="001924CD" w:rsidP="001924CD">
            <w:pPr>
              <w:pStyle w:val="Hlistbullet2"/>
              <w:rPr>
                <w:highlight w:val="yellow"/>
              </w:rPr>
            </w:pPr>
            <w:r>
              <w:rPr>
                <w:highlight w:val="yellow"/>
              </w:rPr>
              <w:t>Jeśli dane te są niekompletne lub niewystarczająco wiarygodne, jaką mamy alternatywną możliwość zebrania dodatkowych danych lub dostosowania metodologii?</w:t>
            </w:r>
          </w:p>
          <w:p w:rsidR="001924CD" w:rsidRPr="000A700F" w:rsidRDefault="001924CD" w:rsidP="001924CD">
            <w:pPr>
              <w:pStyle w:val="Hlistbullet2"/>
              <w:rPr>
                <w:highlight w:val="yellow"/>
              </w:rPr>
            </w:pPr>
            <w:r>
              <w:rPr>
                <w:highlight w:val="yellow"/>
              </w:rPr>
              <w:t>Czy istnieje oszczędny sposób zebrania potrzebnych danych i informacji?</w:t>
            </w:r>
          </w:p>
          <w:p w:rsidR="001924CD" w:rsidRPr="000A700F" w:rsidRDefault="001924CD" w:rsidP="001924CD">
            <w:pPr>
              <w:pStyle w:val="Hlistbullet2"/>
              <w:rPr>
                <w:highlight w:val="yellow"/>
              </w:rPr>
            </w:pPr>
            <w:r>
              <w:rPr>
                <w:highlight w:val="yellow"/>
              </w:rPr>
              <w:t>Jakie tematy mogą być badane za pomocą analizy kontrfaktycznej i gdzie należałoby szukać przybliżonych sposobów szacowania efektów netto?</w:t>
            </w:r>
          </w:p>
        </w:tc>
      </w:tr>
    </w:tbl>
    <w:p w:rsidR="001924CD" w:rsidRPr="000A700F" w:rsidRDefault="001924CD" w:rsidP="00320BBA">
      <w:pPr>
        <w:pStyle w:val="HHeading5"/>
        <w:rPr>
          <w:highlight w:val="yellow"/>
        </w:rPr>
      </w:pPr>
      <w:r>
        <w:rPr>
          <w:highlight w:val="yellow"/>
        </w:rPr>
        <w:t>Co należy, a czego nie należy robić</w:t>
      </w:r>
    </w:p>
    <w:tbl>
      <w:tblPr>
        <w:tblStyle w:val="LightList-Accent5"/>
        <w:tblW w:w="0" w:type="auto"/>
        <w:tblLook w:val="04A0" w:firstRow="1" w:lastRow="0" w:firstColumn="1" w:lastColumn="0" w:noHBand="0" w:noVBand="1"/>
      </w:tblPr>
      <w:tblGrid>
        <w:gridCol w:w="4506"/>
        <w:gridCol w:w="4500"/>
      </w:tblGrid>
      <w:tr w:rsidR="001924CD"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1924CD" w:rsidRPr="000A700F" w:rsidRDefault="001924CD" w:rsidP="000A3387">
            <w:pPr>
              <w:pStyle w:val="HHeading5"/>
              <w:jc w:val="center"/>
              <w:rPr>
                <w:highlight w:val="yellow"/>
              </w:rPr>
            </w:pPr>
            <w:r>
              <w:rPr>
                <w:noProof/>
                <w:highlight w:val="yellow"/>
                <w:lang w:val="en-GB" w:eastAsia="en-GB" w:bidi="ar-SA"/>
              </w:rPr>
              <w:drawing>
                <wp:inline distT="0" distB="0" distL="0" distR="0" wp14:anchorId="6EC6CCFF" wp14:editId="5BB349D9">
                  <wp:extent cx="360000" cy="360000"/>
                  <wp:effectExtent l="0" t="0" r="254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1924CD" w:rsidRPr="000A700F" w:rsidRDefault="001924CD"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0824E360" wp14:editId="0A338FAD">
                  <wp:extent cx="360000" cy="360000"/>
                  <wp:effectExtent l="0" t="0" r="254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1924CD"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1924CD" w:rsidRPr="000A700F" w:rsidRDefault="001924C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Przyjąć podejście mieszane, łączące wiele różnych typów danych i informacji (jakościowych i ilościowych).</w:t>
            </w:r>
          </w:p>
          <w:p w:rsidR="001924CD" w:rsidRPr="000A700F" w:rsidRDefault="001924CD" w:rsidP="003F3078">
            <w:pPr>
              <w:pStyle w:val="HStandard"/>
              <w:rPr>
                <w:color w:val="FFC000" w:themeColor="accent4"/>
                <w:highlight w:val="yellow"/>
              </w:rPr>
            </w:pPr>
            <w:r>
              <w:rPr>
                <w:b w:val="0"/>
                <w:color w:val="FFC000" w:themeColor="accent4"/>
                <w:sz w:val="18"/>
                <w:highlight w:val="yellow"/>
              </w:rPr>
              <w:t xml:space="preserve">Rozróżnić między „zogniskowanym” gromadzeniem danych (w celu budowania wiedzy z zakresu konkretnych pytań ewaluacyjnych i wskaźników) a </w:t>
            </w:r>
            <w:r>
              <w:rPr>
                <w:b w:val="0"/>
                <w:color w:val="FFC000" w:themeColor="accent4"/>
                <w:sz w:val="18"/>
                <w:highlight w:val="yellow"/>
              </w:rPr>
              <w:lastRenderedPageBreak/>
              <w:t>„rozproszonym” przeglądem mającym na celu ustalenie ważnych zmian i tendencji w zakresie kontekstu.</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1924CD" w:rsidRPr="000A700F" w:rsidRDefault="001924CD"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lastRenderedPageBreak/>
              <w:t>Powielać wysiłki w zakresie gromadzenie danych w wyniku ignorowania istniejących baz danych i informacji.</w:t>
            </w:r>
          </w:p>
          <w:p w:rsidR="001924CD" w:rsidRPr="008D0759" w:rsidRDefault="001924CD" w:rsidP="000A3387">
            <w:pPr>
              <w:pStyle w:val="HStandard"/>
              <w:cnfStyle w:val="000000100000" w:firstRow="0" w:lastRow="0" w:firstColumn="0" w:lastColumn="0" w:oddVBand="0" w:evenVBand="0" w:oddHBand="1" w:evenHBand="0" w:firstRowFirstColumn="0" w:firstRowLastColumn="0" w:lastRowFirstColumn="0" w:lastRowLastColumn="0"/>
            </w:pPr>
            <w:r>
              <w:rPr>
                <w:color w:val="ED7D31" w:themeColor="accent2"/>
                <w:sz w:val="18"/>
                <w:highlight w:val="yellow"/>
              </w:rPr>
              <w:lastRenderedPageBreak/>
              <w:t>Wchłaniać wszystkie dane i informacje bez względu na to, czy są istotne z punktu widzenia pytań ewaluacyjnych i wskaźników.</w:t>
            </w:r>
          </w:p>
        </w:tc>
      </w:tr>
    </w:tbl>
    <w:p w:rsidR="001924CD" w:rsidRPr="008D0759" w:rsidRDefault="001924CD" w:rsidP="00320BBA">
      <w:pPr>
        <w:pStyle w:val="HHeading5"/>
      </w:pPr>
      <w:r>
        <w:lastRenderedPageBreak/>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1924CD" w:rsidRPr="00921C8E" w:rsidTr="004C05DD">
        <w:tc>
          <w:tcPr>
            <w:tcW w:w="9918" w:type="dxa"/>
            <w:shd w:val="clear" w:color="auto" w:fill="FAF9F9" w:themeFill="background2" w:themeFillTint="33"/>
          </w:tcPr>
          <w:p w:rsidR="001924CD" w:rsidRPr="007E5604" w:rsidRDefault="001924CD" w:rsidP="00C2517E">
            <w:pPr>
              <w:pStyle w:val="HStandard"/>
              <w:rPr>
                <w:sz w:val="16"/>
                <w:szCs w:val="16"/>
                <w:lang w:val="en-US"/>
              </w:rPr>
            </w:pPr>
            <w:r w:rsidRPr="007E5604">
              <w:rPr>
                <w:sz w:val="16"/>
                <w:lang w:val="en-US"/>
              </w:rPr>
              <w:t>Guidelines: Assessment of RDP results: How to prepare for reporting on evaluation in 2017, Chapter 6.2, Evaluation Helpdesk, April 2016</w:t>
            </w:r>
          </w:p>
          <w:p w:rsidR="001924CD" w:rsidRPr="007E5604" w:rsidRDefault="001924CD" w:rsidP="00C2517E">
            <w:pPr>
              <w:pStyle w:val="HStandard"/>
              <w:rPr>
                <w:rStyle w:val="Hyperlink"/>
                <w:rFonts w:eastAsiaTheme="majorEastAsia"/>
                <w:color w:val="262626"/>
                <w:sz w:val="16"/>
                <w:szCs w:val="16"/>
                <w:lang w:val="en-US"/>
              </w:rPr>
            </w:pPr>
            <w:r w:rsidRPr="007E5604">
              <w:rPr>
                <w:rStyle w:val="Hyperlink"/>
                <w:rFonts w:eastAsiaTheme="majorEastAsia"/>
                <w:color w:val="262626"/>
                <w:sz w:val="16"/>
                <w:lang w:val="en-US"/>
              </w:rPr>
              <w:t>On the integration of self-assessment and evaluation:</w:t>
            </w:r>
          </w:p>
          <w:p w:rsidR="001924CD" w:rsidRPr="008D0759" w:rsidRDefault="001924CD" w:rsidP="00C2517E">
            <w:pPr>
              <w:pStyle w:val="HStandard"/>
              <w:rPr>
                <w:rStyle w:val="Hyperlink"/>
                <w:rFonts w:eastAsiaTheme="majorEastAsia"/>
                <w:color w:val="262626"/>
                <w:sz w:val="16"/>
                <w:szCs w:val="16"/>
              </w:rPr>
            </w:pPr>
            <w:r w:rsidRPr="007E5604">
              <w:rPr>
                <w:rStyle w:val="Hyperlink"/>
                <w:rFonts w:eastAsiaTheme="majorEastAsia"/>
                <w:color w:val="262626"/>
                <w:sz w:val="16"/>
                <w:lang w:val="en-US"/>
              </w:rPr>
              <w:t>ENRD 2014: NRN Guidebook, 4</w:t>
            </w:r>
            <w:r w:rsidRPr="007E5604">
              <w:rPr>
                <w:rStyle w:val="Hyperlink"/>
                <w:rFonts w:eastAsiaTheme="majorEastAsia"/>
                <w:color w:val="262626"/>
                <w:sz w:val="16"/>
                <w:vertAlign w:val="superscript"/>
                <w:lang w:val="en-US"/>
              </w:rPr>
              <w:t xml:space="preserve">th </w:t>
            </w:r>
            <w:r w:rsidRPr="007E5604">
              <w:rPr>
                <w:rStyle w:val="Hyperlink"/>
                <w:rFonts w:eastAsiaTheme="majorEastAsia"/>
                <w:color w:val="262626"/>
                <w:sz w:val="16"/>
                <w:lang w:val="en-US"/>
              </w:rPr>
              <w:t>chapter on NRN Self-assessment and Evaluation.</w:t>
            </w:r>
            <w:r w:rsidRPr="007E5604">
              <w:rPr>
                <w:lang w:val="en-US"/>
              </w:rPr>
              <w:t xml:space="preserve"> </w:t>
            </w:r>
            <w:hyperlink r:id="rId48">
              <w:r>
                <w:rPr>
                  <w:rStyle w:val="Hyperlink"/>
                  <w:rFonts w:eastAsiaTheme="majorEastAsia"/>
                  <w:sz w:val="16"/>
                </w:rPr>
                <w:t>http://enrd.ec.europa.eu/enrd-static/app_templates/enrd_assets/pdf/guidebook/nrn_handbook_webversion.pdf</w:t>
              </w:r>
            </w:hyperlink>
            <w:r>
              <w:rPr>
                <w:rStyle w:val="Hyperlink"/>
                <w:rFonts w:eastAsiaTheme="majorEastAsia"/>
                <w:color w:val="262626"/>
                <w:sz w:val="16"/>
              </w:rPr>
              <w:t xml:space="preserve"> </w:t>
            </w:r>
          </w:p>
          <w:p w:rsidR="001924CD" w:rsidRPr="007E5604" w:rsidRDefault="001924CD" w:rsidP="00C2517E">
            <w:pPr>
              <w:pStyle w:val="HStandard"/>
              <w:rPr>
                <w:sz w:val="16"/>
                <w:szCs w:val="16"/>
                <w:lang w:val="en-US"/>
              </w:rPr>
            </w:pPr>
            <w:r w:rsidRPr="007E5604">
              <w:rPr>
                <w:sz w:val="16"/>
                <w:lang w:val="en-US"/>
              </w:rPr>
              <w:t>See also the ENRD website on NRN self-assessment tools:</w:t>
            </w:r>
          </w:p>
          <w:p w:rsidR="001924CD" w:rsidRPr="007E5604" w:rsidRDefault="001924CD" w:rsidP="00C2517E">
            <w:pPr>
              <w:pStyle w:val="HStandard"/>
              <w:rPr>
                <w:sz w:val="16"/>
                <w:szCs w:val="16"/>
                <w:lang w:val="en-US"/>
              </w:rPr>
            </w:pPr>
            <w:hyperlink r:id="rId49">
              <w:r w:rsidRPr="007E5604">
                <w:rPr>
                  <w:rStyle w:val="Hyperlink"/>
                  <w:sz w:val="16"/>
                  <w:lang w:val="en-US"/>
                </w:rPr>
                <w:t>http://enrd.ec.europa.eu/enrd-static/networks-and-networking/nrn-self-assessment-tool-kit/practical-tools-for-nrn-self-assessment/en/practical-tools-for-nrn-self-assessment_en.html</w:t>
              </w:r>
            </w:hyperlink>
            <w:r w:rsidRPr="007E5604">
              <w:rPr>
                <w:sz w:val="16"/>
                <w:lang w:val="en-US"/>
              </w:rPr>
              <w:t xml:space="preserve"> </w:t>
            </w:r>
          </w:p>
        </w:tc>
      </w:tr>
    </w:tbl>
    <w:p w:rsidR="001924CD" w:rsidRPr="000A700F" w:rsidRDefault="001924CD" w:rsidP="00320535">
      <w:pPr>
        <w:pStyle w:val="HHeading2"/>
        <w:rPr>
          <w:highlight w:val="yellow"/>
        </w:rPr>
      </w:pPr>
      <w:bookmarkStart w:id="232" w:name="_Toc434744520"/>
      <w:bookmarkStart w:id="233" w:name="_Toc436140062"/>
      <w:bookmarkStart w:id="234" w:name="_Toc443491685"/>
      <w:bookmarkStart w:id="235" w:name="_Toc453079769"/>
      <w:r>
        <w:rPr>
          <w:highlight w:val="yellow"/>
        </w:rPr>
        <w:t>OBSERWACJA: Gromadzenie dowodów do celów ewaluacji KSOW</w:t>
      </w:r>
      <w:bookmarkEnd w:id="232"/>
      <w:bookmarkEnd w:id="233"/>
      <w:bookmarkEnd w:id="234"/>
      <w:bookmarkEnd w:id="235"/>
    </w:p>
    <w:p w:rsidR="001924CD" w:rsidRPr="007E5604" w:rsidRDefault="001924CD" w:rsidP="00C2517E">
      <w:pPr>
        <w:pStyle w:val="HStandard"/>
        <w:rPr>
          <w:lang w:val="en-US"/>
        </w:rPr>
      </w:pPr>
      <w:r w:rsidRPr="007E5604">
        <w:rPr>
          <w:lang w:val="en-US"/>
        </w:rPr>
        <w:t>In the observing phase the evaluators collect and aggregate all the necessary data and information identified in the previous structuring phase.</w:t>
      </w:r>
    </w:p>
    <w:p w:rsidR="001924CD" w:rsidRPr="007E5604" w:rsidRDefault="001924CD" w:rsidP="00C2517E">
      <w:pPr>
        <w:pStyle w:val="HStandard"/>
        <w:rPr>
          <w:lang w:val="en-US"/>
        </w:rPr>
      </w:pPr>
      <w:r w:rsidRPr="007E5604">
        <w:rPr>
          <w:lang w:val="en-US"/>
        </w:rPr>
        <w:t>During the observing phase the evaluators should go through the following steps (</w:t>
      </w:r>
      <w:r>
        <w:fldChar w:fldCharType="begin" w:fldLock="1"/>
      </w:r>
      <w:r w:rsidRPr="007E5604">
        <w:rPr>
          <w:lang w:val="en-US"/>
        </w:rPr>
        <w:instrText xml:space="preserve"> REF _Ref451784748 \r \h </w:instrText>
      </w:r>
      <w:r>
        <w:fldChar w:fldCharType="separate"/>
      </w:r>
      <w:r w:rsidRPr="007E5604">
        <w:rPr>
          <w:lang w:val="en-US"/>
        </w:rPr>
        <w:t>Figure 20</w:t>
      </w:r>
      <w:r>
        <w:fldChar w:fldCharType="end"/>
      </w:r>
      <w:r w:rsidRPr="007E5604">
        <w:rPr>
          <w:lang w:val="en-US"/>
        </w:rPr>
        <w:t>):</w:t>
      </w:r>
    </w:p>
    <w:p w:rsidR="001924CD" w:rsidRPr="007E5604" w:rsidRDefault="001924CD" w:rsidP="00C2517E">
      <w:pPr>
        <w:pStyle w:val="Hlistbullet2"/>
        <w:rPr>
          <w:lang w:val="en-US"/>
        </w:rPr>
      </w:pPr>
      <w:r w:rsidRPr="007E5604">
        <w:rPr>
          <w:lang w:val="en-US"/>
        </w:rPr>
        <w:t>Development and application of tools needed for the collection of quantitative and qualitative data</w:t>
      </w:r>
    </w:p>
    <w:p w:rsidR="001924CD" w:rsidRPr="007E5604" w:rsidRDefault="001924CD" w:rsidP="00C2517E">
      <w:pPr>
        <w:pStyle w:val="Hlistbullet2"/>
        <w:rPr>
          <w:lang w:val="en-US"/>
        </w:rPr>
      </w:pPr>
      <w:r w:rsidRPr="007E5604">
        <w:rPr>
          <w:lang w:val="en-US"/>
        </w:rPr>
        <w:t>Description of the process of NRN implementation</w:t>
      </w:r>
    </w:p>
    <w:p w:rsidR="001924CD" w:rsidRPr="008D0759" w:rsidRDefault="001924CD" w:rsidP="00C2517E">
      <w:pPr>
        <w:pStyle w:val="Hlistbullet2"/>
      </w:pPr>
      <w:r>
        <w:t>Consistency and completeness check</w:t>
      </w:r>
    </w:p>
    <w:p w:rsidR="001924CD" w:rsidRPr="008D0759" w:rsidRDefault="001924CD" w:rsidP="00C2517E">
      <w:pPr>
        <w:pStyle w:val="HHeadingfigures"/>
      </w:pPr>
      <w:bookmarkStart w:id="236" w:name="_Toc436383169"/>
      <w:bookmarkStart w:id="237" w:name="_Toc436140077"/>
      <w:bookmarkStart w:id="238" w:name="_Toc451781939"/>
      <w:bookmarkStart w:id="239" w:name="_Ref451784748"/>
      <w:r>
        <w:t>The observing phase</w:t>
      </w:r>
      <w:bookmarkEnd w:id="236"/>
      <w:bookmarkEnd w:id="237"/>
      <w:bookmarkEnd w:id="238"/>
      <w:bookmarkEnd w:id="239"/>
    </w:p>
    <w:p w:rsidR="001924CD" w:rsidRPr="008D0759" w:rsidRDefault="001924CD" w:rsidP="00320BBA">
      <w:pPr>
        <w:jc w:val="center"/>
      </w:pPr>
      <w:r>
        <w:rPr>
          <w:noProof/>
          <w:lang w:eastAsia="en-GB"/>
        </w:rPr>
        <w:drawing>
          <wp:inline distT="0" distB="0" distL="0" distR="0" wp14:anchorId="771BA35B" wp14:editId="7A56CD25">
            <wp:extent cx="5731510" cy="2755900"/>
            <wp:effectExtent l="0" t="0" r="254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serving.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2755900"/>
                    </a:xfrm>
                    <a:prstGeom prst="rect">
                      <a:avLst/>
                    </a:prstGeom>
                  </pic:spPr>
                </pic:pic>
              </a:graphicData>
            </a:graphic>
          </wp:inline>
        </w:drawing>
      </w:r>
    </w:p>
    <w:p w:rsidR="001924CD" w:rsidRPr="007E5604" w:rsidRDefault="001924CD" w:rsidP="00320BBA">
      <w:pPr>
        <w:pStyle w:val="HSource"/>
        <w:rPr>
          <w:lang w:val="en-US"/>
        </w:rPr>
      </w:pPr>
      <w:r w:rsidRPr="007E5604">
        <w:rPr>
          <w:lang w:val="en-US"/>
        </w:rPr>
        <w:t>Source: European Evaluation Helpdesk for Rural Development, 2016</w:t>
      </w:r>
    </w:p>
    <w:p w:rsidR="001924CD" w:rsidRPr="000A700F" w:rsidRDefault="001924CD" w:rsidP="00320535">
      <w:pPr>
        <w:pStyle w:val="HHeading3"/>
        <w:rPr>
          <w:highlight w:val="yellow"/>
        </w:rPr>
      </w:pPr>
      <w:bookmarkStart w:id="240" w:name="_Toc433481235"/>
      <w:bookmarkStart w:id="241" w:name="_Toc443491686"/>
      <w:bookmarkStart w:id="242" w:name="_Toc453079770"/>
      <w:bookmarkEnd w:id="240"/>
      <w:r>
        <w:rPr>
          <w:highlight w:val="yellow"/>
        </w:rPr>
        <w:lastRenderedPageBreak/>
        <w:t>Opracowanie i zastosowanie narzędzi potrzebnych do gromadzenia danych ilościowych i jakościowych</w:t>
      </w:r>
      <w:bookmarkEnd w:id="241"/>
      <w:bookmarkEnd w:id="242"/>
    </w:p>
    <w:p w:rsidR="001924CD" w:rsidRPr="007E5604" w:rsidRDefault="001924CD" w:rsidP="00C2517E">
      <w:pPr>
        <w:pStyle w:val="HStandard"/>
        <w:rPr>
          <w:lang w:val="en-US"/>
        </w:rPr>
      </w:pPr>
      <w:r w:rsidRPr="007E5604">
        <w:rPr>
          <w:lang w:val="en-US"/>
        </w:rPr>
        <w:t xml:space="preserve">The monitoring system will provide the basic quantitative data with respect to output indicators for NRNs. For further programme-specific NRN-related output, result and impact indicators, a combination of qualitative information and quantitative data will be collected. Due to the nature of NRN activities, the majority of information will consist of qualitative inputs, such as opinions and perceptions of rural actors and qualitative assessments by the evaluator. </w:t>
      </w:r>
    </w:p>
    <w:p w:rsidR="001924CD" w:rsidRPr="007E5604" w:rsidRDefault="001924CD" w:rsidP="00C2517E">
      <w:pPr>
        <w:pStyle w:val="HStandard"/>
        <w:rPr>
          <w:lang w:val="en-US"/>
        </w:rPr>
      </w:pPr>
      <w:r w:rsidRPr="007E5604">
        <w:rPr>
          <w:lang w:val="en-US"/>
        </w:rPr>
        <w:t>Let us take the example of fostering innovation in rural areas (one of the objectives of NRNs). The participation of innovation project partners in NRN activities does not necessarily imply a direct cause-effect relationship between participation in the network and the emergence of new products and markets, processes or forms of organization. Therefore, the opinions of rural actors and experts with a broader knowledge of the sectorial and territorial specificities may shed light on the actual contribution of NRN activities to the observed changes in the programme area.</w:t>
      </w:r>
    </w:p>
    <w:p w:rsidR="001924CD" w:rsidRPr="007E5604" w:rsidRDefault="001924CD" w:rsidP="00C2517E">
      <w:pPr>
        <w:pStyle w:val="HStandard"/>
        <w:rPr>
          <w:lang w:val="en-US"/>
        </w:rPr>
      </w:pPr>
      <w:r w:rsidRPr="007E5604">
        <w:rPr>
          <w:lang w:val="en-US"/>
        </w:rPr>
        <w:t>Notwithstanding the high complexity of phenomena linked to network interventions it will be useful to break it into manageable chunks. In many cases the NRN(P) strategy or action plan foresees thematic divisions, which can in principle be followed in the observing and analysis phases of the evaluation</w:t>
      </w:r>
      <w:r w:rsidRPr="007E5604">
        <w:rPr>
          <w:rFonts w:ascii="ZWAdobeF" w:hAnsi="ZWAdobeF"/>
          <w:color w:val="auto"/>
          <w:sz w:val="2"/>
          <w:lang w:val="en-US"/>
        </w:rPr>
        <w:t>114F</w:t>
      </w:r>
      <w:r>
        <w:rPr>
          <w:rStyle w:val="FootnoteReference"/>
        </w:rPr>
        <w:footnoteReference w:id="115"/>
      </w:r>
      <w:r w:rsidRPr="007E5604">
        <w:rPr>
          <w:lang w:val="en-US"/>
        </w:rPr>
        <w:t xml:space="preserve">. If the thematic clustering of the NRN(P) action plan is not sufficiently discernible or practicable for the evaluation, the evaluator has to design a proper partition. </w:t>
      </w:r>
    </w:p>
    <w:p w:rsidR="001924CD" w:rsidRPr="007E5604" w:rsidRDefault="001924CD" w:rsidP="00320BBA">
      <w:pPr>
        <w:pStyle w:val="HStandard"/>
        <w:rPr>
          <w:lang w:val="en-US"/>
        </w:rPr>
      </w:pPr>
      <w:r w:rsidRPr="007E5604">
        <w:rPr>
          <w:lang w:val="en-US"/>
        </w:rPr>
        <w:t xml:space="preserve">The recommended data and information collected for each group of indicators are presented in </w:t>
      </w:r>
      <w:r>
        <w:fldChar w:fldCharType="begin" w:fldLock="1"/>
      </w:r>
      <w:r w:rsidRPr="007E5604">
        <w:rPr>
          <w:lang w:val="en-US"/>
        </w:rPr>
        <w:instrText xml:space="preserve"> REF _Ref451785067 \r \h </w:instrText>
      </w:r>
      <w:r>
        <w:fldChar w:fldCharType="separate"/>
      </w:r>
      <w:r w:rsidRPr="007E5604">
        <w:rPr>
          <w:lang w:val="en-US"/>
        </w:rPr>
        <w:t>Table 13</w:t>
      </w:r>
      <w:r>
        <w:fldChar w:fldCharType="end"/>
      </w:r>
      <w:r w:rsidRPr="007E5604">
        <w:rPr>
          <w:lang w:val="en-US"/>
        </w:rPr>
        <w:t>.</w:t>
      </w:r>
    </w:p>
    <w:p w:rsidR="001924CD" w:rsidRPr="000A700F" w:rsidRDefault="001924CD" w:rsidP="00C2517E">
      <w:pPr>
        <w:pStyle w:val="HHeadingtables"/>
        <w:rPr>
          <w:highlight w:val="yellow"/>
        </w:rPr>
      </w:pPr>
      <w:bookmarkStart w:id="243" w:name="_Toc436140069"/>
      <w:bookmarkStart w:id="244" w:name="_Toc436383155"/>
      <w:bookmarkStart w:id="245" w:name="_Toc451781917"/>
      <w:bookmarkStart w:id="246" w:name="_Ref451785067"/>
      <w:r>
        <w:rPr>
          <w:highlight w:val="yellow"/>
        </w:rPr>
        <w:t>Zalecane dane i informacje, jakie należy zgromadzić do celów ewaluacji KSOW</w:t>
      </w:r>
      <w:bookmarkEnd w:id="243"/>
      <w:bookmarkEnd w:id="244"/>
      <w:r>
        <w:rPr>
          <w:highlight w:val="yellow"/>
        </w:rPr>
        <w:t xml:space="preserve"> w podziale na stosowane metody</w:t>
      </w:r>
      <w:bookmarkEnd w:id="245"/>
      <w:bookmarkEnd w:id="246"/>
    </w:p>
    <w:tbl>
      <w:tblPr>
        <w:tblStyle w:val="Mriekatabuky1"/>
        <w:tblW w:w="907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18"/>
        <w:gridCol w:w="7359"/>
      </w:tblGrid>
      <w:tr w:rsidR="001924CD" w:rsidRPr="000A700F" w:rsidTr="004C05DD">
        <w:tc>
          <w:tcPr>
            <w:tcW w:w="1718" w:type="dxa"/>
            <w:shd w:val="clear" w:color="auto" w:fill="E7E6E6" w:themeFill="background2"/>
            <w:vAlign w:val="center"/>
          </w:tcPr>
          <w:p w:rsidR="001924CD" w:rsidRPr="000A700F" w:rsidRDefault="001924CD" w:rsidP="00C2517E">
            <w:pPr>
              <w:pStyle w:val="Htableleftbolt"/>
              <w:jc w:val="center"/>
              <w:rPr>
                <w:color w:val="5B9BD5" w:themeColor="accent1"/>
                <w:highlight w:val="yellow"/>
              </w:rPr>
            </w:pPr>
            <w:r>
              <w:rPr>
                <w:color w:val="5B9BD5" w:themeColor="accent1"/>
                <w:highlight w:val="yellow"/>
              </w:rPr>
              <w:t>Grupy wskaźników</w:t>
            </w:r>
          </w:p>
        </w:tc>
        <w:tc>
          <w:tcPr>
            <w:tcW w:w="7359" w:type="dxa"/>
            <w:shd w:val="clear" w:color="auto" w:fill="E7E6E6" w:themeFill="background2"/>
          </w:tcPr>
          <w:p w:rsidR="001924CD" w:rsidRPr="000A700F" w:rsidRDefault="001924CD" w:rsidP="00C2517E">
            <w:pPr>
              <w:pStyle w:val="Htableleftbolt"/>
              <w:jc w:val="center"/>
              <w:rPr>
                <w:color w:val="5B9BD5" w:themeColor="accent1"/>
                <w:highlight w:val="yellow"/>
              </w:rPr>
            </w:pPr>
            <w:r>
              <w:rPr>
                <w:color w:val="5B9BD5" w:themeColor="accent1"/>
                <w:highlight w:val="yellow"/>
              </w:rPr>
              <w:t>Istniejące i zalecane narzędzia gromadzenia danych i informacji</w:t>
            </w:r>
          </w:p>
        </w:tc>
      </w:tr>
      <w:tr w:rsidR="001924CD" w:rsidRPr="000A700F" w:rsidTr="004C05DD">
        <w:tc>
          <w:tcPr>
            <w:tcW w:w="1718" w:type="dxa"/>
            <w:shd w:val="clear" w:color="auto" w:fill="auto"/>
            <w:vAlign w:val="center"/>
          </w:tcPr>
          <w:p w:rsidR="001924CD" w:rsidRPr="000A700F" w:rsidRDefault="001924CD" w:rsidP="004C05DD">
            <w:pPr>
              <w:pStyle w:val="Htableleft"/>
              <w:rPr>
                <w:color w:val="576C88" w:themeColor="text2" w:themeTint="D9"/>
                <w:highlight w:val="yellow"/>
              </w:rPr>
            </w:pPr>
            <w:r>
              <w:rPr>
                <w:color w:val="576C88" w:themeColor="text2" w:themeTint="D9"/>
                <w:highlight w:val="yellow"/>
              </w:rPr>
              <w:t>Wskaźniki wkładu</w:t>
            </w:r>
          </w:p>
        </w:tc>
        <w:tc>
          <w:tcPr>
            <w:tcW w:w="7359" w:type="dxa"/>
            <w:shd w:val="clear" w:color="auto" w:fill="auto"/>
          </w:tcPr>
          <w:p w:rsidR="001924CD" w:rsidRPr="000A700F" w:rsidRDefault="001924CD" w:rsidP="004C05DD">
            <w:pPr>
              <w:pStyle w:val="Htableleft"/>
              <w:spacing w:before="0" w:after="0" w:line="240" w:lineRule="atLeast"/>
              <w:rPr>
                <w:color w:val="576C88" w:themeColor="text2" w:themeTint="D9"/>
                <w:highlight w:val="yellow"/>
              </w:rPr>
            </w:pPr>
            <w:r>
              <w:rPr>
                <w:color w:val="576C88" w:themeColor="text2" w:themeTint="D9"/>
                <w:highlight w:val="yellow"/>
              </w:rPr>
              <w:t xml:space="preserve">Dostępne: Wskaźniki wkładu są powiązane z przydziałem środków finansowych dla PROW/KSOW i płatnościami z tytułu działań KSOW. </w:t>
            </w:r>
          </w:p>
          <w:p w:rsidR="001924CD" w:rsidRPr="000A700F" w:rsidRDefault="001924CD" w:rsidP="00947DF6">
            <w:pPr>
              <w:pStyle w:val="Htableleft"/>
              <w:spacing w:before="0" w:after="0" w:line="240" w:lineRule="atLeast"/>
              <w:rPr>
                <w:color w:val="576C88" w:themeColor="text2" w:themeTint="D9"/>
                <w:highlight w:val="yellow"/>
              </w:rPr>
            </w:pPr>
            <w:r>
              <w:rPr>
                <w:color w:val="576C88" w:themeColor="text2" w:themeTint="D9"/>
                <w:highlight w:val="yellow"/>
              </w:rPr>
              <w:t>Dane są pobierane z istniejących systemów monitorowania finansowego.</w:t>
            </w:r>
          </w:p>
        </w:tc>
      </w:tr>
      <w:tr w:rsidR="001924CD" w:rsidRPr="000A700F" w:rsidTr="004C05DD">
        <w:tc>
          <w:tcPr>
            <w:tcW w:w="1718" w:type="dxa"/>
            <w:shd w:val="clear" w:color="auto" w:fill="auto"/>
            <w:vAlign w:val="center"/>
          </w:tcPr>
          <w:p w:rsidR="001924CD" w:rsidRPr="000A700F" w:rsidRDefault="001924CD" w:rsidP="004C05DD">
            <w:pPr>
              <w:pStyle w:val="Htableleft"/>
              <w:rPr>
                <w:color w:val="576C88" w:themeColor="text2" w:themeTint="D9"/>
                <w:highlight w:val="yellow"/>
              </w:rPr>
            </w:pPr>
            <w:r>
              <w:rPr>
                <w:color w:val="576C88" w:themeColor="text2" w:themeTint="D9"/>
                <w:highlight w:val="yellow"/>
              </w:rPr>
              <w:t xml:space="preserve">Wskaźniki produktu </w:t>
            </w:r>
          </w:p>
        </w:tc>
        <w:tc>
          <w:tcPr>
            <w:tcW w:w="7359" w:type="dxa"/>
            <w:shd w:val="clear" w:color="auto" w:fill="auto"/>
          </w:tcPr>
          <w:p w:rsidR="001924CD" w:rsidRPr="000A700F" w:rsidRDefault="001924CD" w:rsidP="004C05DD">
            <w:pPr>
              <w:pStyle w:val="Htableleft"/>
              <w:spacing w:before="0" w:after="0" w:line="240" w:lineRule="atLeast"/>
              <w:rPr>
                <w:color w:val="576C88" w:themeColor="text2" w:themeTint="D9"/>
                <w:highlight w:val="yellow"/>
              </w:rPr>
            </w:pPr>
            <w:r>
              <w:rPr>
                <w:color w:val="576C88" w:themeColor="text2" w:themeTint="D9"/>
                <w:highlight w:val="yellow"/>
              </w:rPr>
              <w:t>Dostępne: Dane dla trzech wspólnych wskaźników produktu pochodzące z systemu monitorowania (bazy danych operacji).</w:t>
            </w:r>
          </w:p>
          <w:p w:rsidR="001924CD" w:rsidRPr="000A700F" w:rsidRDefault="001924CD" w:rsidP="004C05DD">
            <w:pPr>
              <w:pStyle w:val="Htableleft"/>
              <w:spacing w:before="0" w:after="0" w:line="240" w:lineRule="atLeast"/>
              <w:rPr>
                <w:color w:val="576C88" w:themeColor="text2" w:themeTint="D9"/>
                <w:highlight w:val="yellow"/>
              </w:rPr>
            </w:pPr>
            <w:r>
              <w:rPr>
                <w:color w:val="576C88" w:themeColor="text2" w:themeTint="D9"/>
                <w:highlight w:val="yellow"/>
              </w:rPr>
              <w:t>Zalecane:</w:t>
            </w:r>
          </w:p>
          <w:p w:rsidR="001924CD" w:rsidRPr="000A700F" w:rsidRDefault="001924CD"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dane z monitorowania według rodzaju (np. w podziale na obszary tematyczne, takie jak innowacje, komunikacja, ochrona środowiska, leśnictwo itp.), </w:t>
            </w:r>
          </w:p>
          <w:p w:rsidR="001924CD" w:rsidRPr="000A700F" w:rsidRDefault="001924CD"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narzędzia komunikacji według rodzaju (np. publikacje, biuletyny, wydarzenia, materiały promocyjne itp.), </w:t>
            </w:r>
          </w:p>
          <w:p w:rsidR="001924CD" w:rsidRPr="000A700F" w:rsidRDefault="001924CD" w:rsidP="004C05DD">
            <w:pPr>
              <w:pStyle w:val="Htablebullet"/>
              <w:spacing w:before="0" w:after="0" w:line="240" w:lineRule="atLeast"/>
              <w:rPr>
                <w:color w:val="576C88" w:themeColor="text2" w:themeTint="D9"/>
                <w:highlight w:val="yellow"/>
              </w:rPr>
            </w:pPr>
            <w:r>
              <w:rPr>
                <w:color w:val="576C88" w:themeColor="text2" w:themeTint="D9"/>
                <w:highlight w:val="yellow"/>
              </w:rPr>
              <w:t>działania ENRD z udziałem KSOW według rodzaju (wydarzenia, warsztaty, konferencje itp.),</w:t>
            </w:r>
          </w:p>
          <w:p w:rsidR="001924CD" w:rsidRPr="000A700F" w:rsidRDefault="001924CD" w:rsidP="004C05DD">
            <w:pPr>
              <w:pStyle w:val="Htablebullet"/>
              <w:spacing w:before="0" w:after="0" w:line="240" w:lineRule="atLeast"/>
              <w:rPr>
                <w:color w:val="576C88" w:themeColor="text2" w:themeTint="D9"/>
                <w:highlight w:val="yellow"/>
              </w:rPr>
            </w:pPr>
            <w:r>
              <w:rPr>
                <w:color w:val="576C88" w:themeColor="text2" w:themeTint="D9"/>
                <w:highlight w:val="yellow"/>
              </w:rPr>
              <w:t>dane i informacje zebrane w toku innych badań towarzyszących (monografie, studia przypadku, współpraca z uczelniami wyższymi).</w:t>
            </w:r>
          </w:p>
        </w:tc>
      </w:tr>
      <w:tr w:rsidR="001924CD" w:rsidRPr="000A700F" w:rsidTr="004C05DD">
        <w:tc>
          <w:tcPr>
            <w:tcW w:w="1718" w:type="dxa"/>
            <w:shd w:val="clear" w:color="auto" w:fill="auto"/>
            <w:vAlign w:val="center"/>
          </w:tcPr>
          <w:p w:rsidR="001924CD" w:rsidRPr="000A700F" w:rsidRDefault="001924CD" w:rsidP="004C05DD">
            <w:pPr>
              <w:pStyle w:val="Htableleft"/>
              <w:rPr>
                <w:color w:val="576C88" w:themeColor="text2" w:themeTint="D9"/>
                <w:highlight w:val="yellow"/>
              </w:rPr>
            </w:pPr>
            <w:r>
              <w:rPr>
                <w:color w:val="576C88" w:themeColor="text2" w:themeTint="D9"/>
                <w:highlight w:val="yellow"/>
              </w:rPr>
              <w:t xml:space="preserve">Wskaźniki rezultatu </w:t>
            </w:r>
          </w:p>
        </w:tc>
        <w:tc>
          <w:tcPr>
            <w:tcW w:w="7359" w:type="dxa"/>
            <w:shd w:val="clear" w:color="auto" w:fill="auto"/>
          </w:tcPr>
          <w:p w:rsidR="001924CD" w:rsidRPr="000A700F" w:rsidRDefault="001924CD" w:rsidP="004C05DD">
            <w:pPr>
              <w:pStyle w:val="Htableleft"/>
              <w:spacing w:before="0" w:after="0" w:line="240" w:lineRule="atLeast"/>
              <w:rPr>
                <w:color w:val="576C88" w:themeColor="text2" w:themeTint="D9"/>
                <w:highlight w:val="yellow"/>
              </w:rPr>
            </w:pPr>
            <w:r>
              <w:rPr>
                <w:color w:val="576C88" w:themeColor="text2" w:themeTint="D9"/>
                <w:highlight w:val="yellow"/>
              </w:rPr>
              <w:t>Potencjalnie dostępne dla dodatkowych wskaźników rezultatu (opracowanych, aby odpowiedzieć na wspólne pytanie ewaluacyjne) oraz wskaźników specyficznych dla programu rezultatów KSOW w celu pomiaru wyników KSOW związanych ze zmianami zachowania zainteresowanych stron:</w:t>
            </w:r>
          </w:p>
          <w:p w:rsidR="001924CD" w:rsidRPr="000A700F" w:rsidRDefault="001924CD" w:rsidP="004C05DD">
            <w:pPr>
              <w:pStyle w:val="Htablebullet"/>
              <w:spacing w:before="0" w:after="0" w:line="240" w:lineRule="atLeast"/>
              <w:rPr>
                <w:color w:val="576C88" w:themeColor="text2" w:themeTint="D9"/>
                <w:highlight w:val="yellow"/>
              </w:rPr>
            </w:pPr>
            <w:r>
              <w:rPr>
                <w:color w:val="576C88" w:themeColor="text2" w:themeTint="D9"/>
                <w:highlight w:val="yellow"/>
              </w:rPr>
              <w:t>dane ilościowe, np. projekty i partnerstwa na rzecz lokalnych łańcuchów dostaw żywności tworzonych w oparciu o zalecenia wynikające z prac tematycznych KSOW,</w:t>
            </w:r>
          </w:p>
          <w:p w:rsidR="001924CD" w:rsidRPr="000A700F" w:rsidRDefault="001924CD" w:rsidP="004C05DD">
            <w:pPr>
              <w:pStyle w:val="Htablebullet"/>
              <w:spacing w:line="240" w:lineRule="atLeast"/>
              <w:rPr>
                <w:color w:val="576C88" w:themeColor="text2" w:themeTint="D9"/>
                <w:highlight w:val="yellow"/>
              </w:rPr>
            </w:pPr>
            <w:r>
              <w:rPr>
                <w:color w:val="576C88" w:themeColor="text2" w:themeTint="D9"/>
                <w:highlight w:val="yellow"/>
              </w:rPr>
              <w:lastRenderedPageBreak/>
              <w:t>informacje jakościowe, np. świadomość głównych zgłaszanych kwestii politycznych.</w:t>
            </w:r>
          </w:p>
          <w:p w:rsidR="001924CD" w:rsidRPr="000A700F" w:rsidRDefault="001924CD"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 xml:space="preserve">(Zob. też </w:t>
            </w:r>
            <w:r>
              <w:rPr>
                <w:b/>
                <w:color w:val="E7E6E6" w:themeColor="background2"/>
                <w:highlight w:val="yellow"/>
              </w:rPr>
              <w:t>CZĘŚĆ III</w:t>
            </w:r>
            <w:r>
              <w:rPr>
                <w:color w:val="576C88" w:themeColor="text2" w:themeTint="D9"/>
                <w:highlight w:val="yellow"/>
              </w:rPr>
              <w:t xml:space="preserve">, przykłady łańcucha rezultatów i oddziaływania KSOW) </w:t>
            </w:r>
          </w:p>
          <w:p w:rsidR="001924CD" w:rsidRPr="000A700F" w:rsidRDefault="001924CD" w:rsidP="004C05DD">
            <w:pPr>
              <w:pStyle w:val="Htableleft"/>
              <w:spacing w:before="0" w:after="0" w:line="240" w:lineRule="atLeast"/>
              <w:rPr>
                <w:color w:val="576C88" w:themeColor="text2" w:themeTint="D9"/>
                <w:highlight w:val="yellow"/>
              </w:rPr>
            </w:pPr>
            <w:r>
              <w:rPr>
                <w:color w:val="576C88" w:themeColor="text2" w:themeTint="D9"/>
                <w:highlight w:val="yellow"/>
              </w:rPr>
              <w:t>Zalecane:</w:t>
            </w:r>
          </w:p>
          <w:p w:rsidR="001924CD" w:rsidRPr="000A700F" w:rsidRDefault="001924CD" w:rsidP="004C05DD">
            <w:pPr>
              <w:pStyle w:val="Htablebullet"/>
              <w:spacing w:before="0" w:after="0" w:line="240" w:lineRule="atLeast"/>
              <w:rPr>
                <w:color w:val="576C88" w:themeColor="text2" w:themeTint="D9"/>
                <w:highlight w:val="yellow"/>
              </w:rPr>
            </w:pPr>
            <w:r>
              <w:rPr>
                <w:color w:val="576C88" w:themeColor="text2" w:themeTint="D9"/>
                <w:highlight w:val="yellow"/>
              </w:rPr>
              <w:t>Gromadzenie danych ilościowych może odbywać się w ramach systemu monitorowania.</w:t>
            </w:r>
          </w:p>
          <w:p w:rsidR="001924CD" w:rsidRPr="000A700F" w:rsidRDefault="001924CD"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Informacje jakościowe mogą być gromadzone doraźnie za pomocą ankietowych badań satysfakcji ekspertów, uczestników i podmiotów nieuczestniczących w działalności KSOW, wywiadów pogłębionych, grup fokusowych i okresowych samoocen KSOW. </w:t>
            </w:r>
          </w:p>
          <w:p w:rsidR="001924CD" w:rsidRPr="000A700F" w:rsidRDefault="001924CD" w:rsidP="00922106">
            <w:pPr>
              <w:pStyle w:val="Htablebullet"/>
              <w:spacing w:before="0" w:after="0" w:line="240" w:lineRule="atLeast"/>
              <w:rPr>
                <w:color w:val="576C88" w:themeColor="text2" w:themeTint="D9"/>
                <w:highlight w:val="yellow"/>
              </w:rPr>
            </w:pPr>
            <w:r>
              <w:rPr>
                <w:color w:val="576C88" w:themeColor="text2" w:themeTint="D9"/>
                <w:highlight w:val="yellow"/>
              </w:rPr>
              <w:t>Dane i informacje gromadzone w toku innych badań towarzyszących (monografie, studia przypadku, współpraca z uczelniami wyższymi).</w:t>
            </w:r>
          </w:p>
        </w:tc>
      </w:tr>
      <w:tr w:rsidR="001924CD" w:rsidRPr="008D0759" w:rsidTr="004C05DD">
        <w:tc>
          <w:tcPr>
            <w:tcW w:w="1718" w:type="dxa"/>
            <w:shd w:val="clear" w:color="auto" w:fill="auto"/>
            <w:vAlign w:val="center"/>
          </w:tcPr>
          <w:p w:rsidR="001924CD" w:rsidRPr="000A700F" w:rsidDel="00091BD6" w:rsidRDefault="001924CD" w:rsidP="004C05DD">
            <w:pPr>
              <w:pStyle w:val="Htableleft"/>
              <w:rPr>
                <w:color w:val="576C88" w:themeColor="text2" w:themeTint="D9"/>
                <w:highlight w:val="yellow"/>
              </w:rPr>
            </w:pPr>
            <w:r>
              <w:rPr>
                <w:color w:val="576C88" w:themeColor="text2" w:themeTint="D9"/>
                <w:highlight w:val="yellow"/>
              </w:rPr>
              <w:lastRenderedPageBreak/>
              <w:t>Wskaźniki oddziaływania</w:t>
            </w:r>
          </w:p>
        </w:tc>
        <w:tc>
          <w:tcPr>
            <w:tcW w:w="7359" w:type="dxa"/>
            <w:shd w:val="clear" w:color="auto" w:fill="auto"/>
          </w:tcPr>
          <w:p w:rsidR="001924CD" w:rsidRPr="000A700F" w:rsidRDefault="001924CD" w:rsidP="004C05DD">
            <w:pPr>
              <w:pStyle w:val="Htableleft"/>
              <w:spacing w:before="0" w:after="0" w:line="240" w:lineRule="atLeast"/>
              <w:rPr>
                <w:color w:val="576C88" w:themeColor="text2" w:themeTint="D9"/>
                <w:highlight w:val="yellow"/>
              </w:rPr>
            </w:pPr>
            <w:r>
              <w:rPr>
                <w:color w:val="576C88" w:themeColor="text2" w:themeTint="D9"/>
                <w:highlight w:val="yellow"/>
              </w:rPr>
              <w:t>Dodatkowe i specyficzne dla programu wskaźniki oddziaływania KSOW mające na celu pomiar skutków KSOW związanych z:</w:t>
            </w:r>
          </w:p>
          <w:p w:rsidR="001924CD" w:rsidRPr="000A700F" w:rsidRDefault="001924CD" w:rsidP="004C05DD">
            <w:pPr>
              <w:pStyle w:val="Htablebullet"/>
              <w:spacing w:before="0" w:after="0" w:line="240" w:lineRule="atLeast"/>
              <w:rPr>
                <w:color w:val="576C88" w:themeColor="text2" w:themeTint="D9"/>
                <w:highlight w:val="yellow"/>
              </w:rPr>
            </w:pPr>
            <w:r>
              <w:rPr>
                <w:color w:val="576C88" w:themeColor="text2" w:themeTint="D9"/>
                <w:highlight w:val="yellow"/>
              </w:rPr>
              <w:t>Wkładem KSOW w wyniki PROW, który będzie miał przede wszystkim charakter ilościowy, np. liczba nowych produktów opartych na innowacyjnych projektach (głównie dodatkowe wskaźniki!).</w:t>
            </w:r>
          </w:p>
          <w:p w:rsidR="001924CD" w:rsidRPr="000A700F" w:rsidRDefault="001924CD" w:rsidP="004C05DD">
            <w:pPr>
              <w:pStyle w:val="Htablebullet"/>
              <w:spacing w:before="0" w:after="0" w:line="240" w:lineRule="atLeast"/>
              <w:rPr>
                <w:color w:val="576C88" w:themeColor="text2" w:themeTint="D9"/>
                <w:highlight w:val="yellow"/>
              </w:rPr>
            </w:pPr>
            <w:r>
              <w:rPr>
                <w:color w:val="576C88" w:themeColor="text2" w:themeTint="D9"/>
                <w:highlight w:val="yellow"/>
              </w:rPr>
              <w:t>Kapitałem ludzkim i społecznym generowanym przez KSOW na obszarach wiejskich, który będzie miał przede wszystkich charakter jakościowy (np. stopień poprawy zarządzania PROW lub współpracy na obszarach wiejskich dzięki działalności KSOW) (głównie wskaźniki specyficzne dla programu!).</w:t>
            </w:r>
          </w:p>
          <w:p w:rsidR="001924CD" w:rsidRPr="000A700F" w:rsidRDefault="001924CD"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 xml:space="preserve">(Zob. też </w:t>
            </w:r>
            <w:r>
              <w:rPr>
                <w:b/>
                <w:color w:val="E7E6E6" w:themeColor="background2"/>
                <w:highlight w:val="yellow"/>
              </w:rPr>
              <w:t>CZĘŚĆ III</w:t>
            </w:r>
            <w:r>
              <w:rPr>
                <w:color w:val="576C88" w:themeColor="text2" w:themeTint="D9"/>
                <w:highlight w:val="yellow"/>
              </w:rPr>
              <w:t xml:space="preserve">, przykłady łańcucha rezultatów i oddziaływania KSOW) </w:t>
            </w:r>
          </w:p>
          <w:p w:rsidR="001924CD" w:rsidRPr="000A700F" w:rsidRDefault="001924CD" w:rsidP="004C05DD">
            <w:pPr>
              <w:pStyle w:val="Htableleft"/>
              <w:spacing w:before="0" w:after="0" w:line="240" w:lineRule="atLeast"/>
              <w:rPr>
                <w:color w:val="576C88" w:themeColor="text2" w:themeTint="D9"/>
                <w:highlight w:val="yellow"/>
              </w:rPr>
            </w:pPr>
            <w:r>
              <w:rPr>
                <w:color w:val="576C88" w:themeColor="text2" w:themeTint="D9"/>
                <w:highlight w:val="yellow"/>
              </w:rPr>
              <w:t>Zalecane:</w:t>
            </w:r>
          </w:p>
          <w:p w:rsidR="001924CD" w:rsidRPr="000A700F" w:rsidRDefault="001924CD"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Do głównych narzędzi gromadzenia danych i informacji zaliczają się badania ankietowe, wywiady i grupy fokusowe. Do gromadzenia danych dotyczących efektów netto KSOW nadają się szczególnie grupy fokusowe, jako że w ich skład wchodzą zarówno osoby uczestniczące, jak i nieuczestniczące w działaniach KSOW. </w:t>
            </w:r>
          </w:p>
          <w:p w:rsidR="001924CD" w:rsidRPr="000A700F" w:rsidRDefault="001924CD" w:rsidP="004C05DD">
            <w:pPr>
              <w:pStyle w:val="Htablebullet"/>
              <w:spacing w:before="0" w:after="0" w:line="240" w:lineRule="atLeast"/>
              <w:rPr>
                <w:color w:val="576C88" w:themeColor="text2" w:themeTint="D9"/>
                <w:highlight w:val="yellow"/>
              </w:rPr>
            </w:pPr>
            <w:r>
              <w:rPr>
                <w:color w:val="576C88" w:themeColor="text2" w:themeTint="D9"/>
                <w:highlight w:val="yellow"/>
              </w:rPr>
              <w:t>Dane i informacje zebrane w toku innych badań towarzyszących (monografie, studia przypadku, współpraca z uczelniami wyższymi).</w:t>
            </w:r>
          </w:p>
        </w:tc>
      </w:tr>
    </w:tbl>
    <w:p w:rsidR="001924CD" w:rsidRPr="007E5604" w:rsidRDefault="001924CD" w:rsidP="000A3387">
      <w:pPr>
        <w:pStyle w:val="HStandard"/>
        <w:rPr>
          <w:lang w:val="en-US"/>
        </w:rPr>
      </w:pPr>
      <w:r w:rsidRPr="007E5604">
        <w:rPr>
          <w:lang w:val="en-US"/>
        </w:rPr>
        <w:t>It is recommended to conduct counterfactuals for both NRN results and impacts when two conditions are fulfilled: (i) when a determinable group of beneficiaries and non-beneficiaries, or an applicable algorithm to differentiate between degrees of involvement of beneficiaries exists; (ii) when a recognisable difference in outcomes (behavioural changes) can be clearly attributed to the NRN intervention. It is important to ensure the baselines data and information.</w:t>
      </w:r>
      <w:bookmarkStart w:id="247" w:name="_Toc443491687"/>
      <w:bookmarkEnd w:id="247"/>
    </w:p>
    <w:p w:rsidR="001924CD" w:rsidRPr="007E5604" w:rsidRDefault="001924CD" w:rsidP="00320535">
      <w:pPr>
        <w:pStyle w:val="HHeading3"/>
        <w:rPr>
          <w:lang w:val="en-US"/>
        </w:rPr>
      </w:pPr>
      <w:bookmarkStart w:id="248" w:name="_Toc443491688"/>
      <w:bookmarkStart w:id="249" w:name="_Toc453079771"/>
      <w:r w:rsidRPr="007E5604">
        <w:rPr>
          <w:lang w:val="en-US"/>
        </w:rPr>
        <w:t>Description of the process of NRN implementation</w:t>
      </w:r>
      <w:bookmarkEnd w:id="248"/>
      <w:bookmarkEnd w:id="249"/>
    </w:p>
    <w:p w:rsidR="001924CD" w:rsidRPr="007E5604" w:rsidRDefault="001924CD" w:rsidP="000A3387">
      <w:pPr>
        <w:pStyle w:val="HStandard"/>
        <w:rPr>
          <w:lang w:val="en-US"/>
        </w:rPr>
      </w:pPr>
      <w:r w:rsidRPr="007E5604">
        <w:rPr>
          <w:lang w:val="en-US"/>
        </w:rPr>
        <w:t>Evaluators should also recall and analyse the process of implementation of the NRN(P) intervention, with active participation of NRN stakeholders, contributors and beneficiaries. This reflection should take into account the relational aspects of NRN(P)s (communication links and channels, issues concerning differences in the access to information and resources, reach out and retreat, shrinking and growth, critical incidents, etc.), as well as managerial aspects such as budgetary issues and the financial and physical execution of NRN activities. This reflection should be underpinned by adequate information on the subjects discussed, e.g. the written documentation and information raised from interviews held during the initial phase of NRN(P) evaluation with the MA and NSU representatives and other core network members.</w:t>
      </w:r>
    </w:p>
    <w:p w:rsidR="001924CD" w:rsidRPr="008D0759" w:rsidRDefault="001924CD" w:rsidP="00320535">
      <w:pPr>
        <w:pStyle w:val="HHeading3"/>
      </w:pPr>
      <w:bookmarkStart w:id="250" w:name="_Toc443491689"/>
      <w:bookmarkStart w:id="251" w:name="_Toc453079772"/>
      <w:r>
        <w:t>Consistency and completeness check</w:t>
      </w:r>
      <w:bookmarkEnd w:id="250"/>
      <w:bookmarkEnd w:id="251"/>
    </w:p>
    <w:p w:rsidR="001924CD" w:rsidRPr="008D0759" w:rsidRDefault="001924CD" w:rsidP="000A3387">
      <w:pPr>
        <w:pStyle w:val="HStandard"/>
      </w:pPr>
      <w:r w:rsidRPr="007E5604">
        <w:rPr>
          <w:lang w:val="en-US"/>
        </w:rPr>
        <w:t xml:space="preserve">The collected data and information should be scrupulously checked. </w:t>
      </w:r>
      <w:r>
        <w:t>Key questions are:</w:t>
      </w:r>
    </w:p>
    <w:p w:rsidR="001924CD" w:rsidRPr="007E5604" w:rsidRDefault="001924CD" w:rsidP="000A3387">
      <w:pPr>
        <w:pStyle w:val="Hlistbullet2"/>
        <w:rPr>
          <w:lang w:val="en-US"/>
        </w:rPr>
      </w:pPr>
      <w:bookmarkStart w:id="252" w:name="_Toc434744521"/>
      <w:r w:rsidRPr="007E5604">
        <w:rPr>
          <w:lang w:val="en-US"/>
        </w:rPr>
        <w:lastRenderedPageBreak/>
        <w:t>Is the collected data sufficient to answer the evaluation questions to the extent required for the respective evaluation task (AIR 2017, AIR 2019, ex post evaluation or other, and stand-alone NRN evaluations)?</w:t>
      </w:r>
      <w:bookmarkEnd w:id="252"/>
    </w:p>
    <w:p w:rsidR="001924CD" w:rsidRPr="007E5604" w:rsidRDefault="001924CD" w:rsidP="000A3387">
      <w:pPr>
        <w:pStyle w:val="Hlistbullet2"/>
        <w:rPr>
          <w:lang w:val="en-US"/>
        </w:rPr>
      </w:pPr>
      <w:bookmarkStart w:id="253" w:name="_Toc434744522"/>
      <w:r w:rsidRPr="007E5604">
        <w:rPr>
          <w:lang w:val="en-US"/>
        </w:rPr>
        <w:t>Is there sufficient redundancy in the database (for data on output indicators and if developed, any data on other indicators) in order to fill possible gaps with information from other sources (= triangulation)?</w:t>
      </w:r>
      <w:bookmarkEnd w:id="253"/>
    </w:p>
    <w:p w:rsidR="001924CD" w:rsidRPr="007E5604" w:rsidRDefault="001924CD" w:rsidP="000A3387">
      <w:pPr>
        <w:pStyle w:val="Hlistbullet2"/>
        <w:rPr>
          <w:lang w:val="en-US"/>
        </w:rPr>
      </w:pPr>
      <w:r w:rsidRPr="007E5604">
        <w:rPr>
          <w:lang w:val="en-US"/>
        </w:rPr>
        <w:t>Is there sufficient qualitative data and information available given the highly intangible nature of the expected results and impacts?</w:t>
      </w:r>
    </w:p>
    <w:p w:rsidR="001924CD" w:rsidRPr="007E5604" w:rsidRDefault="001924CD" w:rsidP="000A3387">
      <w:pPr>
        <w:pStyle w:val="Hlistbullet2"/>
        <w:rPr>
          <w:lang w:val="en-US"/>
        </w:rPr>
      </w:pPr>
      <w:bookmarkStart w:id="254" w:name="_Toc434744523"/>
      <w:r w:rsidRPr="007E5604">
        <w:rPr>
          <w:lang w:val="en-US"/>
        </w:rPr>
        <w:t>Are the information sources reliable?</w:t>
      </w:r>
      <w:bookmarkEnd w:id="254"/>
    </w:p>
    <w:p w:rsidR="001924CD" w:rsidRPr="007E5604" w:rsidRDefault="001924CD" w:rsidP="000A3387">
      <w:pPr>
        <w:pStyle w:val="HStandard"/>
        <w:rPr>
          <w:lang w:val="en-US"/>
        </w:rPr>
      </w:pPr>
      <w:r w:rsidRPr="007E5604">
        <w:rPr>
          <w:lang w:val="en-US"/>
        </w:rPr>
        <w:t xml:space="preserve">If it turns out that it is necessary to collect additional data and information from sources which have not been considered from the outset, there should be enough flexibility to go back to the structuring phase and investigate for additional data. This loop-wise movement is indicated by the green double-headed arrow in </w:t>
      </w:r>
      <w:r>
        <w:fldChar w:fldCharType="begin" w:fldLock="1"/>
      </w:r>
      <w:r w:rsidRPr="007E5604">
        <w:rPr>
          <w:lang w:val="en-US"/>
        </w:rPr>
        <w:instrText xml:space="preserve"> REF _Ref440033578 \r \h </w:instrText>
      </w:r>
      <w:r>
        <w:fldChar w:fldCharType="separate"/>
      </w:r>
      <w:r w:rsidRPr="007E5604">
        <w:rPr>
          <w:lang w:val="en-US"/>
        </w:rPr>
        <w:t>Figure 21</w:t>
      </w:r>
      <w:r>
        <w:fldChar w:fldCharType="end"/>
      </w:r>
      <w:r w:rsidRPr="007E5604">
        <w:rPr>
          <w:lang w:val="en-US"/>
        </w:rPr>
        <w:t>. However, such loops require additional time and budget reserves to be accounted for in the overall evaluation architecture.</w:t>
      </w:r>
    </w:p>
    <w:p w:rsidR="001924CD" w:rsidRPr="008D0759" w:rsidRDefault="001924CD" w:rsidP="000A3387">
      <w:pPr>
        <w:pStyle w:val="HHeadingfigures"/>
      </w:pPr>
      <w:bookmarkStart w:id="255" w:name="_Ref439933603"/>
      <w:bookmarkStart w:id="256" w:name="_Ref440033578"/>
      <w:bookmarkStart w:id="257" w:name="_Toc451781940"/>
      <w:r>
        <w:t>A</w:t>
      </w:r>
      <w:bookmarkEnd w:id="255"/>
      <w:r>
        <w:t>dvancing loopwise</w:t>
      </w:r>
      <w:bookmarkEnd w:id="256"/>
      <w:bookmarkEnd w:id="257"/>
    </w:p>
    <w:p w:rsidR="001924CD" w:rsidRPr="008D0759" w:rsidRDefault="001924CD" w:rsidP="00320BBA">
      <w:pPr>
        <w:pStyle w:val="HStandard"/>
        <w:spacing w:after="0"/>
        <w:jc w:val="center"/>
      </w:pPr>
      <w:r>
        <w:rPr>
          <w:noProof/>
          <w:lang w:val="en-GB" w:eastAsia="en-GB" w:bidi="ar-SA"/>
        </w:rPr>
        <w:drawing>
          <wp:inline distT="0" distB="0" distL="0" distR="0" wp14:anchorId="6F0904A4" wp14:editId="4803FFB0">
            <wp:extent cx="4575135" cy="16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val_Proces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75135" cy="1620000"/>
                    </a:xfrm>
                    <a:prstGeom prst="rect">
                      <a:avLst/>
                    </a:prstGeom>
                  </pic:spPr>
                </pic:pic>
              </a:graphicData>
            </a:graphic>
          </wp:inline>
        </w:drawing>
      </w:r>
    </w:p>
    <w:p w:rsidR="001924CD" w:rsidRPr="007E5604" w:rsidRDefault="001924CD" w:rsidP="00320BBA">
      <w:pPr>
        <w:pStyle w:val="HSource"/>
        <w:rPr>
          <w:lang w:val="en-US"/>
        </w:rPr>
      </w:pPr>
      <w:r w:rsidRPr="007E5604">
        <w:rPr>
          <w:lang w:val="en-US"/>
        </w:rPr>
        <w:t>Source: European Evaluation Helpdesk for Rural Development, 2016</w:t>
      </w:r>
    </w:p>
    <w:p w:rsidR="001924CD" w:rsidRPr="007E5604" w:rsidRDefault="001924CD" w:rsidP="000A3387">
      <w:pPr>
        <w:pStyle w:val="HStandard"/>
        <w:rPr>
          <w:lang w:val="en-US"/>
        </w:rPr>
      </w:pPr>
      <w:r w:rsidRPr="007E5604">
        <w:rPr>
          <w:lang w:val="en-US"/>
        </w:rPr>
        <w:t xml:space="preserve">In practice, budgetary and time restrictions will limit this flexibility throughout the whole process. The most important thing is to keep this possibility open for the first two phases (where the green double-headed arrow is set in </w:t>
      </w:r>
      <w:r>
        <w:fldChar w:fldCharType="begin" w:fldLock="1"/>
      </w:r>
      <w:r w:rsidRPr="007E5604">
        <w:rPr>
          <w:lang w:val="en-US"/>
        </w:rPr>
        <w:instrText xml:space="preserve"> REF _Ref440033578 \r \h </w:instrText>
      </w:r>
      <w:r>
        <w:fldChar w:fldCharType="separate"/>
      </w:r>
      <w:r w:rsidRPr="007E5604">
        <w:rPr>
          <w:lang w:val="en-US"/>
        </w:rPr>
        <w:t>Figure 21</w:t>
      </w:r>
      <w:r>
        <w:fldChar w:fldCharType="end"/>
      </w:r>
      <w:r w:rsidRPr="007E5604">
        <w:rPr>
          <w:lang w:val="en-US"/>
        </w:rPr>
        <w:t>). In other words: If new, unforeseen facts surface, there should be room to readjust the evaluation setup accordingly.</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2809CE" w:rsidTr="000A3387">
        <w:tc>
          <w:tcPr>
            <w:tcW w:w="9016" w:type="dxa"/>
            <w:shd w:val="clear" w:color="auto" w:fill="F5F4F4" w:themeFill="background2" w:themeFillTint="66"/>
          </w:tcPr>
          <w:p w:rsidR="001924CD" w:rsidRPr="000A700F" w:rsidRDefault="001924CD" w:rsidP="000A3387">
            <w:pPr>
              <w:pStyle w:val="HStandard"/>
              <w:rPr>
                <w:highlight w:val="yellow"/>
              </w:rPr>
            </w:pPr>
            <w:r>
              <w:rPr>
                <w:highlight w:val="yellow"/>
              </w:rPr>
              <w:t>Pytania pomocnicze dla fazy obserwacji:</w:t>
            </w:r>
          </w:p>
          <w:p w:rsidR="001924CD" w:rsidRPr="000A700F" w:rsidRDefault="001924CD" w:rsidP="001924CD">
            <w:pPr>
              <w:pStyle w:val="Hlistbullet2"/>
              <w:rPr>
                <w:highlight w:val="yellow"/>
              </w:rPr>
            </w:pPr>
            <w:r>
              <w:rPr>
                <w:highlight w:val="yellow"/>
              </w:rPr>
              <w:t>Jakie dane są dostępne, a jakie musimy wytworzyć w trakcie procesu ewaluacji?</w:t>
            </w:r>
          </w:p>
          <w:p w:rsidR="001924CD" w:rsidRPr="000A700F" w:rsidRDefault="001924CD" w:rsidP="001924CD">
            <w:pPr>
              <w:pStyle w:val="Hlistbullet2"/>
              <w:rPr>
                <w:highlight w:val="yellow"/>
              </w:rPr>
            </w:pPr>
            <w:r>
              <w:rPr>
                <w:highlight w:val="yellow"/>
              </w:rPr>
              <w:t>Jakie są najważniejsze dane, które należy zgromadzić, aby proces zbierania danych był wykonalny, biorąc pod uwagę czas i koszty?</w:t>
            </w:r>
          </w:p>
          <w:p w:rsidR="001924CD" w:rsidRPr="000A700F" w:rsidRDefault="001924CD" w:rsidP="001924CD">
            <w:pPr>
              <w:pStyle w:val="Hlistbullet2"/>
              <w:rPr>
                <w:highlight w:val="yellow"/>
              </w:rPr>
            </w:pPr>
            <w:r>
              <w:rPr>
                <w:highlight w:val="yellow"/>
              </w:rPr>
              <w:t>Czy istnieje wystarczający nadmiar danych, czyli czy można zweryfikować główne wnioski w oparciu o różne źródła empiryczne?</w:t>
            </w:r>
          </w:p>
          <w:p w:rsidR="001924CD" w:rsidRPr="000A700F" w:rsidRDefault="001924CD" w:rsidP="001924CD">
            <w:pPr>
              <w:pStyle w:val="Hlistbullet2"/>
              <w:rPr>
                <w:highlight w:val="yellow"/>
              </w:rPr>
            </w:pPr>
            <w:r>
              <w:rPr>
                <w:highlight w:val="yellow"/>
              </w:rPr>
              <w:t>Czy zrobiono wszystko, aby uniknąć błędów obserwacyjnych (tendencyjności wyboru, efektu respondenckiego, efektu aureoli ...)?</w:t>
            </w:r>
          </w:p>
          <w:p w:rsidR="001924CD" w:rsidRPr="000A700F" w:rsidRDefault="001924CD" w:rsidP="001924CD">
            <w:pPr>
              <w:pStyle w:val="Hlistbullet2"/>
              <w:rPr>
                <w:highlight w:val="yellow"/>
              </w:rPr>
            </w:pPr>
            <w:r>
              <w:rPr>
                <w:highlight w:val="yellow"/>
              </w:rPr>
              <w:t>Co mogłoby być przyczyną dwóch wzajemnie sprzecznych wyników? Czy zachodzi możliwość, że tylko jeden wniosek jest prawdziwy, że oba wnioski są w pewnym sensie prawdziwe lub że prawdziwa odpowiedź leży jeszcze gdzie indziej?</w:t>
            </w:r>
          </w:p>
        </w:tc>
      </w:tr>
    </w:tbl>
    <w:p w:rsidR="001924CD" w:rsidRPr="000A700F" w:rsidRDefault="001924CD" w:rsidP="00D35287">
      <w:pPr>
        <w:pStyle w:val="HHeading5"/>
        <w:rPr>
          <w:highlight w:val="yellow"/>
        </w:rPr>
      </w:pPr>
      <w:r>
        <w:rPr>
          <w:highlight w:val="yellow"/>
        </w:rPr>
        <w:lastRenderedPageBreak/>
        <w:t>Co należy, a czego nie należy robić</w:t>
      </w:r>
    </w:p>
    <w:tbl>
      <w:tblPr>
        <w:tblStyle w:val="LightList-Accent5"/>
        <w:tblW w:w="0" w:type="auto"/>
        <w:tblLook w:val="04A0" w:firstRow="1" w:lastRow="0" w:firstColumn="1" w:lastColumn="0" w:noHBand="0" w:noVBand="1"/>
      </w:tblPr>
      <w:tblGrid>
        <w:gridCol w:w="4506"/>
        <w:gridCol w:w="4500"/>
      </w:tblGrid>
      <w:tr w:rsidR="001924CD"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1924CD" w:rsidRPr="000A700F" w:rsidRDefault="001924CD" w:rsidP="000A3387">
            <w:pPr>
              <w:pStyle w:val="HHeading5"/>
              <w:jc w:val="center"/>
              <w:rPr>
                <w:highlight w:val="yellow"/>
              </w:rPr>
            </w:pPr>
            <w:r>
              <w:rPr>
                <w:noProof/>
                <w:highlight w:val="yellow"/>
                <w:lang w:val="en-GB" w:eastAsia="en-GB" w:bidi="ar-SA"/>
              </w:rPr>
              <w:drawing>
                <wp:inline distT="0" distB="0" distL="0" distR="0" wp14:anchorId="5C74E35E" wp14:editId="0B438496">
                  <wp:extent cx="360000" cy="360000"/>
                  <wp:effectExtent l="0" t="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1924CD" w:rsidRPr="000A700F" w:rsidRDefault="001924CD"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38423680" wp14:editId="5F319554">
                  <wp:extent cx="360000" cy="360000"/>
                  <wp:effectExtent l="0" t="0" r="254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1924CD"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1924CD" w:rsidRPr="000A700F" w:rsidRDefault="001924C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Określić dziedziny, w których analiza kontrfaktyczna jest wykonalna i poczynić odpowiednie przygotowania (np. określając grupy kontrolne lub przynajmniej algorytm różnicowania poprzez ustalenie wartości bazowej).</w:t>
            </w:r>
          </w:p>
          <w:p w:rsidR="001924CD" w:rsidRPr="000A700F" w:rsidRDefault="001924C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Korzystać z różnych źródeł informacji (jakościowych i ilościowych, wewnętrznych i zewnętrznych, emic</w:t>
            </w:r>
            <w:r>
              <w:rPr>
                <w:rFonts w:ascii="ZWAdobeF" w:hAnsi="ZWAdobeF"/>
                <w:b w:val="0"/>
                <w:color w:val="auto"/>
                <w:sz w:val="2"/>
                <w:highlight w:val="yellow"/>
              </w:rPr>
              <w:t>115F</w:t>
            </w:r>
            <w:r>
              <w:rPr>
                <w:rStyle w:val="FootnoteReference"/>
                <w:highlight w:val="yellow"/>
              </w:rPr>
              <w:footnoteReference w:id="116"/>
            </w:r>
            <w:r>
              <w:rPr>
                <w:b w:val="0"/>
                <w:color w:val="FFC000" w:themeColor="accent4"/>
                <w:sz w:val="18"/>
                <w:highlight w:val="yellow"/>
              </w:rPr>
              <w:t xml:space="preserve"> i etic</w:t>
            </w:r>
            <w:r>
              <w:rPr>
                <w:rFonts w:ascii="ZWAdobeF" w:hAnsi="ZWAdobeF"/>
                <w:b w:val="0"/>
                <w:color w:val="auto"/>
                <w:sz w:val="2"/>
                <w:highlight w:val="yellow"/>
              </w:rPr>
              <w:t>116F</w:t>
            </w:r>
            <w:r>
              <w:rPr>
                <w:rStyle w:val="FootnoteReference"/>
                <w:highlight w:val="yellow"/>
              </w:rPr>
              <w:footnoteReference w:id="117"/>
            </w:r>
            <w:r>
              <w:rPr>
                <w:b w:val="0"/>
                <w:color w:val="FFC000" w:themeColor="accent4"/>
                <w:sz w:val="18"/>
                <w:highlight w:val="yellow"/>
              </w:rPr>
              <w:t>).</w:t>
            </w:r>
          </w:p>
          <w:p w:rsidR="001924CD" w:rsidRPr="000A700F" w:rsidRDefault="001924CD"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Zrestrukturyzować proces oceny w przypadku pojawienia się nieoczekiwanych pytań, które wymagają dodatkowych analiz.</w:t>
            </w:r>
          </w:p>
          <w:p w:rsidR="001924CD" w:rsidRPr="000A700F" w:rsidRDefault="001924CD" w:rsidP="000A3387">
            <w:pPr>
              <w:pStyle w:val="HStandard"/>
              <w:rPr>
                <w:color w:val="FFC000" w:themeColor="accent4"/>
                <w:sz w:val="18"/>
                <w:szCs w:val="18"/>
                <w:highlight w:val="yellow"/>
              </w:rPr>
            </w:pPr>
            <w:r>
              <w:rPr>
                <w:b w:val="0"/>
                <w:color w:val="FFC000" w:themeColor="accent4"/>
                <w:sz w:val="18"/>
                <w:highlight w:val="yellow"/>
              </w:rPr>
              <w:t>Sprawdzić kompletność i stopień, w jakim określone dane są sprzeczne z rezultatami. Zastanowić się, co kryje się za tymi oczywistymi sprzecznościami.</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1924CD" w:rsidRPr="000A700F" w:rsidRDefault="001924CD" w:rsidP="000A3387">
            <w:pPr>
              <w:pStyle w:val="HStandard"/>
              <w:spacing w:before="120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Zadowalać się jednym źródłem informacji w odniesieniu do danej kwestii tematycznej.</w:t>
            </w:r>
          </w:p>
          <w:p w:rsidR="001924CD" w:rsidRPr="000A700F" w:rsidRDefault="001924CD"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Przepisywać sporządzony przez KSOW opis działań bez kwestionowania czegokolwiek i nie rozróżniać pomiędzy mniej i bardziej istotnymi kwestiami.</w:t>
            </w:r>
          </w:p>
          <w:p w:rsidR="001924CD" w:rsidRPr="008D0759" w:rsidRDefault="001924CD" w:rsidP="00134196">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Pr>
                <w:color w:val="ED7D31" w:themeColor="accent2"/>
                <w:sz w:val="18"/>
                <w:highlight w:val="yellow"/>
              </w:rPr>
              <w:t>Ukrywać lub trzymać w tajemnicy nierzetelne dane, zwłaszcza jeśli ma się świadomość tego faktu.</w:t>
            </w:r>
          </w:p>
        </w:tc>
      </w:tr>
    </w:tbl>
    <w:p w:rsidR="001924CD" w:rsidRPr="008D0759" w:rsidRDefault="001924CD"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1924CD" w:rsidRPr="008D0759" w:rsidTr="00112F30">
        <w:tc>
          <w:tcPr>
            <w:tcW w:w="9072" w:type="dxa"/>
            <w:shd w:val="clear" w:color="auto" w:fill="F5F4F4" w:themeFill="background2" w:themeFillTint="66"/>
          </w:tcPr>
          <w:p w:rsidR="001924CD" w:rsidRPr="007E5604" w:rsidRDefault="001924CD" w:rsidP="00112F30">
            <w:pPr>
              <w:pStyle w:val="HStandard"/>
              <w:spacing w:line="240" w:lineRule="atLeast"/>
              <w:rPr>
                <w:sz w:val="16"/>
                <w:szCs w:val="16"/>
                <w:lang w:val="en-US"/>
              </w:rPr>
            </w:pPr>
            <w:r w:rsidRPr="007E5604">
              <w:rPr>
                <w:sz w:val="16"/>
                <w:lang w:val="en-US"/>
              </w:rPr>
              <w:t>Concerning the assessment of impacts:</w:t>
            </w:r>
          </w:p>
          <w:p w:rsidR="001924CD" w:rsidRPr="007E5604" w:rsidRDefault="001924CD" w:rsidP="00112F30">
            <w:pPr>
              <w:pStyle w:val="HStandard"/>
              <w:spacing w:line="240" w:lineRule="atLeast"/>
              <w:rPr>
                <w:sz w:val="16"/>
                <w:szCs w:val="16"/>
                <w:lang w:val="en-US"/>
              </w:rPr>
            </w:pPr>
            <w:r w:rsidRPr="007E5604">
              <w:rPr>
                <w:sz w:val="16"/>
                <w:lang w:val="en-US"/>
              </w:rPr>
              <w:t>Working Paper of the Rural Evaluation Helpdesk (July 2010): Approaches for assessing the impacts of the Rural Development Programmes in the context of multiple intervening factors, p. 26 ff.</w:t>
            </w:r>
          </w:p>
          <w:p w:rsidR="001924CD" w:rsidRPr="007E5604" w:rsidRDefault="001924CD" w:rsidP="00112F30">
            <w:pPr>
              <w:pStyle w:val="HStandard"/>
              <w:spacing w:line="240" w:lineRule="atLeast"/>
              <w:rPr>
                <w:sz w:val="16"/>
                <w:szCs w:val="16"/>
                <w:lang w:val="en-US"/>
              </w:rPr>
            </w:pPr>
            <w:r w:rsidRPr="007E5604">
              <w:rPr>
                <w:sz w:val="16"/>
                <w:lang w:val="en-US"/>
              </w:rPr>
              <w:t>On bias in evaluation (the source is from the US Centres of Disease Control and Prevention and deals with health themes, but it is very useful for social research in general):</w:t>
            </w:r>
          </w:p>
          <w:p w:rsidR="001924CD" w:rsidRPr="008D0759" w:rsidRDefault="001924CD" w:rsidP="00112F30">
            <w:pPr>
              <w:pStyle w:val="HStandard"/>
              <w:spacing w:line="240" w:lineRule="atLeast"/>
              <w:rPr>
                <w:sz w:val="16"/>
                <w:szCs w:val="16"/>
              </w:rPr>
            </w:pPr>
            <w:r w:rsidRPr="007E5604">
              <w:rPr>
                <w:sz w:val="16"/>
                <w:lang w:val="en-US"/>
              </w:rPr>
              <w:t>Bernard C.K.Choi and Anita W.P.Pak (Jan 2005): A Catalog of Biases in Questionnaires.</w:t>
            </w:r>
            <w:r w:rsidRPr="007E5604">
              <w:rPr>
                <w:lang w:val="en-US"/>
              </w:rPr>
              <w:t xml:space="preserve"> </w:t>
            </w:r>
            <w:hyperlink r:id="rId52">
              <w:r>
                <w:rPr>
                  <w:rStyle w:val="Hyperlink"/>
                  <w:sz w:val="16"/>
                </w:rPr>
                <w:t>http://www.cdc.gov/pcd/issues/2005/jan/04_0050.htm</w:t>
              </w:r>
            </w:hyperlink>
            <w:r>
              <w:rPr>
                <w:sz w:val="16"/>
              </w:rPr>
              <w:t xml:space="preserve"> </w:t>
            </w:r>
          </w:p>
        </w:tc>
      </w:tr>
    </w:tbl>
    <w:p w:rsidR="001924CD" w:rsidRPr="000A700F" w:rsidRDefault="001924CD" w:rsidP="00320535">
      <w:pPr>
        <w:pStyle w:val="HHeading2"/>
        <w:rPr>
          <w:highlight w:val="yellow"/>
        </w:rPr>
      </w:pPr>
      <w:bookmarkStart w:id="258" w:name="_Toc434744524"/>
      <w:bookmarkStart w:id="259" w:name="_Toc436140063"/>
      <w:bookmarkStart w:id="260" w:name="_Toc443491690"/>
      <w:bookmarkStart w:id="261" w:name="_Toc453079773"/>
      <w:r>
        <w:rPr>
          <w:highlight w:val="yellow"/>
        </w:rPr>
        <w:t>ANALIZA</w:t>
      </w:r>
      <w:bookmarkEnd w:id="258"/>
      <w:bookmarkEnd w:id="259"/>
      <w:r>
        <w:rPr>
          <w:highlight w:val="yellow"/>
        </w:rPr>
        <w:t>: badanie dostępnych informacji</w:t>
      </w:r>
      <w:bookmarkEnd w:id="260"/>
      <w:bookmarkEnd w:id="261"/>
    </w:p>
    <w:p w:rsidR="001924CD" w:rsidRPr="007E5604" w:rsidRDefault="001924CD" w:rsidP="00112F30">
      <w:pPr>
        <w:pStyle w:val="HStandard"/>
        <w:rPr>
          <w:lang w:val="en-US"/>
        </w:rPr>
      </w:pPr>
      <w:r w:rsidRPr="007E5604">
        <w:rPr>
          <w:lang w:val="en-US"/>
        </w:rPr>
        <w:t>In the analysing phase, all available information is systematically processed and synthesized. Different tools and techniques are applied to measure outputs, results and impacts against objectives and targets. Ideally, in this phase the main task would be to separate the effects of the NRN interventions from the host of other possible influences on the outcomes. This means to analyse the collected qualitative and quantitative evidence, and assess the NRN’s achievements towards objectives and effects in the form of net values of result indicators (in 2017 and 2019) and impact indicators (in 2019 and in the ex post evaluation).</w:t>
      </w:r>
      <w:r w:rsidRPr="007E5604">
        <w:rPr>
          <w:rFonts w:ascii="ZWAdobeF" w:hAnsi="ZWAdobeF"/>
          <w:color w:val="auto"/>
          <w:sz w:val="2"/>
          <w:lang w:val="en-US"/>
        </w:rPr>
        <w:t>117F</w:t>
      </w:r>
      <w:r>
        <w:rPr>
          <w:rStyle w:val="FootnoteReference"/>
        </w:rPr>
        <w:footnoteReference w:id="118"/>
      </w:r>
    </w:p>
    <w:p w:rsidR="001924CD" w:rsidRPr="007E5604" w:rsidRDefault="001924CD" w:rsidP="00112F30">
      <w:pPr>
        <w:pStyle w:val="HStandard"/>
        <w:rPr>
          <w:lang w:val="en-US"/>
        </w:rPr>
      </w:pPr>
      <w:r w:rsidRPr="007E5604">
        <w:rPr>
          <w:lang w:val="en-US"/>
        </w:rPr>
        <w:t>In any case the evaluators try to answer the question: “To what extent did the change happen due to the NRN intervention?”</w:t>
      </w:r>
    </w:p>
    <w:p w:rsidR="001924CD" w:rsidRPr="007E5604" w:rsidRDefault="001924CD" w:rsidP="00112F30">
      <w:pPr>
        <w:pStyle w:val="HStandard"/>
        <w:rPr>
          <w:lang w:val="en-US"/>
        </w:rPr>
      </w:pPr>
      <w:r w:rsidRPr="007E5604">
        <w:rPr>
          <w:lang w:val="en-US"/>
        </w:rPr>
        <w:t>The evaluator’s task in the analysis of NRN effects is to establish a logical series of steps that enable the analysis of the data and information collected during the observing phase.</w:t>
      </w:r>
    </w:p>
    <w:p w:rsidR="001924CD" w:rsidRPr="008D0759" w:rsidRDefault="001924CD" w:rsidP="00112F30">
      <w:pPr>
        <w:pStyle w:val="HHeadingfigures"/>
      </w:pPr>
      <w:bookmarkStart w:id="262" w:name="_Toc436383170"/>
      <w:bookmarkStart w:id="263" w:name="_Toc436140078"/>
      <w:bookmarkStart w:id="264" w:name="_Toc451781941"/>
      <w:r>
        <w:t>The analysing phase</w:t>
      </w:r>
      <w:bookmarkEnd w:id="262"/>
      <w:bookmarkEnd w:id="263"/>
      <w:bookmarkEnd w:id="264"/>
    </w:p>
    <w:p w:rsidR="001924CD" w:rsidRPr="008D0759" w:rsidRDefault="001924CD" w:rsidP="00112F30">
      <w:pPr>
        <w:jc w:val="center"/>
      </w:pPr>
      <w:r>
        <w:rPr>
          <w:noProof/>
          <w:lang w:eastAsia="en-GB"/>
        </w:rPr>
        <w:lastRenderedPageBreak/>
        <w:drawing>
          <wp:inline distT="0" distB="0" distL="0" distR="0" wp14:anchorId="0C3AA6A3" wp14:editId="41177D01">
            <wp:extent cx="5091163" cy="2448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nalysing.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91163" cy="2448000"/>
                    </a:xfrm>
                    <a:prstGeom prst="rect">
                      <a:avLst/>
                    </a:prstGeom>
                  </pic:spPr>
                </pic:pic>
              </a:graphicData>
            </a:graphic>
          </wp:inline>
        </w:drawing>
      </w:r>
    </w:p>
    <w:p w:rsidR="001924CD" w:rsidRPr="007E5604" w:rsidRDefault="001924CD" w:rsidP="00320BBA">
      <w:pPr>
        <w:pStyle w:val="HSource"/>
        <w:rPr>
          <w:lang w:val="en-US"/>
        </w:rPr>
      </w:pPr>
      <w:r w:rsidRPr="007E5604">
        <w:rPr>
          <w:lang w:val="en-US"/>
        </w:rPr>
        <w:t>Source: European Evaluation Helpdesk for Rural Development, 2016</w:t>
      </w:r>
    </w:p>
    <w:p w:rsidR="001924CD" w:rsidRPr="007E5604" w:rsidRDefault="001924CD" w:rsidP="00320535">
      <w:pPr>
        <w:pStyle w:val="HHeading3"/>
        <w:rPr>
          <w:lang w:val="en-US"/>
        </w:rPr>
      </w:pPr>
      <w:bookmarkStart w:id="265" w:name="_Toc433481250"/>
      <w:bookmarkStart w:id="266" w:name="_Toc433718156"/>
      <w:bookmarkStart w:id="267" w:name="_Toc434744530"/>
      <w:bookmarkStart w:id="268" w:name="_Toc443491691"/>
      <w:bookmarkStart w:id="269" w:name="_Toc453079774"/>
      <w:r w:rsidRPr="007E5604">
        <w:rPr>
          <w:lang w:val="en-US"/>
        </w:rPr>
        <w:t>Introductory qualitative analysis and formulation of testable hypotheses</w:t>
      </w:r>
      <w:bookmarkEnd w:id="265"/>
      <w:bookmarkEnd w:id="266"/>
      <w:bookmarkEnd w:id="267"/>
      <w:bookmarkEnd w:id="268"/>
      <w:bookmarkEnd w:id="269"/>
    </w:p>
    <w:p w:rsidR="001924CD" w:rsidRPr="007E5604" w:rsidRDefault="001924CD" w:rsidP="00112F30">
      <w:pPr>
        <w:pStyle w:val="HStandard"/>
        <w:rPr>
          <w:lang w:val="en-US"/>
        </w:rPr>
      </w:pPr>
      <w:r w:rsidRPr="007E5604">
        <w:rPr>
          <w:lang w:val="en-US"/>
        </w:rPr>
        <w:t xml:space="preserve">A preliminary qualitative analysis should be carried out at the beginning of an evaluation process in order to reflect on various possible expected or unexpected, positive or negative effects of the NRN. The main aim of this introductory qualitative analysis should be the formulation of hypotheses on potential effects, most notably those which, in view of the RD stakeholders and policy makers, are expected to make the biggest “change” in comparison with a situation “without” the NRN interventions. </w:t>
      </w:r>
    </w:p>
    <w:p w:rsidR="001924CD" w:rsidRPr="007E5604" w:rsidRDefault="001924CD" w:rsidP="00112F30">
      <w:pPr>
        <w:pStyle w:val="HStandard"/>
        <w:rPr>
          <w:lang w:val="en-US"/>
        </w:rPr>
      </w:pPr>
      <w:r w:rsidRPr="007E5604">
        <w:rPr>
          <w:lang w:val="en-US"/>
        </w:rPr>
        <w:t>The provision of stakeholders’, beneficiaries’ and associated experts’ perspectives on the NRN’s performance is valuable, particularly with regard to unintended or indirect effects.</w:t>
      </w:r>
    </w:p>
    <w:p w:rsidR="001924CD" w:rsidRPr="007E5604" w:rsidRDefault="001924CD" w:rsidP="00112F30">
      <w:pPr>
        <w:pStyle w:val="HStandard"/>
        <w:rPr>
          <w:lang w:val="en-US"/>
        </w:rPr>
      </w:pPr>
      <w:r w:rsidRPr="007E5604">
        <w:rPr>
          <w:lang w:val="en-US"/>
        </w:rPr>
        <w:t>This step will culminate in the formulation of testable hypotheses based on the single common evaluation question for NRNs and its related judgment criteria, and on the NRN-specific evaluation questions and judgment criteria.</w:t>
      </w:r>
    </w:p>
    <w:p w:rsidR="001924CD" w:rsidRPr="008D0759" w:rsidRDefault="001924CD" w:rsidP="00320535">
      <w:pPr>
        <w:pStyle w:val="HHeading3"/>
        <w:rPr>
          <w:rFonts w:eastAsia="Calibri"/>
        </w:rPr>
      </w:pPr>
      <w:bookmarkStart w:id="270" w:name="_Toc443491692"/>
      <w:bookmarkStart w:id="271" w:name="_Toc433481251"/>
      <w:bookmarkStart w:id="272" w:name="_Toc433718157"/>
      <w:bookmarkStart w:id="273" w:name="_Toc434744531"/>
      <w:bookmarkStart w:id="274" w:name="_Toc443491693"/>
      <w:bookmarkStart w:id="275" w:name="_Toc453079775"/>
      <w:bookmarkEnd w:id="270"/>
      <w:r>
        <w:t>Testing and verification of hypotheses</w:t>
      </w:r>
      <w:bookmarkEnd w:id="271"/>
      <w:bookmarkEnd w:id="272"/>
      <w:bookmarkEnd w:id="273"/>
      <w:bookmarkEnd w:id="274"/>
      <w:bookmarkEnd w:id="275"/>
    </w:p>
    <w:p w:rsidR="001924CD" w:rsidRPr="007E5604" w:rsidRDefault="001924CD" w:rsidP="00112F30">
      <w:pPr>
        <w:pStyle w:val="HStandard"/>
        <w:rPr>
          <w:rFonts w:eastAsia="Calibri"/>
          <w:lang w:val="en-US"/>
        </w:rPr>
      </w:pPr>
      <w:r w:rsidRPr="007E5604">
        <w:rPr>
          <w:lang w:val="en-US"/>
        </w:rPr>
        <w:t>Under this step, the above hypotheses are empirically tested using various methods to obtain different perspectives on the same phenomena. For NRN evaluation, where most of the data and information will be of qualitative nature, it is important to use this information to analyse expected or unexpected, positive or negative aspects of NRN effects. This step is the first attempt to test the theory of change behind the intervention logic, the assumptions which are symbolised by the arrows leading from inputs to outputs, from outputs to results, and from results to impacts.</w:t>
      </w:r>
    </w:p>
    <w:p w:rsidR="001924CD" w:rsidRPr="007E5604" w:rsidRDefault="001924CD" w:rsidP="00112F30">
      <w:pPr>
        <w:pStyle w:val="HStandard"/>
        <w:rPr>
          <w:rFonts w:eastAsia="Calibri"/>
          <w:lang w:val="en-US"/>
        </w:rPr>
      </w:pPr>
      <w:r w:rsidRPr="007E5604">
        <w:rPr>
          <w:lang w:val="en-US"/>
        </w:rPr>
        <w:t xml:space="preserve">As explained before, NRN results are linked to the changes in NRN stakeholders´ behaviour, while NRN impacts are expected, on one hand, to contribute to RDP results and, on the other, to generate changes in the human and social capital in rural areas, which also might affect the RDP impacts (See </w:t>
      </w:r>
      <w:r>
        <w:rPr>
          <w:rFonts w:eastAsia="Calibri"/>
        </w:rPr>
        <w:fldChar w:fldCharType="begin" w:fldLock="1"/>
      </w:r>
      <w:r w:rsidRPr="007E5604">
        <w:rPr>
          <w:rFonts w:eastAsia="Calibri"/>
          <w:lang w:val="en-US"/>
        </w:rPr>
        <w:instrText xml:space="preserve"> REF _Ref451784787 \r \h </w:instrText>
      </w:r>
      <w:r>
        <w:rPr>
          <w:rFonts w:eastAsia="Calibri"/>
        </w:rPr>
      </w:r>
      <w:r>
        <w:rPr>
          <w:rFonts w:eastAsia="Calibri"/>
        </w:rPr>
        <w:fldChar w:fldCharType="separate"/>
      </w:r>
      <w:r w:rsidRPr="007E5604">
        <w:rPr>
          <w:rFonts w:eastAsia="Calibri"/>
          <w:lang w:val="en-US"/>
        </w:rPr>
        <w:t>Figure 8</w:t>
      </w:r>
      <w:r>
        <w:rPr>
          <w:rFonts w:eastAsia="Calibri"/>
        </w:rPr>
        <w:fldChar w:fldCharType="end"/>
      </w:r>
      <w:r w:rsidRPr="007E5604">
        <w:rPr>
          <w:lang w:val="en-US"/>
        </w:rPr>
        <w:t xml:space="preserve"> in chapter 1.4.2).</w:t>
      </w:r>
    </w:p>
    <w:p w:rsidR="001924CD" w:rsidRPr="007E5604" w:rsidRDefault="001924CD" w:rsidP="00112F30">
      <w:pPr>
        <w:pStyle w:val="HStandard"/>
        <w:rPr>
          <w:rFonts w:eastAsia="Calibri"/>
          <w:lang w:val="en-US"/>
        </w:rPr>
      </w:pPr>
      <w:r w:rsidRPr="007E5604">
        <w:rPr>
          <w:lang w:val="en-US"/>
        </w:rPr>
        <w:t xml:space="preserve">While the NRN’s contribution to the RDP’s results can be appraised in a more straightforward fashion via the NRN’s direct and indirect beneficiaries, the analysis of behavioural changes, and in general changes in human and social capital, is specifically subject to biases (the researcher’s cognitive filters, the social desirability of certain answers, respondents’ hidden agenda, etc.). It is therefore recommended not only to differentiate between actors invited to participate as internal and external observers, but also to attribute specific roles to members of the evaluation team: as participating observers and outside observers (although we know that there is no such thing as a genuinely “neutral” </w:t>
      </w:r>
      <w:r w:rsidRPr="007E5604">
        <w:rPr>
          <w:lang w:val="en-US"/>
        </w:rPr>
        <w:lastRenderedPageBreak/>
        <w:t>observation point). This can be very helpful in focus group settings, validating the preliminary evaluation outcomes.</w:t>
      </w:r>
    </w:p>
    <w:p w:rsidR="001924CD" w:rsidRPr="007E5604" w:rsidRDefault="001924CD" w:rsidP="00112F30">
      <w:pPr>
        <w:pStyle w:val="Heading6"/>
        <w:rPr>
          <w:lang w:val="en-US"/>
        </w:rPr>
      </w:pPr>
      <w:r w:rsidRPr="007E5604">
        <w:rPr>
          <w:lang w:val="en-US"/>
        </w:rPr>
        <w:t>Who is an ‘actor’?</w:t>
      </w:r>
    </w:p>
    <w:p w:rsidR="001924CD" w:rsidRPr="007E5604" w:rsidRDefault="001924CD" w:rsidP="00112F30">
      <w:pPr>
        <w:pStyle w:val="HStandard"/>
        <w:rPr>
          <w:lang w:val="en-US"/>
        </w:rPr>
      </w:pPr>
      <w:r w:rsidRPr="007E5604">
        <w:rPr>
          <w:lang w:val="en-US"/>
        </w:rPr>
        <w:t>Changes in human and social capital can only be investigated by social analysis. A crude distinction between social actors in the realm of RDP networking would identify stakeholders and beneficiaries as actors on whom the investigation should focus. But this distinction is not sufficient for a sound analysis of the results and impacts of social interventions.</w:t>
      </w:r>
    </w:p>
    <w:p w:rsidR="001924CD" w:rsidRPr="007E5604" w:rsidRDefault="001924CD" w:rsidP="00112F30">
      <w:pPr>
        <w:pStyle w:val="HStandard"/>
        <w:rPr>
          <w:lang w:val="en-US"/>
        </w:rPr>
      </w:pPr>
      <w:r w:rsidRPr="007E5604">
        <w:rPr>
          <w:lang w:val="en-US"/>
        </w:rPr>
        <w:t>The methodology of Critical Systems Heuristics may help us to make a better choice of actors (when it comes to selecting interview partners, focus group participants, etc.) for evaluation purposes.</w:t>
      </w:r>
    </w:p>
    <w:p w:rsidR="001924CD" w:rsidRPr="007E5604" w:rsidRDefault="001924CD" w:rsidP="00112F30">
      <w:pPr>
        <w:pStyle w:val="HStandard"/>
        <w:rPr>
          <w:lang w:val="en-US"/>
        </w:rPr>
      </w:pPr>
      <w:r w:rsidRPr="007E5604">
        <w:rPr>
          <w:lang w:val="en-US"/>
        </w:rPr>
        <w:t xml:space="preserve">Critical Systems Heuristics, originally developed by Werner Ulrich and Martin Reynolds, distinguishes between: </w:t>
      </w:r>
    </w:p>
    <w:p w:rsidR="001924CD" w:rsidRPr="007E5604" w:rsidRDefault="001924CD" w:rsidP="00112F30">
      <w:pPr>
        <w:pStyle w:val="Hlistbullet2"/>
        <w:rPr>
          <w:lang w:val="en-US"/>
        </w:rPr>
      </w:pPr>
      <w:r w:rsidRPr="007E5604">
        <w:rPr>
          <w:b/>
          <w:lang w:val="en-US"/>
        </w:rPr>
        <w:t>Clients</w:t>
      </w:r>
      <w:r w:rsidRPr="007E5604">
        <w:rPr>
          <w:lang w:val="en-US"/>
        </w:rPr>
        <w:t xml:space="preserve"> (in our terminology ‘beneficiaries’); they are the sources of motivation for any Rural Development Programme; they stand for the purpose of RDPs/NRN(P)s.</w:t>
      </w:r>
    </w:p>
    <w:p w:rsidR="001924CD" w:rsidRPr="007E5604" w:rsidRDefault="001924CD" w:rsidP="00112F30">
      <w:pPr>
        <w:pStyle w:val="Hlistbullet2"/>
        <w:rPr>
          <w:lang w:val="en-US"/>
        </w:rPr>
      </w:pPr>
      <w:r w:rsidRPr="007E5604">
        <w:rPr>
          <w:b/>
          <w:lang w:val="en-US"/>
        </w:rPr>
        <w:t>Decision-makers</w:t>
      </w:r>
      <w:r w:rsidRPr="007E5604">
        <w:rPr>
          <w:lang w:val="en-US"/>
        </w:rPr>
        <w:t xml:space="preserve"> (usually addressed as ‘stakeholders’); they are the sources of power in the design, implementation and evaluation of any Rural Development Programme; they stand for the provision of resources of RDPs/NRN(P)s.</w:t>
      </w:r>
    </w:p>
    <w:p w:rsidR="001924CD" w:rsidRPr="007E5604" w:rsidRDefault="001924CD" w:rsidP="00112F30">
      <w:pPr>
        <w:pStyle w:val="Hlistbullet2"/>
        <w:rPr>
          <w:lang w:val="en-US"/>
        </w:rPr>
      </w:pPr>
      <w:r w:rsidRPr="007E5604">
        <w:rPr>
          <w:b/>
          <w:lang w:val="en-US"/>
        </w:rPr>
        <w:t xml:space="preserve">Professionals </w:t>
      </w:r>
      <w:r w:rsidRPr="007E5604">
        <w:rPr>
          <w:lang w:val="en-US"/>
        </w:rPr>
        <w:t>(mostly addressed as ‘experts’, but also as ‘stakeholders’); they are the sources and hubs of knowledge; they stand for the expertise (in terms of content and strategizing) necessary to make the RDPs/NRN(P)s work. Many actors which will multiply the knowledge/skills can be found within this category</w:t>
      </w:r>
      <w:r w:rsidRPr="007E5604">
        <w:rPr>
          <w:rFonts w:ascii="ZWAdobeF" w:hAnsi="ZWAdobeF"/>
          <w:color w:val="auto"/>
          <w:sz w:val="2"/>
          <w:lang w:val="en-US"/>
        </w:rPr>
        <w:t>118F</w:t>
      </w:r>
      <w:r>
        <w:rPr>
          <w:rStyle w:val="FootnoteReference"/>
        </w:rPr>
        <w:footnoteReference w:id="119"/>
      </w:r>
      <w:r w:rsidRPr="007E5604">
        <w:rPr>
          <w:lang w:val="en-US"/>
        </w:rPr>
        <w:t>, although they also play a role among the others.</w:t>
      </w:r>
    </w:p>
    <w:p w:rsidR="001924CD" w:rsidRPr="007E5604" w:rsidRDefault="001924CD" w:rsidP="00112F30">
      <w:pPr>
        <w:pStyle w:val="Hlistbullet2"/>
        <w:rPr>
          <w:lang w:val="en-US"/>
        </w:rPr>
      </w:pPr>
      <w:r w:rsidRPr="007E5604">
        <w:rPr>
          <w:b/>
          <w:lang w:val="en-US"/>
        </w:rPr>
        <w:t>Witnesses</w:t>
      </w:r>
      <w:r w:rsidRPr="007E5604">
        <w:rPr>
          <w:lang w:val="en-US"/>
        </w:rPr>
        <w:t xml:space="preserve"> (anyone not included in the former groups, but part of the wider system, e.g. taxpayers, food consumers, rural dwellers, etc.); they provide legitimacy against the backdrop of the society as a whole and of higher societal principles; they connect the specific results to the long-term perspective, the probability of lasting changes (impact level).</w:t>
      </w:r>
    </w:p>
    <w:p w:rsidR="001924CD" w:rsidRPr="007E5604" w:rsidRDefault="001924CD" w:rsidP="00320535">
      <w:pPr>
        <w:pStyle w:val="HHeading3"/>
        <w:rPr>
          <w:lang w:val="en-US"/>
        </w:rPr>
      </w:pPr>
      <w:bookmarkStart w:id="276" w:name="_Toc443491694"/>
      <w:bookmarkStart w:id="277" w:name="_Toc433481252"/>
      <w:bookmarkStart w:id="278" w:name="_Toc433718158"/>
      <w:bookmarkStart w:id="279" w:name="_Toc434744532"/>
      <w:bookmarkStart w:id="280" w:name="_Toc443491695"/>
      <w:bookmarkStart w:id="281" w:name="_Toc453079776"/>
      <w:bookmarkEnd w:id="276"/>
      <w:r w:rsidRPr="007E5604">
        <w:rPr>
          <w:lang w:val="en-US"/>
        </w:rPr>
        <w:t>Identifying net results of NRN interventions</w:t>
      </w:r>
      <w:bookmarkEnd w:id="277"/>
      <w:bookmarkEnd w:id="278"/>
      <w:bookmarkEnd w:id="279"/>
      <w:bookmarkEnd w:id="280"/>
      <w:bookmarkEnd w:id="281"/>
    </w:p>
    <w:p w:rsidR="001924CD" w:rsidRPr="007E5604" w:rsidRDefault="001924CD" w:rsidP="00112F30">
      <w:pPr>
        <w:pStyle w:val="HStandard"/>
        <w:rPr>
          <w:lang w:val="en-US"/>
        </w:rPr>
      </w:pPr>
      <w:r w:rsidRPr="007E5604">
        <w:rPr>
          <w:lang w:val="en-US"/>
        </w:rPr>
        <w:t>Whenever possible, the results and impacts of NRN interventions should be expressed in net terms, which means after taking into account the effects that cannot be attributed to the NRN activities, and by taking into account indirect effects</w:t>
      </w:r>
      <w:r w:rsidRPr="007E5604">
        <w:rPr>
          <w:rFonts w:ascii="ZWAdobeF" w:hAnsi="ZWAdobeF"/>
          <w:color w:val="auto"/>
          <w:sz w:val="2"/>
          <w:lang w:val="en-US"/>
        </w:rPr>
        <w:t>119F</w:t>
      </w:r>
      <w:r>
        <w:rPr>
          <w:rStyle w:val="FootnoteReference"/>
        </w:rPr>
        <w:footnoteReference w:id="120"/>
      </w:r>
      <w:r w:rsidRPr="007E5604">
        <w:rPr>
          <w:lang w:val="en-US"/>
        </w:rPr>
        <w:t xml:space="preserve"> (e.g. multiplier effects of activities which go beyond the group of direct and indirect NRN beneficiaries). The evaluator should specify in detail what elements have been accounted for when calculating programme net effects. </w:t>
      </w:r>
    </w:p>
    <w:p w:rsidR="001924CD" w:rsidRPr="007E5604" w:rsidRDefault="001924CD" w:rsidP="00112F30">
      <w:pPr>
        <w:pStyle w:val="HStandard"/>
        <w:rPr>
          <w:rFonts w:eastAsia="Calibri"/>
          <w:lang w:val="en-US"/>
        </w:rPr>
      </w:pPr>
      <w:r w:rsidRPr="007E5604">
        <w:rPr>
          <w:lang w:val="en-US"/>
        </w:rPr>
        <w:t>Counterfactuals are the recommended approach for netting out NRN effects, although its use is rather limited for several NRN interventions, often relying on qualitative information and conducted in a simulative way, e.g. using specific focus group settings, such as MAPP method</w:t>
      </w:r>
      <w:r w:rsidRPr="007E5604">
        <w:rPr>
          <w:rFonts w:ascii="ZWAdobeF" w:hAnsi="ZWAdobeF"/>
          <w:color w:val="auto"/>
          <w:sz w:val="2"/>
          <w:lang w:val="en-US"/>
        </w:rPr>
        <w:t>120F</w:t>
      </w:r>
      <w:r>
        <w:rPr>
          <w:rStyle w:val="FootnoteReference"/>
        </w:rPr>
        <w:footnoteReference w:id="121"/>
      </w:r>
      <w:r w:rsidRPr="007E5604">
        <w:rPr>
          <w:lang w:val="en-US"/>
        </w:rPr>
        <w:t xml:space="preserve">. These focus groups would involve representatives of beneficiaries and non-beneficiaries and relevant institutional stakeholders whose knowledge may be relevant for an estimation of the net impacts, taking into consideration the NRN indirect effects, intended or unintended ones, and the wider context of rural development. Horizontal CAP objectives should be considered as well, looking at the complementarities with other networking-type interventions (e.g. EIP OPs; ERDF smart specialisation programme).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8D0759" w:rsidTr="00112F30">
        <w:tc>
          <w:tcPr>
            <w:tcW w:w="9016" w:type="dxa"/>
            <w:shd w:val="clear" w:color="auto" w:fill="F5F4F4" w:themeFill="background2" w:themeFillTint="66"/>
          </w:tcPr>
          <w:p w:rsidR="001924CD" w:rsidRPr="000A700F" w:rsidRDefault="001924CD" w:rsidP="00112F30">
            <w:pPr>
              <w:pStyle w:val="HStandard"/>
              <w:rPr>
                <w:highlight w:val="yellow"/>
              </w:rPr>
            </w:pPr>
            <w:r>
              <w:rPr>
                <w:highlight w:val="yellow"/>
              </w:rPr>
              <w:t>Pytania pomocnicze dla fazy analizy:</w:t>
            </w:r>
          </w:p>
          <w:p w:rsidR="001924CD" w:rsidRPr="000A700F" w:rsidRDefault="001924CD" w:rsidP="001924CD">
            <w:pPr>
              <w:pStyle w:val="Hlistbullet2"/>
              <w:rPr>
                <w:highlight w:val="yellow"/>
              </w:rPr>
            </w:pPr>
            <w:r>
              <w:rPr>
                <w:highlight w:val="yellow"/>
              </w:rPr>
              <w:lastRenderedPageBreak/>
              <w:t>Jak możemy ocenić wkład KSOW w realizację celów polityki rozwoju obszarów wiejskich?</w:t>
            </w:r>
          </w:p>
          <w:p w:rsidR="001924CD" w:rsidRPr="000A700F" w:rsidRDefault="001924CD" w:rsidP="001924CD">
            <w:pPr>
              <w:pStyle w:val="Hlistbullet2"/>
              <w:rPr>
                <w:highlight w:val="yellow"/>
              </w:rPr>
            </w:pPr>
            <w:r>
              <w:rPr>
                <w:highlight w:val="yellow"/>
              </w:rPr>
              <w:t>W jaki sposób możemy przypisać interwencjom KSOW zaobserwowane zmiany kapitału ludzkiego i społecznego na poziomie indywidualnym, organizacyjnym i społecznym (np. zmiany w zachowaniu, wiedzy, umiejętnościach i potencjale, zdolności do współpracy w ramach sieci i komunikacji, zarządzaniu obszarami wiejskimi itp.)?</w:t>
            </w:r>
          </w:p>
          <w:p w:rsidR="001924CD" w:rsidRPr="000A700F" w:rsidRDefault="001924CD" w:rsidP="001924CD">
            <w:pPr>
              <w:pStyle w:val="Hlistbullet2"/>
              <w:rPr>
                <w:highlight w:val="yellow"/>
              </w:rPr>
            </w:pPr>
            <w:r>
              <w:rPr>
                <w:highlight w:val="yellow"/>
              </w:rPr>
              <w:t>Jakie są główne różnice między teorią zmiany leżącą u podstaw logiki interwencji a tym, co dzieje się w rzeczywistości?</w:t>
            </w:r>
          </w:p>
          <w:p w:rsidR="001924CD" w:rsidRPr="000A700F" w:rsidRDefault="001924CD" w:rsidP="001924CD">
            <w:pPr>
              <w:pStyle w:val="Hlistbullet2"/>
              <w:rPr>
                <w:highlight w:val="yellow"/>
              </w:rPr>
            </w:pPr>
            <w:r>
              <w:rPr>
                <w:highlight w:val="yellow"/>
              </w:rPr>
              <w:t>Jakie są niezamierzone skutki interwencji KSOW? Które z nich są pożądane, a które nie? Jak możemy stwierdzić i wyjaśnić ich wystąpienie?</w:t>
            </w:r>
          </w:p>
        </w:tc>
      </w:tr>
    </w:tbl>
    <w:p w:rsidR="001924CD" w:rsidRPr="000A700F" w:rsidRDefault="001924CD" w:rsidP="00D35287">
      <w:pPr>
        <w:pStyle w:val="HHeading5"/>
        <w:rPr>
          <w:highlight w:val="yellow"/>
        </w:rPr>
      </w:pPr>
      <w:r>
        <w:rPr>
          <w:highlight w:val="yellow"/>
        </w:rPr>
        <w:lastRenderedPageBreak/>
        <w:t xml:space="preserve">Co należy, a czego nie należy robić </w:t>
      </w:r>
    </w:p>
    <w:tbl>
      <w:tblPr>
        <w:tblStyle w:val="LightList-Accent5"/>
        <w:tblW w:w="0" w:type="auto"/>
        <w:tblLook w:val="04A0" w:firstRow="1" w:lastRow="0" w:firstColumn="1" w:lastColumn="0" w:noHBand="0" w:noVBand="1"/>
      </w:tblPr>
      <w:tblGrid>
        <w:gridCol w:w="4505"/>
        <w:gridCol w:w="4501"/>
      </w:tblGrid>
      <w:tr w:rsidR="001924CD"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1924CD" w:rsidRPr="000A700F" w:rsidRDefault="001924CD" w:rsidP="00445E97">
            <w:pPr>
              <w:pStyle w:val="HHeading5"/>
              <w:jc w:val="center"/>
              <w:rPr>
                <w:highlight w:val="yellow"/>
              </w:rPr>
            </w:pPr>
            <w:r>
              <w:rPr>
                <w:noProof/>
                <w:highlight w:val="yellow"/>
                <w:lang w:val="en-GB" w:eastAsia="en-GB" w:bidi="ar-SA"/>
              </w:rPr>
              <w:drawing>
                <wp:inline distT="0" distB="0" distL="0" distR="0" wp14:anchorId="3D235546" wp14:editId="0F8B23F7">
                  <wp:extent cx="360000" cy="360000"/>
                  <wp:effectExtent l="0" t="0" r="254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1924CD" w:rsidRPr="000A700F" w:rsidRDefault="001924CD"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67EF83C9" wp14:editId="6A9F93AD">
                  <wp:extent cx="360000" cy="360000"/>
                  <wp:effectExtent l="0" t="0" r="254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1924CD"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1924CD" w:rsidRPr="000A700F" w:rsidRDefault="001924C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 xml:space="preserve">Używać logiki interwencji oraz pytań ewaluacyjnych jako tła dla hipotez. </w:t>
            </w:r>
          </w:p>
          <w:p w:rsidR="001924CD" w:rsidRPr="000A700F" w:rsidRDefault="001924C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 xml:space="preserve">Wziąć pod uwagę wkład KSOW w realizację celów rozwoju obszarów wiejskich. </w:t>
            </w:r>
          </w:p>
          <w:p w:rsidR="001924CD" w:rsidRPr="000A700F" w:rsidRDefault="001924C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Skoncentrować się na zmianach kapitału ludzkiego i społecznego, czyli zmianach zachowań partnerów bezpośrednich (ang. boundary partners) i późniejszych skutkach.</w:t>
            </w:r>
          </w:p>
          <w:p w:rsidR="001924CD" w:rsidRPr="000A700F" w:rsidRDefault="001924C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Uznać analizę kontrfaktyczną za ważne narzędzie przypisywania obserwowanych zmian do interwencji KSOW.</w:t>
            </w:r>
          </w:p>
          <w:p w:rsidR="001924CD" w:rsidRPr="000A700F" w:rsidRDefault="001924CD" w:rsidP="00445E97">
            <w:pPr>
              <w:pStyle w:val="HStandard"/>
              <w:rPr>
                <w:color w:val="FFC000" w:themeColor="accent4"/>
                <w:highlight w:val="yellow"/>
              </w:rPr>
            </w:pPr>
            <w:r>
              <w:rPr>
                <w:b w:val="0"/>
                <w:color w:val="FFC000" w:themeColor="accent4"/>
                <w:sz w:val="18"/>
                <w:highlight w:val="yellow"/>
              </w:rPr>
              <w:t>Jeśli analiza kontrfaktyczna nie jest możliwa, podjąć próbę jej przybliżenia poprzez zadawanie odpowiednich pytań i korzystanie z różnych źródeł w celu wyodrębnienia rezultatów i oddziaływania KSOW.</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1924CD" w:rsidRPr="000A700F" w:rsidRDefault="001924C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Polegać wyłącznie na własnej interpretacji faktów.</w:t>
            </w:r>
          </w:p>
          <w:p w:rsidR="001924CD" w:rsidRPr="000A700F" w:rsidRDefault="001924C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Wyciągać wnioski na podstawie ustaleń dokonanych wyłącznie za pomocą jednej metody.</w:t>
            </w:r>
          </w:p>
          <w:p w:rsidR="001924CD" w:rsidRPr="000A700F" w:rsidRDefault="001924C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Odpowiedzieć na pytania ewaluacyjne w mechaniczny sposób bez gruntownej analizy informacji. </w:t>
            </w:r>
          </w:p>
          <w:p w:rsidR="001924CD" w:rsidRPr="008D0759" w:rsidRDefault="001924CD"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Przedstawić proste porównanie sytuacji przed i po, nie zastanawiając się nad ewentualnymi czynnikami mającymi na nią wpływ.</w:t>
            </w:r>
          </w:p>
        </w:tc>
      </w:tr>
    </w:tbl>
    <w:p w:rsidR="001924CD" w:rsidRPr="008D0759" w:rsidRDefault="001924CD"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F5F4F4" w:themeFill="background2" w:themeFillTint="66"/>
        <w:tblLook w:val="04A0" w:firstRow="1" w:lastRow="0" w:firstColumn="1" w:lastColumn="0" w:noHBand="0" w:noVBand="1"/>
      </w:tblPr>
      <w:tblGrid>
        <w:gridCol w:w="9072"/>
      </w:tblGrid>
      <w:tr w:rsidR="001924CD" w:rsidRPr="00921C8E" w:rsidTr="00112F30">
        <w:tc>
          <w:tcPr>
            <w:tcW w:w="9918" w:type="dxa"/>
            <w:shd w:val="clear" w:color="auto" w:fill="F5F4F4" w:themeFill="background2" w:themeFillTint="66"/>
          </w:tcPr>
          <w:p w:rsidR="001924CD" w:rsidRPr="007E5604" w:rsidRDefault="001924CD" w:rsidP="00112F30">
            <w:pPr>
              <w:pStyle w:val="HStandard"/>
              <w:rPr>
                <w:sz w:val="16"/>
                <w:szCs w:val="16"/>
                <w:lang w:val="en-US"/>
              </w:rPr>
            </w:pPr>
            <w:r w:rsidRPr="007E5604">
              <w:rPr>
                <w:sz w:val="16"/>
                <w:lang w:val="en-US"/>
              </w:rPr>
              <w:t>EU Rural Evaluation Helpdesk: Working Paper on Approaches for assessing the impacts of the Rural Development Programmes in the context of multiple intervening factors. March 2010. Chapter 3.3.3.3 starting on page 31 specifically deals with ‘possibilities to deal with apparent non-availability of control groups’.</w:t>
            </w:r>
          </w:p>
          <w:p w:rsidR="001924CD" w:rsidRPr="007E5604" w:rsidRDefault="001924CD" w:rsidP="00112F30">
            <w:pPr>
              <w:pStyle w:val="HStandard"/>
              <w:rPr>
                <w:sz w:val="16"/>
                <w:szCs w:val="16"/>
                <w:lang w:val="en-US"/>
              </w:rPr>
            </w:pPr>
            <w:r w:rsidRPr="007E5604">
              <w:rPr>
                <w:sz w:val="16"/>
                <w:lang w:val="en-US"/>
              </w:rPr>
              <w:t>There is a brief description of the Critical Systems Heuristics approach on the BetterEvaluation website:</w:t>
            </w:r>
            <w:r w:rsidRPr="007E5604">
              <w:rPr>
                <w:lang w:val="en-US"/>
              </w:rPr>
              <w:t xml:space="preserve"> </w:t>
            </w:r>
            <w:hyperlink r:id="rId54">
              <w:r w:rsidRPr="007E5604">
                <w:rPr>
                  <w:rStyle w:val="Hyperlink"/>
                  <w:sz w:val="16"/>
                  <w:lang w:val="en-US"/>
                </w:rPr>
                <w:t>http://betterevaluation.org/plan/approach/critical_system_heuristics</w:t>
              </w:r>
            </w:hyperlink>
            <w:r w:rsidRPr="007E5604">
              <w:rPr>
                <w:sz w:val="16"/>
                <w:lang w:val="en-US"/>
              </w:rPr>
              <w:t xml:space="preserve"> </w:t>
            </w:r>
          </w:p>
          <w:p w:rsidR="001924CD" w:rsidRPr="007E5604" w:rsidRDefault="001924CD" w:rsidP="00112F30">
            <w:pPr>
              <w:pStyle w:val="HStandard"/>
              <w:rPr>
                <w:sz w:val="16"/>
                <w:szCs w:val="16"/>
                <w:lang w:val="en-US"/>
              </w:rPr>
            </w:pPr>
            <w:r w:rsidRPr="007E5604">
              <w:rPr>
                <w:sz w:val="16"/>
                <w:lang w:val="en-US"/>
              </w:rPr>
              <w:t xml:space="preserve">For the basics of the CSH approach see: </w:t>
            </w:r>
            <w:r w:rsidRPr="007E5604">
              <w:rPr>
                <w:color w:val="000000"/>
                <w:sz w:val="16"/>
                <w:lang w:val="en-US"/>
              </w:rPr>
              <w:t>Reynolds, M (2007). “Evaluation based on critical systems heuristics.” In Using Systems Concepts in Evaluation: An Expert Anthology, edited by Bob Williams and Iraj Imam, 101-122. Point Reyes, CA:  EdgePress.  Available online at:</w:t>
            </w:r>
            <w:r w:rsidRPr="007E5604">
              <w:rPr>
                <w:lang w:val="en-US"/>
              </w:rPr>
              <w:t>  </w:t>
            </w:r>
            <w:hyperlink r:id="rId55">
              <w:r w:rsidRPr="007E5604">
                <w:rPr>
                  <w:rStyle w:val="Hyperlink"/>
                  <w:sz w:val="16"/>
                  <w:lang w:val="en-US"/>
                </w:rPr>
                <w:t>http://oro.open.ac.uk/3464/</w:t>
              </w:r>
            </w:hyperlink>
          </w:p>
        </w:tc>
      </w:tr>
    </w:tbl>
    <w:p w:rsidR="001924CD" w:rsidRPr="000A700F" w:rsidRDefault="001924CD" w:rsidP="00320535">
      <w:pPr>
        <w:pStyle w:val="HHeading2"/>
        <w:rPr>
          <w:highlight w:val="yellow"/>
        </w:rPr>
      </w:pPr>
      <w:bookmarkStart w:id="282" w:name="_Toc433481253"/>
      <w:bookmarkStart w:id="283" w:name="_Toc433718159"/>
      <w:bookmarkStart w:id="284" w:name="_Toc434744533"/>
      <w:bookmarkStart w:id="285" w:name="_Toc433481254"/>
      <w:bookmarkStart w:id="286" w:name="_Toc433718160"/>
      <w:bookmarkStart w:id="287" w:name="_Toc434744534"/>
      <w:bookmarkStart w:id="288" w:name="_Toc433481255"/>
      <w:bookmarkStart w:id="289" w:name="_Toc433718161"/>
      <w:bookmarkStart w:id="290" w:name="_Toc434744535"/>
      <w:bookmarkStart w:id="291" w:name="_Toc433481256"/>
      <w:bookmarkStart w:id="292" w:name="_Toc433718162"/>
      <w:bookmarkStart w:id="293" w:name="_Toc434744536"/>
      <w:bookmarkStart w:id="294" w:name="_Toc433481257"/>
      <w:bookmarkStart w:id="295" w:name="_Toc433718163"/>
      <w:bookmarkStart w:id="296" w:name="_Toc434744537"/>
      <w:bookmarkStart w:id="297" w:name="_Toc433481258"/>
      <w:bookmarkStart w:id="298" w:name="_Toc433718164"/>
      <w:bookmarkStart w:id="299" w:name="_Toc434744538"/>
      <w:bookmarkStart w:id="300" w:name="_Toc433481259"/>
      <w:bookmarkStart w:id="301" w:name="_Toc433718165"/>
      <w:bookmarkStart w:id="302" w:name="_Toc434744539"/>
      <w:bookmarkStart w:id="303" w:name="_Toc434744638"/>
      <w:bookmarkStart w:id="304" w:name="_Toc436140064"/>
      <w:bookmarkStart w:id="305" w:name="_Toc443491696"/>
      <w:bookmarkStart w:id="306" w:name="_Toc453079777"/>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r>
        <w:rPr>
          <w:highlight w:val="yellow"/>
        </w:rPr>
        <w:t>OCENA: udzielanie odpowiedzi na pytania ewaluacyjne</w:t>
      </w:r>
      <w:bookmarkEnd w:id="303"/>
      <w:bookmarkEnd w:id="304"/>
      <w:bookmarkEnd w:id="305"/>
      <w:bookmarkEnd w:id="306"/>
    </w:p>
    <w:p w:rsidR="001924CD" w:rsidRPr="007E5604" w:rsidRDefault="001924CD" w:rsidP="00112F30">
      <w:pPr>
        <w:pStyle w:val="HStandard"/>
        <w:rPr>
          <w:lang w:val="en-US"/>
        </w:rPr>
      </w:pPr>
      <w:r w:rsidRPr="007E5604">
        <w:rPr>
          <w:lang w:val="en-US"/>
        </w:rPr>
        <w:t xml:space="preserve">In the judging phase, the evaluator interprets evaluation findings, answers all evaluation questions and draws conclusions from the analysis regarding the judgement criteria defined in the structuring phase. In any event, the answers to the evaluation questions should be accompanied by a critical discussion of the evidence of findings. The answers to evaluation questions, conclusions and recommendations </w:t>
      </w:r>
      <w:r w:rsidRPr="007E5604">
        <w:rPr>
          <w:lang w:val="en-US"/>
        </w:rPr>
        <w:lastRenderedPageBreak/>
        <w:t xml:space="preserve">relate inter alia to the NRN(P) achievements and added value, the functioning and processes of NRNs. The answer to each evaluation question must reflect the common indicators, any additional NRN-specific indicators and any additional qualitative information obtained on the implementation of the NRN’s activities through the evaluation process. In all types of NRN evaluations, the evaluation needs to consider the NRN action plan or the NRNP evaluation plan and the context within which NRN activities are implemented. </w:t>
      </w:r>
    </w:p>
    <w:p w:rsidR="001924CD" w:rsidRPr="007E5604" w:rsidRDefault="001924CD" w:rsidP="00112F30">
      <w:pPr>
        <w:pStyle w:val="HStandard"/>
        <w:rPr>
          <w:lang w:val="en-US"/>
        </w:rPr>
      </w:pPr>
      <w:r w:rsidRPr="007E5604">
        <w:rPr>
          <w:lang w:val="en-US"/>
        </w:rPr>
        <w:t>The judgment should include a critical discussion of furthering and hindering factors. If certain activities have not delivered the expected results and impacts, an analysis of the reasons is necessary.</w:t>
      </w:r>
    </w:p>
    <w:p w:rsidR="001924CD" w:rsidRPr="007E5604" w:rsidRDefault="001924CD" w:rsidP="00112F30">
      <w:pPr>
        <w:pStyle w:val="HStandard"/>
        <w:rPr>
          <w:lang w:val="en-US"/>
        </w:rPr>
      </w:pPr>
      <w:r w:rsidRPr="007E5604">
        <w:rPr>
          <w:lang w:val="en-US"/>
        </w:rPr>
        <w:t>During this phase, evaluators have to accomplish four steps:</w:t>
      </w:r>
    </w:p>
    <w:p w:rsidR="001924CD" w:rsidRPr="007E5604" w:rsidRDefault="001924CD" w:rsidP="00112F30">
      <w:pPr>
        <w:pStyle w:val="Hlistbullet2"/>
        <w:rPr>
          <w:lang w:val="en-US"/>
        </w:rPr>
      </w:pPr>
      <w:r w:rsidRPr="007E5604">
        <w:rPr>
          <w:lang w:val="en-US"/>
        </w:rPr>
        <w:t>Judge on the effectiveness and efficiency of the NSU and NRN(P) activities and the degree to which the NRN(P) contributed to achieving rural development policy/RDP objectives and their own objectives;</w:t>
      </w:r>
    </w:p>
    <w:p w:rsidR="001924CD" w:rsidRPr="007E5604" w:rsidRDefault="001924CD" w:rsidP="00112F30">
      <w:pPr>
        <w:pStyle w:val="Hlistbullet2"/>
        <w:rPr>
          <w:lang w:val="en-US"/>
        </w:rPr>
      </w:pPr>
      <w:r w:rsidRPr="007E5604">
        <w:rPr>
          <w:lang w:val="en-US"/>
        </w:rPr>
        <w:t>Identify the factors which contributed to the success or failure in achieving the NRN’s objectives;</w:t>
      </w:r>
    </w:p>
    <w:p w:rsidR="001924CD" w:rsidRPr="007E5604" w:rsidRDefault="001924CD" w:rsidP="00112F30">
      <w:pPr>
        <w:pStyle w:val="Hlistbullet2"/>
        <w:rPr>
          <w:lang w:val="en-US"/>
        </w:rPr>
      </w:pPr>
      <w:r w:rsidRPr="007E5604">
        <w:rPr>
          <w:lang w:val="en-US"/>
        </w:rPr>
        <w:t>Answer all evaluation questions (common and NRN-specific);</w:t>
      </w:r>
    </w:p>
    <w:p w:rsidR="001924CD" w:rsidRPr="007E5604" w:rsidRDefault="001924CD" w:rsidP="00112F30">
      <w:pPr>
        <w:pStyle w:val="Hlistbullet2"/>
        <w:rPr>
          <w:lang w:val="en-US"/>
        </w:rPr>
      </w:pPr>
      <w:r w:rsidRPr="007E5604">
        <w:rPr>
          <w:lang w:val="en-US"/>
        </w:rPr>
        <w:t>Draft conclusions and recommendations based on the findings, including proposing possible adjustments necessary to improve the design, content and implementation of NRN activities.</w:t>
      </w:r>
    </w:p>
    <w:p w:rsidR="001924CD" w:rsidRPr="008D0759" w:rsidRDefault="001924CD" w:rsidP="00112F30">
      <w:pPr>
        <w:pStyle w:val="HHeadingfigures"/>
      </w:pPr>
      <w:bookmarkStart w:id="307" w:name="_Toc436383171"/>
      <w:bookmarkStart w:id="308" w:name="_Toc436140079"/>
      <w:bookmarkStart w:id="309" w:name="_Toc451781942"/>
      <w:bookmarkStart w:id="310" w:name="_Ref451784802"/>
      <w:r>
        <w:t>The judging phase</w:t>
      </w:r>
      <w:bookmarkEnd w:id="307"/>
      <w:bookmarkEnd w:id="308"/>
      <w:bookmarkEnd w:id="309"/>
      <w:bookmarkEnd w:id="310"/>
    </w:p>
    <w:p w:rsidR="001924CD" w:rsidRPr="008D0759" w:rsidRDefault="001924CD" w:rsidP="00C0080B">
      <w:pPr>
        <w:jc w:val="center"/>
      </w:pPr>
      <w:r>
        <w:rPr>
          <w:rFonts w:eastAsia="Arial Unicode MS"/>
          <w:noProof/>
          <w:lang w:eastAsia="en-GB"/>
        </w:rPr>
        <w:drawing>
          <wp:inline distT="0" distB="0" distL="0" distR="0" wp14:anchorId="06F15600" wp14:editId="737D0507">
            <wp:extent cx="5731510" cy="261302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Judging.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2613025"/>
                    </a:xfrm>
                    <a:prstGeom prst="rect">
                      <a:avLst/>
                    </a:prstGeom>
                  </pic:spPr>
                </pic:pic>
              </a:graphicData>
            </a:graphic>
          </wp:inline>
        </w:drawing>
      </w:r>
    </w:p>
    <w:p w:rsidR="001924CD" w:rsidRPr="007E5604" w:rsidRDefault="001924CD" w:rsidP="00320BBA">
      <w:pPr>
        <w:pStyle w:val="HSource"/>
        <w:rPr>
          <w:lang w:val="en-US"/>
        </w:rPr>
      </w:pPr>
      <w:r w:rsidRPr="007E5604">
        <w:rPr>
          <w:lang w:val="en-US"/>
        </w:rPr>
        <w:t>Source: European Evaluation Helpdesk for Rural Development, 2016</w:t>
      </w:r>
    </w:p>
    <w:p w:rsidR="001924CD" w:rsidRPr="007E5604" w:rsidRDefault="001924CD" w:rsidP="00112F30">
      <w:pPr>
        <w:pStyle w:val="HStandard"/>
        <w:rPr>
          <w:lang w:val="en-US"/>
        </w:rPr>
      </w:pPr>
      <w:r w:rsidRPr="007E5604">
        <w:rPr>
          <w:lang w:val="en-US"/>
        </w:rPr>
        <w:t>The judging phase delivers answers to:</w:t>
      </w:r>
    </w:p>
    <w:p w:rsidR="001924CD" w:rsidRPr="007E5604" w:rsidRDefault="001924CD" w:rsidP="00112F30">
      <w:pPr>
        <w:pStyle w:val="Hlistbullet2"/>
        <w:rPr>
          <w:lang w:val="en-US"/>
        </w:rPr>
      </w:pPr>
      <w:r w:rsidRPr="007E5604">
        <w:rPr>
          <w:lang w:val="en-US"/>
        </w:rPr>
        <w:t>the common evaluation question addressing the NRN’s activities: “To what extent has the national rural network contributed to achieving the objectives laid down in Regulation (EU) No 1305/2013, Art.54 (2)”?</w:t>
      </w:r>
      <w:r w:rsidRPr="007E5604">
        <w:rPr>
          <w:rFonts w:ascii="ZWAdobeF" w:hAnsi="ZWAdobeF"/>
          <w:color w:val="auto"/>
          <w:sz w:val="2"/>
          <w:lang w:val="en-US"/>
        </w:rPr>
        <w:t>121F</w:t>
      </w:r>
      <w:r>
        <w:rPr>
          <w:rStyle w:val="FootnoteReference"/>
        </w:rPr>
        <w:footnoteReference w:id="122"/>
      </w:r>
    </w:p>
    <w:p w:rsidR="001924CD" w:rsidRPr="007E5604" w:rsidRDefault="001924CD" w:rsidP="00112F30">
      <w:pPr>
        <w:pStyle w:val="Hlistbullet2"/>
        <w:rPr>
          <w:lang w:val="en-US"/>
        </w:rPr>
      </w:pPr>
      <w:r w:rsidRPr="007E5604">
        <w:rPr>
          <w:lang w:val="en-US"/>
        </w:rPr>
        <w:t>NRN-related programme-specific evaluation questions formulated by the NSU and/or Managing Authority (with or without collaboration with NRN stakeholders) in the preparatory phase or by the evaluators in agreement with the NSU/MA during the structuring phase.</w:t>
      </w:r>
    </w:p>
    <w:p w:rsidR="001924CD" w:rsidRPr="007E5604" w:rsidRDefault="001924CD" w:rsidP="005F5B2D">
      <w:pPr>
        <w:pStyle w:val="HStandard"/>
        <w:rPr>
          <w:lang w:val="en-US"/>
        </w:rPr>
      </w:pPr>
      <w:r>
        <w:lastRenderedPageBreak/>
        <w:fldChar w:fldCharType="begin" w:fldLock="1"/>
      </w:r>
      <w:r w:rsidRPr="007E5604">
        <w:rPr>
          <w:lang w:val="en-US"/>
        </w:rPr>
        <w:instrText xml:space="preserve"> REF _Ref451784802 \r \h </w:instrText>
      </w:r>
      <w:r>
        <w:fldChar w:fldCharType="separate"/>
      </w:r>
      <w:r w:rsidRPr="007E5604">
        <w:rPr>
          <w:lang w:val="en-US"/>
        </w:rPr>
        <w:t>Figure 23</w:t>
      </w:r>
      <w:r>
        <w:fldChar w:fldCharType="end"/>
      </w:r>
      <w:r w:rsidRPr="007E5604">
        <w:rPr>
          <w:lang w:val="en-US"/>
        </w:rPr>
        <w:t xml:space="preserve"> shows how the findings are clustered to answer the evaluation questions and feed into conclusions and recommendations. The inferred, i.e. aggregated findings relate to the policy objectives for the NRN.</w:t>
      </w:r>
    </w:p>
    <w:p w:rsidR="001924CD" w:rsidRPr="007E5604" w:rsidRDefault="001924CD">
      <w:pPr>
        <w:spacing w:after="0" w:line="240" w:lineRule="auto"/>
        <w:rPr>
          <w:rFonts w:cs="Arial"/>
          <w:color w:val="576C88" w:themeColor="text2" w:themeTint="D9"/>
          <w:sz w:val="20"/>
          <w:szCs w:val="20"/>
          <w:lang w:val="en-US"/>
        </w:rPr>
      </w:pPr>
      <w:r w:rsidRPr="007E5604">
        <w:rPr>
          <w:lang w:val="en-US"/>
        </w:rPr>
        <w:br w:type="page"/>
      </w:r>
    </w:p>
    <w:p w:rsidR="001924CD" w:rsidRPr="007E5604" w:rsidRDefault="001924CD" w:rsidP="005F5B2D">
      <w:pPr>
        <w:pStyle w:val="HHeadingfigures"/>
        <w:rPr>
          <w:lang w:val="en-US"/>
        </w:rPr>
      </w:pPr>
      <w:bookmarkStart w:id="311" w:name="_Ref436138850"/>
      <w:bookmarkStart w:id="312" w:name="_Toc436140080"/>
      <w:bookmarkStart w:id="313" w:name="_Toc436383172"/>
      <w:bookmarkStart w:id="314" w:name="_Toc451781943"/>
      <w:r w:rsidRPr="007E5604">
        <w:rPr>
          <w:lang w:val="en-US"/>
        </w:rPr>
        <w:lastRenderedPageBreak/>
        <w:t>Transparent inference ladder from findings to conclusions and recommendations</w:t>
      </w:r>
      <w:bookmarkEnd w:id="311"/>
      <w:bookmarkEnd w:id="312"/>
      <w:bookmarkEnd w:id="313"/>
      <w:bookmarkEnd w:id="314"/>
    </w:p>
    <w:p w:rsidR="001924CD" w:rsidRPr="008D0759" w:rsidRDefault="001924CD" w:rsidP="00320BBA">
      <w:r>
        <w:rPr>
          <w:noProof/>
          <w:lang w:eastAsia="en-GB"/>
        </w:rPr>
        <w:drawing>
          <wp:inline distT="0" distB="0" distL="0" distR="0" wp14:anchorId="1E36E53E" wp14:editId="3B052D34">
            <wp:extent cx="5731510" cy="322643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erenc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3226435"/>
                    </a:xfrm>
                    <a:prstGeom prst="rect">
                      <a:avLst/>
                    </a:prstGeom>
                  </pic:spPr>
                </pic:pic>
              </a:graphicData>
            </a:graphic>
          </wp:inline>
        </w:drawing>
      </w:r>
    </w:p>
    <w:p w:rsidR="001924CD" w:rsidRPr="007E5604" w:rsidRDefault="001924CD" w:rsidP="00320BBA">
      <w:pPr>
        <w:pStyle w:val="HSource"/>
        <w:rPr>
          <w:lang w:val="en-US"/>
        </w:rPr>
      </w:pPr>
      <w:r w:rsidRPr="007E5604">
        <w:rPr>
          <w:lang w:val="en-US"/>
        </w:rPr>
        <w:t>Source: European Evaluation Helpdesk for Rural Development, 2016</w:t>
      </w:r>
    </w:p>
    <w:p w:rsidR="001924CD" w:rsidRPr="007E5604" w:rsidRDefault="001924CD" w:rsidP="005133B2">
      <w:pPr>
        <w:pStyle w:val="HHeading3"/>
        <w:rPr>
          <w:lang w:val="en-US"/>
        </w:rPr>
      </w:pPr>
      <w:bookmarkStart w:id="315" w:name="_Toc433481360"/>
      <w:bookmarkStart w:id="316" w:name="_Toc443491698"/>
      <w:bookmarkStart w:id="317" w:name="_Toc453079778"/>
      <w:r w:rsidRPr="007E5604">
        <w:rPr>
          <w:lang w:val="en-US"/>
        </w:rPr>
        <w:t>Judge on effectiveness and efficiency of the NRN, results/</w:t>
      </w:r>
      <w:bookmarkEnd w:id="315"/>
      <w:r w:rsidRPr="007E5604">
        <w:rPr>
          <w:lang w:val="en-US"/>
        </w:rPr>
        <w:t>impacts and the degree of achievement of objectives</w:t>
      </w:r>
      <w:bookmarkEnd w:id="316"/>
      <w:bookmarkEnd w:id="317"/>
    </w:p>
    <w:p w:rsidR="001924CD" w:rsidRPr="007E5604" w:rsidRDefault="001924CD" w:rsidP="005F5B2D">
      <w:pPr>
        <w:pStyle w:val="HStandard"/>
        <w:rPr>
          <w:lang w:val="en-US"/>
        </w:rPr>
      </w:pPr>
      <w:r w:rsidRPr="007E5604">
        <w:rPr>
          <w:lang w:val="en-US"/>
        </w:rPr>
        <w:t>The various findings on the effectiveness of network activities towards NRN related policy objectives (programme, national, EU), NRN results/impacts and on the efficiency of the NRN in terms of achieving the best value for money are interpreted and judged upon.</w:t>
      </w:r>
    </w:p>
    <w:p w:rsidR="001924CD" w:rsidRPr="007E5604" w:rsidRDefault="001924CD" w:rsidP="005133B2">
      <w:pPr>
        <w:pStyle w:val="HHeading3"/>
        <w:rPr>
          <w:lang w:val="en-US"/>
        </w:rPr>
      </w:pPr>
      <w:bookmarkStart w:id="318" w:name="_Toc433481362"/>
      <w:bookmarkStart w:id="319" w:name="_Toc433718265"/>
      <w:bookmarkStart w:id="320" w:name="_Toc434744639"/>
      <w:bookmarkStart w:id="321" w:name="_Toc443491699"/>
      <w:bookmarkStart w:id="322" w:name="_Toc453079779"/>
      <w:r w:rsidRPr="007E5604">
        <w:rPr>
          <w:lang w:val="en-US"/>
        </w:rPr>
        <w:t>Identify factors of success and failure</w:t>
      </w:r>
      <w:bookmarkEnd w:id="318"/>
      <w:bookmarkEnd w:id="319"/>
      <w:bookmarkEnd w:id="320"/>
      <w:bookmarkEnd w:id="321"/>
      <w:bookmarkEnd w:id="322"/>
    </w:p>
    <w:p w:rsidR="001924CD" w:rsidRPr="007E5604" w:rsidRDefault="001924CD" w:rsidP="00320BBA">
      <w:pPr>
        <w:pStyle w:val="HStandard"/>
        <w:spacing w:after="0"/>
        <w:rPr>
          <w:lang w:val="en-US"/>
        </w:rPr>
      </w:pPr>
      <w:bookmarkStart w:id="323" w:name="_Toc433718266"/>
      <w:bookmarkStart w:id="324" w:name="_Toc434744640"/>
      <w:r w:rsidRPr="007E5604">
        <w:rPr>
          <w:lang w:val="en-US"/>
        </w:rPr>
        <w:t>If the previous step has brought forth answers to the question: “What has been achieved? What has not been achieved?”, the main learning value of the next step consists of exploring the question: “How has it been achieved?” or “Why has it not been achieved?”  Questions like these address the links (i.e. the arrows) connecting the outputs, results and impacts in the intervention logic. The arrows stand for more or less explicit assumptions on how the NRN’s beneficiaries/target groups would make use of the output, or on the ways the results achieved by beneficiaries/target groups would take effect in the context of the rural society. They have already been put under scrutiny in the analysing phase. Now, in the judgment phase, it is the time to point out to what extent the findings confirm or contradict these assumptions, and to elicit the identified factors of success and failure</w:t>
      </w:r>
      <w:bookmarkEnd w:id="323"/>
      <w:r w:rsidRPr="007E5604">
        <w:rPr>
          <w:lang w:val="en-US"/>
        </w:rPr>
        <w:t>: Lessons for the future.</w:t>
      </w:r>
      <w:bookmarkEnd w:id="324"/>
    </w:p>
    <w:p w:rsidR="001924CD" w:rsidRPr="008D0759" w:rsidRDefault="001924CD" w:rsidP="005133B2">
      <w:pPr>
        <w:pStyle w:val="HHeading3"/>
      </w:pPr>
      <w:bookmarkStart w:id="325" w:name="_Toc443491700"/>
      <w:bookmarkStart w:id="326" w:name="_Toc443491701"/>
      <w:bookmarkStart w:id="327" w:name="_Toc453079780"/>
      <w:bookmarkEnd w:id="325"/>
      <w:r>
        <w:t>Answer all evaluation questions</w:t>
      </w:r>
      <w:bookmarkEnd w:id="326"/>
      <w:bookmarkEnd w:id="327"/>
    </w:p>
    <w:p w:rsidR="001924CD" w:rsidRPr="007E5604" w:rsidRDefault="001924CD" w:rsidP="005F5B2D">
      <w:pPr>
        <w:pStyle w:val="HStandard"/>
        <w:rPr>
          <w:lang w:val="en-US"/>
        </w:rPr>
      </w:pPr>
      <w:r w:rsidRPr="007E5604">
        <w:rPr>
          <w:lang w:val="en-US"/>
        </w:rPr>
        <w:t xml:space="preserve">The evaluation findings provide the basis for answering the common and programme-specific NRN-related evaluation questions. </w:t>
      </w:r>
    </w:p>
    <w:p w:rsidR="001924CD" w:rsidRPr="007E5604" w:rsidRDefault="001924CD" w:rsidP="005F5B2D">
      <w:pPr>
        <w:pStyle w:val="HStandard"/>
        <w:rPr>
          <w:lang w:val="en-US"/>
        </w:rPr>
      </w:pPr>
      <w:r w:rsidRPr="007E5604">
        <w:rPr>
          <w:lang w:val="en-US"/>
        </w:rPr>
        <w:t xml:space="preserve">In the case of NRNs embedded in RDPs, the evaluation findings can also show how the NRN has contributed to the achievement of rural development objectives in terms of focus areas and priority levels. These findings might be used while answering other non NRN related evaluation questions. For example, the CEQ addressing Focus Area 2a: “To what extent have RDP interventions contributed to improving the economic performance, restructuring and modernization of supported farms in particular </w:t>
      </w:r>
      <w:r w:rsidRPr="007E5604">
        <w:rPr>
          <w:lang w:val="en-US"/>
        </w:rPr>
        <w:lastRenderedPageBreak/>
        <w:t xml:space="preserve">through increasing their market participation and agricultural diversification?” can be related to the interventions of the NRN geared towards fostering innovation and increasing access to markets. </w:t>
      </w:r>
    </w:p>
    <w:p w:rsidR="001924CD" w:rsidRPr="007E5604" w:rsidRDefault="001924CD" w:rsidP="005F5B2D">
      <w:pPr>
        <w:pStyle w:val="HStandard"/>
        <w:rPr>
          <w:lang w:val="en-US"/>
        </w:rPr>
      </w:pPr>
      <w:r w:rsidRPr="007E5604">
        <w:rPr>
          <w:lang w:val="en-US"/>
        </w:rPr>
        <w:t>To make it easier to track the derivation of the answers to the EQs, it is recommended to present the findings using a table with three columns. The upper column exhibits the respective evaluation question, in the central column the means to answer the evaluation question should be explained, and in the bottom column the answer to the evaluation question is placed.</w:t>
      </w:r>
    </w:p>
    <w:p w:rsidR="001924CD" w:rsidRPr="007E5604" w:rsidRDefault="001924CD" w:rsidP="005F5B2D">
      <w:pPr>
        <w:pStyle w:val="HHeadingtables"/>
        <w:rPr>
          <w:lang w:val="en-US"/>
        </w:rPr>
      </w:pPr>
      <w:bookmarkStart w:id="328" w:name="_Toc451781918"/>
      <w:r w:rsidRPr="007E5604">
        <w:rPr>
          <w:lang w:val="en-US"/>
        </w:rPr>
        <w:t>Depicting the answers to evaluation questions</w:t>
      </w:r>
      <w:bookmarkEnd w:id="328"/>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016"/>
      </w:tblGrid>
      <w:tr w:rsidR="001924CD" w:rsidRPr="008D0759" w:rsidTr="005F5B2D">
        <w:trPr>
          <w:trHeight w:val="390"/>
        </w:trPr>
        <w:tc>
          <w:tcPr>
            <w:tcW w:w="9016" w:type="dxa"/>
          </w:tcPr>
          <w:p w:rsidR="001924CD" w:rsidRPr="008D0759" w:rsidRDefault="001924CD" w:rsidP="004C05DD">
            <w:r>
              <w:t>Evaluation Question</w:t>
            </w:r>
          </w:p>
        </w:tc>
      </w:tr>
      <w:tr w:rsidR="001924CD" w:rsidRPr="00921C8E" w:rsidTr="005F5B2D">
        <w:trPr>
          <w:trHeight w:val="390"/>
        </w:trPr>
        <w:tc>
          <w:tcPr>
            <w:tcW w:w="9016" w:type="dxa"/>
          </w:tcPr>
          <w:p w:rsidR="001924CD" w:rsidRPr="007E5604" w:rsidRDefault="001924CD" w:rsidP="004C05DD">
            <w:pPr>
              <w:rPr>
                <w:lang w:val="en-US"/>
              </w:rPr>
            </w:pPr>
            <w:r w:rsidRPr="007E5604">
              <w:rPr>
                <w:lang w:val="en-US"/>
              </w:rPr>
              <w:t>Means to answer the evaluation question, e.g. information sources, indicators used, outcomes of qualitative research, etc.</w:t>
            </w:r>
          </w:p>
        </w:tc>
      </w:tr>
      <w:tr w:rsidR="001924CD" w:rsidRPr="00921C8E" w:rsidTr="005F5B2D">
        <w:tc>
          <w:tcPr>
            <w:tcW w:w="9016" w:type="dxa"/>
          </w:tcPr>
          <w:p w:rsidR="001924CD" w:rsidRPr="007E5604" w:rsidRDefault="001924CD" w:rsidP="004C05DD">
            <w:pPr>
              <w:rPr>
                <w:lang w:val="en-US"/>
              </w:rPr>
            </w:pPr>
            <w:r w:rsidRPr="007E5604">
              <w:rPr>
                <w:lang w:val="en-US"/>
              </w:rPr>
              <w:t>Answer to the evaluation question</w:t>
            </w:r>
          </w:p>
        </w:tc>
      </w:tr>
    </w:tbl>
    <w:p w:rsidR="001924CD" w:rsidRPr="007E5604" w:rsidRDefault="001924CD" w:rsidP="005F5B2D">
      <w:pPr>
        <w:pStyle w:val="HStandard"/>
        <w:rPr>
          <w:lang w:val="en-US"/>
        </w:rPr>
      </w:pPr>
      <w:bookmarkStart w:id="329" w:name="_Toc433481363"/>
      <w:bookmarkStart w:id="330" w:name="_Toc433718267"/>
      <w:bookmarkStart w:id="331" w:name="_Toc434744641"/>
      <w:bookmarkStart w:id="332" w:name="_Toc443491703"/>
      <w:r w:rsidRPr="007E5604">
        <w:rPr>
          <w:lang w:val="en-US"/>
        </w:rPr>
        <w:t>In the AIRs 2017 and 2019, the MA will use the SFC template to answer each evaluation question, in a similar structure as the table above.</w:t>
      </w:r>
    </w:p>
    <w:p w:rsidR="001924CD" w:rsidRPr="008D0759" w:rsidRDefault="001924CD" w:rsidP="005133B2">
      <w:pPr>
        <w:pStyle w:val="HHeading3"/>
      </w:pPr>
      <w:bookmarkStart w:id="333" w:name="_Toc453079781"/>
      <w:r>
        <w:t>Draft conclusions and recommendations</w:t>
      </w:r>
      <w:bookmarkEnd w:id="329"/>
      <w:bookmarkEnd w:id="330"/>
      <w:bookmarkEnd w:id="331"/>
      <w:bookmarkEnd w:id="332"/>
      <w:bookmarkEnd w:id="333"/>
    </w:p>
    <w:p w:rsidR="001924CD" w:rsidRPr="007E5604" w:rsidRDefault="001924CD" w:rsidP="005F5B2D">
      <w:pPr>
        <w:pStyle w:val="HStandard"/>
        <w:rPr>
          <w:lang w:val="en-US"/>
        </w:rPr>
      </w:pPr>
      <w:r w:rsidRPr="007E5604">
        <w:rPr>
          <w:lang w:val="en-US"/>
        </w:rPr>
        <w:t xml:space="preserve">The findings and answers to the evaluation questions constitute the basis for the conclusions which lead to recommendations to the MA, NSU and other NRN stakeholders to improve the NRN activities and overall performance.  </w:t>
      </w:r>
    </w:p>
    <w:p w:rsidR="001924CD" w:rsidRPr="007E5604" w:rsidRDefault="001924CD" w:rsidP="005F5B2D">
      <w:pPr>
        <w:pStyle w:val="HStandard"/>
        <w:rPr>
          <w:lang w:val="en-US"/>
        </w:rPr>
      </w:pPr>
      <w:r w:rsidRPr="007E5604">
        <w:rPr>
          <w:lang w:val="en-US"/>
        </w:rPr>
        <w:t>The answers to the evaluation questions are published in the enhanced AIRs 2017 and 2019. In the   ex post evaluation reports, and other reports envisaged by programme authorities conclusions and recommendations are also published. A possible format for the succinct presentation of evaluation results is shown below (</w:t>
      </w:r>
      <w:r>
        <w:fldChar w:fldCharType="begin" w:fldLock="1"/>
      </w:r>
      <w:r w:rsidRPr="007E5604">
        <w:rPr>
          <w:lang w:val="en-US"/>
        </w:rPr>
        <w:instrText xml:space="preserve"> REF _Ref451785094 \r \h </w:instrText>
      </w:r>
      <w:r>
        <w:fldChar w:fldCharType="separate"/>
      </w:r>
      <w:r w:rsidRPr="007E5604">
        <w:rPr>
          <w:lang w:val="en-US"/>
        </w:rPr>
        <w:t>Table 15</w:t>
      </w:r>
      <w:r>
        <w:fldChar w:fldCharType="end"/>
      </w:r>
      <w:r w:rsidRPr="007E5604">
        <w:rPr>
          <w:lang w:val="en-US"/>
        </w:rPr>
        <w:t>).</w:t>
      </w:r>
    </w:p>
    <w:p w:rsidR="001924CD" w:rsidRPr="007E5604" w:rsidRDefault="001924CD" w:rsidP="005F5B2D">
      <w:pPr>
        <w:pStyle w:val="HHeadingtables"/>
        <w:rPr>
          <w:lang w:val="en-US"/>
        </w:rPr>
      </w:pPr>
      <w:bookmarkStart w:id="334" w:name="_Toc436140070"/>
      <w:bookmarkStart w:id="335" w:name="_Toc436383156"/>
      <w:bookmarkStart w:id="336" w:name="_Ref440055456"/>
      <w:bookmarkStart w:id="337" w:name="_Toc451781919"/>
      <w:bookmarkStart w:id="338" w:name="_Ref451785094"/>
      <w:r w:rsidRPr="007E5604">
        <w:rPr>
          <w:lang w:val="en-US"/>
        </w:rPr>
        <w:t>Proposed structure for summarising findings, conclusions and recommendations consistently</w:t>
      </w:r>
      <w:bookmarkEnd w:id="334"/>
      <w:bookmarkEnd w:id="335"/>
      <w:bookmarkEnd w:id="336"/>
      <w:bookmarkEnd w:id="337"/>
      <w:bookmarkEnd w:id="338"/>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11"/>
        <w:gridCol w:w="2261"/>
        <w:gridCol w:w="1971"/>
        <w:gridCol w:w="2729"/>
      </w:tblGrid>
      <w:tr w:rsidR="001924CD" w:rsidRPr="008D0759" w:rsidTr="004C05DD">
        <w:tc>
          <w:tcPr>
            <w:tcW w:w="2252" w:type="dxa"/>
            <w:shd w:val="clear" w:color="auto" w:fill="E7E6E6" w:themeFill="background2"/>
          </w:tcPr>
          <w:p w:rsidR="001924CD" w:rsidRPr="008D0759" w:rsidRDefault="001924CD" w:rsidP="005F5B2D">
            <w:pPr>
              <w:pStyle w:val="Htableleftbolt"/>
              <w:jc w:val="center"/>
              <w:rPr>
                <w:color w:val="5B9BD5" w:themeColor="accent1"/>
              </w:rPr>
            </w:pPr>
            <w:r>
              <w:rPr>
                <w:color w:val="5B9BD5" w:themeColor="accent1"/>
              </w:rPr>
              <w:t>Major evaluation finding</w:t>
            </w:r>
          </w:p>
        </w:tc>
        <w:tc>
          <w:tcPr>
            <w:tcW w:w="2421" w:type="dxa"/>
            <w:shd w:val="clear" w:color="auto" w:fill="E7E6E6" w:themeFill="background2"/>
          </w:tcPr>
          <w:p w:rsidR="001924CD" w:rsidRPr="007E5604" w:rsidRDefault="001924CD" w:rsidP="005F5B2D">
            <w:pPr>
              <w:pStyle w:val="Htableleftbolt"/>
              <w:jc w:val="center"/>
              <w:rPr>
                <w:color w:val="5B9BD5" w:themeColor="accent1"/>
                <w:lang w:val="en-US"/>
              </w:rPr>
            </w:pPr>
            <w:r w:rsidRPr="007E5604">
              <w:rPr>
                <w:color w:val="5B9BD5" w:themeColor="accent1"/>
                <w:lang w:val="en-US"/>
              </w:rPr>
              <w:t>Answer to relevant evaluation question</w:t>
            </w:r>
          </w:p>
        </w:tc>
        <w:tc>
          <w:tcPr>
            <w:tcW w:w="2083" w:type="dxa"/>
            <w:shd w:val="clear" w:color="auto" w:fill="E7E6E6" w:themeFill="background2"/>
          </w:tcPr>
          <w:p w:rsidR="001924CD" w:rsidRPr="008D0759" w:rsidRDefault="001924CD" w:rsidP="005F5B2D">
            <w:pPr>
              <w:pStyle w:val="Htableleftbolt"/>
              <w:jc w:val="center"/>
              <w:rPr>
                <w:color w:val="5B9BD5" w:themeColor="accent1"/>
              </w:rPr>
            </w:pPr>
            <w:r>
              <w:rPr>
                <w:color w:val="5B9BD5" w:themeColor="accent1"/>
              </w:rPr>
              <w:t>Conclusion</w:t>
            </w:r>
          </w:p>
        </w:tc>
        <w:tc>
          <w:tcPr>
            <w:tcW w:w="2878" w:type="dxa"/>
            <w:shd w:val="clear" w:color="auto" w:fill="E7E6E6" w:themeFill="background2"/>
          </w:tcPr>
          <w:p w:rsidR="001924CD" w:rsidRPr="008D0759" w:rsidRDefault="001924CD" w:rsidP="005F5B2D">
            <w:pPr>
              <w:pStyle w:val="Htableleftbolt"/>
              <w:jc w:val="center"/>
              <w:rPr>
                <w:color w:val="5B9BD5" w:themeColor="accent1"/>
              </w:rPr>
            </w:pPr>
            <w:r>
              <w:rPr>
                <w:color w:val="5B9BD5" w:themeColor="accent1"/>
              </w:rPr>
              <w:t>Recommendation for future NRNs</w:t>
            </w:r>
          </w:p>
        </w:tc>
      </w:tr>
      <w:tr w:rsidR="001924CD" w:rsidRPr="008D0759" w:rsidTr="004C05DD">
        <w:tc>
          <w:tcPr>
            <w:tcW w:w="2252" w:type="dxa"/>
            <w:shd w:val="clear" w:color="auto" w:fill="auto"/>
          </w:tcPr>
          <w:p w:rsidR="001924CD" w:rsidRPr="008D0759" w:rsidRDefault="001924CD" w:rsidP="004C05DD">
            <w:pPr>
              <w:pStyle w:val="Htableleft"/>
              <w:rPr>
                <w:color w:val="576C88" w:themeColor="text2" w:themeTint="D9"/>
              </w:rPr>
            </w:pPr>
          </w:p>
        </w:tc>
        <w:tc>
          <w:tcPr>
            <w:tcW w:w="2421" w:type="dxa"/>
            <w:shd w:val="clear" w:color="auto" w:fill="auto"/>
          </w:tcPr>
          <w:p w:rsidR="001924CD" w:rsidRPr="008D0759" w:rsidRDefault="001924CD" w:rsidP="004C05DD">
            <w:pPr>
              <w:pStyle w:val="Htableleft"/>
              <w:rPr>
                <w:color w:val="576C88" w:themeColor="text2" w:themeTint="D9"/>
              </w:rPr>
            </w:pPr>
          </w:p>
        </w:tc>
        <w:tc>
          <w:tcPr>
            <w:tcW w:w="2083" w:type="dxa"/>
            <w:shd w:val="clear" w:color="auto" w:fill="auto"/>
          </w:tcPr>
          <w:p w:rsidR="001924CD" w:rsidRPr="008D0759" w:rsidRDefault="001924CD" w:rsidP="004C05DD">
            <w:pPr>
              <w:pStyle w:val="Htableleft"/>
              <w:rPr>
                <w:color w:val="576C88" w:themeColor="text2" w:themeTint="D9"/>
              </w:rPr>
            </w:pPr>
          </w:p>
        </w:tc>
        <w:tc>
          <w:tcPr>
            <w:tcW w:w="2878" w:type="dxa"/>
            <w:shd w:val="clear" w:color="auto" w:fill="auto"/>
          </w:tcPr>
          <w:p w:rsidR="001924CD" w:rsidRPr="008D0759" w:rsidRDefault="001924CD" w:rsidP="004C05DD">
            <w:pPr>
              <w:pStyle w:val="Htableleft"/>
              <w:rPr>
                <w:color w:val="576C88" w:themeColor="text2" w:themeTint="D9"/>
              </w:rPr>
            </w:pPr>
          </w:p>
        </w:tc>
      </w:tr>
      <w:tr w:rsidR="001924CD" w:rsidRPr="008D0759" w:rsidTr="004C05DD">
        <w:tc>
          <w:tcPr>
            <w:tcW w:w="2252" w:type="dxa"/>
            <w:shd w:val="clear" w:color="auto" w:fill="auto"/>
          </w:tcPr>
          <w:p w:rsidR="001924CD" w:rsidRPr="008D0759" w:rsidRDefault="001924CD" w:rsidP="004C05DD">
            <w:pPr>
              <w:pStyle w:val="Htableleft"/>
              <w:rPr>
                <w:color w:val="576C88" w:themeColor="text2" w:themeTint="D9"/>
              </w:rPr>
            </w:pPr>
          </w:p>
        </w:tc>
        <w:tc>
          <w:tcPr>
            <w:tcW w:w="2421" w:type="dxa"/>
            <w:shd w:val="clear" w:color="auto" w:fill="auto"/>
          </w:tcPr>
          <w:p w:rsidR="001924CD" w:rsidRPr="008D0759" w:rsidRDefault="001924CD" w:rsidP="004C05DD">
            <w:pPr>
              <w:pStyle w:val="Htableleft"/>
              <w:rPr>
                <w:color w:val="576C88" w:themeColor="text2" w:themeTint="D9"/>
              </w:rPr>
            </w:pPr>
          </w:p>
        </w:tc>
        <w:tc>
          <w:tcPr>
            <w:tcW w:w="2083" w:type="dxa"/>
            <w:shd w:val="clear" w:color="auto" w:fill="auto"/>
          </w:tcPr>
          <w:p w:rsidR="001924CD" w:rsidRPr="008D0759" w:rsidRDefault="001924CD" w:rsidP="004C05DD">
            <w:pPr>
              <w:pStyle w:val="Htableleft"/>
              <w:rPr>
                <w:color w:val="576C88" w:themeColor="text2" w:themeTint="D9"/>
              </w:rPr>
            </w:pPr>
          </w:p>
        </w:tc>
        <w:tc>
          <w:tcPr>
            <w:tcW w:w="2878" w:type="dxa"/>
            <w:shd w:val="clear" w:color="auto" w:fill="auto"/>
          </w:tcPr>
          <w:p w:rsidR="001924CD" w:rsidRPr="008D0759" w:rsidRDefault="001924CD" w:rsidP="004C05DD">
            <w:pPr>
              <w:pStyle w:val="Htableleft"/>
              <w:rPr>
                <w:color w:val="576C88" w:themeColor="text2" w:themeTint="D9"/>
              </w:rPr>
            </w:pPr>
          </w:p>
        </w:tc>
      </w:tr>
    </w:tbl>
    <w:p w:rsidR="001924CD" w:rsidRPr="008D0759" w:rsidRDefault="001924CD" w:rsidP="00320BBA"/>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1924CD" w:rsidRPr="008D0759" w:rsidTr="005F5B2D">
        <w:tc>
          <w:tcPr>
            <w:tcW w:w="9016" w:type="dxa"/>
            <w:shd w:val="clear" w:color="auto" w:fill="F5F4F4" w:themeFill="background2" w:themeFillTint="66"/>
          </w:tcPr>
          <w:p w:rsidR="001924CD" w:rsidRPr="000A700F" w:rsidRDefault="001924CD" w:rsidP="005F5B2D">
            <w:pPr>
              <w:pStyle w:val="HStandard"/>
              <w:rPr>
                <w:highlight w:val="yellow"/>
              </w:rPr>
            </w:pPr>
            <w:r>
              <w:rPr>
                <w:highlight w:val="yellow"/>
              </w:rPr>
              <w:t>Pytania pomocnicze dla fazy oceny:</w:t>
            </w:r>
          </w:p>
          <w:p w:rsidR="001924CD" w:rsidRPr="000A700F" w:rsidRDefault="001924CD" w:rsidP="001924CD">
            <w:pPr>
              <w:pStyle w:val="Hlistbullet2"/>
              <w:rPr>
                <w:highlight w:val="yellow"/>
              </w:rPr>
            </w:pPr>
            <w:r>
              <w:rPr>
                <w:highlight w:val="yellow"/>
              </w:rPr>
              <w:t>W jakim stopniu udało nam się wnikliwie odpowiedzieć na wszystkie pytania ewaluacyjne?</w:t>
            </w:r>
          </w:p>
          <w:p w:rsidR="001924CD" w:rsidRPr="000A700F" w:rsidRDefault="001924CD" w:rsidP="001924CD">
            <w:pPr>
              <w:pStyle w:val="Hlistbullet2"/>
              <w:rPr>
                <w:highlight w:val="yellow"/>
              </w:rPr>
            </w:pPr>
            <w:r>
              <w:rPr>
                <w:highlight w:val="yellow"/>
              </w:rPr>
              <w:t>W jakim stopniu zebrane dowody umożliwiły udzielenie solidnych odpowiedzi do celów poszerzania wiedzy politycznej (ang. policy learning)?</w:t>
            </w:r>
          </w:p>
          <w:p w:rsidR="001924CD" w:rsidRPr="000A700F" w:rsidRDefault="001924CD" w:rsidP="001924CD">
            <w:pPr>
              <w:pStyle w:val="Hlistbullet2"/>
              <w:rPr>
                <w:highlight w:val="yellow"/>
              </w:rPr>
            </w:pPr>
            <w:r>
              <w:rPr>
                <w:highlight w:val="yellow"/>
              </w:rPr>
              <w:t>Jakie pytania należałoby dogłębniej zbadać poprzez podjęcie dalszych badań i ocen?</w:t>
            </w:r>
          </w:p>
          <w:p w:rsidR="001924CD" w:rsidRPr="000A700F" w:rsidRDefault="001924CD" w:rsidP="001924CD">
            <w:pPr>
              <w:pStyle w:val="Hlistbullet2"/>
              <w:rPr>
                <w:highlight w:val="yellow"/>
              </w:rPr>
            </w:pPr>
            <w:r>
              <w:rPr>
                <w:highlight w:val="yellow"/>
              </w:rPr>
              <w:t>Jakie są punkty oparcia umożliwiające poprawę funkcjonowania, efektywności i skuteczności sieci?</w:t>
            </w:r>
          </w:p>
          <w:p w:rsidR="001924CD" w:rsidRPr="000A700F" w:rsidRDefault="001924CD" w:rsidP="001924CD">
            <w:pPr>
              <w:pStyle w:val="Hlistbullet2"/>
              <w:rPr>
                <w:highlight w:val="yellow"/>
              </w:rPr>
            </w:pPr>
            <w:r>
              <w:rPr>
                <w:highlight w:val="yellow"/>
              </w:rPr>
              <w:t>Kto i jakie działania powinien podjąć, aby poprawić funkcjonowanie JWS i wkład KSOW w rozwój obszarów wiejskich, w tym realizację horyzontalnych celów WPR?</w:t>
            </w:r>
          </w:p>
          <w:p w:rsidR="001924CD" w:rsidRPr="000A700F" w:rsidRDefault="001924CD" w:rsidP="001924CD">
            <w:pPr>
              <w:pStyle w:val="Hlistbullet2"/>
              <w:rPr>
                <w:highlight w:val="yellow"/>
              </w:rPr>
            </w:pPr>
            <w:r>
              <w:rPr>
                <w:highlight w:val="yellow"/>
              </w:rPr>
              <w:t>W jakim stopniu KSOW może zespolić korzyści wynikające ze zwiększenia kapitału ludzkiego i społecznego w perspektywie długoterminowej?</w:t>
            </w:r>
          </w:p>
        </w:tc>
      </w:tr>
    </w:tbl>
    <w:p w:rsidR="001924CD" w:rsidRPr="000A700F" w:rsidRDefault="001924CD" w:rsidP="00D35287">
      <w:pPr>
        <w:pStyle w:val="HHeading5"/>
        <w:rPr>
          <w:highlight w:val="yellow"/>
        </w:rPr>
      </w:pPr>
      <w:r>
        <w:rPr>
          <w:highlight w:val="yellow"/>
        </w:rPr>
        <w:lastRenderedPageBreak/>
        <w:t xml:space="preserve">Co należy, a czego nie należy robić </w:t>
      </w:r>
    </w:p>
    <w:tbl>
      <w:tblPr>
        <w:tblStyle w:val="LightList-Accent5"/>
        <w:tblW w:w="0" w:type="auto"/>
        <w:tblLook w:val="04A0" w:firstRow="1" w:lastRow="0" w:firstColumn="1" w:lastColumn="0" w:noHBand="0" w:noVBand="1"/>
      </w:tblPr>
      <w:tblGrid>
        <w:gridCol w:w="4508"/>
        <w:gridCol w:w="4498"/>
      </w:tblGrid>
      <w:tr w:rsidR="001924CD"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1924CD" w:rsidRPr="000A700F" w:rsidRDefault="001924CD" w:rsidP="00445E97">
            <w:pPr>
              <w:pStyle w:val="HHeading5"/>
              <w:jc w:val="center"/>
              <w:rPr>
                <w:highlight w:val="yellow"/>
              </w:rPr>
            </w:pPr>
            <w:r>
              <w:rPr>
                <w:noProof/>
                <w:highlight w:val="yellow"/>
                <w:lang w:val="en-GB" w:eastAsia="en-GB" w:bidi="ar-SA"/>
              </w:rPr>
              <w:drawing>
                <wp:inline distT="0" distB="0" distL="0" distR="0" wp14:anchorId="50A3E7C6" wp14:editId="3AFF8680">
                  <wp:extent cx="360000" cy="360000"/>
                  <wp:effectExtent l="0" t="0" r="254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1924CD" w:rsidRPr="000A700F" w:rsidRDefault="001924CD"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77D7A1BB" wp14:editId="26647CD8">
                  <wp:extent cx="360000" cy="360000"/>
                  <wp:effectExtent l="0" t="0" r="254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1924CD"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1924CD" w:rsidRPr="000A700F" w:rsidRDefault="001924C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Podejmować próby określenia, z zewnętrznego punktu widzenia (etic), dominujących wzorców w zakresie zaobserwowanych interakcji społecznych, a także wykorzystywać świadectwa dostarczane przez osoby ankietowane/członków grupy fokusowej (emic).</w:t>
            </w:r>
          </w:p>
          <w:p w:rsidR="001924CD" w:rsidRPr="000A700F" w:rsidRDefault="001924C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Odpowiedzieć na wszystkie pytania ewaluacyjne, a także na pytania niezadane, jeśli pojawiły się kwestie, które są istotne lub zaskakujące.</w:t>
            </w:r>
          </w:p>
          <w:p w:rsidR="001924CD" w:rsidRPr="000A700F" w:rsidRDefault="001924C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Wyciągać wnioski z ustaleń dokonanych podczas ewaluacji w odniesieniu do adekwatności, skuteczności, efektywności, rezultatów, oddziaływania i trwałości interwencji, a także mieć jasne pojęcie o stopniu ważności i solidności wniosków.</w:t>
            </w:r>
          </w:p>
          <w:p w:rsidR="001924CD" w:rsidRPr="000A700F" w:rsidRDefault="001924CD"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Sformułować zalecenia dla każdego odnośnego podmiotu w możliwie najbardziej praktyczny i realistyczny sposób.</w:t>
            </w:r>
          </w:p>
          <w:p w:rsidR="001924CD" w:rsidRPr="000A700F" w:rsidRDefault="001924CD" w:rsidP="00445E97">
            <w:pPr>
              <w:pStyle w:val="HStandard"/>
              <w:rPr>
                <w:color w:val="FFC000" w:themeColor="accent4"/>
                <w:highlight w:val="yellow"/>
              </w:rPr>
            </w:pPr>
            <w:r>
              <w:rPr>
                <w:b w:val="0"/>
                <w:color w:val="FFC000" w:themeColor="accent4"/>
                <w:sz w:val="18"/>
                <w:highlight w:val="yellow"/>
              </w:rPr>
              <w:t>Uwzględnić różne podmioty w procesie interpretacji ustaleń oraz omawiania wniosków i zaleceń z ewaluacji.</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1924CD" w:rsidRPr="000A700F" w:rsidRDefault="001924C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Odpowiadać na pytania ewaluacyjne tylko na podstawie założeń ewaluatora, bez gromadzenia żadnych dowodów. </w:t>
            </w:r>
          </w:p>
          <w:p w:rsidR="001924CD" w:rsidRPr="000A700F" w:rsidRDefault="001924C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Mieszać solidne ustalenia z niejasnymi przy udzielaniu odpowiedzi na pytania ewaluacyjne.</w:t>
            </w:r>
          </w:p>
          <w:p w:rsidR="001924CD" w:rsidRPr="000A700F" w:rsidRDefault="001924C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Formułować uniwersalne truizmy bez zgłębiania specyfiki i potencjału KSOW.</w:t>
            </w:r>
          </w:p>
          <w:p w:rsidR="001924CD" w:rsidRPr="000A700F" w:rsidRDefault="001924CD"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Odpowiadać na pytania ewaluacyjne bez brania pod uwagę nieoczekiwanych efektów.</w:t>
            </w:r>
          </w:p>
          <w:p w:rsidR="001924CD" w:rsidRPr="008D0759" w:rsidRDefault="001924CD"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Opracowywać ogólne zalecenia, nie kierując ich do konkretnych zainteresowanych stron i omijając kwestie, które wydają się być tematem tabu.</w:t>
            </w:r>
          </w:p>
        </w:tc>
      </w:tr>
    </w:tbl>
    <w:p w:rsidR="001924CD" w:rsidRPr="008D0759" w:rsidRDefault="001924CD" w:rsidP="00D35287">
      <w:pPr>
        <w:pStyle w:val="HHeading5"/>
      </w:pPr>
      <w:r>
        <w:t>Further reading</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1924CD" w:rsidRPr="008D0759" w:rsidTr="005F5B2D">
        <w:tc>
          <w:tcPr>
            <w:tcW w:w="9918" w:type="dxa"/>
            <w:shd w:val="clear" w:color="auto" w:fill="F5F4F4" w:themeFill="background2" w:themeFillTint="66"/>
          </w:tcPr>
          <w:p w:rsidR="001924CD" w:rsidRPr="008D0759" w:rsidRDefault="001924CD" w:rsidP="005F5B2D">
            <w:pPr>
              <w:pStyle w:val="HStandard"/>
              <w:rPr>
                <w:sz w:val="16"/>
                <w:szCs w:val="16"/>
              </w:rPr>
            </w:pPr>
            <w:r w:rsidRPr="007E5604">
              <w:rPr>
                <w:sz w:val="16"/>
                <w:lang w:val="en-US"/>
              </w:rPr>
              <w:t>Ray Pawson and Nick Tilley, 2004: Realist Evaluation.</w:t>
            </w:r>
            <w:r w:rsidRPr="007E5604">
              <w:rPr>
                <w:lang w:val="en-US"/>
              </w:rPr>
              <w:t xml:space="preserve"> </w:t>
            </w:r>
            <w:hyperlink r:id="rId58">
              <w:r>
                <w:rPr>
                  <w:rStyle w:val="Hyperlink"/>
                  <w:sz w:val="16"/>
                </w:rPr>
                <w:t>http://www.communitymatters.com.au/RE_chapter.pdf</w:t>
              </w:r>
            </w:hyperlink>
            <w:r>
              <w:rPr>
                <w:sz w:val="16"/>
              </w:rPr>
              <w:t xml:space="preserve"> </w:t>
            </w:r>
          </w:p>
        </w:tc>
      </w:tr>
    </w:tbl>
    <w:p w:rsidR="001924CD" w:rsidRDefault="001924CD" w:rsidP="00320BBA">
      <w:pPr>
        <w:pStyle w:val="HStandard"/>
        <w:rPr>
          <w:rFonts w:eastAsia="Calibri"/>
        </w:rPr>
      </w:pPr>
    </w:p>
    <w:p w:rsidR="001924CD" w:rsidRDefault="001924CD">
      <w:pPr>
        <w:spacing w:after="0" w:line="240" w:lineRule="auto"/>
        <w:rPr>
          <w:rFonts w:eastAsia="Calibri" w:cs="Arial"/>
          <w:color w:val="576C88" w:themeColor="text2" w:themeTint="D9"/>
          <w:sz w:val="20"/>
          <w:szCs w:val="20"/>
        </w:rPr>
      </w:pPr>
      <w:r>
        <w:br w:type="page"/>
      </w:r>
    </w:p>
    <w:p w:rsidR="001924CD" w:rsidRPr="008D0759" w:rsidRDefault="001924CD" w:rsidP="00320BBA">
      <w:pPr>
        <w:pStyle w:val="HStandard"/>
        <w:rPr>
          <w:rFonts w:eastAsia="Calibri"/>
        </w:rPr>
      </w:pPr>
    </w:p>
    <w:p w:rsidR="001924CD" w:rsidRPr="000A700F" w:rsidRDefault="001924CD" w:rsidP="00C4370D">
      <w:pPr>
        <w:pStyle w:val="HHeading1"/>
        <w:rPr>
          <w:highlight w:val="yellow"/>
        </w:rPr>
      </w:pPr>
      <w:bookmarkStart w:id="339" w:name="_Toc453079782"/>
      <w:r>
        <w:rPr>
          <w:highlight w:val="yellow"/>
        </w:rPr>
        <w:lastRenderedPageBreak/>
        <w:t>CZĘŚĆ III – ZESTAW NARZĘDZI</w:t>
      </w:r>
      <w:bookmarkEnd w:id="339"/>
    </w:p>
    <w:p w:rsidR="001924CD" w:rsidRPr="000A700F" w:rsidRDefault="001924CD" w:rsidP="00501EAB">
      <w:pPr>
        <w:pStyle w:val="HHeading2"/>
        <w:tabs>
          <w:tab w:val="clear" w:pos="360"/>
        </w:tabs>
        <w:ind w:left="510" w:hanging="510"/>
        <w:rPr>
          <w:highlight w:val="yellow"/>
        </w:rPr>
      </w:pPr>
      <w:bookmarkStart w:id="340" w:name="_Toc453079783"/>
      <w:r>
        <w:rPr>
          <w:highlight w:val="yellow"/>
        </w:rPr>
        <w:t>Orientacyjny szablon specyfikacji istotnych warunków zamówienia na przeprowadzenie ewaluacji w trakcie okresu programowania</w:t>
      </w:r>
      <w:bookmarkEnd w:id="340"/>
    </w:p>
    <w:p w:rsidR="001924CD" w:rsidRPr="000A700F" w:rsidRDefault="001924CD" w:rsidP="00C010B3">
      <w:pPr>
        <w:pStyle w:val="HHeading5"/>
        <w:tabs>
          <w:tab w:val="left" w:pos="7844"/>
        </w:tabs>
        <w:rPr>
          <w:highlight w:val="yellow"/>
        </w:rPr>
      </w:pPr>
      <w:r>
        <w:rPr>
          <w:highlight w:val="yellow"/>
        </w:rPr>
        <w:t>Wprowadzenie</w:t>
      </w:r>
      <w:r>
        <w:rPr>
          <w:highlight w:val="yellow"/>
        </w:rPr>
        <w:tab/>
      </w:r>
    </w:p>
    <w:p w:rsidR="001924CD" w:rsidRPr="000A700F" w:rsidRDefault="001924CD" w:rsidP="00C4370D">
      <w:pPr>
        <w:pStyle w:val="HStandard"/>
        <w:rPr>
          <w:highlight w:val="yellow"/>
        </w:rPr>
      </w:pPr>
      <w:r>
        <w:rPr>
          <w:highlight w:val="yellow"/>
        </w:rPr>
        <w:t xml:space="preserve">Specyfikację istotnych warunków zamówienia (SIWZ) dla ewaluacji KSOW opracowuje instytucja zarządzająca (IZ) w celu dostarczenia ważnych informacji potencjalnym ewaluatorom zewnętrznym w fazie naboru wniosków. SIWZ odzwierciedla działania określone w planie oceny (PE) i pomaga nadać strukturę ewaluacji, jaka ma być prowadzona przez wykonawców zewnętrznych. Ewaluatorzy zewnętrzni składają ofertę w oparciu o SIWZ. Elementy te (SIWZ i oferta) tworzą wspólnie podstawę umowy na wykonanie ewaluacji. </w:t>
      </w:r>
    </w:p>
    <w:p w:rsidR="001924CD" w:rsidRPr="000A700F" w:rsidRDefault="001924CD" w:rsidP="00C4370D">
      <w:pPr>
        <w:pStyle w:val="HStandard"/>
        <w:rPr>
          <w:highlight w:val="yellow"/>
        </w:rPr>
      </w:pPr>
      <w:r>
        <w:rPr>
          <w:highlight w:val="yellow"/>
        </w:rPr>
        <w:t>SIWZ dla ewaluacji KSOW określa wymogi, czynności i oczekiwane wyniki oceny, a także objaśnia sposoby współpracy poszczególnych stron. Dokument ten zazwyczaj składa się z ogólnego wprowadzenia dla konsultanta, specyfikacji wymagań technicznych i załączników (np. odwołań do głównych dokumentów, pytań ewaluacyjnych, szablonów oferty cenowej, projektu umowy o świadczenie usług).</w:t>
      </w:r>
    </w:p>
    <w:p w:rsidR="001924CD" w:rsidRPr="000A700F" w:rsidRDefault="001924CD" w:rsidP="00C4370D">
      <w:pPr>
        <w:pStyle w:val="HStandard"/>
        <w:rPr>
          <w:highlight w:val="yellow"/>
        </w:rPr>
      </w:pPr>
      <w:r>
        <w:rPr>
          <w:highlight w:val="yellow"/>
        </w:rPr>
        <w:t xml:space="preserve">Poniższy orientacyjny szablon zawiera wskazówki na temat opracowywania SIWZ dla ewaluacji KSOW, a zwłaszcza jej części technicznych. Specyfikacja jest opracowywana zgodnie z wymaganiami określonymi w ramach wspólnego systemu monitorowania i ewaluacji (CMES). Może ona odnosić się do programu KSOW lub do samodzielnej ewaluacji sieci KSOW stanowiącej część programu PROW. Nie sporządza się odrębnej specyfikacji, jeśli ocena sieci KSOW jest objęta zakresem ewaluacji PROW. </w:t>
      </w:r>
    </w:p>
    <w:p w:rsidR="001924CD" w:rsidRPr="000A700F" w:rsidRDefault="001924CD" w:rsidP="00C4370D">
      <w:pPr>
        <w:pStyle w:val="HStandard"/>
        <w:rPr>
          <w:highlight w:val="yellow"/>
        </w:rPr>
      </w:pPr>
      <w:r>
        <w:rPr>
          <w:highlight w:val="yellow"/>
        </w:rPr>
        <w:t>Instytucje zamawiające są zobowiązane zapewnić zgodność SIWZ z procedurami udzielania zamówień publicznych obowiązującymi w danym państwie członkowskim. Należy wziąć pod uwagę następujące elementy części technicznej SIWZ.</w:t>
      </w:r>
    </w:p>
    <w:p w:rsidR="001924CD" w:rsidRPr="000A700F" w:rsidRDefault="001924CD" w:rsidP="006A099F">
      <w:pPr>
        <w:pStyle w:val="HHeading5"/>
        <w:rPr>
          <w:highlight w:val="yellow"/>
        </w:rPr>
      </w:pPr>
      <w:bookmarkStart w:id="341" w:name="_Toc422307927"/>
      <w:r>
        <w:rPr>
          <w:highlight w:val="yellow"/>
        </w:rPr>
        <w:t>Kontekst i cel ewaluacji</w:t>
      </w:r>
      <w:bookmarkEnd w:id="341"/>
    </w:p>
    <w:p w:rsidR="001924CD" w:rsidRPr="000A700F" w:rsidRDefault="001924CD" w:rsidP="00C4370D">
      <w:pPr>
        <w:pStyle w:val="HStandard"/>
        <w:rPr>
          <w:highlight w:val="yellow"/>
        </w:rPr>
      </w:pPr>
      <w:r>
        <w:rPr>
          <w:highlight w:val="yellow"/>
        </w:rPr>
        <w:t>Wstęp powinien określać wymagania ustawowe i ramy ewaluacji (np. odwołania do przepisów na szczeblu UE i krajowym). Należy wyjaśnić kontekst i cel ewaluacji, a także opisać jej przedmiot.</w:t>
      </w:r>
    </w:p>
    <w:p w:rsidR="001924CD" w:rsidRPr="000A700F" w:rsidRDefault="001924CD" w:rsidP="00C4370D">
      <w:pPr>
        <w:pStyle w:val="HStandard"/>
        <w:rPr>
          <w:i/>
          <w:highlight w:val="yellow"/>
        </w:rPr>
      </w:pPr>
      <w:r>
        <w:rPr>
          <w:i/>
          <w:highlight w:val="yellow"/>
        </w:rPr>
        <w:t>Przykład:</w:t>
      </w:r>
    </w:p>
    <w:p w:rsidR="001924CD" w:rsidRPr="000A700F" w:rsidRDefault="001924CD" w:rsidP="00C4370D">
      <w:pPr>
        <w:pStyle w:val="HStandard"/>
        <w:rPr>
          <w:i/>
          <w:highlight w:val="yellow"/>
        </w:rPr>
      </w:pPr>
      <w:r>
        <w:rPr>
          <w:i/>
          <w:highlight w:val="yellow"/>
        </w:rPr>
        <w:t>Problematyka ewaluacji ogółem, a oceny sieci w szczególności, zostały wzmocnione w polityce rozwoju obszarów wiejskich na lata 2014–2020. Położono większy nacisk na ewaluację sieci i współpracy sieciowej, aby uzyskać większą wiedzę na temat wyników i skutków tych działań.</w:t>
      </w:r>
    </w:p>
    <w:p w:rsidR="001924CD" w:rsidRPr="000A700F" w:rsidRDefault="001924CD" w:rsidP="00C4370D">
      <w:pPr>
        <w:pStyle w:val="HStandard"/>
        <w:rPr>
          <w:i/>
          <w:highlight w:val="yellow"/>
        </w:rPr>
      </w:pPr>
      <w:r>
        <w:rPr>
          <w:i/>
          <w:highlight w:val="yellow"/>
        </w:rPr>
        <w:t>Główne wymagania w odniesieniu do ewaluacji PROW w okresie programowania 2014–2020 zostały ustanowione w art. 54-57 rozporządzenia (UE) nr 1303/2013 oraz w art. 76-79 rozporządzenia (UE) nr 1305/2013. Drugie z wymienionych rozporządzeń obejmuje cztery wspólne, ogólne cele KSOW oraz wspólną grupę działań, jakie sieci powinny realizować.</w:t>
      </w:r>
    </w:p>
    <w:p w:rsidR="001924CD" w:rsidRPr="000A700F" w:rsidRDefault="001924CD" w:rsidP="00C4370D">
      <w:pPr>
        <w:pStyle w:val="HStandard"/>
        <w:rPr>
          <w:i/>
          <w:highlight w:val="yellow"/>
        </w:rPr>
      </w:pPr>
      <w:r>
        <w:rPr>
          <w:i/>
          <w:highlight w:val="yellow"/>
        </w:rPr>
        <w:t>Rozporządzenie wykonawcze Komisji określa trzy wspólne wskaźniki produktu i wspólne pytanie ewaluacyjne (w ramach CMES). Wytyczne dotyczące ewaluacji krajowych sieci obszarów wiejskich zawierają informacje na temat sposobu opracowywania dodatkowych i specyficznych dla programu wskaźników KSOW.</w:t>
      </w:r>
    </w:p>
    <w:p w:rsidR="001924CD" w:rsidRPr="000A700F" w:rsidRDefault="001924CD" w:rsidP="00C4370D">
      <w:pPr>
        <w:pStyle w:val="HStandard"/>
        <w:rPr>
          <w:i/>
          <w:highlight w:val="yellow"/>
        </w:rPr>
      </w:pPr>
      <w:r>
        <w:rPr>
          <w:i/>
          <w:highlight w:val="yellow"/>
        </w:rPr>
        <w:t>Plan ewaluacji PROW wskazuje KSOW jako główny temat oceny w okresie programowania.</w:t>
      </w:r>
    </w:p>
    <w:p w:rsidR="001924CD" w:rsidRPr="000A700F" w:rsidRDefault="001924CD" w:rsidP="00C4370D">
      <w:pPr>
        <w:pStyle w:val="HStandard"/>
        <w:rPr>
          <w:i/>
          <w:highlight w:val="yellow"/>
        </w:rPr>
      </w:pPr>
      <w:r>
        <w:rPr>
          <w:i/>
          <w:highlight w:val="yellow"/>
        </w:rPr>
        <w:t xml:space="preserve">Z uwagi na szczególną rolę wynikającą z charakteru sieci politycznej, KSOW powinna być siłą napędową, która zwiększy efektywną realizację programu rozwoju obszarów wiejskich (PROW). Sieci </w:t>
      </w:r>
      <w:r>
        <w:rPr>
          <w:i/>
          <w:highlight w:val="yellow"/>
        </w:rPr>
        <w:lastRenderedPageBreak/>
        <w:t>KSOW powinny wypełniać luki w usługach oferowanych przez inne podmioty publiczne lub prywatne, a także dążyć do osiągnięcia efektu synergii z innymi sieciami na poziomie krajowym i europejskim. Jako że działalność sieci jest finansowana z budżetu pomocy technicznej PROW, należy jak najlepiej wykorzystać dostępne środki.</w:t>
      </w:r>
    </w:p>
    <w:p w:rsidR="001924CD" w:rsidRPr="000A700F" w:rsidRDefault="001924CD" w:rsidP="00C4370D">
      <w:pPr>
        <w:pStyle w:val="HStandard"/>
        <w:rPr>
          <w:i/>
          <w:highlight w:val="yellow"/>
        </w:rPr>
      </w:pPr>
      <w:r>
        <w:rPr>
          <w:i/>
          <w:highlight w:val="yellow"/>
        </w:rPr>
        <w:t>Ewaluacja KSOW służy wykazaniu osiągnięć JWS (sekretariatu sieci) i jej sieci (szerszej grupy zainteresowanych stron KSOW) oraz ocenie rezultatów, oddziaływania, skuteczności, efektywności i adekwatności, a także ma za zadanie przyczyniać się do lepszego ukierunkowania wsparcia rozwoju obszarów wiejskich.</w:t>
      </w:r>
    </w:p>
    <w:p w:rsidR="001924CD" w:rsidRPr="000A700F" w:rsidRDefault="001924CD" w:rsidP="00C4370D">
      <w:pPr>
        <w:pStyle w:val="HStandard"/>
        <w:rPr>
          <w:i/>
          <w:highlight w:val="yellow"/>
        </w:rPr>
      </w:pPr>
      <w:r>
        <w:rPr>
          <w:i/>
          <w:highlight w:val="yellow"/>
        </w:rPr>
        <w:t>Powinna ona również wnosić wkład w aktualizację planu działania KSOW, aby reagować na zmieniające się potrzeby w trakcie realizacji PROW.</w:t>
      </w:r>
    </w:p>
    <w:p w:rsidR="001924CD" w:rsidRPr="000A700F" w:rsidRDefault="001924CD" w:rsidP="00C4370D">
      <w:pPr>
        <w:pStyle w:val="HStandard"/>
        <w:rPr>
          <w:i/>
          <w:highlight w:val="yellow"/>
        </w:rPr>
      </w:pPr>
      <w:r>
        <w:rPr>
          <w:i/>
          <w:highlight w:val="yellow"/>
        </w:rPr>
        <w:t>Ewaluacja jest skierowana do klienta i szerszego kręgu zainteresowanych stron zaangażowanych w działalność KSOW.</w:t>
      </w:r>
    </w:p>
    <w:p w:rsidR="001924CD" w:rsidRPr="000A700F" w:rsidRDefault="001924CD" w:rsidP="00C4370D">
      <w:pPr>
        <w:pStyle w:val="HStandard"/>
        <w:rPr>
          <w:i/>
          <w:highlight w:val="yellow"/>
        </w:rPr>
      </w:pPr>
      <w:r>
        <w:rPr>
          <w:i/>
          <w:highlight w:val="yellow"/>
        </w:rPr>
        <w:t>Może ona czerpać z samooceny KSOW, która jest ważnym narzędziem poprawy funkcjonowania KSOW.</w:t>
      </w:r>
    </w:p>
    <w:p w:rsidR="001924CD" w:rsidRPr="000A700F" w:rsidRDefault="001924CD" w:rsidP="00C4370D">
      <w:pPr>
        <w:pStyle w:val="HStandard"/>
        <w:rPr>
          <w:i/>
          <w:highlight w:val="yellow"/>
        </w:rPr>
      </w:pPr>
      <w:r w:rsidRPr="00651D6E">
        <w:rPr>
          <w:i/>
          <w:highlight w:val="yellow"/>
        </w:rPr>
        <w:t xml:space="preserve">Ocena wyników oraz odpowiedź na wspólne pytanie ewaluacyjne na temat KSOW powinny pojawić </w:t>
      </w:r>
      <w:r>
        <w:rPr>
          <w:i/>
          <w:highlight w:val="yellow"/>
        </w:rPr>
        <w:t>się w rozszerzonych rocznych sprawozdaniach z wykonania, które mają być złożone w terminie do 30 czerwca 2017 r. Ocena oddziaływania oraz odpowiedź na wspólne pytanie ewaluacyjne na temat KSOW powinny pojawić się w rozszerzonych rocznych sprawozdaniach z wykonania, które mają być złożone w 2019 r., i w ramach ewaluacji ex post, która ma odbyć się w terminie do 31 grudnia 2024 r.</w:t>
      </w:r>
    </w:p>
    <w:p w:rsidR="001924CD" w:rsidRPr="000A700F" w:rsidRDefault="001924CD" w:rsidP="006A099F">
      <w:pPr>
        <w:pStyle w:val="HHeading5"/>
        <w:rPr>
          <w:highlight w:val="yellow"/>
        </w:rPr>
      </w:pPr>
      <w:bookmarkStart w:id="342" w:name="_Toc422307928"/>
      <w:r>
        <w:rPr>
          <w:highlight w:val="yellow"/>
        </w:rPr>
        <w:t>Zakres i zadania w zakresie ewaluacji KSOW</w:t>
      </w:r>
      <w:bookmarkEnd w:id="342"/>
      <w:r>
        <w:rPr>
          <w:highlight w:val="yellow"/>
        </w:rPr>
        <w:t xml:space="preserve"> </w:t>
      </w:r>
    </w:p>
    <w:p w:rsidR="001924CD" w:rsidRPr="000A700F" w:rsidRDefault="001924CD" w:rsidP="00C4370D">
      <w:pPr>
        <w:pStyle w:val="HStandard"/>
        <w:rPr>
          <w:highlight w:val="yellow"/>
        </w:rPr>
      </w:pPr>
      <w:r>
        <w:rPr>
          <w:highlight w:val="yellow"/>
        </w:rPr>
        <w:t>Ta część SIWZ określa zakres i treść ewaluacji zgodnie z jej celami. Mogą to być: okres badania, geograficzny i tematyczny zakres oceny, grupy docelowe i zadania. Zakres oceny musi być realistyczny, biorąc pod uwagę dostępny czas i zasoby.</w:t>
      </w:r>
    </w:p>
    <w:p w:rsidR="001924CD" w:rsidRPr="000A700F" w:rsidRDefault="001924CD" w:rsidP="00C4370D">
      <w:pPr>
        <w:pStyle w:val="HStandard"/>
        <w:rPr>
          <w:i/>
          <w:highlight w:val="yellow"/>
        </w:rPr>
      </w:pPr>
      <w:r>
        <w:rPr>
          <w:i/>
          <w:highlight w:val="yellow"/>
        </w:rPr>
        <w:t>Przykład</w:t>
      </w:r>
    </w:p>
    <w:p w:rsidR="001924CD" w:rsidRPr="000A700F" w:rsidRDefault="001924CD" w:rsidP="00C4370D">
      <w:pPr>
        <w:pStyle w:val="HStandard"/>
        <w:rPr>
          <w:i/>
          <w:highlight w:val="yellow"/>
        </w:rPr>
      </w:pPr>
      <w:r>
        <w:rPr>
          <w:i/>
          <w:highlight w:val="yellow"/>
        </w:rPr>
        <w:t>Celem tego kompleksowego badania ewaluacyjnego jest:</w:t>
      </w:r>
    </w:p>
    <w:p w:rsidR="001924CD" w:rsidRPr="000A700F" w:rsidRDefault="001924CD" w:rsidP="00C4370D">
      <w:pPr>
        <w:pStyle w:val="Hlistbullet2"/>
        <w:rPr>
          <w:i/>
          <w:highlight w:val="yellow"/>
        </w:rPr>
      </w:pPr>
      <w:r>
        <w:rPr>
          <w:i/>
          <w:highlight w:val="yellow"/>
        </w:rPr>
        <w:t xml:space="preserve">wykazanie osiągnięć JWS (sekretariatu sieci), KSOW (szerszej grupy członków sieci) oraz zainteresowanych stron,  </w:t>
      </w:r>
    </w:p>
    <w:p w:rsidR="001924CD" w:rsidRPr="000A700F" w:rsidRDefault="001924CD" w:rsidP="00C4370D">
      <w:pPr>
        <w:pStyle w:val="Hlistbullet2"/>
        <w:rPr>
          <w:i/>
          <w:highlight w:val="yellow"/>
        </w:rPr>
      </w:pPr>
      <w:r>
        <w:rPr>
          <w:i/>
          <w:highlight w:val="yellow"/>
        </w:rPr>
        <w:t xml:space="preserve">ocena rezultatów, oddziaływania, skuteczności, efektywności i adekwatności oraz </w:t>
      </w:r>
    </w:p>
    <w:p w:rsidR="001924CD" w:rsidRPr="000A700F" w:rsidRDefault="001924CD" w:rsidP="00C4370D">
      <w:pPr>
        <w:pStyle w:val="Hlistbullet2"/>
        <w:rPr>
          <w:i/>
          <w:highlight w:val="yellow"/>
        </w:rPr>
      </w:pPr>
      <w:r>
        <w:rPr>
          <w:i/>
          <w:highlight w:val="yellow"/>
        </w:rPr>
        <w:t>przyczynianie się do lepszego ukierunkowania wsparcia na rzecz rozwoju obszarów wiejskich.</w:t>
      </w:r>
    </w:p>
    <w:p w:rsidR="001924CD" w:rsidRPr="000A700F" w:rsidRDefault="001924CD" w:rsidP="00C4370D">
      <w:pPr>
        <w:pStyle w:val="HStandard"/>
        <w:rPr>
          <w:i/>
          <w:highlight w:val="yellow"/>
        </w:rPr>
      </w:pPr>
      <w:r>
        <w:rPr>
          <w:i/>
          <w:highlight w:val="yellow"/>
        </w:rPr>
        <w:t>Główne zadania ewaluacyjne to:</w:t>
      </w:r>
    </w:p>
    <w:p w:rsidR="001924CD" w:rsidRPr="000A700F" w:rsidRDefault="001924CD" w:rsidP="00B51C05">
      <w:pPr>
        <w:pStyle w:val="Hlistbullet2"/>
        <w:rPr>
          <w:i/>
          <w:highlight w:val="yellow"/>
        </w:rPr>
      </w:pPr>
      <w:r>
        <w:rPr>
          <w:i/>
          <w:highlight w:val="yellow"/>
        </w:rPr>
        <w:t>ocena adekwatności interwencji sieci obszarów wiejskich w stosunku do potrzeb i zmieniających się warunków ramowych,</w:t>
      </w:r>
    </w:p>
    <w:p w:rsidR="001924CD" w:rsidRPr="000A700F" w:rsidRDefault="001924CD" w:rsidP="00B51C05">
      <w:pPr>
        <w:pStyle w:val="Hlistbullet2"/>
        <w:rPr>
          <w:i/>
          <w:highlight w:val="yellow"/>
        </w:rPr>
      </w:pPr>
      <w:r>
        <w:rPr>
          <w:i/>
          <w:highlight w:val="yellow"/>
        </w:rPr>
        <w:t xml:space="preserve">ocena funkcjonowania, rezultatów i oddziaływania KSOW, a także celów sieci, osiągnięć i wkładu w realizację celów PROW, </w:t>
      </w:r>
    </w:p>
    <w:p w:rsidR="001924CD" w:rsidRPr="000A700F" w:rsidRDefault="001924CD" w:rsidP="00B51C05">
      <w:pPr>
        <w:pStyle w:val="Hlistbullet2"/>
        <w:rPr>
          <w:i/>
          <w:highlight w:val="yellow"/>
        </w:rPr>
      </w:pPr>
      <w:r>
        <w:rPr>
          <w:i/>
          <w:highlight w:val="yellow"/>
        </w:rPr>
        <w:t xml:space="preserve">opracowanie zaleceń dotyczących sposobów poprawy projektowania i wdrażania KSOW, </w:t>
      </w:r>
    </w:p>
    <w:p w:rsidR="001924CD" w:rsidRPr="000A700F" w:rsidRDefault="001924CD" w:rsidP="00B51C05">
      <w:pPr>
        <w:pStyle w:val="Hlistbullet2"/>
        <w:rPr>
          <w:i/>
          <w:highlight w:val="yellow"/>
        </w:rPr>
      </w:pPr>
      <w:r>
        <w:rPr>
          <w:i/>
          <w:highlight w:val="yellow"/>
        </w:rPr>
        <w:t>zaproponowanie skutecznego podejścia do poprawy monitorowania i ewaluacji KSOW.</w:t>
      </w:r>
    </w:p>
    <w:p w:rsidR="001924CD" w:rsidRPr="000A700F" w:rsidRDefault="001924CD" w:rsidP="00B51C05">
      <w:pPr>
        <w:pStyle w:val="HStandard"/>
        <w:rPr>
          <w:i/>
          <w:highlight w:val="yellow"/>
        </w:rPr>
      </w:pPr>
      <w:r>
        <w:rPr>
          <w:i/>
          <w:highlight w:val="yellow"/>
        </w:rPr>
        <w:t>Ewaluacja zewnętrzna w okresie programowania obejmie wszystkie działania KSOW w latach 2014–2020, począwszy od utworzenia sieci aż do jej rozwiązania.</w:t>
      </w:r>
    </w:p>
    <w:p w:rsidR="001924CD" w:rsidRPr="000A700F" w:rsidRDefault="001924CD" w:rsidP="00B51C05">
      <w:pPr>
        <w:pStyle w:val="HStandard"/>
        <w:rPr>
          <w:i/>
          <w:highlight w:val="yellow"/>
        </w:rPr>
      </w:pPr>
      <w:r>
        <w:rPr>
          <w:i/>
          <w:highlight w:val="yellow"/>
        </w:rPr>
        <w:t xml:space="preserve">Geograficzny zasięg obejmuje całe terytorium PROW. Główne zadania ewaluacyjne muszą być prowadzone w odniesieniu do etapów ewaluacji („kamieni milowych”) (2017, 2019 i ex-post). Ważne jest, aby zharmonizować czynności z zakresu ewaluacji z cyklem politycznym i sprawozdawczym. </w:t>
      </w:r>
      <w:r>
        <w:rPr>
          <w:i/>
          <w:highlight w:val="yellow"/>
        </w:rPr>
        <w:lastRenderedPageBreak/>
        <w:t>Pomaga to zapewnić terminowe dostarczanie wniosków z ewaluacji docelowym grupom odbiorców (klient, grupa sterująca zainteresowanych stron KSOW, Komisja Europejska).</w:t>
      </w:r>
    </w:p>
    <w:p w:rsidR="001924CD" w:rsidRPr="000A700F" w:rsidRDefault="001924CD" w:rsidP="00B51C05">
      <w:pPr>
        <w:pStyle w:val="HStandard"/>
        <w:rPr>
          <w:i/>
          <w:highlight w:val="yellow"/>
        </w:rPr>
      </w:pPr>
      <w:r>
        <w:rPr>
          <w:i/>
          <w:highlight w:val="yellow"/>
        </w:rPr>
        <w:t xml:space="preserve">Rozszerzone roczne sprawozdanie z wykonania z roku 2017 i 2019 powinno zawierać w punkcie 2 informacje na temat zarządzania ewaluacją KSOW i czynności przeprowadzonych w związku z ewaluacją KSOW (w ramach PROW lub na zasadzie samodzielnej oceny), w tym z zakresu gromadzenia danych, rozpowszechniania, komunikacji i monitorowania realizacji wniosków z ewaluacji. </w:t>
      </w:r>
    </w:p>
    <w:p w:rsidR="001924CD" w:rsidRPr="000A700F" w:rsidRDefault="001924CD" w:rsidP="00B51C05">
      <w:pPr>
        <w:pStyle w:val="HStandard"/>
        <w:rPr>
          <w:i/>
          <w:highlight w:val="yellow"/>
        </w:rPr>
      </w:pPr>
      <w:r>
        <w:rPr>
          <w:i/>
          <w:highlight w:val="yellow"/>
        </w:rPr>
        <w:t xml:space="preserve">Punkt 7 rocznego sprawozdania z wykonania za 2017 r. powinien zawierać informacje o zmianach kontekstu funkcjonowania sieci, jej wynikach (w oparciu o dodatkowe i specyficzne dla programu wskaźniki rezultatu), a także odpowiedź na wspólne pytanie ewaluacyjne nr 21 i wszelkie specyficzne dla programu pytania ewaluacyjne opracowane w państwie członkowskim, a dotyczące KSOW. Ewaluatorzy powinni posłużyć się dodatkowymi wskaźnikami rezultatu, aby odpowiedzieć na wspólne pytanie ewaluacyjne. Odpowiedzi na specyficzne dla programu pytania ewaluacyjne należy udzielić za pomocą specyficznych dla programu wskaźników KSOW, które powinny być również opracowane w państwie członkowskim (zob. rozdział 2.2.2 wytycznych). </w:t>
      </w:r>
    </w:p>
    <w:p w:rsidR="001924CD" w:rsidRPr="000A700F" w:rsidRDefault="001924CD" w:rsidP="00B51C05">
      <w:pPr>
        <w:pStyle w:val="HStandard"/>
        <w:rPr>
          <w:i/>
          <w:highlight w:val="yellow"/>
        </w:rPr>
      </w:pPr>
      <w:r>
        <w:rPr>
          <w:i/>
          <w:highlight w:val="yellow"/>
        </w:rPr>
        <w:t xml:space="preserve">Poza informacjami udzielonymi w sprawozdaniu za 2017 r. punkt 7 rozszerzonego rocznego sprawozdania za 2019 r. powinien informować o oddziaływaniu KSOW w oparciu o dodatkowe lub specyficzne dla programu wskaźniki oddziaływania (zob. rozdział 2.2.2 wytycznych). W obu sprawozdaniach należy przedstawić zalecenia dotyczące możliwości optymalizacji interwencji KSOW. </w:t>
      </w:r>
    </w:p>
    <w:p w:rsidR="001924CD" w:rsidRPr="000A700F" w:rsidRDefault="001924CD" w:rsidP="00B51C05">
      <w:pPr>
        <w:pStyle w:val="HStandard"/>
        <w:rPr>
          <w:i/>
          <w:highlight w:val="yellow"/>
        </w:rPr>
      </w:pPr>
      <w:r>
        <w:rPr>
          <w:i/>
          <w:highlight w:val="yellow"/>
        </w:rPr>
        <w:t>Ocena ex post w 2024 r. powinna obejmować wnioski z ewaluacji dotyczące następujących zagadnień:</w:t>
      </w:r>
    </w:p>
    <w:p w:rsidR="001924CD" w:rsidRPr="000A700F" w:rsidRDefault="001924CD" w:rsidP="00B51C05">
      <w:pPr>
        <w:pStyle w:val="Hlistbullet2"/>
        <w:rPr>
          <w:i/>
          <w:highlight w:val="yellow"/>
        </w:rPr>
      </w:pPr>
      <w:r>
        <w:rPr>
          <w:i/>
          <w:highlight w:val="yellow"/>
        </w:rPr>
        <w:t>skutki działań KSOW, mechanizmy oddziaływania, przypisywanie sieci odpowiedzialności za zmiany, nieoczekiwane skutki,</w:t>
      </w:r>
    </w:p>
    <w:p w:rsidR="001924CD" w:rsidRPr="000A700F" w:rsidRDefault="001924CD" w:rsidP="00B51C05">
      <w:pPr>
        <w:pStyle w:val="Hlistbullet2"/>
        <w:rPr>
          <w:i/>
          <w:highlight w:val="yellow"/>
        </w:rPr>
      </w:pPr>
      <w:r>
        <w:rPr>
          <w:i/>
          <w:highlight w:val="yellow"/>
        </w:rPr>
        <w:t>zalecenia dotyczące sposobu optymalizacji usług i działań KSOW w przyszłości.</w:t>
      </w:r>
    </w:p>
    <w:p w:rsidR="001924CD" w:rsidRPr="000A700F" w:rsidRDefault="001924CD" w:rsidP="006A099F">
      <w:pPr>
        <w:pStyle w:val="HHeading5"/>
        <w:rPr>
          <w:highlight w:val="yellow"/>
        </w:rPr>
      </w:pPr>
      <w:bookmarkStart w:id="343" w:name="_Toc422307929"/>
      <w:r>
        <w:rPr>
          <w:highlight w:val="yellow"/>
        </w:rPr>
        <w:t>Pytania ewaluacyjne</w:t>
      </w:r>
      <w:bookmarkEnd w:id="343"/>
      <w:r>
        <w:rPr>
          <w:highlight w:val="yellow"/>
        </w:rPr>
        <w:t xml:space="preserve"> </w:t>
      </w:r>
    </w:p>
    <w:p w:rsidR="001924CD" w:rsidRPr="000A700F" w:rsidRDefault="001924CD" w:rsidP="00B51C05">
      <w:pPr>
        <w:pStyle w:val="HStandard"/>
        <w:rPr>
          <w:highlight w:val="yellow"/>
        </w:rPr>
      </w:pPr>
      <w:r>
        <w:rPr>
          <w:highlight w:val="yellow"/>
        </w:rPr>
        <w:t xml:space="preserve">Pytania ewaluacyjne w SIWZ określają przedmiot ewaluacji i przyczyniają się do lepszego ukierunkowania działań ewaluacyjnych. Specyfikacja powinna określać pytania ewaluacyjne, na jakie należy udzielić odpowiedzi: </w:t>
      </w:r>
    </w:p>
    <w:p w:rsidR="001924CD" w:rsidRPr="000A700F" w:rsidRDefault="001924CD" w:rsidP="001924CD">
      <w:pPr>
        <w:pStyle w:val="Hlistabc"/>
        <w:numPr>
          <w:ilvl w:val="0"/>
          <w:numId w:val="19"/>
        </w:numPr>
        <w:rPr>
          <w:highlight w:val="yellow"/>
        </w:rPr>
      </w:pPr>
      <w:r>
        <w:rPr>
          <w:highlight w:val="yellow"/>
        </w:rPr>
        <w:t>Wspólne pytanie ewaluacyjne nr 21</w:t>
      </w:r>
      <w:r>
        <w:rPr>
          <w:rFonts w:ascii="ZWAdobeF" w:hAnsi="ZWAdobeF"/>
          <w:color w:val="auto"/>
          <w:sz w:val="2"/>
          <w:highlight w:val="yellow"/>
        </w:rPr>
        <w:t>122F</w:t>
      </w:r>
      <w:r>
        <w:rPr>
          <w:rStyle w:val="FootnoteReference"/>
          <w:highlight w:val="yellow"/>
        </w:rPr>
        <w:footnoteReference w:id="123"/>
      </w:r>
      <w:r>
        <w:rPr>
          <w:highlight w:val="yellow"/>
        </w:rPr>
        <w:t xml:space="preserve"> jest związane z czterema wspólnymi, ogólnymi celami KSOW </w:t>
      </w:r>
    </w:p>
    <w:p w:rsidR="001924CD" w:rsidRPr="000A700F" w:rsidRDefault="001924CD" w:rsidP="00B51C05">
      <w:pPr>
        <w:pStyle w:val="Hlistabc2"/>
        <w:rPr>
          <w:highlight w:val="yellow"/>
        </w:rPr>
      </w:pPr>
      <w:r>
        <w:rPr>
          <w:highlight w:val="yellow"/>
        </w:rPr>
        <w:t xml:space="preserve">Pytania ewaluacyjne specyficzne dla programu (PESP) wiążą się ze specyficznymi dla programu celami KSOW, które zostały określone w państwie członkowskim. </w:t>
      </w:r>
    </w:p>
    <w:p w:rsidR="001924CD" w:rsidRPr="000A700F" w:rsidRDefault="001924CD" w:rsidP="00B51C05">
      <w:pPr>
        <w:pStyle w:val="HStandard"/>
        <w:rPr>
          <w:highlight w:val="yellow"/>
        </w:rPr>
      </w:pPr>
      <w:r>
        <w:rPr>
          <w:highlight w:val="yellow"/>
        </w:rPr>
        <w:t>Pytania ewaluacyjne określają główne zagadnienia, jakie mają być przedmiotem ewaluacji. Są one opracowywane i porządkowane według ważności przez instytucję zarządzającą i inne zainteresowane strony. Do każdego zadania ewaluacyjnego (opisanego w poprzedniej części) przyporządkowane są jedno lub dwa pytania ewaluacyjne.</w:t>
      </w:r>
    </w:p>
    <w:p w:rsidR="001924CD" w:rsidRPr="000A700F" w:rsidRDefault="001924CD" w:rsidP="00B51C05">
      <w:pPr>
        <w:pStyle w:val="HStandard"/>
        <w:rPr>
          <w:highlight w:val="yellow"/>
        </w:rPr>
      </w:pPr>
      <w:r>
        <w:rPr>
          <w:highlight w:val="yellow"/>
        </w:rPr>
        <w:t xml:space="preserve">Pytania ewaluacyjne pomagają ukierunkować i uporządkować ewaluację oraz ją zaplanować, a także ułatwiają wybór metod ewaluacji i dostarczają danych do dyskusji na temat możliwości wykorzystania wyników ewaluacji do udoskonalenia interwencji. Pytania ewaluacyjne są powiązane z celami KSOW lub konkretnymi zagadnieniami, które wymagają oceny. Pytania te należy doprecyzować w oparciu o kryteria oceny, które są powiązane ze wskaźnikami wykorzystywanymi przy udzielaniu odpowiedzi na pytania ewaluacyjne. Zachęca się ewaluatorów do proponowania dodatkowych kryteriów oceny i wskaźników dla istniejących pytań ewaluacyjnych, a także do opracowywania dodatkowych pytań specyficznych dla programu, jeśli miałoby to poprawiać jakość ewaluacji.  </w:t>
      </w:r>
    </w:p>
    <w:p w:rsidR="001924CD" w:rsidRPr="000A700F" w:rsidRDefault="001924CD" w:rsidP="00B51C05">
      <w:pPr>
        <w:pStyle w:val="HStandard"/>
        <w:rPr>
          <w:i/>
          <w:highlight w:val="yellow"/>
        </w:rPr>
      </w:pPr>
      <w:r>
        <w:rPr>
          <w:i/>
          <w:highlight w:val="yellow"/>
        </w:rPr>
        <w:lastRenderedPageBreak/>
        <w:t xml:space="preserve">Przykład </w:t>
      </w:r>
      <w:r>
        <w:rPr>
          <w:b/>
          <w:i/>
          <w:highlight w:val="yellow"/>
        </w:rPr>
        <w:t>specyficznych dla programu pytań ewaluacyjnych powiązanych ze specyficznymi dla programu celami KSOW.</w:t>
      </w:r>
    </w:p>
    <w:p w:rsidR="001924CD" w:rsidRPr="000A700F" w:rsidRDefault="001924CD" w:rsidP="00B51C05">
      <w:pPr>
        <w:pStyle w:val="HStandard"/>
        <w:rPr>
          <w:i/>
          <w:highlight w:val="yellow"/>
        </w:rPr>
      </w:pPr>
      <w:r>
        <w:rPr>
          <w:i/>
          <w:highlight w:val="yellow"/>
        </w:rPr>
        <w:t>Specyficznym dla programu celem KSOW jest: „Poprawa współpracy między zainteresowanymi stronami na obszarach wiejskich dzięki działalności KSOW”.</w:t>
      </w:r>
    </w:p>
    <w:p w:rsidR="001924CD" w:rsidRPr="000A700F" w:rsidRDefault="001924CD" w:rsidP="00B51C05">
      <w:pPr>
        <w:pStyle w:val="HStandard"/>
        <w:rPr>
          <w:i/>
          <w:highlight w:val="yellow"/>
        </w:rPr>
      </w:pPr>
      <w:r>
        <w:rPr>
          <w:i/>
          <w:highlight w:val="yellow"/>
        </w:rPr>
        <w:t>Specyficzne dla programu pytanie ewaluacyjne KSOW: „W jakim stopniu działalność KSOW przyczyniła się do poprawy komunikacji między zainteresowanymi stronami na obszarach wiejskich?”</w:t>
      </w:r>
    </w:p>
    <w:p w:rsidR="001924CD" w:rsidRPr="000A700F" w:rsidRDefault="001924CD" w:rsidP="00B51C05">
      <w:pPr>
        <w:pStyle w:val="HStandard"/>
        <w:rPr>
          <w:i/>
          <w:highlight w:val="yellow"/>
        </w:rPr>
      </w:pPr>
      <w:r>
        <w:rPr>
          <w:i/>
          <w:highlight w:val="yellow"/>
        </w:rPr>
        <w:t>Kryteria oceny: Poprawiła się współpraca pomiędzy zainteresowanymi stronami.</w:t>
      </w:r>
    </w:p>
    <w:p w:rsidR="001924CD" w:rsidRPr="000A700F" w:rsidRDefault="001924CD" w:rsidP="00B51C05">
      <w:pPr>
        <w:pStyle w:val="HStandard"/>
        <w:rPr>
          <w:i/>
          <w:highlight w:val="yellow"/>
        </w:rPr>
      </w:pPr>
      <w:r>
        <w:rPr>
          <w:i/>
          <w:highlight w:val="yellow"/>
        </w:rPr>
        <w:t>Wskaźnik: liczba projektów współpracy nawiązanej/wdrożonej dzięki działalności KSOW.</w:t>
      </w:r>
    </w:p>
    <w:p w:rsidR="001924CD" w:rsidRPr="000A700F" w:rsidRDefault="001924CD" w:rsidP="00B51C05">
      <w:pPr>
        <w:pStyle w:val="HStandard"/>
        <w:rPr>
          <w:i/>
          <w:highlight w:val="yellow"/>
        </w:rPr>
      </w:pPr>
      <w:r>
        <w:rPr>
          <w:i/>
          <w:highlight w:val="yellow"/>
        </w:rPr>
        <w:t xml:space="preserve">Przykłady </w:t>
      </w:r>
      <w:r>
        <w:rPr>
          <w:b/>
          <w:i/>
          <w:highlight w:val="yellow"/>
        </w:rPr>
        <w:t>specyficznych dla programu pytań ewaluacyjnych powiązanych z konkretnym tematem ewaluacji</w:t>
      </w:r>
      <w:r>
        <w:rPr>
          <w:i/>
          <w:highlight w:val="yellow"/>
        </w:rPr>
        <w:t>:</w:t>
      </w:r>
    </w:p>
    <w:p w:rsidR="001924CD" w:rsidRPr="000A700F" w:rsidRDefault="001924CD" w:rsidP="00B51C05">
      <w:pPr>
        <w:pStyle w:val="HStandard"/>
        <w:rPr>
          <w:i/>
          <w:highlight w:val="yellow"/>
        </w:rPr>
      </w:pPr>
      <w:r>
        <w:rPr>
          <w:i/>
          <w:highlight w:val="yellow"/>
        </w:rPr>
        <w:t>Temat: Zarządzanie i realizacja KSOW</w:t>
      </w:r>
    </w:p>
    <w:p w:rsidR="001924CD" w:rsidRPr="000A700F" w:rsidRDefault="001924CD" w:rsidP="00B51C05">
      <w:pPr>
        <w:pStyle w:val="HStandard"/>
        <w:rPr>
          <w:i/>
          <w:highlight w:val="yellow"/>
        </w:rPr>
      </w:pPr>
      <w:r>
        <w:rPr>
          <w:i/>
          <w:highlight w:val="yellow"/>
        </w:rPr>
        <w:t>Specyficzne dla programu pytanie ewaluacyjne KSOW: „Czy system zarządzania i realizacji KSOW jest skuteczny?”</w:t>
      </w:r>
    </w:p>
    <w:p w:rsidR="001924CD" w:rsidRPr="000A700F" w:rsidRDefault="001924CD" w:rsidP="00B51C05">
      <w:pPr>
        <w:pStyle w:val="HStandard"/>
        <w:rPr>
          <w:i/>
          <w:highlight w:val="yellow"/>
        </w:rPr>
      </w:pPr>
      <w:r>
        <w:rPr>
          <w:i/>
          <w:highlight w:val="yellow"/>
        </w:rPr>
        <w:t>Kryteria oceny: System zarządzania i realizacji KSOW umożliwił udział szerokiego grona zainteresowanych stron w działalności KSOW.</w:t>
      </w:r>
    </w:p>
    <w:p w:rsidR="001924CD" w:rsidRPr="000A700F" w:rsidRDefault="001924CD" w:rsidP="00B51C05">
      <w:pPr>
        <w:pStyle w:val="HStandard"/>
        <w:rPr>
          <w:i/>
          <w:highlight w:val="yellow"/>
        </w:rPr>
      </w:pPr>
      <w:r>
        <w:rPr>
          <w:i/>
          <w:highlight w:val="yellow"/>
        </w:rPr>
        <w:t>Wskaźnik: liczba zainteresowanych stron zaangażowanych w działalność KSOW wg rodzaju.</w:t>
      </w:r>
    </w:p>
    <w:p w:rsidR="001924CD" w:rsidRPr="000A700F" w:rsidRDefault="001924CD" w:rsidP="006A099F">
      <w:pPr>
        <w:pStyle w:val="HHeading5"/>
        <w:rPr>
          <w:highlight w:val="yellow"/>
        </w:rPr>
      </w:pPr>
      <w:bookmarkStart w:id="344" w:name="_Toc422307930"/>
      <w:r>
        <w:rPr>
          <w:highlight w:val="yellow"/>
        </w:rPr>
        <w:t>Podejście metodologiczne</w:t>
      </w:r>
      <w:bookmarkEnd w:id="344"/>
    </w:p>
    <w:p w:rsidR="001924CD" w:rsidRPr="000A700F" w:rsidRDefault="001924CD" w:rsidP="00B51C05">
      <w:pPr>
        <w:pStyle w:val="HStandard"/>
        <w:rPr>
          <w:highlight w:val="yellow"/>
        </w:rPr>
      </w:pPr>
      <w:r>
        <w:rPr>
          <w:highlight w:val="yellow"/>
        </w:rPr>
        <w:t xml:space="preserve">Celem tej części jest określenie metody ewaluacji. Cel ten można osiągnąć na dwa sposoby: zwracając się do oferentów o opisanie w ofercie proponowanego podejścia metodologicznego w odniesieniu do tematów i czynności ewaluacji lub żądając od wykonawców zastosowania określonych metod. Ogólnie zaleca się, aby wykonawca miał swobodę w wyborze podejścia do oceny osiągnięć, rezultatów i oddziaływania KSOW oraz mógł stosować metody, które uważa za wystarczająco skuteczne w odniesieniu do ewaluacji KSOW. Wykonawca powinien zawrzeć w ofercie szczegółowy opis wybranego podejścia i metody. W każdym przypadku zaleca się, aby IZ wykształciła odpowiednie możliwości oceny jakości przyjętego podejścia i solidności metody. </w:t>
      </w:r>
    </w:p>
    <w:p w:rsidR="001924CD" w:rsidRPr="000A700F" w:rsidRDefault="001924CD" w:rsidP="00B51C05">
      <w:pPr>
        <w:pStyle w:val="HStandard"/>
        <w:rPr>
          <w:i/>
          <w:highlight w:val="yellow"/>
        </w:rPr>
      </w:pPr>
      <w:r>
        <w:rPr>
          <w:i/>
          <w:highlight w:val="yellow"/>
        </w:rPr>
        <w:t>Przykład:</w:t>
      </w:r>
    </w:p>
    <w:p w:rsidR="001924CD" w:rsidRPr="000A700F" w:rsidRDefault="001924CD" w:rsidP="00B51C05">
      <w:pPr>
        <w:pStyle w:val="HStandard"/>
        <w:rPr>
          <w:i/>
          <w:highlight w:val="yellow"/>
        </w:rPr>
      </w:pPr>
      <w:r>
        <w:rPr>
          <w:i/>
          <w:highlight w:val="yellow"/>
        </w:rPr>
        <w:t>Należy mieć na uwadze, że sieci obszarów wiejskich są przykładami „miękkich” działań, których skutki często trudno poddają się ocenie. Następujące metody mogą być stosowane przy ewaluacji KSOW/PKSOW:</w:t>
      </w:r>
    </w:p>
    <w:p w:rsidR="001924CD" w:rsidRPr="000A700F" w:rsidRDefault="001924CD" w:rsidP="00B51C05">
      <w:pPr>
        <w:pStyle w:val="Hlistbullet2"/>
        <w:rPr>
          <w:i/>
          <w:highlight w:val="yellow"/>
        </w:rPr>
      </w:pPr>
      <w:r>
        <w:rPr>
          <w:i/>
          <w:highlight w:val="yellow"/>
        </w:rPr>
        <w:t>Analiza teoretyczna danych z monitorowania</w:t>
      </w:r>
    </w:p>
    <w:p w:rsidR="001924CD" w:rsidRPr="000A700F" w:rsidRDefault="001924CD" w:rsidP="00B51C05">
      <w:pPr>
        <w:pStyle w:val="Hlistbullet2"/>
        <w:rPr>
          <w:i/>
          <w:highlight w:val="yellow"/>
        </w:rPr>
      </w:pPr>
      <w:r>
        <w:rPr>
          <w:i/>
          <w:highlight w:val="yellow"/>
        </w:rPr>
        <w:t>Zastosowanie podejścia teoretycznego w celu opracowania logiki interwencji i ram ewaluacji (np. teoria zmiany)</w:t>
      </w:r>
    </w:p>
    <w:p w:rsidR="001924CD" w:rsidRPr="000A700F" w:rsidRDefault="001924CD" w:rsidP="00B51C05">
      <w:pPr>
        <w:pStyle w:val="Hlistbullet2"/>
        <w:rPr>
          <w:i/>
          <w:highlight w:val="yellow"/>
        </w:rPr>
      </w:pPr>
      <w:r>
        <w:rPr>
          <w:i/>
          <w:highlight w:val="yellow"/>
        </w:rPr>
        <w:t>Studia przypadku</w:t>
      </w:r>
      <w:r>
        <w:rPr>
          <w:rFonts w:ascii="ZWAdobeF" w:hAnsi="ZWAdobeF"/>
          <w:color w:val="auto"/>
          <w:sz w:val="2"/>
          <w:highlight w:val="yellow"/>
        </w:rPr>
        <w:t>123F</w:t>
      </w:r>
      <w:r>
        <w:rPr>
          <w:rStyle w:val="FootnoteReference"/>
          <w:highlight w:val="yellow"/>
        </w:rPr>
        <w:footnoteReference w:id="124"/>
      </w:r>
    </w:p>
    <w:p w:rsidR="001924CD" w:rsidRPr="000A700F" w:rsidRDefault="001924CD" w:rsidP="00B51C05">
      <w:pPr>
        <w:pStyle w:val="Hlistbullet2"/>
        <w:rPr>
          <w:i/>
          <w:highlight w:val="yellow"/>
        </w:rPr>
      </w:pPr>
      <w:r>
        <w:rPr>
          <w:i/>
          <w:highlight w:val="yellow"/>
        </w:rPr>
        <w:t>Oceny uczestników na miejscu, obserwacje podczas imprez</w:t>
      </w:r>
    </w:p>
    <w:p w:rsidR="001924CD" w:rsidRPr="000A700F" w:rsidRDefault="001924CD" w:rsidP="00B51C05">
      <w:pPr>
        <w:pStyle w:val="Hlistbullet2"/>
        <w:rPr>
          <w:i/>
          <w:highlight w:val="yellow"/>
        </w:rPr>
      </w:pPr>
      <w:r>
        <w:rPr>
          <w:i/>
          <w:highlight w:val="yellow"/>
        </w:rPr>
        <w:t>Ankiety z udziałem szerszej grupy zainteresowanych stron</w:t>
      </w:r>
    </w:p>
    <w:p w:rsidR="001924CD" w:rsidRPr="000A700F" w:rsidRDefault="001924CD" w:rsidP="00B51C05">
      <w:pPr>
        <w:pStyle w:val="Hlistbullet2"/>
        <w:rPr>
          <w:i/>
          <w:highlight w:val="yellow"/>
        </w:rPr>
      </w:pPr>
      <w:r>
        <w:rPr>
          <w:i/>
          <w:highlight w:val="yellow"/>
        </w:rPr>
        <w:lastRenderedPageBreak/>
        <w:t>Wywiady pogłębione i grupy fokusowe</w:t>
      </w:r>
      <w:r>
        <w:rPr>
          <w:rFonts w:ascii="ZWAdobeF" w:hAnsi="ZWAdobeF"/>
          <w:color w:val="auto"/>
          <w:sz w:val="2"/>
          <w:highlight w:val="yellow"/>
        </w:rPr>
        <w:t>124F</w:t>
      </w:r>
      <w:r>
        <w:rPr>
          <w:rStyle w:val="FootnoteReference"/>
          <w:highlight w:val="yellow"/>
        </w:rPr>
        <w:footnoteReference w:id="125"/>
      </w:r>
      <w:r>
        <w:rPr>
          <w:i/>
          <w:highlight w:val="yellow"/>
        </w:rPr>
        <w:t xml:space="preserve"> </w:t>
      </w:r>
    </w:p>
    <w:p w:rsidR="001924CD" w:rsidRPr="000A700F" w:rsidRDefault="001924CD" w:rsidP="00B51C05">
      <w:pPr>
        <w:pStyle w:val="Hlistbullet2"/>
        <w:rPr>
          <w:i/>
          <w:highlight w:val="yellow"/>
        </w:rPr>
      </w:pPr>
      <w:r>
        <w:rPr>
          <w:i/>
          <w:highlight w:val="yellow"/>
        </w:rPr>
        <w:t>Analiza zainteresowanych stron</w:t>
      </w:r>
      <w:r>
        <w:rPr>
          <w:rFonts w:ascii="ZWAdobeF" w:hAnsi="ZWAdobeF"/>
          <w:color w:val="auto"/>
          <w:sz w:val="2"/>
          <w:highlight w:val="yellow"/>
        </w:rPr>
        <w:t>125F</w:t>
      </w:r>
      <w:r>
        <w:rPr>
          <w:rStyle w:val="FootnoteReference"/>
          <w:highlight w:val="yellow"/>
        </w:rPr>
        <w:footnoteReference w:id="126"/>
      </w:r>
      <w:r>
        <w:rPr>
          <w:i/>
          <w:highlight w:val="yellow"/>
        </w:rPr>
        <w:t xml:space="preserve"> </w:t>
      </w:r>
    </w:p>
    <w:p w:rsidR="001924CD" w:rsidRPr="000A700F" w:rsidRDefault="001924CD" w:rsidP="00B51C05">
      <w:pPr>
        <w:pStyle w:val="Hlistbullet2"/>
        <w:rPr>
          <w:i/>
          <w:highlight w:val="yellow"/>
        </w:rPr>
      </w:pPr>
      <w:r>
        <w:rPr>
          <w:i/>
          <w:highlight w:val="yellow"/>
        </w:rPr>
        <w:t>Analiza funkcjonalna sieci</w:t>
      </w:r>
      <w:r>
        <w:rPr>
          <w:rFonts w:ascii="ZWAdobeF" w:hAnsi="ZWAdobeF"/>
          <w:color w:val="auto"/>
          <w:sz w:val="2"/>
          <w:highlight w:val="yellow"/>
        </w:rPr>
        <w:t>126F</w:t>
      </w:r>
      <w:r>
        <w:rPr>
          <w:rStyle w:val="FootnoteReference"/>
          <w:highlight w:val="yellow"/>
        </w:rPr>
        <w:footnoteReference w:id="127"/>
      </w:r>
    </w:p>
    <w:p w:rsidR="001924CD" w:rsidRPr="000A700F" w:rsidRDefault="001924CD" w:rsidP="00B51C05">
      <w:pPr>
        <w:pStyle w:val="Hlistbullet2"/>
        <w:rPr>
          <w:i/>
          <w:highlight w:val="yellow"/>
        </w:rPr>
      </w:pPr>
      <w:r>
        <w:rPr>
          <w:i/>
          <w:highlight w:val="yellow"/>
        </w:rPr>
        <w:t>Diagnoza sieci i organizacji</w:t>
      </w:r>
      <w:r>
        <w:rPr>
          <w:rFonts w:ascii="ZWAdobeF" w:hAnsi="ZWAdobeF"/>
          <w:color w:val="auto"/>
          <w:sz w:val="2"/>
          <w:highlight w:val="yellow"/>
        </w:rPr>
        <w:t>127F</w:t>
      </w:r>
      <w:r>
        <w:rPr>
          <w:rStyle w:val="FootnoteReference"/>
          <w:highlight w:val="yellow"/>
        </w:rPr>
        <w:footnoteReference w:id="128"/>
      </w:r>
    </w:p>
    <w:p w:rsidR="001924CD" w:rsidRPr="000A700F" w:rsidRDefault="001924CD" w:rsidP="00B51C05">
      <w:pPr>
        <w:pStyle w:val="Hlistbullet2"/>
        <w:rPr>
          <w:highlight w:val="yellow"/>
        </w:rPr>
      </w:pPr>
      <w:r>
        <w:rPr>
          <w:i/>
          <w:highlight w:val="yellow"/>
        </w:rPr>
        <w:t>Społeczna analiza sieci</w:t>
      </w:r>
      <w:r>
        <w:rPr>
          <w:rFonts w:ascii="ZWAdobeF" w:hAnsi="ZWAdobeF"/>
          <w:color w:val="auto"/>
          <w:sz w:val="2"/>
          <w:highlight w:val="yellow"/>
        </w:rPr>
        <w:t>128F</w:t>
      </w:r>
      <w:r>
        <w:rPr>
          <w:rStyle w:val="FootnoteReference"/>
          <w:highlight w:val="yellow"/>
        </w:rPr>
        <w:footnoteReference w:id="129"/>
      </w:r>
      <w:r>
        <w:rPr>
          <w:i/>
          <w:highlight w:val="yellow"/>
        </w:rPr>
        <w:t>.</w:t>
      </w:r>
    </w:p>
    <w:p w:rsidR="001924CD" w:rsidRPr="000A700F" w:rsidRDefault="001924CD" w:rsidP="006A099F">
      <w:pPr>
        <w:pStyle w:val="HHeading5"/>
        <w:rPr>
          <w:highlight w:val="yellow"/>
        </w:rPr>
      </w:pPr>
      <w:bookmarkStart w:id="345" w:name="_Toc422307931"/>
      <w:r>
        <w:rPr>
          <w:highlight w:val="yellow"/>
        </w:rPr>
        <w:t>Źródła informacji</w:t>
      </w:r>
      <w:bookmarkEnd w:id="345"/>
    </w:p>
    <w:p w:rsidR="001924CD" w:rsidRPr="000A700F" w:rsidRDefault="001924CD" w:rsidP="00B51C05">
      <w:pPr>
        <w:pStyle w:val="H-Standard"/>
        <w:rPr>
          <w:highlight w:val="yellow"/>
        </w:rPr>
      </w:pPr>
      <w:r>
        <w:rPr>
          <w:highlight w:val="yellow"/>
        </w:rPr>
        <w:t>Specyfikacja SIWZ powinna zawierać przegląd dostępnych źródeł danych i informacji istotnych z punktu widzenia ewaluacji. Obejmuje to wskazanie informacji zebranych za pośrednictwem systemu monitorowania, innych dostępnych baz danych i dokumentów, danych osób będących w posiadaniu informacji i jakie są możliwości ich oceny, a także odesłanie do wszelkich mających znaczenie dotychczasowych analiz i badań. Warto również wskazać, które informacje/dane nie są dostępne i powinny zostać zebrane przez ewaluatora. Informacje te są również niezbędne do realistycznej oceny oferty.</w:t>
      </w:r>
    </w:p>
    <w:p w:rsidR="001924CD" w:rsidRPr="000A700F" w:rsidRDefault="001924CD" w:rsidP="00B51C05">
      <w:pPr>
        <w:pStyle w:val="H-Standard"/>
        <w:rPr>
          <w:i/>
          <w:highlight w:val="yellow"/>
        </w:rPr>
      </w:pPr>
      <w:r>
        <w:rPr>
          <w:i/>
          <w:highlight w:val="yellow"/>
        </w:rPr>
        <w:t>Przykłady dostępnych źródeł danych i informacji</w:t>
      </w:r>
    </w:p>
    <w:p w:rsidR="001924CD" w:rsidRPr="000A700F" w:rsidRDefault="001924CD" w:rsidP="00B51C05">
      <w:pPr>
        <w:pStyle w:val="Hlistbullet2"/>
        <w:rPr>
          <w:i/>
          <w:highlight w:val="yellow"/>
        </w:rPr>
      </w:pPr>
      <w:r>
        <w:rPr>
          <w:i/>
          <w:highlight w:val="yellow"/>
        </w:rPr>
        <w:t>Studium wykonalności i ocena potrzeb w zakresie powstania KSOW</w:t>
      </w:r>
    </w:p>
    <w:p w:rsidR="001924CD" w:rsidRPr="000A700F" w:rsidRDefault="001924CD" w:rsidP="00B51C05">
      <w:pPr>
        <w:pStyle w:val="Hlistbullet2"/>
        <w:rPr>
          <w:i/>
          <w:highlight w:val="yellow"/>
        </w:rPr>
      </w:pPr>
      <w:r>
        <w:rPr>
          <w:i/>
          <w:highlight w:val="yellow"/>
        </w:rPr>
        <w:t>Plan działania KSOW, w tym plan budowania zdolności i plan komunikacji</w:t>
      </w:r>
    </w:p>
    <w:p w:rsidR="001924CD" w:rsidRPr="000A700F" w:rsidRDefault="001924CD" w:rsidP="00B51C05">
      <w:pPr>
        <w:pStyle w:val="Hlistbullet2"/>
        <w:rPr>
          <w:i/>
          <w:highlight w:val="yellow"/>
        </w:rPr>
      </w:pPr>
      <w:r>
        <w:rPr>
          <w:i/>
          <w:highlight w:val="yellow"/>
        </w:rPr>
        <w:t>Dane z samooceny KSOW</w:t>
      </w:r>
    </w:p>
    <w:p w:rsidR="001924CD" w:rsidRPr="000A700F" w:rsidRDefault="001924CD" w:rsidP="00B51C05">
      <w:pPr>
        <w:pStyle w:val="Hlistbullet2"/>
        <w:rPr>
          <w:i/>
          <w:highlight w:val="yellow"/>
        </w:rPr>
      </w:pPr>
      <w:r>
        <w:rPr>
          <w:i/>
          <w:highlight w:val="yellow"/>
        </w:rPr>
        <w:t>Baza danych projektów KSOW</w:t>
      </w:r>
    </w:p>
    <w:p w:rsidR="001924CD" w:rsidRPr="000A700F" w:rsidRDefault="001924CD" w:rsidP="00B51C05">
      <w:pPr>
        <w:pStyle w:val="Hlistbullet2"/>
        <w:rPr>
          <w:i/>
          <w:highlight w:val="yellow"/>
        </w:rPr>
      </w:pPr>
      <w:r>
        <w:rPr>
          <w:i/>
          <w:highlight w:val="yellow"/>
        </w:rPr>
        <w:t>Dane płatnicze dotyczące działań KSOW</w:t>
      </w:r>
    </w:p>
    <w:p w:rsidR="001924CD" w:rsidRPr="000A700F" w:rsidRDefault="001924CD" w:rsidP="00B51C05">
      <w:pPr>
        <w:pStyle w:val="Hlistbullet2"/>
        <w:rPr>
          <w:i/>
          <w:highlight w:val="yellow"/>
        </w:rPr>
      </w:pPr>
      <w:r>
        <w:rPr>
          <w:i/>
          <w:highlight w:val="yellow"/>
        </w:rPr>
        <w:t>Dane z monitorowania PROW (baza danych operacji)</w:t>
      </w:r>
    </w:p>
    <w:p w:rsidR="001924CD" w:rsidRPr="000A700F" w:rsidRDefault="001924CD" w:rsidP="00B51C05">
      <w:pPr>
        <w:pStyle w:val="Hlistbullet2"/>
        <w:rPr>
          <w:i/>
          <w:highlight w:val="yellow"/>
        </w:rPr>
      </w:pPr>
      <w:r>
        <w:rPr>
          <w:i/>
          <w:highlight w:val="yellow"/>
        </w:rPr>
        <w:t>Ewaluacja ex post KSOW w okresie programowania 2007-2013</w:t>
      </w:r>
    </w:p>
    <w:p w:rsidR="001924CD" w:rsidRPr="000A700F" w:rsidRDefault="001924CD" w:rsidP="006A099F">
      <w:pPr>
        <w:pStyle w:val="HHeading5"/>
        <w:rPr>
          <w:highlight w:val="yellow"/>
        </w:rPr>
      </w:pPr>
      <w:bookmarkStart w:id="346" w:name="_Toc422307932"/>
      <w:r>
        <w:rPr>
          <w:highlight w:val="yellow"/>
        </w:rPr>
        <w:t>Harmonogram i rezultaty</w:t>
      </w:r>
      <w:bookmarkEnd w:id="346"/>
    </w:p>
    <w:p w:rsidR="001924CD" w:rsidRPr="000A700F" w:rsidRDefault="001924CD" w:rsidP="00B51C05">
      <w:pPr>
        <w:pStyle w:val="H-Standard"/>
        <w:rPr>
          <w:highlight w:val="yellow"/>
        </w:rPr>
      </w:pPr>
      <w:r>
        <w:rPr>
          <w:highlight w:val="yellow"/>
        </w:rPr>
        <w:t>SIWZ określa czas trwania umowy na wykonanie ewaluacji i harmonogram realizacji. Należy również określić stałe etapy („kamienie milowe”) i terminy dostarczania rezultatów. SIWZ może ponadto określić cel i odbiorców głównych rezultatów.</w:t>
      </w:r>
    </w:p>
    <w:p w:rsidR="001924CD" w:rsidRPr="000A700F" w:rsidRDefault="001924CD" w:rsidP="00B51C05">
      <w:pPr>
        <w:pStyle w:val="H-Standard"/>
        <w:rPr>
          <w:highlight w:val="yellow"/>
        </w:rPr>
      </w:pPr>
      <w:r>
        <w:rPr>
          <w:highlight w:val="yellow"/>
        </w:rPr>
        <w:t xml:space="preserve">Należy dokładnie opisać oczekiwane rezultaty, ich długość, formę i treść (np. w sprawozdaniach z ewaluacji, standardowych i rozszerzonych sprawozdaniach z wykonania, streszczeniach (w języku angielskim), innych wymaganych materiałach mających na celu szersze rozpowszechnianie wyników ewaluacji). </w:t>
      </w:r>
    </w:p>
    <w:p w:rsidR="001924CD" w:rsidRPr="000A700F" w:rsidRDefault="001924CD" w:rsidP="00B51C05">
      <w:pPr>
        <w:pStyle w:val="H-Standard"/>
        <w:rPr>
          <w:highlight w:val="yellow"/>
        </w:rPr>
      </w:pPr>
      <w:r>
        <w:rPr>
          <w:highlight w:val="yellow"/>
        </w:rPr>
        <w:t>Związek między oczekiwanymi rezultatami i (okresowymi) płatnościami określony jest w ramach zawartych w SIWZ ustaleń dotyczących fakturowania.</w:t>
      </w:r>
    </w:p>
    <w:p w:rsidR="001924CD" w:rsidRPr="000A700F" w:rsidRDefault="001924CD" w:rsidP="00B51C05">
      <w:pPr>
        <w:pStyle w:val="H-Standard"/>
        <w:rPr>
          <w:i/>
          <w:highlight w:val="yellow"/>
        </w:rPr>
      </w:pPr>
      <w:r>
        <w:rPr>
          <w:i/>
          <w:highlight w:val="yellow"/>
        </w:rPr>
        <w:t>Przykład:</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555"/>
        <w:gridCol w:w="2254"/>
        <w:gridCol w:w="3699"/>
      </w:tblGrid>
      <w:tr w:rsidR="001924CD" w:rsidRPr="000A700F" w:rsidTr="00754C47">
        <w:trPr>
          <w:tblHeader/>
          <w:jc w:val="center"/>
        </w:trPr>
        <w:tc>
          <w:tcPr>
            <w:tcW w:w="1555" w:type="dxa"/>
            <w:shd w:val="clear" w:color="auto" w:fill="E7E6E6" w:themeFill="background2"/>
          </w:tcPr>
          <w:p w:rsidR="001924CD" w:rsidRPr="000A700F" w:rsidRDefault="001924CD" w:rsidP="00B51C05">
            <w:pPr>
              <w:pStyle w:val="H-Standard"/>
              <w:jc w:val="center"/>
              <w:rPr>
                <w:b/>
                <w:i/>
                <w:color w:val="5B9BD5" w:themeColor="accent1"/>
                <w:sz w:val="18"/>
                <w:highlight w:val="yellow"/>
              </w:rPr>
            </w:pPr>
            <w:r>
              <w:rPr>
                <w:b/>
                <w:i/>
                <w:color w:val="5B9BD5" w:themeColor="accent1"/>
                <w:sz w:val="18"/>
                <w:highlight w:val="yellow"/>
              </w:rPr>
              <w:lastRenderedPageBreak/>
              <w:t>Terminy</w:t>
            </w:r>
          </w:p>
        </w:tc>
        <w:tc>
          <w:tcPr>
            <w:tcW w:w="2254" w:type="dxa"/>
            <w:shd w:val="clear" w:color="auto" w:fill="E7E6E6" w:themeFill="background2"/>
          </w:tcPr>
          <w:p w:rsidR="001924CD" w:rsidRPr="000A700F" w:rsidRDefault="001924CD" w:rsidP="00B51C05">
            <w:pPr>
              <w:pStyle w:val="H-Standard"/>
              <w:jc w:val="center"/>
              <w:rPr>
                <w:b/>
                <w:i/>
                <w:color w:val="5B9BD5" w:themeColor="accent1"/>
                <w:sz w:val="18"/>
                <w:highlight w:val="yellow"/>
              </w:rPr>
            </w:pPr>
            <w:r>
              <w:rPr>
                <w:b/>
                <w:i/>
                <w:color w:val="5B9BD5" w:themeColor="accent1"/>
                <w:sz w:val="18"/>
                <w:highlight w:val="yellow"/>
              </w:rPr>
              <w:t>Rezultat</w:t>
            </w:r>
          </w:p>
        </w:tc>
        <w:tc>
          <w:tcPr>
            <w:tcW w:w="3699" w:type="dxa"/>
            <w:shd w:val="clear" w:color="auto" w:fill="E7E6E6" w:themeFill="background2"/>
          </w:tcPr>
          <w:p w:rsidR="001924CD" w:rsidRPr="000A700F" w:rsidRDefault="001924CD" w:rsidP="00B51C05">
            <w:pPr>
              <w:pStyle w:val="H-Standard"/>
              <w:jc w:val="center"/>
              <w:rPr>
                <w:b/>
                <w:i/>
                <w:color w:val="5B9BD5" w:themeColor="accent1"/>
                <w:sz w:val="18"/>
                <w:highlight w:val="yellow"/>
              </w:rPr>
            </w:pPr>
            <w:r>
              <w:rPr>
                <w:b/>
                <w:i/>
                <w:color w:val="5B9BD5" w:themeColor="accent1"/>
                <w:sz w:val="18"/>
                <w:highlight w:val="yellow"/>
              </w:rPr>
              <w:t>Opis rezultatu</w:t>
            </w:r>
          </w:p>
        </w:tc>
      </w:tr>
      <w:tr w:rsidR="001924CD" w:rsidRPr="000A700F" w:rsidTr="00754C47">
        <w:trPr>
          <w:jc w:val="center"/>
        </w:trPr>
        <w:tc>
          <w:tcPr>
            <w:tcW w:w="1555" w:type="dxa"/>
          </w:tcPr>
          <w:p w:rsidR="001924CD" w:rsidRPr="000A700F" w:rsidRDefault="001924CD" w:rsidP="00445E97">
            <w:pPr>
              <w:pStyle w:val="H-Standard"/>
              <w:jc w:val="left"/>
              <w:rPr>
                <w:i/>
                <w:sz w:val="18"/>
                <w:highlight w:val="yellow"/>
              </w:rPr>
            </w:pPr>
            <w:r>
              <w:rPr>
                <w:i/>
                <w:sz w:val="18"/>
                <w:highlight w:val="yellow"/>
              </w:rPr>
              <w:t>Marzec 2017</w:t>
            </w:r>
          </w:p>
        </w:tc>
        <w:tc>
          <w:tcPr>
            <w:tcW w:w="2254" w:type="dxa"/>
          </w:tcPr>
          <w:p w:rsidR="001924CD" w:rsidRPr="000A700F" w:rsidRDefault="001924CD" w:rsidP="00445E97">
            <w:pPr>
              <w:pStyle w:val="H-Standard"/>
              <w:jc w:val="left"/>
              <w:rPr>
                <w:i/>
                <w:sz w:val="18"/>
                <w:highlight w:val="yellow"/>
              </w:rPr>
            </w:pPr>
            <w:r>
              <w:rPr>
                <w:i/>
                <w:sz w:val="18"/>
                <w:highlight w:val="yellow"/>
              </w:rPr>
              <w:t>Pierwsze sprawozdanie (max. 80 stron) zatwierdzone przez grupę sterującą.</w:t>
            </w:r>
          </w:p>
          <w:p w:rsidR="001924CD" w:rsidRPr="000A700F" w:rsidRDefault="001924CD" w:rsidP="00445E97">
            <w:pPr>
              <w:pStyle w:val="H-Standard"/>
              <w:jc w:val="left"/>
              <w:rPr>
                <w:i/>
                <w:sz w:val="18"/>
                <w:highlight w:val="yellow"/>
              </w:rPr>
            </w:pPr>
            <w:r>
              <w:rPr>
                <w:i/>
                <w:sz w:val="18"/>
                <w:highlight w:val="yellow"/>
              </w:rPr>
              <w:t>Pierwsze sprawozdanie powinno zawierać streszczenie (max. 4 strony), sygnaturę na okładce i standardową klauzulę o wyłączeniu odpowiedzialności.</w:t>
            </w:r>
          </w:p>
          <w:p w:rsidR="001924CD" w:rsidRPr="000A700F" w:rsidRDefault="001924CD" w:rsidP="00B51C05">
            <w:pPr>
              <w:pStyle w:val="H-Standard"/>
              <w:jc w:val="left"/>
              <w:rPr>
                <w:i/>
                <w:sz w:val="18"/>
                <w:highlight w:val="yellow"/>
              </w:rPr>
            </w:pPr>
            <w:r>
              <w:rPr>
                <w:i/>
                <w:sz w:val="18"/>
                <w:highlight w:val="yellow"/>
              </w:rPr>
              <w:t>Pierwsze sprawozdanie zostanie opublikowane w całości na stronie internetowej PROW.</w:t>
            </w:r>
          </w:p>
        </w:tc>
        <w:tc>
          <w:tcPr>
            <w:tcW w:w="3699" w:type="dxa"/>
          </w:tcPr>
          <w:p w:rsidR="001924CD" w:rsidRPr="000A700F" w:rsidRDefault="001924CD" w:rsidP="00445E97">
            <w:pPr>
              <w:pStyle w:val="H-Standard"/>
              <w:jc w:val="left"/>
              <w:rPr>
                <w:i/>
                <w:sz w:val="18"/>
                <w:highlight w:val="yellow"/>
              </w:rPr>
            </w:pPr>
            <w:r>
              <w:rPr>
                <w:i/>
                <w:sz w:val="18"/>
                <w:highlight w:val="yellow"/>
              </w:rPr>
              <w:t>Przegląd ram oceny i dostępności źródeł danych, w tym samooceny</w:t>
            </w:r>
          </w:p>
          <w:p w:rsidR="001924CD" w:rsidRPr="000A700F" w:rsidRDefault="001924CD" w:rsidP="00445E97">
            <w:pPr>
              <w:pStyle w:val="H-Standard"/>
              <w:jc w:val="left"/>
              <w:rPr>
                <w:i/>
                <w:sz w:val="18"/>
                <w:highlight w:val="yellow"/>
              </w:rPr>
            </w:pPr>
            <w:r>
              <w:rPr>
                <w:i/>
                <w:sz w:val="18"/>
                <w:highlight w:val="yellow"/>
              </w:rPr>
              <w:t>Przegląd systemu zarządzania i realizacji KSOW</w:t>
            </w:r>
          </w:p>
          <w:p w:rsidR="001924CD" w:rsidRPr="000A700F" w:rsidRDefault="001924CD" w:rsidP="00445E97">
            <w:pPr>
              <w:pStyle w:val="H-Standard"/>
              <w:jc w:val="left"/>
              <w:rPr>
                <w:i/>
                <w:sz w:val="18"/>
                <w:highlight w:val="yellow"/>
              </w:rPr>
            </w:pPr>
            <w:r>
              <w:rPr>
                <w:i/>
                <w:sz w:val="18"/>
                <w:highlight w:val="yellow"/>
              </w:rPr>
              <w:t>Przegląd adekwatności planowanych usług i działań KSOW</w:t>
            </w:r>
          </w:p>
          <w:p w:rsidR="001924CD" w:rsidRPr="000A700F" w:rsidRDefault="001924CD" w:rsidP="00445E97">
            <w:pPr>
              <w:pStyle w:val="H-Standard"/>
              <w:jc w:val="left"/>
              <w:rPr>
                <w:i/>
                <w:sz w:val="18"/>
                <w:highlight w:val="yellow"/>
              </w:rPr>
            </w:pPr>
            <w:r>
              <w:rPr>
                <w:i/>
                <w:sz w:val="18"/>
                <w:highlight w:val="yellow"/>
              </w:rPr>
              <w:t>Spójność z innymi sieciami na poziomie krajowym i europejskim</w:t>
            </w:r>
          </w:p>
          <w:p w:rsidR="001924CD" w:rsidRPr="000A700F" w:rsidRDefault="001924CD" w:rsidP="00445E97">
            <w:pPr>
              <w:pStyle w:val="H-Standard"/>
              <w:jc w:val="left"/>
              <w:rPr>
                <w:i/>
                <w:sz w:val="18"/>
                <w:highlight w:val="yellow"/>
              </w:rPr>
            </w:pPr>
            <w:r>
              <w:rPr>
                <w:i/>
                <w:sz w:val="18"/>
                <w:highlight w:val="yellow"/>
              </w:rPr>
              <w:t>Wyniki i produkty KSOW (z uwzględnieniem wskaźników produktu CMES)</w:t>
            </w:r>
          </w:p>
          <w:p w:rsidR="001924CD" w:rsidRPr="000A700F" w:rsidRDefault="001924CD" w:rsidP="00445E97">
            <w:pPr>
              <w:pStyle w:val="H-Standard"/>
              <w:jc w:val="left"/>
              <w:rPr>
                <w:i/>
                <w:sz w:val="18"/>
                <w:highlight w:val="yellow"/>
              </w:rPr>
            </w:pPr>
            <w:r>
              <w:rPr>
                <w:i/>
                <w:sz w:val="18"/>
                <w:highlight w:val="yellow"/>
              </w:rPr>
              <w:t>Zalecenia dotyczące sposobu optymalizacji usług i działań KSOW</w:t>
            </w:r>
          </w:p>
        </w:tc>
      </w:tr>
    </w:tbl>
    <w:p w:rsidR="001924CD" w:rsidRPr="000A700F" w:rsidRDefault="001924CD" w:rsidP="006A099F">
      <w:pPr>
        <w:pStyle w:val="HHeading5"/>
        <w:rPr>
          <w:highlight w:val="yellow"/>
        </w:rPr>
      </w:pPr>
      <w:bookmarkStart w:id="347" w:name="_Toc422307933"/>
      <w:r>
        <w:rPr>
          <w:highlight w:val="yellow"/>
        </w:rPr>
        <w:t>Zarządzanie umową na przeprowadzenie ewaluacji</w:t>
      </w:r>
      <w:bookmarkEnd w:id="347"/>
    </w:p>
    <w:p w:rsidR="001924CD" w:rsidRPr="000A700F" w:rsidRDefault="001924CD" w:rsidP="00B51C05">
      <w:pPr>
        <w:pStyle w:val="H-Standard"/>
        <w:rPr>
          <w:highlight w:val="yellow"/>
        </w:rPr>
      </w:pPr>
      <w:r>
        <w:rPr>
          <w:highlight w:val="yellow"/>
        </w:rPr>
        <w:t xml:space="preserve">Niniejsza część dotyczy obsługi umowy na przeprowadzenie ewaluacji i zarządzania nią. Jeśli istnieje grupa sterująca ds. ewaluacji, w SIWZ można zawrzeć wykaz jej członków i opisać ich konkretne role. </w:t>
      </w:r>
    </w:p>
    <w:p w:rsidR="001924CD" w:rsidRPr="000A700F" w:rsidRDefault="001924CD" w:rsidP="00B51C05">
      <w:pPr>
        <w:pStyle w:val="H-Standard"/>
        <w:rPr>
          <w:highlight w:val="yellow"/>
        </w:rPr>
      </w:pPr>
      <w:r>
        <w:rPr>
          <w:highlight w:val="yellow"/>
        </w:rPr>
        <w:t xml:space="preserve">Należy również określić, jak powinny przebiegać kontakty ewaluatorów z zamawiającym (np. osoby ds. kontaktów, częstotliwość spotkań, prezentacje dla konkretnych grup docelowych). </w:t>
      </w:r>
    </w:p>
    <w:p w:rsidR="001924CD" w:rsidRPr="000A700F" w:rsidRDefault="001924CD" w:rsidP="006A099F">
      <w:pPr>
        <w:pStyle w:val="HHeading5"/>
        <w:rPr>
          <w:highlight w:val="yellow"/>
        </w:rPr>
      </w:pPr>
      <w:bookmarkStart w:id="348" w:name="_Toc422307934"/>
      <w:r>
        <w:rPr>
          <w:highlight w:val="yellow"/>
        </w:rPr>
        <w:t>Budżet</w:t>
      </w:r>
      <w:bookmarkEnd w:id="348"/>
    </w:p>
    <w:p w:rsidR="001924CD" w:rsidRPr="000A700F" w:rsidRDefault="001924CD" w:rsidP="00B51C05">
      <w:pPr>
        <w:pStyle w:val="H-Standard"/>
        <w:rPr>
          <w:highlight w:val="yellow"/>
        </w:rPr>
      </w:pPr>
      <w:r>
        <w:rPr>
          <w:highlight w:val="yellow"/>
        </w:rPr>
        <w:t xml:space="preserve">Należy jasno określić budżet umowy na przeprowadzenie ewaluacji (osobno należy podać koszty nabycia danych). Za dobrą praktykę uznaje się wskazanie przez zamawiającego maksymalnego i minimalnego budżetu dla przetargu. Pozwala to ewaluatorom opracować realistyczną ofertę finansową. </w:t>
      </w:r>
    </w:p>
    <w:p w:rsidR="001924CD" w:rsidRPr="000A700F" w:rsidRDefault="001924CD" w:rsidP="006A099F">
      <w:pPr>
        <w:pStyle w:val="HHeading5"/>
        <w:rPr>
          <w:highlight w:val="yellow"/>
        </w:rPr>
      </w:pPr>
      <w:bookmarkStart w:id="349" w:name="_Toc422307935"/>
      <w:r>
        <w:rPr>
          <w:highlight w:val="yellow"/>
        </w:rPr>
        <w:t>Kwalifikacje zespołu</w:t>
      </w:r>
      <w:bookmarkEnd w:id="349"/>
    </w:p>
    <w:p w:rsidR="001924CD" w:rsidRPr="000A700F" w:rsidRDefault="001924CD" w:rsidP="00B51C05">
      <w:pPr>
        <w:pStyle w:val="H-Standard"/>
        <w:rPr>
          <w:highlight w:val="yellow"/>
        </w:rPr>
      </w:pPr>
      <w:r>
        <w:rPr>
          <w:highlight w:val="yellow"/>
        </w:rPr>
        <w:t xml:space="preserve">Wymagania dotyczące kwalifikacji zespołu ewaluacyjnego są ściśle związane z wybraną metodologią i potrzebami z zakresu zarządzania projektami. Często określa się kategorie ekspertów (np. wieloletnie doświadczenie zawodowe, stopnie naukowe). Bardziej elastyczne specyfikacje SIWZ ograniczają się do wskazania umiejętności i doświadczenia zespołu ogółem, bez określania wymagań dla poszczególnych stanowisk. Daje to wykonawcy lepszą możliwość doboru dobrze funkcjonującego zespołu. </w:t>
      </w:r>
    </w:p>
    <w:p w:rsidR="001924CD" w:rsidRPr="000A700F" w:rsidRDefault="001924CD" w:rsidP="00873F38">
      <w:pPr>
        <w:pStyle w:val="HHeading5"/>
        <w:rPr>
          <w:highlight w:val="yellow"/>
        </w:rPr>
      </w:pPr>
      <w:bookmarkStart w:id="350" w:name="_Toc422307937"/>
      <w:bookmarkStart w:id="351" w:name="_Toc422307936"/>
      <w:r>
        <w:rPr>
          <w:highlight w:val="yellow"/>
        </w:rPr>
        <w:t>Kryteria wykluczenia, wyboru i udzielenia zamówienia</w:t>
      </w:r>
      <w:bookmarkEnd w:id="350"/>
    </w:p>
    <w:p w:rsidR="001924CD" w:rsidRPr="000A700F" w:rsidRDefault="001924CD" w:rsidP="00873F38">
      <w:pPr>
        <w:pStyle w:val="H-Standard"/>
        <w:rPr>
          <w:highlight w:val="yellow"/>
        </w:rPr>
      </w:pPr>
      <w:r>
        <w:rPr>
          <w:highlight w:val="yellow"/>
        </w:rPr>
        <w:t>SIWZ zawiera szczegółowe określenie kryteriów wyboru wykonawców zgodnie z krajowymi przepisami o zamówieniach publicznych. Można je podzielić na trzy grupy: kryteria wykluczenia, wyboru i udzielenia zamówienia.</w:t>
      </w:r>
    </w:p>
    <w:p w:rsidR="001924CD" w:rsidRPr="000A700F" w:rsidRDefault="001924CD" w:rsidP="00873F38">
      <w:pPr>
        <w:pStyle w:val="H-Standard"/>
        <w:rPr>
          <w:highlight w:val="yellow"/>
        </w:rPr>
      </w:pPr>
      <w:r>
        <w:rPr>
          <w:b/>
          <w:highlight w:val="yellow"/>
        </w:rPr>
        <w:t>Kryteria wykluczenia</w:t>
      </w:r>
      <w:r>
        <w:rPr>
          <w:highlight w:val="yellow"/>
        </w:rPr>
        <w:t xml:space="preserve"> dotyczą wykluczenia wykonawcy, który znalazł się w stanie upadłości, dopuścił się poważnego wykroczenia zawodowego lub nie wywiązał się ze zobowiązań z zakresu </w:t>
      </w:r>
      <w:r w:rsidRPr="00026E60">
        <w:rPr>
          <w:highlight w:val="yellow"/>
        </w:rPr>
        <w:t>podatków, ubezpieczeń społecznych itp. W większości za dowód wystarcza zwykłe oświadczenie. O</w:t>
      </w:r>
      <w:r>
        <w:rPr>
          <w:highlight w:val="yellow"/>
        </w:rPr>
        <w:t>d wykonawcy można również wymagać przedłożenia dowodu na brak występowania konfliktu interesów (np. jeśli uczestniczył w realizacji PROW).</w:t>
      </w:r>
      <w:r>
        <w:t xml:space="preserve"> </w:t>
      </w:r>
    </w:p>
    <w:p w:rsidR="001924CD" w:rsidRPr="000A700F" w:rsidRDefault="001924CD" w:rsidP="00873F38">
      <w:pPr>
        <w:pStyle w:val="H-Standard"/>
        <w:rPr>
          <w:highlight w:val="yellow"/>
        </w:rPr>
      </w:pPr>
      <w:r>
        <w:rPr>
          <w:b/>
          <w:highlight w:val="yellow"/>
        </w:rPr>
        <w:lastRenderedPageBreak/>
        <w:t>Kryteria wyboru</w:t>
      </w:r>
      <w:r>
        <w:rPr>
          <w:highlight w:val="yellow"/>
        </w:rPr>
        <w:t xml:space="preserve"> zazwyczaj odnoszą się do sytuacji prawnej wykonawcy, a także jego potencjału ekonomicznego, finansowego, technicznego i zawodowego</w:t>
      </w:r>
      <w:r w:rsidRPr="00026E60">
        <w:rPr>
          <w:highlight w:val="yellow"/>
        </w:rPr>
        <w:t xml:space="preserve">. O ile </w:t>
      </w:r>
      <w:r>
        <w:rPr>
          <w:highlight w:val="yellow"/>
        </w:rPr>
        <w:t>pozwalają na to przepisy krajowe, zamawiający może zażądać jedynie kopii odpowiednich dokumentów, natomiast oryginały są przedkładane wyłącznie przez wybranego oferenta. Pozwala to uprościć procedurę przetargową.</w:t>
      </w:r>
      <w:r>
        <w:t xml:space="preserve"> </w:t>
      </w:r>
    </w:p>
    <w:p w:rsidR="001924CD" w:rsidRPr="000A700F" w:rsidRDefault="001924CD" w:rsidP="00873F38">
      <w:pPr>
        <w:pStyle w:val="H-Standard"/>
        <w:rPr>
          <w:highlight w:val="yellow"/>
        </w:rPr>
      </w:pPr>
      <w:r>
        <w:rPr>
          <w:highlight w:val="yellow"/>
        </w:rPr>
        <w:t>W SIWZ znajduje się ponadto opis kategorii ekspertów i wiedzy, w tym poziomu wymaganych kwalifikacji i doświadczenia zawodowego. Na przykład, jeśli ewaluacja opiera się na analizie scenariuszy alternatywnych (ewaluacja kontrfaktyczna), w SIWZ znajdzie się wymóg posiadania doświadczonego eksperta w tej dziedzinie. Należy określić wymagany dowód kwalifikacji, ale mając na uwadze, że nadmierna szczegółowość takiego dokumentu będzie powodować niepotrzebne obciążenia administracyjne dla wykonawców.</w:t>
      </w:r>
    </w:p>
    <w:p w:rsidR="001924CD" w:rsidRPr="000A700F" w:rsidRDefault="001924CD" w:rsidP="00873F38">
      <w:pPr>
        <w:pStyle w:val="H-Standard"/>
        <w:rPr>
          <w:highlight w:val="yellow"/>
        </w:rPr>
      </w:pPr>
      <w:r>
        <w:rPr>
          <w:b/>
          <w:highlight w:val="yellow"/>
        </w:rPr>
        <w:t>Kryteria udzielenia zamówienia</w:t>
      </w:r>
      <w:r>
        <w:rPr>
          <w:highlight w:val="yellow"/>
        </w:rPr>
        <w:t xml:space="preserve"> odnoszą się do jakości oferty technicznej i finansow</w:t>
      </w:r>
      <w:r w:rsidRPr="00026E60">
        <w:rPr>
          <w:highlight w:val="yellow"/>
        </w:rPr>
        <w:t>ej. Poza ceną dotyczą one zazwyczaj proponowanego podejścia ewaluacyjnego, zrozumienia is</w:t>
      </w:r>
      <w:r>
        <w:rPr>
          <w:highlight w:val="yellow"/>
        </w:rPr>
        <w:t>toty zadań, metodologii, ról członków zespołu oraz ogólnej organizacji/zarządzania pracą. Zamawiający powinien mieć jasne pojęcie na temat tego, co czyni ofertę dobrą, aby móc odpowiednio ocenić otrzymane oferty i – co najważniejsze – wybrać najlepszą.</w:t>
      </w:r>
      <w:r>
        <w:t xml:space="preserve"> </w:t>
      </w:r>
    </w:p>
    <w:p w:rsidR="001924CD" w:rsidRPr="000A700F" w:rsidRDefault="001924CD" w:rsidP="00873F38">
      <w:pPr>
        <w:pStyle w:val="H-Standard"/>
        <w:rPr>
          <w:highlight w:val="yellow"/>
        </w:rPr>
      </w:pPr>
      <w:r>
        <w:rPr>
          <w:highlight w:val="yellow"/>
        </w:rPr>
        <w:t>Ważne są jasność i przejrzystość ważenia kryteriów udzielenia zamówienia, zwłaszcza w odniesieniu do oceny oferty merytorycznej (zawartość) i finansowej (cena). Należy bowiem rozważyć, czy oferta o najniższej cenie jest zarazem najkorzystniejsza z merytorycznego punktu widzenia. Przypisanie niższej wagi ofercie finansowej zazwyczaj sprzyja wyborowi oferty merytorycznej o najwyższej jakości. Często stosunek pomiędzy zawartością i ceną kształtuje się na poziomie od 60:40 do 80:20. Ostatnie doświadczenia wskazują, że właściwą wagą dla ceny jest 20-25%. Generalnie w procesie oceny przydatna jest tabela poglądowa z wykazem kryteriów i dowodów na ich spełnienie (w tym wskazaniem, gdzie można je znaleźć w ofercie).</w:t>
      </w:r>
    </w:p>
    <w:p w:rsidR="001924CD" w:rsidRPr="000A700F" w:rsidRDefault="001924CD" w:rsidP="006A099F">
      <w:pPr>
        <w:pStyle w:val="HHeading5"/>
        <w:rPr>
          <w:highlight w:val="yellow"/>
        </w:rPr>
      </w:pPr>
      <w:r>
        <w:rPr>
          <w:highlight w:val="yellow"/>
        </w:rPr>
        <w:t>Zasady składania ofert</w:t>
      </w:r>
      <w:bookmarkEnd w:id="351"/>
    </w:p>
    <w:p w:rsidR="001924CD" w:rsidRPr="000A700F" w:rsidRDefault="001924CD" w:rsidP="00B51C05">
      <w:pPr>
        <w:pStyle w:val="H-Standard"/>
        <w:rPr>
          <w:highlight w:val="yellow"/>
        </w:rPr>
      </w:pPr>
      <w:r>
        <w:rPr>
          <w:highlight w:val="yellow"/>
        </w:rPr>
        <w:t>Informacje dotyczące zasad składania ofert obejmują:</w:t>
      </w:r>
    </w:p>
    <w:p w:rsidR="001924CD" w:rsidRPr="000A700F" w:rsidRDefault="001924CD" w:rsidP="00B51C05">
      <w:pPr>
        <w:pStyle w:val="Hlistbullet2"/>
        <w:rPr>
          <w:highlight w:val="yellow"/>
        </w:rPr>
      </w:pPr>
      <w:r>
        <w:rPr>
          <w:highlight w:val="yellow"/>
        </w:rPr>
        <w:t xml:space="preserve">dokładny termin złożenia oferty (konkretna data i godzina, potwierdzona stemplem pocztowym lub dniem doręczenia); </w:t>
      </w:r>
    </w:p>
    <w:p w:rsidR="001924CD" w:rsidRPr="000A700F" w:rsidRDefault="001924CD" w:rsidP="00B51C05">
      <w:pPr>
        <w:pStyle w:val="Hlistbullet2"/>
        <w:rPr>
          <w:highlight w:val="yellow"/>
        </w:rPr>
      </w:pPr>
      <w:r>
        <w:rPr>
          <w:highlight w:val="yellow"/>
        </w:rPr>
        <w:t>określenie instytucji, do której należy przesłać ofertę, wraz z jej adresem.</w:t>
      </w:r>
    </w:p>
    <w:p w:rsidR="001924CD" w:rsidRPr="008D0759" w:rsidRDefault="001924CD" w:rsidP="00B51C05">
      <w:pPr>
        <w:pStyle w:val="H-Standard"/>
      </w:pPr>
      <w:r>
        <w:rPr>
          <w:highlight w:val="yellow"/>
        </w:rPr>
        <w:t>SIWZ może również określać wymóg złożenia oferty w jednej lub w dwóch kopertach (oddzielnie dla części finansowej lub na zasadzie anonimowości dla części merytorycznej), liczbę wymaganych kopii, datę otwarcia ofert (jeśli ma formę publiczną) adres do kontaktów w sprawach dotyczących SIWZ.</w:t>
      </w:r>
    </w:p>
    <w:p w:rsidR="001924CD" w:rsidRPr="008C2B59" w:rsidRDefault="001924CD" w:rsidP="00501EAB">
      <w:pPr>
        <w:pStyle w:val="HHeading2"/>
        <w:tabs>
          <w:tab w:val="clear" w:pos="360"/>
        </w:tabs>
        <w:ind w:left="510" w:hanging="510"/>
        <w:rPr>
          <w:lang w:val="en-GB"/>
        </w:rPr>
      </w:pPr>
      <w:bookmarkStart w:id="352" w:name="_Toc453079784"/>
      <w:r w:rsidRPr="008C2B59">
        <w:rPr>
          <w:lang w:val="en-GB"/>
        </w:rPr>
        <w:t>Examples of output-result-impact chains for common groups of NRN actions</w:t>
      </w:r>
      <w:bookmarkEnd w:id="352"/>
      <w:r w:rsidRPr="008C2B59">
        <w:rPr>
          <w:lang w:val="en-GB"/>
        </w:rPr>
        <w:t xml:space="preserve"> </w:t>
      </w:r>
    </w:p>
    <w:p w:rsidR="001924CD" w:rsidRPr="008C2B59" w:rsidRDefault="001924CD" w:rsidP="007074C5">
      <w:pPr>
        <w:pStyle w:val="H-Standard"/>
        <w:rPr>
          <w:b/>
          <w:caps/>
          <w:lang w:val="en-GB"/>
        </w:rPr>
      </w:pPr>
      <w:r w:rsidRPr="008C2B59">
        <w:rPr>
          <w:lang w:val="en-GB"/>
        </w:rPr>
        <w:t>In the simplest form, the intervention logic can start to be developed as a chain or ladder whose links or rungs are activities, outputs, results and impacts. Each chain link or ladder rung is occupied by one achievement. However, one achievement on one rung can lead to more than one achievement on the next rung. In the end, the results and impacts emerge through multiple causation.</w:t>
      </w:r>
    </w:p>
    <w:p w:rsidR="001924CD" w:rsidRPr="008C2B59" w:rsidRDefault="001924CD" w:rsidP="007074C5">
      <w:pPr>
        <w:pStyle w:val="H-Standard"/>
        <w:rPr>
          <w:lang w:val="en-GB"/>
        </w:rPr>
      </w:pPr>
      <w:r w:rsidRPr="008C2B59">
        <w:rPr>
          <w:lang w:val="en-GB"/>
        </w:rPr>
        <w:t>The following figures illustrate how a stakeholder in a Member State could develop the logical chain of the NRN outputs, results and impacts starting from each of the common group of actions</w:t>
      </w:r>
      <w:r w:rsidRPr="008C2B59">
        <w:rPr>
          <w:rFonts w:ascii="ZWAdobeF" w:hAnsi="ZWAdobeF"/>
          <w:color w:val="auto"/>
          <w:sz w:val="2"/>
          <w:lang w:val="en-GB"/>
        </w:rPr>
        <w:t>129F</w:t>
      </w:r>
      <w:r>
        <w:rPr>
          <w:rStyle w:val="FootnoteReference"/>
        </w:rPr>
        <w:footnoteReference w:id="130"/>
      </w:r>
      <w:r w:rsidRPr="008C2B59">
        <w:rPr>
          <w:lang w:val="en-GB"/>
        </w:rPr>
        <w:t xml:space="preserve"> and link them to the outputs directly produced with NSU activities, and later with results and impacts generated by the NRN. </w:t>
      </w:r>
    </w:p>
    <w:p w:rsidR="001924CD" w:rsidRPr="008C2B59" w:rsidRDefault="001924CD" w:rsidP="007074C5">
      <w:pPr>
        <w:pStyle w:val="H-Standard"/>
        <w:rPr>
          <w:lang w:val="en-GB"/>
        </w:rPr>
      </w:pPr>
      <w:r w:rsidRPr="008C2B59">
        <w:rPr>
          <w:lang w:val="en-GB"/>
        </w:rPr>
        <w:lastRenderedPageBreak/>
        <w:t xml:space="preserve">These chains can be used as the starting point for the development of specific NRN intervention logic, which must still be linked to the NRN common and programme specific objectives. </w:t>
      </w:r>
    </w:p>
    <w:p w:rsidR="001924CD" w:rsidRPr="008C2B59" w:rsidRDefault="001924CD" w:rsidP="007074C5">
      <w:pPr>
        <w:pStyle w:val="H-Standard"/>
        <w:rPr>
          <w:lang w:val="en-GB"/>
        </w:rPr>
        <w:sectPr w:rsidR="001924CD" w:rsidRPr="008C2B59" w:rsidSect="00434027">
          <w:headerReference w:type="default" r:id="rId59"/>
          <w:footerReference w:type="default" r:id="rId60"/>
          <w:headerReference w:type="first" r:id="rId61"/>
          <w:footerReference w:type="first" r:id="rId62"/>
          <w:pgSz w:w="11906" w:h="16838" w:code="9"/>
          <w:pgMar w:top="1440" w:right="1440" w:bottom="1440" w:left="1440" w:header="1134" w:footer="1021" w:gutter="0"/>
          <w:cols w:space="708"/>
          <w:titlePg/>
          <w:docGrid w:linePitch="360"/>
        </w:sectPr>
      </w:pPr>
    </w:p>
    <w:p w:rsidR="001924CD" w:rsidRPr="008C2B59" w:rsidRDefault="001924CD" w:rsidP="003F6DD6">
      <w:pPr>
        <w:pStyle w:val="HHeadingfigures"/>
        <w:rPr>
          <w:lang w:val="en-GB"/>
        </w:rPr>
      </w:pPr>
      <w:bookmarkStart w:id="353" w:name="_Toc451781944"/>
      <w:r w:rsidRPr="008C2B59">
        <w:rPr>
          <w:lang w:val="en-GB"/>
        </w:rPr>
        <w:lastRenderedPageBreak/>
        <w:t>Example of output-result-impact chain for collection of examples of projects, covering all RDP priorities</w:t>
      </w:r>
      <w:bookmarkEnd w:id="353"/>
      <w:r w:rsidRPr="008C2B59">
        <w:rPr>
          <w:lang w:val="en-GB"/>
        </w:rPr>
        <w:t xml:space="preserve"> </w:t>
      </w:r>
    </w:p>
    <w:p w:rsidR="001924CD" w:rsidRPr="008D0759" w:rsidRDefault="001924CD" w:rsidP="00642574">
      <w:pPr>
        <w:pStyle w:val="HStandard"/>
        <w:jc w:val="center"/>
      </w:pPr>
      <w:r>
        <w:rPr>
          <w:noProof/>
          <w:lang w:val="en-GB" w:eastAsia="en-GB" w:bidi="ar-SA"/>
        </w:rPr>
        <w:drawing>
          <wp:inline distT="0" distB="0" distL="0" distR="0" wp14:anchorId="78163252" wp14:editId="06957B6A">
            <wp:extent cx="7805406" cy="4680000"/>
            <wp:effectExtent l="0" t="0" r="571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RN_IL-ex1.jpg"/>
                    <pic:cNvPicPr/>
                  </pic:nvPicPr>
                  <pic:blipFill>
                    <a:blip r:embed="rId63">
                      <a:extLst>
                        <a:ext uri="{28A0092B-C50C-407E-A947-70E740481C1C}">
                          <a14:useLocalDpi xmlns:a14="http://schemas.microsoft.com/office/drawing/2010/main" val="0"/>
                        </a:ext>
                      </a:extLst>
                    </a:blip>
                    <a:stretch>
                      <a:fillRect/>
                    </a:stretch>
                  </pic:blipFill>
                  <pic:spPr>
                    <a:xfrm>
                      <a:off x="0" y="0"/>
                      <a:ext cx="7805406" cy="4680000"/>
                    </a:xfrm>
                    <a:prstGeom prst="rect">
                      <a:avLst/>
                    </a:prstGeom>
                  </pic:spPr>
                </pic:pic>
              </a:graphicData>
            </a:graphic>
          </wp:inline>
        </w:drawing>
      </w:r>
    </w:p>
    <w:p w:rsidR="001924CD" w:rsidRPr="008D0759" w:rsidRDefault="001924CD">
      <w:pPr>
        <w:spacing w:after="0" w:line="240" w:lineRule="auto"/>
        <w:rPr>
          <w:rFonts w:cs="Arial"/>
          <w:color w:val="576C88" w:themeColor="text2" w:themeTint="D9"/>
          <w:sz w:val="20"/>
          <w:szCs w:val="20"/>
        </w:rPr>
      </w:pPr>
      <w:r>
        <w:br w:type="page"/>
      </w:r>
    </w:p>
    <w:p w:rsidR="001924CD" w:rsidRPr="008C2B59" w:rsidRDefault="001924CD" w:rsidP="00DD0375">
      <w:pPr>
        <w:pStyle w:val="HHeadingfigures"/>
        <w:rPr>
          <w:caps/>
          <w:lang w:val="en-GB"/>
        </w:rPr>
      </w:pPr>
      <w:bookmarkStart w:id="354" w:name="_Toc451781945"/>
      <w:r w:rsidRPr="008C2B59">
        <w:rPr>
          <w:lang w:val="en-GB"/>
        </w:rPr>
        <w:lastRenderedPageBreak/>
        <w:t>Example of output-result-impact chain for facilitation of thematic and analytical exchanges between RD stakeholders, sharing and dissemination of findings.</w:t>
      </w:r>
      <w:bookmarkEnd w:id="354"/>
    </w:p>
    <w:p w:rsidR="001924CD" w:rsidRPr="008D0759" w:rsidRDefault="001924CD" w:rsidP="00DD0375">
      <w:pPr>
        <w:pStyle w:val="H-Standard"/>
        <w:jc w:val="center"/>
      </w:pPr>
      <w:r>
        <w:rPr>
          <w:noProof/>
          <w:lang w:val="en-GB" w:eastAsia="en-GB" w:bidi="ar-SA"/>
        </w:rPr>
        <w:drawing>
          <wp:inline distT="0" distB="0" distL="0" distR="0" wp14:anchorId="2FAC3C4B" wp14:editId="7D91D838">
            <wp:extent cx="7741031" cy="46800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RN_IL-ex2.jpg"/>
                    <pic:cNvPicPr/>
                  </pic:nvPicPr>
                  <pic:blipFill>
                    <a:blip r:embed="rId64">
                      <a:extLst>
                        <a:ext uri="{28A0092B-C50C-407E-A947-70E740481C1C}">
                          <a14:useLocalDpi xmlns:a14="http://schemas.microsoft.com/office/drawing/2010/main" val="0"/>
                        </a:ext>
                      </a:extLst>
                    </a:blip>
                    <a:stretch>
                      <a:fillRect/>
                    </a:stretch>
                  </pic:blipFill>
                  <pic:spPr>
                    <a:xfrm>
                      <a:off x="0" y="0"/>
                      <a:ext cx="7741031" cy="4680000"/>
                    </a:xfrm>
                    <a:prstGeom prst="rect">
                      <a:avLst/>
                    </a:prstGeom>
                  </pic:spPr>
                </pic:pic>
              </a:graphicData>
            </a:graphic>
          </wp:inline>
        </w:drawing>
      </w:r>
    </w:p>
    <w:p w:rsidR="001924CD" w:rsidRPr="008D0759" w:rsidRDefault="001924CD">
      <w:pPr>
        <w:spacing w:after="0" w:line="240" w:lineRule="auto"/>
        <w:rPr>
          <w:rFonts w:cs="Arial"/>
          <w:color w:val="000000" w:themeColor="text1" w:themeShade="BF"/>
          <w:sz w:val="20"/>
          <w:szCs w:val="18"/>
        </w:rPr>
      </w:pPr>
      <w:r>
        <w:br w:type="page"/>
      </w:r>
    </w:p>
    <w:p w:rsidR="001924CD" w:rsidRPr="008C2B59" w:rsidRDefault="001924CD" w:rsidP="00DD0375">
      <w:pPr>
        <w:pStyle w:val="HHeadingfigures"/>
        <w:rPr>
          <w:caps/>
          <w:lang w:val="en-GB"/>
        </w:rPr>
      </w:pPr>
      <w:bookmarkStart w:id="355" w:name="_Toc451781946"/>
      <w:r w:rsidRPr="008C2B59">
        <w:rPr>
          <w:lang w:val="en-GB"/>
        </w:rPr>
        <w:lastRenderedPageBreak/>
        <w:t>Example of output-result-impact chain for provision of training and networking of LAGs and in particular of Technical Assistance for inter-territorial and transnational cooperation, facilitation of cooperation among LAGs and search for partners</w:t>
      </w:r>
      <w:bookmarkEnd w:id="355"/>
    </w:p>
    <w:p w:rsidR="001924CD" w:rsidRPr="008D0759" w:rsidRDefault="001924CD" w:rsidP="002E488C">
      <w:pPr>
        <w:pStyle w:val="H-Standard"/>
        <w:jc w:val="center"/>
      </w:pPr>
      <w:r>
        <w:rPr>
          <w:noProof/>
          <w:lang w:val="en-GB" w:eastAsia="en-GB" w:bidi="ar-SA"/>
        </w:rPr>
        <w:drawing>
          <wp:inline distT="0" distB="0" distL="0" distR="0" wp14:anchorId="5F20C76A" wp14:editId="078F1D14">
            <wp:extent cx="7440789" cy="4680000"/>
            <wp:effectExtent l="0" t="0" r="8255"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RN_IL-ex3.jpg"/>
                    <pic:cNvPicPr/>
                  </pic:nvPicPr>
                  <pic:blipFill>
                    <a:blip r:embed="rId65">
                      <a:extLst>
                        <a:ext uri="{28A0092B-C50C-407E-A947-70E740481C1C}">
                          <a14:useLocalDpi xmlns:a14="http://schemas.microsoft.com/office/drawing/2010/main" val="0"/>
                        </a:ext>
                      </a:extLst>
                    </a:blip>
                    <a:stretch>
                      <a:fillRect/>
                    </a:stretch>
                  </pic:blipFill>
                  <pic:spPr>
                    <a:xfrm>
                      <a:off x="0" y="0"/>
                      <a:ext cx="7440789" cy="4680000"/>
                    </a:xfrm>
                    <a:prstGeom prst="rect">
                      <a:avLst/>
                    </a:prstGeom>
                  </pic:spPr>
                </pic:pic>
              </a:graphicData>
            </a:graphic>
          </wp:inline>
        </w:drawing>
      </w:r>
    </w:p>
    <w:p w:rsidR="001924CD" w:rsidRPr="008D0759" w:rsidRDefault="001924CD">
      <w:pPr>
        <w:spacing w:after="0" w:line="240" w:lineRule="auto"/>
        <w:rPr>
          <w:rFonts w:cs="Arial"/>
          <w:color w:val="000000" w:themeColor="text1" w:themeShade="BF"/>
          <w:sz w:val="20"/>
          <w:szCs w:val="18"/>
        </w:rPr>
      </w:pPr>
      <w:r>
        <w:br w:type="page"/>
      </w:r>
    </w:p>
    <w:p w:rsidR="001924CD" w:rsidRPr="008C2B59" w:rsidRDefault="001924CD" w:rsidP="0081762A">
      <w:pPr>
        <w:pStyle w:val="HHeadingfigures"/>
        <w:rPr>
          <w:caps/>
          <w:lang w:val="en-GB"/>
        </w:rPr>
      </w:pPr>
      <w:bookmarkStart w:id="356" w:name="_Toc451781947"/>
      <w:r w:rsidRPr="008C2B59">
        <w:rPr>
          <w:lang w:val="en-GB"/>
        </w:rPr>
        <w:lastRenderedPageBreak/>
        <w:t>Example of output-result-impact chain for provision of networking for advisors and innovation support services</w:t>
      </w:r>
      <w:bookmarkEnd w:id="356"/>
    </w:p>
    <w:p w:rsidR="001924CD" w:rsidRPr="008D0759" w:rsidRDefault="001924CD" w:rsidP="0081762A">
      <w:pPr>
        <w:pStyle w:val="H-Standard"/>
        <w:jc w:val="center"/>
      </w:pPr>
      <w:r>
        <w:rPr>
          <w:noProof/>
          <w:lang w:val="en-GB" w:eastAsia="en-GB" w:bidi="ar-SA"/>
        </w:rPr>
        <w:drawing>
          <wp:inline distT="0" distB="0" distL="0" distR="0" wp14:anchorId="185B4D81" wp14:editId="01B8FB0D">
            <wp:extent cx="7627449" cy="46800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RN_IL-ex4.jpg"/>
                    <pic:cNvPicPr/>
                  </pic:nvPicPr>
                  <pic:blipFill>
                    <a:blip r:embed="rId66">
                      <a:extLst>
                        <a:ext uri="{28A0092B-C50C-407E-A947-70E740481C1C}">
                          <a14:useLocalDpi xmlns:a14="http://schemas.microsoft.com/office/drawing/2010/main" val="0"/>
                        </a:ext>
                      </a:extLst>
                    </a:blip>
                    <a:stretch>
                      <a:fillRect/>
                    </a:stretch>
                  </pic:blipFill>
                  <pic:spPr>
                    <a:xfrm>
                      <a:off x="0" y="0"/>
                      <a:ext cx="7627449" cy="4680000"/>
                    </a:xfrm>
                    <a:prstGeom prst="rect">
                      <a:avLst/>
                    </a:prstGeom>
                  </pic:spPr>
                </pic:pic>
              </a:graphicData>
            </a:graphic>
          </wp:inline>
        </w:drawing>
      </w:r>
    </w:p>
    <w:p w:rsidR="001924CD" w:rsidRPr="008D0759" w:rsidRDefault="001924CD">
      <w:pPr>
        <w:spacing w:after="0" w:line="240" w:lineRule="auto"/>
        <w:rPr>
          <w:rFonts w:cs="Arial"/>
          <w:color w:val="000000" w:themeColor="text1" w:themeShade="BF"/>
          <w:sz w:val="20"/>
          <w:szCs w:val="18"/>
        </w:rPr>
      </w:pPr>
      <w:r>
        <w:br w:type="page"/>
      </w:r>
    </w:p>
    <w:p w:rsidR="001924CD" w:rsidRPr="008C2B59" w:rsidRDefault="001924CD" w:rsidP="00ED7BA1">
      <w:pPr>
        <w:pStyle w:val="HHeadingfigures"/>
        <w:rPr>
          <w:caps/>
          <w:lang w:val="en-GB"/>
        </w:rPr>
      </w:pPr>
      <w:bookmarkStart w:id="357" w:name="_Toc451781948"/>
      <w:r w:rsidRPr="008C2B59">
        <w:rPr>
          <w:lang w:val="en-GB"/>
        </w:rPr>
        <w:lastRenderedPageBreak/>
        <w:t>Example of output-result-impact chain for sharing ad dissemination of monitoring and evaluation findings</w:t>
      </w:r>
      <w:bookmarkEnd w:id="357"/>
      <w:r w:rsidRPr="008C2B59">
        <w:rPr>
          <w:lang w:val="en-GB"/>
        </w:rPr>
        <w:t xml:space="preserve"> </w:t>
      </w:r>
    </w:p>
    <w:p w:rsidR="001924CD" w:rsidRPr="008D0759" w:rsidRDefault="001924CD" w:rsidP="005A2FE3">
      <w:pPr>
        <w:pStyle w:val="HStandard"/>
        <w:jc w:val="center"/>
      </w:pPr>
      <w:r>
        <w:rPr>
          <w:noProof/>
          <w:lang w:val="en-GB" w:eastAsia="en-GB" w:bidi="ar-SA"/>
        </w:rPr>
        <w:drawing>
          <wp:inline distT="0" distB="0" distL="0" distR="0" wp14:anchorId="3083C324" wp14:editId="49E2165E">
            <wp:extent cx="8820912" cy="440131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RN_IL-ex5.jpg"/>
                    <pic:cNvPicPr/>
                  </pic:nvPicPr>
                  <pic:blipFill>
                    <a:blip r:embed="rId67">
                      <a:extLst>
                        <a:ext uri="{28A0092B-C50C-407E-A947-70E740481C1C}">
                          <a14:useLocalDpi xmlns:a14="http://schemas.microsoft.com/office/drawing/2010/main" val="0"/>
                        </a:ext>
                      </a:extLst>
                    </a:blip>
                    <a:stretch>
                      <a:fillRect/>
                    </a:stretch>
                  </pic:blipFill>
                  <pic:spPr>
                    <a:xfrm>
                      <a:off x="0" y="0"/>
                      <a:ext cx="8820912" cy="4401312"/>
                    </a:xfrm>
                    <a:prstGeom prst="rect">
                      <a:avLst/>
                    </a:prstGeom>
                  </pic:spPr>
                </pic:pic>
              </a:graphicData>
            </a:graphic>
          </wp:inline>
        </w:drawing>
      </w:r>
    </w:p>
    <w:p w:rsidR="001924CD" w:rsidRPr="008D0759" w:rsidRDefault="001924CD">
      <w:pPr>
        <w:spacing w:after="0" w:line="240" w:lineRule="auto"/>
        <w:rPr>
          <w:rFonts w:cs="Arial"/>
          <w:color w:val="576C88" w:themeColor="text2" w:themeTint="D9"/>
          <w:sz w:val="20"/>
          <w:szCs w:val="20"/>
        </w:rPr>
      </w:pPr>
      <w:r>
        <w:br w:type="page"/>
      </w:r>
    </w:p>
    <w:p w:rsidR="001924CD" w:rsidRPr="008C2B59" w:rsidRDefault="001924CD" w:rsidP="00D22512">
      <w:pPr>
        <w:pStyle w:val="HHeadingfigures"/>
        <w:rPr>
          <w:lang w:val="en-GB"/>
        </w:rPr>
      </w:pPr>
      <w:bookmarkStart w:id="358" w:name="_Toc451781949"/>
      <w:r w:rsidRPr="008C2B59">
        <w:rPr>
          <w:lang w:val="en-GB"/>
        </w:rPr>
        <w:lastRenderedPageBreak/>
        <w:t>Example of output-result-impact chain for communication plan including publicity and information concerning the Rural Development Programme in agreement with the Managing Authorities and information and communication activities aimed at a broader public.</w:t>
      </w:r>
      <w:bookmarkEnd w:id="358"/>
    </w:p>
    <w:p w:rsidR="001924CD" w:rsidRPr="008D0759" w:rsidRDefault="001924CD" w:rsidP="00D22512">
      <w:pPr>
        <w:pStyle w:val="HStandard"/>
        <w:jc w:val="center"/>
      </w:pPr>
      <w:r>
        <w:rPr>
          <w:noProof/>
          <w:lang w:val="en-GB" w:eastAsia="en-GB" w:bidi="ar-SA"/>
        </w:rPr>
        <w:drawing>
          <wp:inline distT="0" distB="0" distL="0" distR="0" wp14:anchorId="67FE6C99" wp14:editId="30474568">
            <wp:extent cx="8820912" cy="4187952"/>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RN_IL-ex6.jpg"/>
                    <pic:cNvPicPr/>
                  </pic:nvPicPr>
                  <pic:blipFill>
                    <a:blip r:embed="rId68">
                      <a:extLst>
                        <a:ext uri="{28A0092B-C50C-407E-A947-70E740481C1C}">
                          <a14:useLocalDpi xmlns:a14="http://schemas.microsoft.com/office/drawing/2010/main" val="0"/>
                        </a:ext>
                      </a:extLst>
                    </a:blip>
                    <a:stretch>
                      <a:fillRect/>
                    </a:stretch>
                  </pic:blipFill>
                  <pic:spPr>
                    <a:xfrm>
                      <a:off x="0" y="0"/>
                      <a:ext cx="8820912" cy="4187952"/>
                    </a:xfrm>
                    <a:prstGeom prst="rect">
                      <a:avLst/>
                    </a:prstGeom>
                  </pic:spPr>
                </pic:pic>
              </a:graphicData>
            </a:graphic>
          </wp:inline>
        </w:drawing>
      </w:r>
    </w:p>
    <w:p w:rsidR="001924CD" w:rsidRPr="008D0759" w:rsidRDefault="001924CD">
      <w:pPr>
        <w:spacing w:after="0" w:line="240" w:lineRule="auto"/>
        <w:rPr>
          <w:rFonts w:cs="Arial"/>
          <w:color w:val="576C88" w:themeColor="text2" w:themeTint="D9"/>
          <w:sz w:val="20"/>
          <w:szCs w:val="20"/>
        </w:rPr>
      </w:pPr>
      <w:r>
        <w:br w:type="page"/>
      </w:r>
    </w:p>
    <w:p w:rsidR="001924CD" w:rsidRPr="008C2B59" w:rsidRDefault="001924CD" w:rsidP="000535E7">
      <w:pPr>
        <w:pStyle w:val="HHeadingfigures"/>
        <w:rPr>
          <w:lang w:val="en-GB"/>
        </w:rPr>
      </w:pPr>
      <w:bookmarkStart w:id="359" w:name="_Toc451781950"/>
      <w:r w:rsidRPr="008C2B59">
        <w:rPr>
          <w:lang w:val="en-GB"/>
        </w:rPr>
        <w:lastRenderedPageBreak/>
        <w:t>Example of output-result-impact chain for participation in and contribution to the European network for rural development</w:t>
      </w:r>
      <w:bookmarkEnd w:id="359"/>
    </w:p>
    <w:p w:rsidR="001924CD" w:rsidRPr="008D0759" w:rsidRDefault="001924CD" w:rsidP="00193902">
      <w:pPr>
        <w:pStyle w:val="HStandard"/>
        <w:jc w:val="center"/>
      </w:pPr>
      <w:r>
        <w:rPr>
          <w:noProof/>
          <w:lang w:val="en-GB" w:eastAsia="en-GB" w:bidi="ar-SA"/>
        </w:rPr>
        <w:drawing>
          <wp:inline distT="0" distB="0" distL="0" distR="0" wp14:anchorId="0306EF01" wp14:editId="5C8B910E">
            <wp:extent cx="8833104" cy="3852672"/>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RN_IL-ex7.jpg"/>
                    <pic:cNvPicPr/>
                  </pic:nvPicPr>
                  <pic:blipFill>
                    <a:blip r:embed="rId69">
                      <a:extLst>
                        <a:ext uri="{28A0092B-C50C-407E-A947-70E740481C1C}">
                          <a14:useLocalDpi xmlns:a14="http://schemas.microsoft.com/office/drawing/2010/main" val="0"/>
                        </a:ext>
                      </a:extLst>
                    </a:blip>
                    <a:stretch>
                      <a:fillRect/>
                    </a:stretch>
                  </pic:blipFill>
                  <pic:spPr>
                    <a:xfrm>
                      <a:off x="0" y="0"/>
                      <a:ext cx="8833104" cy="3852672"/>
                    </a:xfrm>
                    <a:prstGeom prst="rect">
                      <a:avLst/>
                    </a:prstGeom>
                  </pic:spPr>
                </pic:pic>
              </a:graphicData>
            </a:graphic>
          </wp:inline>
        </w:drawing>
      </w:r>
    </w:p>
    <w:p w:rsidR="001924CD" w:rsidRPr="008D0759" w:rsidRDefault="001924CD" w:rsidP="000535E7">
      <w:pPr>
        <w:pStyle w:val="HStandard"/>
      </w:pPr>
    </w:p>
    <w:p w:rsidR="001924CD" w:rsidRPr="007046A4" w:rsidRDefault="001924CD" w:rsidP="000535E7">
      <w:pPr>
        <w:pStyle w:val="HStandard"/>
        <w:rPr>
          <w:highlight w:val="yellow"/>
        </w:rPr>
        <w:sectPr w:rsidR="001924CD" w:rsidRPr="007046A4" w:rsidSect="007074C5">
          <w:pgSz w:w="16838" w:h="11906" w:orient="landscape" w:code="9"/>
          <w:pgMar w:top="1440" w:right="1440" w:bottom="1440" w:left="1440" w:header="1134" w:footer="1021" w:gutter="0"/>
          <w:cols w:space="708"/>
          <w:titlePg/>
          <w:docGrid w:linePitch="360"/>
        </w:sectPr>
      </w:pPr>
    </w:p>
    <w:p w:rsidR="001924CD" w:rsidRPr="000A700F" w:rsidRDefault="001924CD" w:rsidP="00501EAB">
      <w:pPr>
        <w:pStyle w:val="HHeading2"/>
        <w:tabs>
          <w:tab w:val="clear" w:pos="360"/>
        </w:tabs>
        <w:ind w:left="510" w:hanging="510"/>
        <w:rPr>
          <w:highlight w:val="yellow"/>
        </w:rPr>
      </w:pPr>
      <w:bookmarkStart w:id="360" w:name="_Toc453079785"/>
      <w:r>
        <w:rPr>
          <w:highlight w:val="yellow"/>
        </w:rPr>
        <w:lastRenderedPageBreak/>
        <w:t>Glosariusz</w:t>
      </w:r>
      <w:bookmarkEnd w:id="360"/>
    </w:p>
    <w:p w:rsidR="001924CD" w:rsidRPr="000A700F" w:rsidRDefault="001924CD" w:rsidP="00A63707">
      <w:pPr>
        <w:spacing w:before="240" w:after="240"/>
        <w:ind w:left="363"/>
        <w:rPr>
          <w:rFonts w:cs="Arial"/>
          <w:b/>
          <w:color w:val="E7E6E6" w:themeColor="background2"/>
          <w:sz w:val="20"/>
          <w:szCs w:val="20"/>
          <w:highlight w:val="yellow"/>
        </w:rPr>
        <w:sectPr w:rsidR="001924CD" w:rsidRPr="000A700F" w:rsidSect="000535E7">
          <w:pgSz w:w="11906" w:h="16838" w:code="9"/>
          <w:pgMar w:top="1440" w:right="1440" w:bottom="1440" w:left="1440" w:header="1134" w:footer="1021" w:gutter="0"/>
          <w:cols w:space="708"/>
          <w:titlePg/>
          <w:docGrid w:linePitch="360"/>
        </w:sectPr>
      </w:pP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Wspólny wskaźnik (ang. common indicator)</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Wskaźnik oznacza ilościowy lub jakościowy czynnik bądź zmienną jako prosty i niezawodny środek pomiaru realizacji, ujęcia zmian związanych z interwencją lub jako pomoc w ocenie funkcjonowania podmiotu działającego na rzecz rozwoju. W kontekście polityki rozwoju obszarów wiejskich zestaw wspólnych wskaźników, który obowiązuje we wszystkich państwach członkowskich, służy do pomiaru osiągnięć i zmian zarówno na poziomie europejskim, jak i na poziomie PROW.</w:t>
      </w:r>
    </w:p>
    <w:p w:rsidR="001924CD" w:rsidRPr="002259A2"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 xml:space="preserve">Wspólny system monitorowania i ewaluacji (ang. </w:t>
      </w:r>
      <w:r w:rsidRPr="002259A2">
        <w:rPr>
          <w:b/>
          <w:color w:val="E7E6E6" w:themeColor="background2"/>
          <w:sz w:val="24"/>
          <w:highlight w:val="yellow"/>
        </w:rPr>
        <w:t>Common Monitoring and Evaluation System)</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 xml:space="preserve">System regularnego gromadzenia informacji w celu ułatwienia sprawozdawczości, analizy i oceny realizacji programu za pomocą metod ewaluacji. System ten obejmuje wszystkie działania w zakresie monitorowania i ewaluacji, w tym zarządzanie samym tym systemem. System monitorowania i ewaluacji jest koordynowany przez instytucję zarządzającą, stanowiąc podstawę do wewnętrznego i zewnętrznego komunikowania wyników ewaluacji. W rozporządzeniach dotyczących rozwoju obszarów wiejskich termin ten odnosi się konkretnie do wspólnego systemu opracowanego przez Komisję i państwa członkowskiego, którego celem jest prezentowanie postępów i osiągnięć oraz ocena oddziaływania, efektywności, skuteczności i adekwatności interwencji z zakresu polityki rozwoju obszarów wiejskich. System ten obejmuje ograniczoną liczbę wspólnych wskaźników dotyczących </w:t>
      </w:r>
      <w:r>
        <w:rPr>
          <w:color w:val="576C88" w:themeColor="text2" w:themeTint="D9"/>
          <w:highlight w:val="yellow"/>
        </w:rPr>
        <w:t>kontekstu, produktów, rezultatów i oddziaływania programów.</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Spójność (ang. consistency)</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Harmonia, kompatybilność, odpowiedniość lub jednolitość elementów złożonego obiektu. W europejskich tekstach prawnych i dokumentach roboczych termin ten jest często stosowany jako synonim zgodności (ang. coherence). Wyróżnia się dwa rodzaje spójności: wertykalną i horyzontalną. Spójność wertykalna odnosi się do zgodności różnych celów tej samej interwencji. Spójność horyzontalna odnosi się do zgodności oczekiwanych efektów na każdym poziomie (produktów, rezultatów, oddziaływania) z celami określonymi na danym poziomie (operacyjnymi, specyficznymi, ogólnymi).</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Wskaźnik kontekstu</w:t>
      </w:r>
    </w:p>
    <w:p w:rsidR="001924CD" w:rsidRPr="000A700F" w:rsidRDefault="001924CD" w:rsidP="00A63707">
      <w:pPr>
        <w:spacing w:before="240" w:after="240"/>
        <w:ind w:left="363"/>
        <w:rPr>
          <w:rFonts w:cs="Arial"/>
          <w:sz w:val="20"/>
          <w:szCs w:val="20"/>
          <w:highlight w:val="yellow"/>
        </w:rPr>
      </w:pPr>
      <w:r>
        <w:rPr>
          <w:color w:val="576C88" w:themeColor="text2" w:themeTint="D9"/>
          <w:highlight w:val="yellow"/>
        </w:rPr>
        <w:t xml:space="preserve">Dostarcza informacji na temat istotnych aspektów otoczenia zewnętrznego, które z dużym prawdopodobieństwem mogą mieć wpływ na planowanie i </w:t>
      </w:r>
      <w:r>
        <w:rPr>
          <w:color w:val="576C88" w:themeColor="text2" w:themeTint="D9"/>
          <w:sz w:val="20"/>
          <w:highlight w:val="yellow"/>
        </w:rPr>
        <w:t xml:space="preserve"> </w:t>
      </w:r>
      <w:r>
        <w:rPr>
          <w:color w:val="576C88" w:themeColor="text2" w:themeTint="D9"/>
          <w:highlight w:val="yellow"/>
        </w:rPr>
        <w:t>wykonanie polityki, np. PKB na mieszkańca, stopa bezrobocia, jakość wody.</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Sytuacja kontrfaktyczna</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 xml:space="preserve">Sytuacja, która miałaby miejsce w przypadku braku interwencji publicznej (ang. policy-off situation). Porównując sytuacje kontrfaktyczne i rzeczywiste, możliwe jest określenie skutków netto interwencji publicznej. Do opisu sytuacji kontrfaktycznej można stosować różne narzędzia: analizę przesunięć udziałów (metoda shift-share), grupy odniesienia, symulacje z wykorzystaniem modeli ekonometrycznych itp. W punkcie wyjścia sytuacja rzeczywista i kontrfaktyczna są identyczne. Jeżeli interwencja jest </w:t>
      </w:r>
      <w:r>
        <w:rPr>
          <w:color w:val="576C88" w:themeColor="text2" w:themeTint="D9"/>
          <w:highlight w:val="yellow"/>
        </w:rPr>
        <w:lastRenderedPageBreak/>
        <w:t>skuteczna, pojawia się między nimi rozbieżność.</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Skuteczność (ang. effectiveness)</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Zakres, w jakim założone cele zostały osiągnięte. Wskaźnik skuteczności wylicza się przez porównanie wskaźnika produktu, wskaźnika rezultatów lub wskaźnika oddziaływania z określonym ilościowo celem.</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Efektywność (ang. efficiency)</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Najlepszy stosunek między wykorzystanymi zasobami a wynikami osiągniętymi dzięki realizacji danego celu poprzez interwencję. Kwestia efektywności sprowadza się do pytania, czy przy tym samym budżecie można było osiągnąć lepsze efekty lub czy takie same wyniki można było osiągnąć po niższych kosztach</w:t>
      </w:r>
      <w:r w:rsidRPr="0053185E">
        <w:rPr>
          <w:color w:val="576C88" w:themeColor="text2" w:themeTint="D9"/>
          <w:highlight w:val="yellow"/>
        </w:rPr>
        <w:t>.</w:t>
      </w:r>
      <w:r w:rsidRPr="0053185E">
        <w:rPr>
          <w:highlight w:val="yellow"/>
        </w:rPr>
        <w:t xml:space="preserve"> </w:t>
      </w:r>
      <w:r w:rsidRPr="0053185E">
        <w:rPr>
          <w:color w:val="576C88" w:themeColor="text2" w:themeTint="D9"/>
          <w:highlight w:val="yellow"/>
        </w:rPr>
        <w:t>W</w:t>
      </w:r>
      <w:r>
        <w:rPr>
          <w:color w:val="576C88" w:themeColor="text2" w:themeTint="D9"/>
          <w:highlight w:val="yellow"/>
        </w:rPr>
        <w:t>skaźnik efektywności oblicza się, dzieląc uruchomione nakłady budżetowe przez liczbę uzyskanych wyników</w:t>
      </w:r>
      <w:r>
        <w:rPr>
          <w:highlight w:val="yellow"/>
        </w:rPr>
        <w:t>.</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Plan ewaluacji</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Określa działania związane z ewaluacją, w tym rozwiązania instytucjonalne (ang. evaluation governance) i przepisy dotyczące zarządzania (ang. evaluation management) na cały okres wdrażania programu. W okresie programowania 2014–2020 instytucje zarządzające programami w ramach pięciu funduszy objętych wspólnymi ramami strategicznymi zobowiązane są sporządzić plan oceny. W przypadku rozwoju obszarów wiejskich plan oceny zostanie włączony do każdego programu PROW i musi być zgodny z minimalnymi wymaganiami określonymi w akcie wykonawczym.</w:t>
      </w:r>
    </w:p>
    <w:p w:rsidR="001924CD" w:rsidRPr="000A700F" w:rsidRDefault="001924CD" w:rsidP="00A63707">
      <w:pPr>
        <w:spacing w:before="240" w:after="240"/>
        <w:ind w:left="363"/>
        <w:rPr>
          <w:rFonts w:cs="Arial"/>
          <w:b/>
          <w:color w:val="E7E6E6" w:themeColor="background2"/>
          <w:sz w:val="24"/>
          <w:highlight w:val="yellow"/>
        </w:rPr>
      </w:pPr>
    </w:p>
    <w:p w:rsidR="001924CD" w:rsidRPr="000A700F" w:rsidRDefault="001924CD" w:rsidP="00A63707">
      <w:pPr>
        <w:spacing w:after="0" w:line="240" w:lineRule="auto"/>
        <w:ind w:left="363"/>
        <w:rPr>
          <w:rFonts w:cs="Arial"/>
          <w:b/>
          <w:color w:val="E7E6E6" w:themeColor="background2"/>
          <w:sz w:val="24"/>
          <w:highlight w:val="yellow"/>
        </w:rPr>
      </w:pPr>
      <w:r>
        <w:br w:type="page"/>
      </w:r>
      <w:r>
        <w:rPr>
          <w:b/>
          <w:color w:val="E7E6E6" w:themeColor="background2"/>
          <w:sz w:val="24"/>
          <w:highlight w:val="yellow"/>
        </w:rPr>
        <w:lastRenderedPageBreak/>
        <w:t>Pytania ewaluacyjne</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Pytania, na które ewaluatorzy muszą udzielić odpowiedzi. Są one zazwyczaj opracowywane przez podmioty zlecające ewaluację. Pytania ewaluacyjne znajdują się z reguły w specyfikacji istotnych warunków zamówienia na przeprowadzenie ewaluacji. W przypadku ewaluacji programów rozwoju obszarów wiejskich pytania te stanowią część wspólnych wytycznych. Pytania ewaluacyjne mają trzy wymiary: opisowy (co się stało?), przyczynowo-skutkowy (w jakim stopniu to, co stało się, jest rzeczywiście efektem interwencji?) i normatywny (czy efekt jest zadowalający?).</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Temat ewaluacji</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Konkretny temat, który jest przedmiotem danej ewaluacji, np. priorytety i cele szczegółowe z zakresu rozwoju obszarów wiejskich lub zagadnienia przekrojowe.</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Ewaluacja ex ante</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 xml:space="preserve">Ocena przeprowadzana przed wdrożeniem programu. Jej celem jest zgromadzenie informacji i przeprowadzanie analiz, które pomogą zadbać o to, by interwencja była jak najbardziej adekwatna i spójna. Wnioski z ewaluacji </w:t>
      </w:r>
      <w:r w:rsidRPr="0053185E">
        <w:rPr>
          <w:i/>
          <w:color w:val="576C88" w:themeColor="text2" w:themeTint="D9"/>
          <w:highlight w:val="yellow"/>
        </w:rPr>
        <w:t>ex ante</w:t>
      </w:r>
      <w:r>
        <w:rPr>
          <w:color w:val="576C88" w:themeColor="text2" w:themeTint="D9"/>
          <w:highlight w:val="yellow"/>
        </w:rPr>
        <w:t xml:space="preserve"> mają być wykorzystywane w momencie podejmowania decyzji. Ewaluacja </w:t>
      </w:r>
      <w:r w:rsidRPr="0053185E">
        <w:rPr>
          <w:i/>
          <w:color w:val="576C88" w:themeColor="text2" w:themeTint="D9"/>
          <w:highlight w:val="yellow"/>
        </w:rPr>
        <w:t>ex ante</w:t>
      </w:r>
      <w:r>
        <w:rPr>
          <w:color w:val="576C88" w:themeColor="text2" w:themeTint="D9"/>
          <w:highlight w:val="yellow"/>
        </w:rPr>
        <w:t xml:space="preserve"> dotyczy głównie analizy kontekstu, ale stanowi również okazję do określenia mechanizmów interwencyjnych w kontekście tego, co już istnieje. Pozwala ona odpowiednim władzom ustalić, czy kwestie rozwojowe zostały zdiagnozowane poprawnie, czy zaproponowana strategia i cele są adekwatne, czy nie zachodzi rozbieżność pomiędzy nimi lub w stosunku do </w:t>
      </w:r>
      <w:r>
        <w:rPr>
          <w:color w:val="576C88" w:themeColor="text2" w:themeTint="D9"/>
          <w:highlight w:val="yellow"/>
        </w:rPr>
        <w:t xml:space="preserve">wspólnotowych polityk i wytycznych, czy przewidywane skutki są realistyczne itp. Ponadto ewaluacja </w:t>
      </w:r>
      <w:r w:rsidRPr="0053185E">
        <w:rPr>
          <w:i/>
          <w:color w:val="576C88" w:themeColor="text2" w:themeTint="D9"/>
          <w:highlight w:val="yellow"/>
        </w:rPr>
        <w:t>ex ante</w:t>
      </w:r>
      <w:r>
        <w:rPr>
          <w:color w:val="576C88" w:themeColor="text2" w:themeTint="D9"/>
          <w:highlight w:val="yellow"/>
        </w:rPr>
        <w:t xml:space="preserve"> stanowi konieczną podstawę dla monitorowania i przyszłych ewaluacji poprzez zapewnienie, że istnieją bezpośrednie i, w stosownych przypadkach, ujęte ilościowo cele. W oparciu o te funkcje ewaluacja </w:t>
      </w:r>
      <w:r w:rsidRPr="0053185E">
        <w:rPr>
          <w:i/>
          <w:color w:val="576C88" w:themeColor="text2" w:themeTint="D9"/>
          <w:highlight w:val="yellow"/>
        </w:rPr>
        <w:t>ex ante</w:t>
      </w:r>
      <w:r>
        <w:rPr>
          <w:color w:val="576C88" w:themeColor="text2" w:themeTint="D9"/>
          <w:highlight w:val="yellow"/>
        </w:rPr>
        <w:t xml:space="preserve"> wspomaga przygotowywanie propozycji nowych lub zaktualizowanych działań wspólnotowych. Chodzi o zapewnienie, by cele polityczne były skutecznie realizowane, a środki wydatkowane w oszczędny sposób oraz by przygotować grunt pod wiarygodne oceny śródokresowe i </w:t>
      </w:r>
      <w:r w:rsidRPr="0053185E">
        <w:rPr>
          <w:i/>
          <w:color w:val="576C88" w:themeColor="text2" w:themeTint="D9"/>
          <w:highlight w:val="yellow"/>
        </w:rPr>
        <w:t>ex post</w:t>
      </w:r>
      <w:r>
        <w:rPr>
          <w:color w:val="576C88" w:themeColor="text2" w:themeTint="D9"/>
          <w:highlight w:val="yellow"/>
        </w:rPr>
        <w:t>.</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 xml:space="preserve">Ewaluacja </w:t>
      </w:r>
      <w:r w:rsidRPr="0053185E">
        <w:rPr>
          <w:b/>
          <w:i/>
          <w:color w:val="E7E6E6" w:themeColor="background2"/>
          <w:sz w:val="24"/>
          <w:highlight w:val="yellow"/>
        </w:rPr>
        <w:t>ex post</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 xml:space="preserve">Ewaluacja </w:t>
      </w:r>
      <w:r w:rsidRPr="0053185E">
        <w:rPr>
          <w:i/>
          <w:color w:val="576C88" w:themeColor="text2" w:themeTint="D9"/>
          <w:highlight w:val="yellow"/>
        </w:rPr>
        <w:t>ex post</w:t>
      </w:r>
      <w:r>
        <w:rPr>
          <w:color w:val="576C88" w:themeColor="text2" w:themeTint="D9"/>
          <w:highlight w:val="yellow"/>
        </w:rPr>
        <w:t xml:space="preserve"> podsumowuje i ocenia interwencję po jej zakończeniu. Ma ona na celu rozliczenie z wykorzystania zasobów oraz z osiągnięcia zamierzonych i niezamierzonych skutków. Jest to próba zrozumienia czynników sukcesu lub porażki programów. Ponadto w ramach ewaluacji formułowane są wnioski, które można uogólnić i zastosować do innych interwencji. Aby skutki interwencji mogły się zmaterializować, ewaluację </w:t>
      </w:r>
      <w:r w:rsidRPr="00357ABF">
        <w:rPr>
          <w:i/>
          <w:color w:val="576C88" w:themeColor="text2" w:themeTint="D9"/>
          <w:highlight w:val="yellow"/>
        </w:rPr>
        <w:t>ex post</w:t>
      </w:r>
      <w:r>
        <w:rPr>
          <w:color w:val="576C88" w:themeColor="text2" w:themeTint="D9"/>
          <w:highlight w:val="yellow"/>
        </w:rPr>
        <w:t xml:space="preserve"> należy przeprowadzać po upływie pewnego czasu od zakończenia realizacji.</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Cel szczegółowy (ang. focus area)</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Obszar polityki, na który skierowana jest interwencja. Sześć priorytetów Unii w zakresie rozwoju obszarów wiejskich podzielonych jest na 18 operacyjnych celów szczegółowych, aby móc lepiej przyporządkowywać działania i planowane interwencje.</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Hierarchia celów</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 xml:space="preserve">Jest to instrument, który pomaga w analizie i komunikowaniu celów programu </w:t>
      </w:r>
      <w:r>
        <w:rPr>
          <w:color w:val="576C88" w:themeColor="text2" w:themeTint="D9"/>
          <w:highlight w:val="yellow"/>
        </w:rPr>
        <w:lastRenderedPageBreak/>
        <w:t>oraz pokazuje, w jaki sposób interwencje przyczyniają się do osiągnięcia celów ogólnych, pośrednich i operacyjnych. Cele te są porządkowane na różnych poziomach (ogólnym i szczegółowym) w postaci hierarchii lub drzewa, co pozwala pokazać związki logiczne pomiędzy celami ogólnymi i szczegółowymi. Hierarchia prezentuje w sposób syntetyczny różne typy logiki interwencji wynikające z rozporządzenia, na podstawie których poszczególne działania są przypisywane ogólnym celom interwencji. Rozporządzenie w sprawie rozwoju obszarów wiejskich zawiera również cele horyzontalne, które mają charakter przekrojowy w stosunku do wszystkich działań programu.</w:t>
      </w:r>
      <w:r>
        <w:rPr>
          <w:highlight w:val="yellow"/>
        </w:rPr>
        <w:t xml:space="preserve"> </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Oddziaływanie (ang. impact)</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Skutki interwencji utrzymujące się w średnim lub długim horyzoncie czasowym. Niektóre mają charakter pośredni (np. obroty wygenerowane dla dostawców wspieranych firm). Inne z kolei są obserwowane na poziomie makroekonomicznym lub makrospołecznym (np. poprawa wizerunku wspieranego obszaru); są to skutki ogólne. Skutki mogą być pozytywne lub negatywne, oczekiwane lub nieoczekiwane.</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Logika interwencji</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Stanowi narzędzie metodyczne, które służy do ustalenia logicznego związku między celami programu i planowanymi działaniami operacyjnymi. Obrazuje ona koncepcyjny związek pomiędzy nakładami i produktami, a następnie rezultatami i oddziaływaniem interwencji. Logika interwencji pozwala zatem ocenić wkład działania w realizację założonych celów.</w:t>
      </w:r>
    </w:p>
    <w:p w:rsidR="001924CD" w:rsidRPr="000A700F" w:rsidRDefault="001924CD">
      <w:pPr>
        <w:spacing w:after="0" w:line="240" w:lineRule="auto"/>
        <w:rPr>
          <w:rFonts w:cs="Arial"/>
          <w:b/>
          <w:color w:val="E7E6E6" w:themeColor="background2"/>
          <w:sz w:val="24"/>
          <w:highlight w:val="yellow"/>
        </w:rPr>
      </w:pPr>
      <w:r>
        <w:br w:type="page"/>
      </w:r>
    </w:p>
    <w:p w:rsidR="001924CD" w:rsidRPr="008C2B59" w:rsidRDefault="001924CD" w:rsidP="00A63707">
      <w:pPr>
        <w:spacing w:before="240" w:after="240"/>
        <w:ind w:left="360"/>
        <w:rPr>
          <w:rFonts w:cs="Arial"/>
          <w:b/>
          <w:color w:val="E7E6E6" w:themeColor="background2"/>
          <w:sz w:val="24"/>
          <w:highlight w:val="yellow"/>
        </w:rPr>
      </w:pPr>
      <w:r w:rsidRPr="008C2B59">
        <w:rPr>
          <w:b/>
          <w:color w:val="E7E6E6" w:themeColor="background2"/>
          <w:sz w:val="24"/>
          <w:highlight w:val="yellow"/>
        </w:rPr>
        <w:lastRenderedPageBreak/>
        <w:t>Kryterium oceny (ang. judgement criterion)</w:t>
      </w:r>
    </w:p>
    <w:p w:rsidR="001924CD" w:rsidRPr="000A700F" w:rsidRDefault="001924CD" w:rsidP="00A63707">
      <w:pPr>
        <w:spacing w:before="240" w:after="240"/>
        <w:ind w:left="360"/>
        <w:rPr>
          <w:rFonts w:cs="Arial"/>
          <w:szCs w:val="18"/>
          <w:highlight w:val="yellow"/>
        </w:rPr>
      </w:pPr>
      <w:r>
        <w:rPr>
          <w:color w:val="576C88" w:themeColor="text2" w:themeTint="D9"/>
          <w:highlight w:val="yellow"/>
        </w:rPr>
        <w:t>Zwane również kryterium ewaluacji. Określa ono aspekt ocenianej interwencji, który pozwoli na ocenę jej wartości lub sukcesu. Kryteria oceny są ściśle związane z pytaniami ewaluacyjnymi, służąc do formułowania odpowiedzi na nie. Na każde pytanie przypada co najmniej jedno kryterium oceny.</w:t>
      </w:r>
      <w:r>
        <w:rPr>
          <w:highlight w:val="yellow"/>
        </w:rPr>
        <w:t xml:space="preserve"> </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Krajowe sieci obszarów wiejskich (ang. national rural networks)</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Sieci tworzone przez państwa członkowskie, aby skupiać organizacje i struktury administracyjne zaangażowane w rozwój obszarów wiejskich w celu:</w:t>
      </w:r>
    </w:p>
    <w:p w:rsidR="001924CD" w:rsidRPr="000A700F" w:rsidRDefault="001924CD"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zwiększenia udziału zainteresowanych stron we wdrażaniu programów rozwoju obszarów wiejskich;</w:t>
      </w:r>
    </w:p>
    <w:p w:rsidR="001924CD" w:rsidRPr="000A700F" w:rsidRDefault="001924CD"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podniesienia jakości programów rozwoju obszarów wiejskich;</w:t>
      </w:r>
    </w:p>
    <w:p w:rsidR="001924CD" w:rsidRPr="000A700F" w:rsidRDefault="001924CD"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informowania społeczeństwa i potencjalnych beneficjentów o polityce rozwoju obszarów wiejskich;</w:t>
      </w:r>
    </w:p>
    <w:p w:rsidR="001924CD" w:rsidRPr="000A700F" w:rsidRDefault="001924CD" w:rsidP="009712DC">
      <w:pPr>
        <w:pStyle w:val="ListParagraph"/>
        <w:numPr>
          <w:ilvl w:val="0"/>
          <w:numId w:val="27"/>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promowania innowacji w rolnictwie.</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Plan działania KSOW</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Plan KSOW obejmujący co najmniej następujące działania:</w:t>
      </w:r>
    </w:p>
    <w:p w:rsidR="001924CD" w:rsidRPr="000A700F" w:rsidRDefault="001924CD"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gromadzenie przykładów projektów obejmujących wszystkie priorytety programów rozwoju obszarów wiejskich,</w:t>
      </w:r>
    </w:p>
    <w:p w:rsidR="001924CD" w:rsidRPr="000A700F" w:rsidRDefault="001924CD"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ułatwianie tematycznych i analitycznych wymian między zainteresowanymi stronami zaangażowanymi w rozwój obszarów wiejskich oraz udostępniania i rozpowszechniania wniosków,</w:t>
      </w:r>
    </w:p>
    <w:p w:rsidR="001924CD" w:rsidRPr="000A700F" w:rsidRDefault="001924CD"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zapewnienie szkoleń i możliwości tworzenia sieci kontaktów (ang. networking) dla lokalnych grup działania, a w szczególności pomocy technicznej w ramach współpracy międzyregionalnej i transnarodowej,</w:t>
      </w:r>
    </w:p>
    <w:p w:rsidR="001924CD" w:rsidRPr="000A700F" w:rsidRDefault="001924CD"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zapewnienie możliwości tworzenia sieci kontaktów dla doradców i służb wsparcia innowacji,</w:t>
      </w:r>
    </w:p>
    <w:p w:rsidR="001924CD" w:rsidRPr="000A700F" w:rsidRDefault="001924CD"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wymiana i rozpowszechnianie wniosków z monitorowania i ewaluacji,</w:t>
      </w:r>
    </w:p>
    <w:p w:rsidR="001924CD" w:rsidRPr="000A700F" w:rsidRDefault="001924CD"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działania promocyjne i informacyjne z zakresu rozwoju obszarów wiejskich,</w:t>
      </w:r>
    </w:p>
    <w:p w:rsidR="001924CD" w:rsidRPr="000A700F" w:rsidRDefault="001924CD" w:rsidP="009712DC">
      <w:pPr>
        <w:pStyle w:val="ListParagraph"/>
        <w:numPr>
          <w:ilvl w:val="1"/>
          <w:numId w:val="26"/>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udział w Europejskiej Sieci na rzecz Rozwoju Obszarów Wiejskich i wnoszenie wkładu w jej działalność.</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PKSOW</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W państwach członkowskich, które posiadają program regionalny, PKSOW odnosi się do konkretnego programu utworzenia i prowadzenia krajowej sieci obszarów wiejskich.</w:t>
      </w:r>
    </w:p>
    <w:p w:rsidR="001924CD" w:rsidRPr="000A700F" w:rsidRDefault="001924CD" w:rsidP="00A63707">
      <w:pPr>
        <w:spacing w:before="240" w:after="240"/>
        <w:ind w:left="363"/>
        <w:rPr>
          <w:rFonts w:cs="Arial"/>
          <w:b/>
          <w:color w:val="E7E6E6" w:themeColor="background2"/>
          <w:sz w:val="24"/>
          <w:highlight w:val="yellow"/>
        </w:rPr>
      </w:pP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Cel</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Jasne, bezpośrednie i początkowe oświadczenie dotyczące efektów, jakie mają zostać osiągnięte dzięki interwencji publicznej. Cel ilościowy wyznacza się w postaci wskaźników, cel jakościowy zaś w postaci deskryptorów, np.: 30% wszystkich produktów należy zrealizować do końca trzeciego roku; interwencja publiczna musi w pierwszej kolejności nieść korzyści osobom długotrwale bezrobotnym. Cele specyficzne dotyczą wyników i skutków interwencji dla bezpośrednich beneficjentów. Cel ogólny odpowiada celowi interwencji. Celem interwencji jest wywarcie wpływu wyrażonego w ogólny sposób, np. zmniejszenie różnic w poziomie rozwoju poszczególnych regionów. Cele mogą być także pośrednie. Cele, które określają oczekiwane produkty, nazywane są celami operacyjnymi. Jeżeli cele interwencji publicznej nie zostały wcześniej jasno określone, można dążyć do ich wyjaśnienia w późniejszym terminie na etapie ewaluacji. W takim przypadku mówi się raczej o celach dorozumianych/implikowanych. Cele mogą obejmować cele szczegółowe.</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Produkt (ang. output)</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lastRenderedPageBreak/>
        <w:t>Działanie, które zostało sfinansowane i zrealizowane (lub skonkretyzowane) ze środków finansowych przydzielonych na interwencję. Projektodawca zobowiązuje się do wytworzenia produktu w zamian za udzielone wsparcie. Produkty mogą mieć postać obiektów lub prac (np. budowa drogi, inwestycja w gospodarstwo rolne, kwatery turystyczne). Mogą one również przyjmować formę usług niematerialnych (np. szkolenia, doradztwo, informowanie).</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Program</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Ustrukturyzowany zestaw interwencji finansowych, organizacyjnych i ludzkich uruchomionych, aby osiągnąć cel lub cele w danym okresie czasu. Program jest ograniczony pod względem harmonogramu i budżetu. Cele programu są zdefiniowane z góry, a następnie systematycznie dąży się do zapewnienia spójności między nimi.</w:t>
      </w:r>
    </w:p>
    <w:p w:rsidR="001924CD" w:rsidRPr="000A700F" w:rsidRDefault="001924CD" w:rsidP="009712DC">
      <w:pPr>
        <w:spacing w:before="240" w:after="240"/>
        <w:ind w:left="363"/>
        <w:rPr>
          <w:rFonts w:cs="Arial"/>
          <w:b/>
          <w:color w:val="E7E6E6" w:themeColor="background2"/>
          <w:sz w:val="24"/>
          <w:highlight w:val="yellow"/>
        </w:rPr>
      </w:pPr>
      <w:r>
        <w:rPr>
          <w:b/>
          <w:color w:val="E7E6E6" w:themeColor="background2"/>
          <w:sz w:val="24"/>
          <w:highlight w:val="yellow"/>
        </w:rPr>
        <w:t>Pytanie ewaluacyjne specyficzne dla programu</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Pytania ewaluacyjne specyficzne dla programu są opracowywane dla potrzeb oceny konkretnego programu, aby zapewnić głębszy wgląd w jego ogólną realizację lub ująć jego konkretne cele. „Wspólne” pytania ewaluacyjne dotyczą z kolei wszystkich programów.</w:t>
      </w:r>
      <w:r>
        <w:rPr>
          <w:highlight w:val="yellow"/>
        </w:rPr>
        <w:t xml:space="preserve"> </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Wskaźniki specyficzne dla programu</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 xml:space="preserve">Wskaźnik oznacza ilościowy lub jakościowy czynnik bądź zmienną jako prosty i niezawodny środek pomiaru realizacji, ujęcia zmian związanych z interwencją lub jako pomoc w ocenie funkcjonowania podmiotu działającego na rzecz rozwoju. Zestaw wspólnych wskaźników, obowiązujących wszystkie państwa członkowskie, służy do pomiaru osiągnięć i zmian zarówno na poziomie </w:t>
      </w:r>
      <w:r>
        <w:rPr>
          <w:color w:val="576C88" w:themeColor="text2" w:themeTint="D9"/>
          <w:highlight w:val="yellow"/>
        </w:rPr>
        <w:t>programu, jak i na poziomie europejskim. Jako że wspólne wskaźniki nie muszą w pełni odzwierciedlać wszystkich skutków działań podejmowanych w ramach programu, instytucje zarządzające w państwach członkowskich powinny uzupełnić zestaw wspólnych wskaźników o dodatkowe wskaźniki, które pozwolą uchwycić pełny zakres zamierzonych skutków danego programu, w szczególności w zakresie priorytetów krajowych i działań specyficznych dla danego obszaru. Dodatkowe wskaźniki określa się mianem wskaźników specyficznych dla programu.</w:t>
      </w:r>
      <w:r>
        <w:rPr>
          <w:highlight w:val="yellow"/>
        </w:rPr>
        <w:t xml:space="preserve"> </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Adekwatność (and. relevance)</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 xml:space="preserve">Zakres, w jakim cele interwencji odpowiadają potrzebom, problemom i zagadnieniom. Kwestia adekwatności jest szczególnie ważna przy ewaluacji </w:t>
      </w:r>
      <w:r w:rsidRPr="00695139">
        <w:rPr>
          <w:i/>
          <w:color w:val="576C88" w:themeColor="text2" w:themeTint="D9"/>
          <w:highlight w:val="yellow"/>
        </w:rPr>
        <w:t>ex ante</w:t>
      </w:r>
      <w:r>
        <w:rPr>
          <w:color w:val="576C88" w:themeColor="text2" w:themeTint="D9"/>
          <w:highlight w:val="yellow"/>
        </w:rPr>
        <w:t>, ponieważ główny nacisk kładzie się na wybraną strategię lub jej uzasadnienie. W ramach ewaluacji śródokresowej wskazane jest sprawdzić, czy kontekst społeczno-ekonomiczny ewoluował zgodnie z oczekiwaniami i czy ewolucja ta nie podważa zasadności wyznaczonego pierwotnie celu.</w:t>
      </w:r>
      <w:r>
        <w:rPr>
          <w:highlight w:val="yellow"/>
        </w:rPr>
        <w:t xml:space="preserve"> </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Wiarygodność (ang. reliability)</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Jakość gromadzenia danych z ewaluacji, kiedy stosowany protokół umożliwia generowanie podobnych informacji podczas wielokrotnych obserwacji w identycznych warunkach. Wiarygodność zależy od przestrzegania zasad doboru prób oraz narzędzi służących do gromadzenia i zapisywania informacji ilościowych i jakościowych.</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Rezultat</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 xml:space="preserve">Korzyść (lub szkoda) dla bezpośrednich beneficjentów na koniec uczestnictwa w </w:t>
      </w:r>
      <w:r>
        <w:rPr>
          <w:color w:val="576C88" w:themeColor="text2" w:themeTint="D9"/>
          <w:highlight w:val="yellow"/>
        </w:rPr>
        <w:lastRenderedPageBreak/>
        <w:t>interwencji publicznej lub natychmiast po ukończeniu infrastruktury publicznej. Rezultaty można obserwować, gdy podmiot zakończył dane działanie i odpowiada za sposób wydatkowania przydzielonych środków oraz zarządzania nimi. W tym celu podmiot może wykazać na przykład, że poprawiono dostępność na skutek budowy drogi lub spełniono oczekiwania przedsiębiorstw, które korzystały z doradztwa. Podmioty mogą regularnie monitorować rezultaty. Muszą one dostosowywać realizację interwencji w zależności od uzyskiwanych wyników.</w:t>
      </w:r>
      <w:r>
        <w:rPr>
          <w:highlight w:val="yellow"/>
        </w:rPr>
        <w:t xml:space="preserve">  </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Rygor (ang. rigour)</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W kontekście niniejszego badania „rygorystyczna” metoda oznacza metodę wprowadzoną, zastosowaną i dopracowaną w recenzowanych czasopismach naukowych. Bardziej rygorystyczna metoda jest powszechniej stosowana i akceptowana w środowisku naukowym lub wśród ewaluatorów oraz jest opisywana w podręcznikach metodologicznych. Sposoby, które mogą służyć do określenia ilościowego efektów przyczynowych, uważane są za solidniejsze od innych metod.</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Solidność (ang. robustness)</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 xml:space="preserve">Pojęcie „solidności” definiuje się na różne sposoby w literaturze ewaluacyjnej. W ekonometrii termin ten jest stosowany w różnych kontekstach (np. estymatorów obciążonych i nieobciążonych, selekcji modelu i zmiennych), a zatem jego znaczenie zależy od kontekstu. W warunkach niniejszego badania solidność uznaje się za wysoką, jeśli wyniki są stabilne i odporne na niewielkie, ale zamierzone zmiany (np. kolejny rok obserwacji, dodatkowe zmienne objaśniające, dodatkowa zainteresowana strona, inny ewaluator). W przypadku </w:t>
      </w:r>
      <w:r>
        <w:rPr>
          <w:color w:val="576C88" w:themeColor="text2" w:themeTint="D9"/>
          <w:highlight w:val="yellow"/>
        </w:rPr>
        <w:t>niektórych metod solidność można sprawdzić za pośrednictwem analizy wrażliwości.</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Samoocena</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Samoocena jest ciągłym, auto-refleksyjnym procesem, który został opracowany i jest prowadzony przez osoby realizujące interwencję lub będące jej częścią (np. menedżerów programu, beneficjentów, członków sieci). Daje on wewnętrzny ogląd działalności i skupia się na ogólnych wynikach. Zaangażowane podmioty analizują sposób wykonywania czynności i zastanawiają się, w jaki sposób ich działania przyczyniają się do osiągnięcia założonych celów. Partycypacyjny charakter samooceny wywołuje efekt uczenia się wśród wszystkich osób będących jej częścią.</w:t>
      </w:r>
      <w:r>
        <w:rPr>
          <w:highlight w:val="yellow"/>
        </w:rPr>
        <w:t xml:space="preserve"> </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Specyfikacja istotnych warunków zamówienia (ang. Terms of Reference)</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SIWZ określa warunki realizacji zadań związanych z ewaluacją/samooceną, opisuje role i obowiązki oraz informuje potencjalnych ewaluatorów/ekspertów samooceny o oczekiwaniach w odniesieniu do jej zawartości, przebiegu i harmonogramu. Odpowiedź oferentów na jasno określone w SIWZ warunki może być głównym wskazaniem ich przydatności do wykonania zadania.</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Teoria zmiany</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 xml:space="preserve">„Teorię zmiany”, która jest często stosowana w przypadku ewaluacji opartej o teorię, można określić jako sposób opisania zbioru założeń wyjaśniających zarówno poszczególne kroki prowadzące do celu długoterminowego, jak i związki pomiędzy działaniami przewidzianymi w ramach polityki lub programu a efektami </w:t>
      </w:r>
      <w:r>
        <w:rPr>
          <w:color w:val="576C88" w:themeColor="text2" w:themeTint="D9"/>
          <w:highlight w:val="yellow"/>
        </w:rPr>
        <w:lastRenderedPageBreak/>
        <w:t>osiąganymi na każdym etapie procesu. Podejście oparte o teorię oznacza podejście, w którym zwraca się uwagę na teorie decydentów, zarządzających programami lub innych zainteresowanych stron, tj. zbiory założeń i empirycznie sprawdzalnych hipotez, które są logicznie powiązane ze sobą. Zakłada ono, że programy są oparte na wyraźnej lub domyślnej teorii na temat tego, jak i dlaczego program ma działać. Główną cechą ewaluacji opartej o teorię jest wskazanie wyraźnego łańcucha przyczynowo-skutkowego (lub „teorii zmiany”) łączącego interwencję z określonymi skutkami. Łańcuch ten jest następnie wykorzystywany do gromadzenia dowodów i analizy związku przyczynowego poprzez opracowywanie hipotez, które można sprawdzić w oparciu o porównania krytyczne.</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Przejrzystość</w:t>
      </w:r>
    </w:p>
    <w:p w:rsidR="001924CD" w:rsidRPr="000A700F" w:rsidRDefault="001924CD" w:rsidP="00A63707">
      <w:pPr>
        <w:spacing w:before="240" w:after="240"/>
        <w:ind w:left="363"/>
        <w:rPr>
          <w:rFonts w:cs="Arial"/>
          <w:szCs w:val="18"/>
          <w:highlight w:val="yellow"/>
        </w:rPr>
      </w:pPr>
      <w:r>
        <w:rPr>
          <w:color w:val="576C88" w:themeColor="text2" w:themeTint="D9"/>
          <w:highlight w:val="yellow"/>
        </w:rPr>
        <w:t>Przejrzystość metodologii ewaluacji wymaga, aby użytkownicy znali szczegółowo jej główne elementy, strukturę, parametry, zasady i odpowiedzi funkcjonalne. Pozwala to użytkownikowi monitorować stosowanie metodologii. Prawidłowe oszacowanie sytuacji kontrfaktycznej powinno opierać się na jasnych i przejrzystych zasadach przydziału.</w:t>
      </w:r>
    </w:p>
    <w:p w:rsidR="001924CD" w:rsidRPr="000A700F" w:rsidRDefault="001924CD" w:rsidP="00A63707">
      <w:pPr>
        <w:spacing w:before="240" w:after="240"/>
        <w:ind w:left="363"/>
        <w:rPr>
          <w:rFonts w:cs="Arial"/>
          <w:b/>
          <w:color w:val="E7E6E6" w:themeColor="background2"/>
          <w:sz w:val="24"/>
          <w:highlight w:val="yellow"/>
        </w:rPr>
      </w:pPr>
      <w:r>
        <w:rPr>
          <w:b/>
          <w:color w:val="E7E6E6" w:themeColor="background2"/>
          <w:sz w:val="24"/>
          <w:highlight w:val="yellow"/>
        </w:rPr>
        <w:t>Trafność (ang. validity)</w:t>
      </w:r>
    </w:p>
    <w:p w:rsidR="001924CD" w:rsidRDefault="001924CD" w:rsidP="00A63707">
      <w:pPr>
        <w:spacing w:before="240" w:after="240"/>
        <w:ind w:left="363"/>
        <w:rPr>
          <w:rFonts w:cs="Arial"/>
          <w:color w:val="576C88" w:themeColor="text2" w:themeTint="D9"/>
          <w:szCs w:val="18"/>
        </w:rPr>
      </w:pPr>
      <w:r>
        <w:rPr>
          <w:color w:val="576C88" w:themeColor="text2" w:themeTint="D9"/>
          <w:highlight w:val="yellow"/>
        </w:rPr>
        <w:t xml:space="preserve">Może odnosić się do trafności wewnętrznej, zewnętrznej i zbieżnej. „Trafność wewnętrzna”: Wyniki zastosowania metod nieempirycznych są trafne, jeśli są poprawne pod względem logicznym. Wyniki zastosowania metod empirycznych są trafne, jeśli są poprawne pod względem logicznym i faktycznym. Poprawność logiczna jest możliwa do zweryfikowania, a w zadaniu tym pomaga </w:t>
      </w:r>
      <w:r>
        <w:rPr>
          <w:color w:val="576C88" w:themeColor="text2" w:themeTint="D9"/>
          <w:highlight w:val="yellow"/>
        </w:rPr>
        <w:t>wysoki poziom przejrzystości. Poprawność faktyczna jest potwierdzona, jeśli wynik jest tożsamy parametrowi prawdziwości, który z reguły nie poddaje się obserwacji (zob. sytuacja kontrfaktyczna). „Trafność zewnętrzna” jest miarą jakości badań empirycznych. W naszym kontekście oznacza to, że wyniki badań przypadku będą mniej więcej takie same, jeśli podobny program odbywa się również w innym kontekście. „Trafność zbieżna” zachodzi, gdy różne metody stosowane w celu odpowiedzi na te same pytania badawcze dają podobne wyniki.</w:t>
      </w:r>
    </w:p>
    <w:p w:rsidR="001924CD" w:rsidRDefault="001924CD" w:rsidP="00A63707">
      <w:pPr>
        <w:spacing w:before="240" w:after="240"/>
        <w:ind w:left="363"/>
        <w:rPr>
          <w:rFonts w:cs="Arial"/>
          <w:szCs w:val="18"/>
        </w:rPr>
      </w:pPr>
    </w:p>
    <w:p w:rsidR="001924CD" w:rsidRDefault="001924CD" w:rsidP="00A63707">
      <w:pPr>
        <w:spacing w:before="240" w:after="240"/>
        <w:ind w:left="363"/>
        <w:rPr>
          <w:rFonts w:cs="Arial"/>
          <w:szCs w:val="18"/>
        </w:rPr>
      </w:pPr>
    </w:p>
    <w:p w:rsidR="001924CD" w:rsidRDefault="001924CD" w:rsidP="00A63707">
      <w:pPr>
        <w:spacing w:before="240" w:after="240"/>
        <w:ind w:left="363"/>
        <w:rPr>
          <w:rFonts w:cs="Arial"/>
          <w:szCs w:val="18"/>
        </w:rPr>
      </w:pPr>
    </w:p>
    <w:p w:rsidR="001924CD" w:rsidRDefault="001924CD" w:rsidP="00A63707">
      <w:pPr>
        <w:spacing w:before="240" w:after="240"/>
        <w:ind w:left="363"/>
        <w:rPr>
          <w:rFonts w:cs="Arial"/>
          <w:szCs w:val="18"/>
        </w:rPr>
      </w:pPr>
    </w:p>
    <w:p w:rsidR="001924CD" w:rsidRDefault="001924CD" w:rsidP="00A63707">
      <w:pPr>
        <w:spacing w:before="240" w:after="240"/>
        <w:ind w:left="363"/>
        <w:rPr>
          <w:rFonts w:cs="Arial"/>
          <w:szCs w:val="18"/>
        </w:rPr>
        <w:sectPr w:rsidR="001924CD" w:rsidSect="00502BFD">
          <w:type w:val="continuous"/>
          <w:pgSz w:w="11906" w:h="16838" w:code="9"/>
          <w:pgMar w:top="1440" w:right="1440" w:bottom="1440" w:left="1440" w:header="1134" w:footer="1021" w:gutter="0"/>
          <w:cols w:num="2" w:space="708"/>
          <w:titlePg/>
          <w:docGrid w:linePitch="360"/>
        </w:sectPr>
      </w:pPr>
    </w:p>
    <w:p w:rsidR="001924CD" w:rsidRDefault="001924CD">
      <w:pPr>
        <w:spacing w:after="0" w:line="240" w:lineRule="auto"/>
        <w:rPr>
          <w:rFonts w:cs="Arial"/>
          <w:szCs w:val="18"/>
        </w:rPr>
      </w:pPr>
      <w:r>
        <w:lastRenderedPageBreak/>
        <w:br w:type="page"/>
      </w:r>
    </w:p>
    <w:p w:rsidR="001924CD" w:rsidRDefault="001924CD" w:rsidP="00A63707">
      <w:pPr>
        <w:spacing w:before="240" w:after="240"/>
        <w:ind w:left="363"/>
        <w:rPr>
          <w:rFonts w:cs="Arial"/>
          <w:szCs w:val="18"/>
        </w:rPr>
      </w:pPr>
    </w:p>
    <w:p w:rsidR="001924CD" w:rsidRDefault="001924CD" w:rsidP="00A63707">
      <w:pPr>
        <w:spacing w:before="240" w:after="240"/>
        <w:ind w:left="363"/>
        <w:rPr>
          <w:rFonts w:cs="Arial"/>
          <w:szCs w:val="18"/>
        </w:rPr>
      </w:pPr>
    </w:p>
    <w:p w:rsidR="001924CD" w:rsidRDefault="001924CD" w:rsidP="00A63707">
      <w:pPr>
        <w:spacing w:before="240" w:after="240"/>
        <w:ind w:left="363"/>
        <w:rPr>
          <w:rFonts w:cs="Arial"/>
          <w:szCs w:val="18"/>
        </w:rPr>
        <w:sectPr w:rsidR="001924CD" w:rsidSect="00502BFD">
          <w:pgSz w:w="11906" w:h="16838" w:code="9"/>
          <w:pgMar w:top="1440" w:right="1440" w:bottom="1440" w:left="1440" w:header="1134" w:footer="1021" w:gutter="0"/>
          <w:cols w:num="2" w:space="708"/>
          <w:titlePg/>
          <w:docGrid w:linePitch="360"/>
        </w:sectPr>
      </w:pPr>
    </w:p>
    <w:p w:rsidR="001924CD" w:rsidRPr="009712DC" w:rsidRDefault="001924CD" w:rsidP="00A63707">
      <w:pPr>
        <w:spacing w:before="240" w:after="240"/>
        <w:ind w:left="363"/>
        <w:rPr>
          <w:rFonts w:cs="Arial"/>
          <w:szCs w:val="18"/>
        </w:rPr>
        <w:sectPr w:rsidR="001924CD" w:rsidRPr="009712DC" w:rsidSect="00502BFD">
          <w:type w:val="continuous"/>
          <w:pgSz w:w="11906" w:h="16838" w:code="9"/>
          <w:pgMar w:top="1440" w:right="1440" w:bottom="1440" w:left="1440" w:header="1134" w:footer="1021" w:gutter="0"/>
          <w:cols w:space="708"/>
          <w:titlePg/>
          <w:docGrid w:linePitch="360"/>
        </w:sectPr>
      </w:pPr>
    </w:p>
    <w:p w:rsidR="001924CD" w:rsidRDefault="001924CD">
      <w:pPr>
        <w:spacing w:after="0" w:line="240" w:lineRule="auto"/>
        <w:rPr>
          <w:rFonts w:cs="Arial"/>
          <w:color w:val="576C88" w:themeColor="text2" w:themeTint="D9"/>
          <w:sz w:val="20"/>
          <w:szCs w:val="20"/>
        </w:rPr>
        <w:sectPr w:rsidR="001924CD" w:rsidSect="00A63707">
          <w:type w:val="continuous"/>
          <w:pgSz w:w="11906" w:h="16838" w:code="9"/>
          <w:pgMar w:top="1440" w:right="1440" w:bottom="1440" w:left="1440" w:header="1134" w:footer="1021" w:gutter="0"/>
          <w:cols w:space="708"/>
          <w:titlePg/>
          <w:docGrid w:linePitch="360"/>
        </w:sectPr>
      </w:pPr>
    </w:p>
    <w:p w:rsidR="001924CD" w:rsidRDefault="001924CD">
      <w:pPr>
        <w:spacing w:after="0" w:line="240" w:lineRule="auto"/>
        <w:rPr>
          <w:rFonts w:cs="Arial"/>
          <w:color w:val="576C88" w:themeColor="text2" w:themeTint="D9"/>
          <w:sz w:val="20"/>
          <w:szCs w:val="20"/>
        </w:rPr>
      </w:pPr>
    </w:p>
    <w:p w:rsidR="001924CD" w:rsidRPr="008D0759" w:rsidRDefault="001924CD" w:rsidP="00923616">
      <w:pPr>
        <w:pStyle w:val="HStandard"/>
      </w:pPr>
    </w:p>
    <w:p w:rsidR="001924CD" w:rsidRPr="008D0759" w:rsidRDefault="001924CD" w:rsidP="00923616">
      <w:pPr>
        <w:pStyle w:val="HStandard"/>
        <w:sectPr w:rsidR="001924CD" w:rsidRPr="008D0759" w:rsidSect="00A63707">
          <w:type w:val="continuous"/>
          <w:pgSz w:w="11906" w:h="16838" w:code="9"/>
          <w:pgMar w:top="1440" w:right="1440" w:bottom="1440" w:left="1440" w:header="1134" w:footer="1021" w:gutter="0"/>
          <w:cols w:space="708"/>
          <w:titlePg/>
          <w:docGrid w:linePitch="360"/>
        </w:sectPr>
      </w:pPr>
    </w:p>
    <w:p w:rsidR="001924CD" w:rsidRPr="008D0759" w:rsidRDefault="001924CD">
      <w:pPr>
        <w:spacing w:after="0" w:line="240" w:lineRule="auto"/>
        <w:rPr>
          <w:rFonts w:cs="Arial"/>
        </w:rPr>
      </w:pPr>
      <w:r>
        <w:rPr>
          <w:rFonts w:cs="Arial"/>
          <w:noProof/>
          <w:lang w:eastAsia="en-GB"/>
        </w:rPr>
        <w:lastRenderedPageBreak/>
        <w:drawing>
          <wp:anchor distT="0" distB="0" distL="114300" distR="114300" simplePos="0" relativeHeight="251664384" behindDoc="0" locked="0" layoutInCell="1" allowOverlap="1" wp14:anchorId="037C7780" wp14:editId="590122AB">
            <wp:simplePos x="0" y="0"/>
            <wp:positionH relativeFrom="margin">
              <wp:align>center</wp:align>
            </wp:positionH>
            <wp:positionV relativeFrom="paragraph">
              <wp:posOffset>-1534795</wp:posOffset>
            </wp:positionV>
            <wp:extent cx="7409464" cy="10577015"/>
            <wp:effectExtent l="0" t="0" r="1270" b="0"/>
            <wp:wrapNone/>
            <wp:docPr id="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mplate_Back_Orange.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409464" cy="10577015"/>
                    </a:xfrm>
                    <a:prstGeom prst="rect">
                      <a:avLst/>
                    </a:prstGeom>
                  </pic:spPr>
                </pic:pic>
              </a:graphicData>
            </a:graphic>
          </wp:anchor>
        </w:drawing>
      </w:r>
    </w:p>
    <w:p w:rsidR="001924CD" w:rsidRPr="008D0759" w:rsidRDefault="001924CD" w:rsidP="00923616">
      <w:pPr>
        <w:pStyle w:val="HStandard"/>
      </w:pPr>
    </w:p>
    <w:p w:rsidR="00C23794" w:rsidRDefault="005103D6">
      <w:bookmarkStart w:id="361" w:name="_GoBack"/>
      <w:bookmarkEnd w:id="361"/>
    </w:p>
    <w:sectPr w:rsidR="00C23794" w:rsidSect="00457F3C">
      <w:headerReference w:type="default" r:id="rId71"/>
      <w:footerReference w:type="default" r:id="rId72"/>
      <w:headerReference w:type="first" r:id="rId73"/>
      <w:footerReference w:type="first" r:id="rId74"/>
      <w:pgSz w:w="11906" w:h="16838" w:code="9"/>
      <w:pgMar w:top="1440" w:right="1440" w:bottom="1440" w:left="1440" w:header="1134" w:footer="102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03D6" w:rsidRDefault="005103D6" w:rsidP="001924CD">
      <w:pPr>
        <w:spacing w:after="0" w:line="240" w:lineRule="auto"/>
      </w:pPr>
      <w:r>
        <w:separator/>
      </w:r>
    </w:p>
  </w:endnote>
  <w:endnote w:type="continuationSeparator" w:id="0">
    <w:p w:rsidR="005103D6" w:rsidRDefault="005103D6" w:rsidP="001924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LT Pro Light">
    <w:altName w:val="Corbel"/>
    <w:charset w:val="00"/>
    <w:family w:val="swiss"/>
    <w:pitch w:val="variable"/>
    <w:sig w:usb0="A00000AF" w:usb1="5000205A" w:usb2="00000000" w:usb3="00000000" w:csb0="00000093" w:csb1="00000000"/>
  </w:font>
  <w:font w:name="Helvetica LT Pro">
    <w:charset w:val="00"/>
    <w:family w:val="swiss"/>
    <w:pitch w:val="variable"/>
    <w:sig w:usb0="A00002AF" w:usb1="5000204A" w:usb2="00000000" w:usb3="00000000" w:csb0="00000097" w:csb1="00000000"/>
  </w:font>
  <w:font w:name="Tahoma">
    <w:panose1 w:val="020B0604030504040204"/>
    <w:charset w:val="00"/>
    <w:family w:val="swiss"/>
    <w:pitch w:val="variable"/>
    <w:sig w:usb0="E1002EFF" w:usb1="C000605B" w:usb2="00000029" w:usb3="00000000" w:csb0="0001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ZWAdobeF">
    <w:altName w:val="Times New Roman"/>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4CD" w:rsidRDefault="001924CD">
    <w:pPr>
      <w:pStyle w:val="Foote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r>
      <w:tab/>
    </w:r>
    <w:r>
      <w:rPr>
        <w:noProof/>
        <w:lang w:val="en-GB" w:eastAsia="en-GB" w:bidi="ar-SA"/>
      </w:rPr>
      <w:drawing>
        <wp:inline distT="0" distB="0" distL="0" distR="0" wp14:anchorId="499F2369" wp14:editId="791E6110">
          <wp:extent cx="971550" cy="247650"/>
          <wp:effectExtent l="19050" t="0" r="0" b="0"/>
          <wp:docPr id="3" name="Bild 1" descr="Logokleinlinks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kleinlinksunten"/>
                  <pic:cNvPicPr>
                    <a:picLocks noChangeAspect="1" noChangeArrowheads="1"/>
                  </pic:cNvPicPr>
                </pic:nvPicPr>
                <pic:blipFill>
                  <a:blip r:embed="rId1"/>
                  <a:srcRect/>
                  <a:stretch>
                    <a:fillRect/>
                  </a:stretch>
                </pic:blipFill>
                <pic:spPr bwMode="auto">
                  <a:xfrm>
                    <a:off x="0" y="0"/>
                    <a:ext cx="971550" cy="247650"/>
                  </a:xfrm>
                  <a:prstGeom prst="rect">
                    <a:avLst/>
                  </a:prstGeom>
                  <a:noFill/>
                  <a:ln w="9525">
                    <a:noFill/>
                    <a:miter lim="800000"/>
                    <a:headEnd/>
                    <a:tailEnd/>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4CD" w:rsidRPr="00A40754" w:rsidRDefault="001924C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31</w:t>
    </w:r>
    <w:r w:rsidRPr="00A40754">
      <w:rPr>
        <w:rStyle w:val="PageNumber"/>
        <w:rFonts w:ascii="Helvetica LT Pro Light" w:hAnsi="Helvetica LT Pro Light"/>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4CD" w:rsidRPr="00A40754" w:rsidRDefault="001924C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8</w:t>
    </w:r>
    <w:r w:rsidRPr="00A40754">
      <w:rPr>
        <w:rStyle w:val="PageNumber"/>
        <w:rFonts w:ascii="Helvetica LT Pro Light" w:hAnsi="Helvetica LT Pro Light"/>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4CD" w:rsidRPr="00A40754" w:rsidRDefault="001924C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33</w:t>
    </w:r>
    <w:r w:rsidRPr="00A40754">
      <w:rPr>
        <w:rStyle w:val="PageNumber"/>
        <w:rFonts w:ascii="Helvetica LT Pro Light" w:hAnsi="Helvetica LT Pro Light"/>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4CD" w:rsidRPr="00A40754" w:rsidRDefault="001924C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32</w:t>
    </w:r>
    <w:r w:rsidRPr="00A40754">
      <w:rPr>
        <w:rStyle w:val="PageNumber"/>
        <w:rFonts w:ascii="Helvetica LT Pro Light" w:hAnsi="Helvetica LT Pro Light"/>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4CD" w:rsidRPr="004733A5" w:rsidRDefault="001924CD" w:rsidP="00A40754">
    <w:pPr>
      <w:pStyle w:val="Footer"/>
      <w:rPr>
        <w:color w:val="262626" w:themeColor="text1" w:themeTint="D9"/>
      </w:rPr>
    </w:pPr>
    <w:r w:rsidRPr="004733A5">
      <w:rPr>
        <w:rStyle w:val="PageNumber"/>
        <w:rFonts w:ascii="Helvetica LT Pro Light" w:hAnsi="Helvetica LT Pro Light"/>
        <w:color w:val="262626" w:themeColor="text1" w:themeTint="D9"/>
      </w:rPr>
      <w:fldChar w:fldCharType="begin"/>
    </w:r>
    <w:r w:rsidRPr="004733A5">
      <w:rPr>
        <w:rStyle w:val="PageNumber"/>
        <w:rFonts w:ascii="Helvetica LT Pro Light" w:hAnsi="Helvetica LT Pro Light"/>
        <w:color w:val="262626" w:themeColor="text1" w:themeTint="D9"/>
      </w:rPr>
      <w:instrText xml:space="preserve"> PAGE </w:instrText>
    </w:r>
    <w:r w:rsidRPr="004733A5">
      <w:rPr>
        <w:rStyle w:val="PageNumber"/>
        <w:rFonts w:ascii="Helvetica LT Pro Light" w:hAnsi="Helvetica LT Pro Light"/>
        <w:color w:val="262626" w:themeColor="text1" w:themeTint="D9"/>
      </w:rPr>
      <w:fldChar w:fldCharType="separate"/>
    </w:r>
    <w:r>
      <w:rPr>
        <w:rStyle w:val="PageNumber"/>
        <w:rFonts w:ascii="Helvetica LT Pro Light" w:hAnsi="Helvetica LT Pro Light"/>
        <w:noProof/>
        <w:color w:val="262626" w:themeColor="text1" w:themeTint="D9"/>
      </w:rPr>
      <w:t>133</w:t>
    </w:r>
    <w:r w:rsidRPr="004733A5">
      <w:rPr>
        <w:rStyle w:val="PageNumber"/>
        <w:rFonts w:ascii="Helvetica LT Pro Light" w:hAnsi="Helvetica LT Pro Light"/>
        <w:color w:val="262626" w:themeColor="text1" w:themeTint="D9"/>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4CD" w:rsidRPr="00A40754" w:rsidRDefault="001924CD"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132</w:t>
    </w:r>
    <w:r w:rsidRPr="00A40754">
      <w:rPr>
        <w:rStyle w:val="PageNumber"/>
        <w:rFonts w:ascii="Helvetica LT Pro Light" w:hAnsi="Helvetica LT Pro Light"/>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6B59" w:rsidRPr="00150D5B" w:rsidRDefault="005103D6" w:rsidP="00150D5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6B59" w:rsidRPr="00150D5B" w:rsidRDefault="005103D6" w:rsidP="00150D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03D6" w:rsidRDefault="005103D6" w:rsidP="001924CD">
      <w:pPr>
        <w:spacing w:after="0" w:line="240" w:lineRule="auto"/>
      </w:pPr>
      <w:r>
        <w:separator/>
      </w:r>
    </w:p>
  </w:footnote>
  <w:footnote w:type="continuationSeparator" w:id="0">
    <w:p w:rsidR="005103D6" w:rsidRDefault="005103D6" w:rsidP="001924CD">
      <w:pPr>
        <w:spacing w:after="0" w:line="240" w:lineRule="auto"/>
      </w:pPr>
      <w:r>
        <w:continuationSeparator/>
      </w:r>
    </w:p>
  </w:footnote>
  <w:footnote w:id="1">
    <w:p w:rsidR="001924CD" w:rsidRPr="00F47AD9" w:rsidRDefault="001924CD" w:rsidP="00790A04">
      <w:pPr>
        <w:pStyle w:val="FootnoteText"/>
        <w:rPr>
          <w:highlight w:val="yellow"/>
        </w:rPr>
      </w:pPr>
      <w:r w:rsidRPr="00F47AD9">
        <w:rPr>
          <w:rStyle w:val="FootnoteReference"/>
          <w:highlight w:val="yellow"/>
        </w:rPr>
        <w:footnoteRef/>
      </w:r>
      <w:r w:rsidRPr="00F47AD9">
        <w:rPr>
          <w:highlight w:val="yellow"/>
        </w:rPr>
        <w:t xml:space="preserve"> </w:t>
      </w:r>
      <w:r w:rsidRPr="00F47AD9">
        <w:rPr>
          <w:highlight w:val="yellow"/>
        </w:rPr>
        <w:tab/>
        <w:t>W przypadku państw członkowskich posiadających regionalny program rozwoju obszarów wiejskich.</w:t>
      </w:r>
    </w:p>
  </w:footnote>
  <w:footnote w:id="2">
    <w:p w:rsidR="001924CD" w:rsidRPr="00F47AD9" w:rsidRDefault="001924CD" w:rsidP="00790A04">
      <w:pPr>
        <w:pStyle w:val="FootnoteText"/>
        <w:rPr>
          <w:highlight w:val="yellow"/>
        </w:rPr>
      </w:pPr>
      <w:r w:rsidRPr="00F47AD9">
        <w:rPr>
          <w:rStyle w:val="FootnoteReference"/>
          <w:highlight w:val="yellow"/>
        </w:rPr>
        <w:footnoteRef/>
      </w:r>
      <w:r w:rsidRPr="00F47AD9">
        <w:rPr>
          <w:highlight w:val="yellow"/>
        </w:rPr>
        <w:t xml:space="preserve"> </w:t>
      </w:r>
      <w:r w:rsidRPr="00F47AD9">
        <w:rPr>
          <w:highlight w:val="yellow"/>
        </w:rPr>
        <w:tab/>
        <w:t>Art. 54 ust. 1 rozporządzenia (UE) nr 1305/2013.</w:t>
      </w:r>
    </w:p>
  </w:footnote>
  <w:footnote w:id="3">
    <w:p w:rsidR="001924CD" w:rsidRPr="00F47AD9" w:rsidRDefault="001924CD" w:rsidP="00790A04">
      <w:pPr>
        <w:pStyle w:val="FootnoteText"/>
        <w:rPr>
          <w:highlight w:val="yellow"/>
        </w:rPr>
      </w:pPr>
      <w:r w:rsidRPr="00F47AD9">
        <w:rPr>
          <w:rStyle w:val="FootnoteReference"/>
          <w:highlight w:val="yellow"/>
        </w:rPr>
        <w:footnoteRef/>
      </w:r>
      <w:r w:rsidRPr="00F47AD9">
        <w:rPr>
          <w:highlight w:val="yellow"/>
        </w:rPr>
        <w:t xml:space="preserve"> </w:t>
      </w:r>
      <w:r w:rsidRPr="00F47AD9">
        <w:rPr>
          <w:highlight w:val="yellow"/>
        </w:rPr>
        <w:tab/>
        <w:t>Art. 54 rozporządzenia (UE) nr 1303/2013.</w:t>
      </w:r>
    </w:p>
  </w:footnote>
  <w:footnote w:id="4">
    <w:p w:rsidR="001924CD" w:rsidRPr="00F47AD9" w:rsidRDefault="001924CD" w:rsidP="00790A04">
      <w:pPr>
        <w:pStyle w:val="FootnoteText"/>
        <w:rPr>
          <w:highlight w:val="yellow"/>
        </w:rPr>
      </w:pPr>
      <w:r w:rsidRPr="00F47AD9">
        <w:rPr>
          <w:rStyle w:val="FootnoteReference"/>
          <w:highlight w:val="yellow"/>
        </w:rPr>
        <w:footnoteRef/>
      </w:r>
      <w:r w:rsidRPr="00F47AD9">
        <w:rPr>
          <w:highlight w:val="yellow"/>
        </w:rPr>
        <w:t xml:space="preserve"> </w:t>
      </w:r>
      <w:r w:rsidRPr="00F47AD9">
        <w:rPr>
          <w:highlight w:val="yellow"/>
        </w:rPr>
        <w:tab/>
      </w:r>
      <w:hyperlink r:id="rId1">
        <w:r w:rsidRPr="00F47AD9">
          <w:rPr>
            <w:highlight w:val="yellow"/>
          </w:rPr>
          <w:t>Wytyczne:</w:t>
        </w:r>
      </w:hyperlink>
      <w:r w:rsidRPr="00F47AD9">
        <w:rPr>
          <w:highlight w:val="yellow"/>
        </w:rPr>
        <w:t xml:space="preserve"> </w:t>
      </w:r>
      <w:hyperlink r:id="rId2">
        <w:r w:rsidRPr="00F47AD9">
          <w:rPr>
            <w:highlight w:val="yellow"/>
          </w:rPr>
          <w:t>„Opracowanie i wdrożenie planu ewaluacji PROW 2014-2020” (ang. Establishing and implementing the evaluation plan of 2014-2020 RDPs)</w:t>
        </w:r>
      </w:hyperlink>
      <w:r w:rsidRPr="00F47AD9">
        <w:rPr>
          <w:highlight w:val="yellow"/>
        </w:rPr>
        <w:t xml:space="preserve">, Biuro Pomocy Europejskiej Sieci Ewaluacji Rozwoju Obszarów Wiejskich, Bruksela, 2014 r. </w:t>
      </w:r>
    </w:p>
  </w:footnote>
  <w:footnote w:id="5">
    <w:p w:rsidR="001924CD" w:rsidRPr="00F47AD9" w:rsidRDefault="001924CD" w:rsidP="00E92B7B">
      <w:pPr>
        <w:pStyle w:val="FootnoteText"/>
        <w:rPr>
          <w:highlight w:val="yellow"/>
          <w:lang w:val="en-US"/>
        </w:rPr>
      </w:pPr>
      <w:r w:rsidRPr="00F47AD9">
        <w:rPr>
          <w:rStyle w:val="FootnoteReference"/>
          <w:highlight w:val="yellow"/>
        </w:rPr>
        <w:footnoteRef/>
      </w:r>
      <w:r w:rsidRPr="00F47AD9">
        <w:rPr>
          <w:highlight w:val="yellow"/>
        </w:rPr>
        <w:t xml:space="preserve"> </w:t>
      </w:r>
      <w:r w:rsidRPr="00F47AD9">
        <w:rPr>
          <w:highlight w:val="yellow"/>
        </w:rPr>
        <w:tab/>
        <w:t xml:space="preserve">Dokument roboczy: Wspólne pytania ewaluacyjne dotyczące programu rozwoju obszarów wiejskich na lata 2014-2020 (ang. </w:t>
      </w:r>
      <w:r w:rsidRPr="00F47AD9">
        <w:rPr>
          <w:highlight w:val="yellow"/>
          <w:lang w:val="en-US"/>
        </w:rPr>
        <w:t xml:space="preserve">Common Evaluation Questions for Rural Development Programme of 2014-2020), </w:t>
      </w:r>
      <w:hyperlink r:id="rId3">
        <w:r w:rsidRPr="00F47AD9">
          <w:rPr>
            <w:highlight w:val="yellow"/>
            <w:lang w:val="en-US"/>
          </w:rPr>
          <w:t>http://enrd.ec.europa.eu/en/evaluation-helpdesks-publications</w:t>
        </w:r>
      </w:hyperlink>
      <w:r w:rsidRPr="00F47AD9">
        <w:rPr>
          <w:highlight w:val="yellow"/>
          <w:lang w:val="en-US"/>
        </w:rPr>
        <w:t>.</w:t>
      </w:r>
    </w:p>
  </w:footnote>
  <w:footnote w:id="6">
    <w:p w:rsidR="001924CD" w:rsidRPr="00F47AD9" w:rsidRDefault="001924CD" w:rsidP="00E92B7B">
      <w:pPr>
        <w:pStyle w:val="FootnoteText"/>
        <w:rPr>
          <w:highlight w:val="yellow"/>
          <w:lang w:val="sk-SK"/>
        </w:rPr>
      </w:pPr>
      <w:r w:rsidRPr="00F47AD9">
        <w:rPr>
          <w:rStyle w:val="FootnoteReference"/>
          <w:highlight w:val="yellow"/>
        </w:rPr>
        <w:footnoteRef/>
      </w:r>
      <w:r w:rsidRPr="00F47AD9">
        <w:rPr>
          <w:highlight w:val="yellow"/>
        </w:rPr>
        <w:t xml:space="preserve"> </w:t>
      </w:r>
      <w:r w:rsidRPr="00F47AD9">
        <w:rPr>
          <w:highlight w:val="yellow"/>
        </w:rPr>
        <w:tab/>
        <w:t>Art. 14 rozporządzenia wykonawczego Komisji (UE) nr 808/2014.</w:t>
      </w:r>
    </w:p>
  </w:footnote>
  <w:footnote w:id="7">
    <w:p w:rsidR="001924CD" w:rsidRPr="00F47AD9" w:rsidRDefault="001924CD" w:rsidP="00E92B7B">
      <w:pPr>
        <w:pStyle w:val="FootnoteText"/>
        <w:rPr>
          <w:highlight w:val="yellow"/>
        </w:rPr>
      </w:pPr>
      <w:r w:rsidRPr="00F47AD9">
        <w:rPr>
          <w:rStyle w:val="FootnoteReference"/>
          <w:highlight w:val="yellow"/>
        </w:rPr>
        <w:footnoteRef/>
      </w:r>
      <w:r w:rsidRPr="00F47AD9">
        <w:rPr>
          <w:highlight w:val="yellow"/>
        </w:rPr>
        <w:t xml:space="preserve"> </w:t>
      </w:r>
      <w:r w:rsidRPr="00F47AD9">
        <w:rPr>
          <w:highlight w:val="yellow"/>
        </w:rPr>
        <w:tab/>
        <w:t>„</w:t>
      </w:r>
      <w:hyperlink r:id="rId4">
        <w:r w:rsidRPr="00F47AD9">
          <w:rPr>
            <w:highlight w:val="yellow"/>
          </w:rPr>
          <w:t xml:space="preserve">Wytyczne dotyczące ewaluacji </w:t>
        </w:r>
        <w:r w:rsidRPr="00F47AD9">
          <w:rPr>
            <w:i/>
            <w:highlight w:val="yellow"/>
          </w:rPr>
          <w:t>ex ante</w:t>
        </w:r>
        <w:r w:rsidRPr="00F47AD9">
          <w:rPr>
            <w:highlight w:val="yellow"/>
          </w:rPr>
          <w:t xml:space="preserve"> PROW na lata 2014-2020”</w:t>
        </w:r>
      </w:hyperlink>
      <w:r w:rsidRPr="00F47AD9">
        <w:rPr>
          <w:highlight w:val="yellow"/>
        </w:rPr>
        <w:t xml:space="preserve"> (ang. Guidelines for the ex ante evaluation of 2014-2020 RDPs) i „</w:t>
      </w:r>
      <w:hyperlink r:id="rId5">
        <w:r w:rsidRPr="00F47AD9">
          <w:rPr>
            <w:highlight w:val="yellow"/>
          </w:rPr>
          <w:t>Wytyczne:</w:t>
        </w:r>
      </w:hyperlink>
      <w:hyperlink r:id="rId6">
        <w:r w:rsidRPr="00F47AD9">
          <w:rPr>
            <w:highlight w:val="yellow"/>
          </w:rPr>
          <w:t xml:space="preserve"> Opracowanie i wdrożenie planu ewaluacji PROW 2014-2020”</w:t>
        </w:r>
      </w:hyperlink>
      <w:r w:rsidRPr="00F47AD9">
        <w:rPr>
          <w:highlight w:val="yellow"/>
        </w:rPr>
        <w:t xml:space="preserve"> (ang. Guidelines: Establishing and implementing the evaluation plan of 2014-2020 RDPs).</w:t>
      </w:r>
      <w:hyperlink r:id="rId7"/>
    </w:p>
  </w:footnote>
  <w:footnote w:id="8">
    <w:p w:rsidR="001924CD" w:rsidRPr="00F47AD9" w:rsidRDefault="001924CD" w:rsidP="003E7D43">
      <w:pPr>
        <w:pStyle w:val="FootnoteText"/>
        <w:rPr>
          <w:highlight w:val="yellow"/>
        </w:rPr>
      </w:pPr>
      <w:r w:rsidRPr="00F47AD9">
        <w:rPr>
          <w:rStyle w:val="FootnoteReference"/>
          <w:highlight w:val="yellow"/>
        </w:rPr>
        <w:footnoteRef/>
      </w:r>
      <w:r w:rsidRPr="00F47AD9">
        <w:rPr>
          <w:highlight w:val="yellow"/>
        </w:rPr>
        <w:t xml:space="preserve"> </w:t>
      </w:r>
      <w:r w:rsidRPr="00F47AD9">
        <w:rPr>
          <w:highlight w:val="yellow"/>
        </w:rPr>
        <w:tab/>
        <w:t>W skład zespołu konsultacyjnego tematycznej grupy roboczej ds. wytycznych dotyczących KSOW weszli przedstawiciele DG AGRI, grupy ekspertów ds. monitorowania i ewaluacji WPR 2014-2020 oraz punktu kontaktowego ENRD.</w:t>
      </w:r>
    </w:p>
  </w:footnote>
  <w:footnote w:id="9">
    <w:p w:rsidR="001924CD" w:rsidRPr="00F47AD9" w:rsidRDefault="001924CD" w:rsidP="00923616">
      <w:pPr>
        <w:pStyle w:val="FootnoteText"/>
        <w:rPr>
          <w:highlight w:val="yellow"/>
          <w:lang w:val="en-GB"/>
        </w:rPr>
      </w:pPr>
      <w:r w:rsidRPr="00F47AD9">
        <w:rPr>
          <w:rStyle w:val="FootnoteReference"/>
          <w:highlight w:val="yellow"/>
        </w:rPr>
        <w:footnoteRef/>
      </w:r>
      <w:r w:rsidRPr="00F47AD9">
        <w:rPr>
          <w:highlight w:val="yellow"/>
        </w:rPr>
        <w:t xml:space="preserve"> </w:t>
      </w:r>
      <w:r w:rsidRPr="00F47AD9">
        <w:rPr>
          <w:highlight w:val="yellow"/>
        </w:rPr>
        <w:tab/>
        <w:t xml:space="preserve">Roelofs, M. (2004), Kryteria oceny działań publicznych w ramach sieci (ang. </w:t>
      </w:r>
      <w:r w:rsidRPr="00F47AD9">
        <w:rPr>
          <w:highlight w:val="yellow"/>
          <w:lang w:val="en-US"/>
        </w:rPr>
        <w:t>Criteria for the evaluation of public action taking place within networks), Holenderski Trybunał Obrachunkowy, Haga.</w:t>
      </w:r>
    </w:p>
  </w:footnote>
  <w:footnote w:id="10">
    <w:p w:rsidR="001924CD" w:rsidRPr="00F47AD9" w:rsidRDefault="001924CD" w:rsidP="00923616">
      <w:pPr>
        <w:pStyle w:val="FootnoteText"/>
        <w:rPr>
          <w:rFonts w:cs="Arial"/>
          <w:szCs w:val="16"/>
          <w:highlight w:val="yellow"/>
          <w:lang w:val="en-GB"/>
        </w:rPr>
      </w:pPr>
      <w:r w:rsidRPr="00F47AD9">
        <w:rPr>
          <w:rStyle w:val="FootnoteReference"/>
          <w:highlight w:val="yellow"/>
        </w:rPr>
        <w:footnoteRef/>
      </w:r>
      <w:r w:rsidRPr="00F47AD9">
        <w:rPr>
          <w:highlight w:val="yellow"/>
        </w:rPr>
        <w:t xml:space="preserve"> Co wiemy o networkingu jako narzędziu polityki rozwoju obszarów wiejskich (2007-2013)? </w:t>
      </w:r>
      <w:r w:rsidRPr="00F47AD9">
        <w:rPr>
          <w:highlight w:val="yellow"/>
          <w:lang w:val="en-US"/>
        </w:rPr>
        <w:t>(ang. What do we know about networking as a Rural Development Policy Tool (2007-2013)?, ENRD, dokument konsultacyjny, wersja 2 (czerwiec 2012 r.).</w:t>
      </w:r>
    </w:p>
  </w:footnote>
  <w:footnote w:id="11">
    <w:p w:rsidR="001924CD" w:rsidRPr="00F47AD9" w:rsidRDefault="001924CD" w:rsidP="00923616">
      <w:pPr>
        <w:pStyle w:val="FootnoteText"/>
        <w:rPr>
          <w:rFonts w:cs="Arial"/>
          <w:szCs w:val="16"/>
          <w:highlight w:val="yellow"/>
          <w:lang w:val="en-GB"/>
        </w:rPr>
      </w:pPr>
      <w:r w:rsidRPr="00F47AD9">
        <w:rPr>
          <w:rStyle w:val="FootnoteReference"/>
          <w:highlight w:val="yellow"/>
        </w:rPr>
        <w:footnoteRef/>
      </w:r>
      <w:r w:rsidRPr="00F47AD9">
        <w:rPr>
          <w:highlight w:val="yellow"/>
        </w:rPr>
        <w:t xml:space="preserve"> Co wiemy o networkingu jako narzędziu polityki rozwoju obszarów wiejskich (2007-2013)? </w:t>
      </w:r>
      <w:r w:rsidRPr="00F47AD9">
        <w:rPr>
          <w:highlight w:val="yellow"/>
          <w:lang w:val="en-US"/>
        </w:rPr>
        <w:t>(ang. What do we know about networking as a Rural Development Policy Tool (2007-2013)?, ENRD, dokument konsultacyjny, wersja 2 (czerwiec 2012 r.).</w:t>
      </w:r>
    </w:p>
  </w:footnote>
  <w:footnote w:id="12">
    <w:p w:rsidR="001924CD" w:rsidRPr="00F47AD9" w:rsidRDefault="001924CD" w:rsidP="00ED27DC">
      <w:pPr>
        <w:pStyle w:val="FootnoteText"/>
        <w:rPr>
          <w:highlight w:val="yellow"/>
          <w:lang w:val="sk-SK"/>
        </w:rPr>
      </w:pPr>
      <w:r w:rsidRPr="00F47AD9">
        <w:rPr>
          <w:rStyle w:val="FootnoteReference"/>
          <w:highlight w:val="yellow"/>
        </w:rPr>
        <w:footnoteRef/>
      </w:r>
      <w:r w:rsidRPr="00F47AD9">
        <w:rPr>
          <w:highlight w:val="yellow"/>
        </w:rPr>
        <w:t xml:space="preserve"> Art. 53 ust. 1 rozporządzenia (UE) nr 1305/2013.</w:t>
      </w:r>
    </w:p>
  </w:footnote>
  <w:footnote w:id="13">
    <w:p w:rsidR="001924CD" w:rsidRPr="00F47AD9" w:rsidRDefault="001924CD" w:rsidP="00923616">
      <w:pPr>
        <w:pStyle w:val="FootnoteText"/>
        <w:rPr>
          <w:highlight w:val="yellow"/>
          <w:lang w:val="sk-SK"/>
        </w:rPr>
      </w:pPr>
      <w:r w:rsidRPr="00F47AD9">
        <w:rPr>
          <w:rStyle w:val="FootnoteReference"/>
          <w:highlight w:val="yellow"/>
        </w:rPr>
        <w:footnoteRef/>
      </w:r>
      <w:r w:rsidRPr="00F47AD9">
        <w:rPr>
          <w:highlight w:val="yellow"/>
        </w:rPr>
        <w:t xml:space="preserve"> Art. 54 ust. 1 rozporządzenia (UE) nr 1305/2013.</w:t>
      </w:r>
    </w:p>
  </w:footnote>
  <w:footnote w:id="14">
    <w:p w:rsidR="001924CD" w:rsidRPr="00F47AD9" w:rsidRDefault="001924CD" w:rsidP="00923616">
      <w:pPr>
        <w:pStyle w:val="FootnoteText"/>
        <w:rPr>
          <w:highlight w:val="yellow"/>
          <w:lang w:val="sk-SK"/>
        </w:rPr>
      </w:pPr>
      <w:r w:rsidRPr="00F47AD9">
        <w:rPr>
          <w:rStyle w:val="FootnoteReference"/>
          <w:highlight w:val="yellow"/>
        </w:rPr>
        <w:footnoteRef/>
      </w:r>
      <w:r w:rsidRPr="00F47AD9">
        <w:rPr>
          <w:highlight w:val="yellow"/>
        </w:rPr>
        <w:t xml:space="preserve"> Art. 53, 55, 56 i 57 rozporządzenia (UE) nr 1305/2013.</w:t>
      </w:r>
    </w:p>
  </w:footnote>
  <w:footnote w:id="15">
    <w:p w:rsidR="001924CD" w:rsidRPr="00F47AD9" w:rsidRDefault="001924CD" w:rsidP="00923616">
      <w:pPr>
        <w:pStyle w:val="FootnoteText"/>
        <w:rPr>
          <w:highlight w:val="yellow"/>
          <w:lang w:val="en-GB"/>
        </w:rPr>
      </w:pPr>
      <w:r w:rsidRPr="00F47AD9">
        <w:rPr>
          <w:rStyle w:val="FootnoteReference"/>
          <w:highlight w:val="yellow"/>
        </w:rPr>
        <w:footnoteRef/>
      </w:r>
      <w:r w:rsidRPr="00F47AD9">
        <w:rPr>
          <w:highlight w:val="yellow"/>
          <w:lang w:val="en-US"/>
        </w:rPr>
        <w:t xml:space="preserve"> Wassermann, Stanley and Faust, Katherine, </w:t>
      </w:r>
      <w:r w:rsidRPr="00F47AD9">
        <w:rPr>
          <w:i/>
          <w:highlight w:val="yellow"/>
          <w:lang w:val="en-US"/>
        </w:rPr>
        <w:t>Social Network Analysis.</w:t>
      </w:r>
      <w:r w:rsidRPr="00F47AD9">
        <w:rPr>
          <w:highlight w:val="yellow"/>
          <w:lang w:val="en-US"/>
        </w:rPr>
        <w:t xml:space="preserve"> </w:t>
      </w:r>
      <w:r w:rsidRPr="00F47AD9">
        <w:rPr>
          <w:i/>
          <w:highlight w:val="yellow"/>
          <w:lang w:val="en-US"/>
        </w:rPr>
        <w:t xml:space="preserve">Methods and applications, </w:t>
      </w:r>
      <w:r w:rsidRPr="00F47AD9">
        <w:rPr>
          <w:highlight w:val="yellow"/>
          <w:lang w:val="en-US"/>
        </w:rPr>
        <w:t>Cambridge University Press, 1994.</w:t>
      </w:r>
    </w:p>
  </w:footnote>
  <w:footnote w:id="16">
    <w:p w:rsidR="001924CD" w:rsidRPr="00F47AD9" w:rsidRDefault="001924CD" w:rsidP="003A118B">
      <w:pPr>
        <w:pStyle w:val="FootnoteText"/>
        <w:rPr>
          <w:highlight w:val="yellow"/>
          <w:lang w:val="sk-SK"/>
        </w:rPr>
      </w:pPr>
      <w:r w:rsidRPr="00F47AD9">
        <w:rPr>
          <w:rStyle w:val="FootnoteReference"/>
          <w:highlight w:val="yellow"/>
        </w:rPr>
        <w:footnoteRef/>
      </w:r>
      <w:r w:rsidRPr="00F47AD9">
        <w:rPr>
          <w:highlight w:val="yellow"/>
          <w:lang w:val="en-US"/>
        </w:rPr>
        <w:t xml:space="preserve"> Art. 54 ust. 3 rozporządzenia (UE) nr 1305/2013.</w:t>
      </w:r>
    </w:p>
  </w:footnote>
  <w:footnote w:id="17">
    <w:p w:rsidR="001924CD" w:rsidRPr="00F47AD9" w:rsidRDefault="001924CD">
      <w:pPr>
        <w:pStyle w:val="FootnoteText"/>
        <w:rPr>
          <w:highlight w:val="yellow"/>
          <w:lang w:val="sk-SK"/>
        </w:rPr>
      </w:pPr>
      <w:r w:rsidRPr="00F47AD9">
        <w:rPr>
          <w:rStyle w:val="FootnoteReference"/>
          <w:highlight w:val="yellow"/>
        </w:rPr>
        <w:footnoteRef/>
      </w:r>
      <w:r w:rsidRPr="00F47AD9">
        <w:rPr>
          <w:highlight w:val="yellow"/>
        </w:rPr>
        <w:t xml:space="preserve"> Art. 5 rozporządzenia nr 1303/2013.</w:t>
      </w:r>
    </w:p>
  </w:footnote>
  <w:footnote w:id="18">
    <w:p w:rsidR="001924CD" w:rsidRPr="00F47AD9" w:rsidRDefault="001924CD">
      <w:pPr>
        <w:pStyle w:val="FootnoteText"/>
        <w:rPr>
          <w:highlight w:val="yellow"/>
        </w:rPr>
      </w:pPr>
      <w:r w:rsidRPr="00F47AD9">
        <w:rPr>
          <w:rStyle w:val="FootnoteReference"/>
          <w:highlight w:val="yellow"/>
        </w:rPr>
        <w:footnoteRef/>
      </w:r>
      <w:r w:rsidRPr="00F47AD9">
        <w:rPr>
          <w:highlight w:val="yellow"/>
        </w:rPr>
        <w:t xml:space="preserve"> Prezentacja Antonelli Zony (DG AGRI): „Przyszłość KSOW – teraz i w przyszłości” (ang. The shape of NRNs – now and in future) podczas warsztatów na temat dobrych praktyk Biura Pomocy ds. Ewaluacji Rozwoju Obszarów Wiejskich pod hasłem: „Krajowe sieci obszarów wiejskich:Jak wykazać wynikające z nich korzyści” (ang. </w:t>
      </w:r>
      <w:r w:rsidRPr="00F47AD9">
        <w:rPr>
          <w:highlight w:val="yellow"/>
          <w:lang w:val="en-US"/>
        </w:rPr>
        <w:t xml:space="preserve">National Rural Networks: How to show their benefits), Rzym, 10-11 kwiecień 2014 r. </w:t>
      </w:r>
      <w:hyperlink r:id="rId8">
        <w:r w:rsidRPr="00F47AD9">
          <w:rPr>
            <w:rStyle w:val="Hyperlink"/>
            <w:highlight w:val="yellow"/>
          </w:rPr>
          <w:t>https://enrd.ec.europa.eu/sites/enrd/files/assets/pdf/evaluation/national-rural-networks/GPW_10_NRN_shape.pdf</w:t>
        </w:r>
      </w:hyperlink>
    </w:p>
  </w:footnote>
  <w:footnote w:id="19">
    <w:p w:rsidR="001924CD" w:rsidRPr="00F47AD9" w:rsidRDefault="001924CD">
      <w:pPr>
        <w:pStyle w:val="FootnoteText"/>
        <w:rPr>
          <w:highlight w:val="yellow"/>
          <w:lang w:val="sk-SK"/>
        </w:rPr>
      </w:pPr>
      <w:r w:rsidRPr="00F47AD9">
        <w:rPr>
          <w:rStyle w:val="FootnoteReference"/>
          <w:highlight w:val="yellow"/>
        </w:rPr>
        <w:footnoteRef/>
      </w:r>
      <w:r w:rsidRPr="00F47AD9">
        <w:rPr>
          <w:highlight w:val="yellow"/>
        </w:rPr>
        <w:t xml:space="preserve"> Narzędzia analizy zainteresowanych stron oferowane przez instytucje międzynarodowe, np. WHO: </w:t>
      </w:r>
      <w:hyperlink r:id="rId9">
        <w:r w:rsidRPr="00F47AD9">
          <w:rPr>
            <w:rStyle w:val="Hyperlink"/>
            <w:highlight w:val="yellow"/>
          </w:rPr>
          <w:t>http://www.who.int/workforcealliance/knowledge/toolkit/33.pdf</w:t>
        </w:r>
      </w:hyperlink>
      <w:r w:rsidRPr="00F47AD9">
        <w:rPr>
          <w:highlight w:val="yellow"/>
        </w:rPr>
        <w:t xml:space="preserve">, Bank Światowy </w:t>
      </w:r>
      <w:hyperlink r:id="rId10">
        <w:r w:rsidRPr="00F47AD9">
          <w:rPr>
            <w:rStyle w:val="Hyperlink"/>
            <w:highlight w:val="yellow"/>
          </w:rPr>
          <w:t>http://www1.worldbank.org/publicsector/anticorrupt/PoliticalEconomy/stakeholderanalysis.htm</w:t>
        </w:r>
      </w:hyperlink>
      <w:r w:rsidRPr="00F47AD9">
        <w:rPr>
          <w:highlight w:val="yellow"/>
        </w:rPr>
        <w:t xml:space="preserve"> lub FAO: </w:t>
      </w:r>
      <w:hyperlink r:id="rId11">
        <w:r w:rsidRPr="00F47AD9">
          <w:rPr>
            <w:rStyle w:val="Hyperlink"/>
            <w:highlight w:val="yellow"/>
          </w:rPr>
          <w:t>http://www.fao.org/docrep/008/y5702e/y5702e00.htm</w:t>
        </w:r>
      </w:hyperlink>
    </w:p>
  </w:footnote>
  <w:footnote w:id="20">
    <w:p w:rsidR="001924CD" w:rsidRPr="00F47AD9" w:rsidRDefault="001924CD">
      <w:pPr>
        <w:pStyle w:val="FootnoteText"/>
        <w:rPr>
          <w:highlight w:val="yellow"/>
          <w:lang w:val="sk-SK"/>
        </w:rPr>
      </w:pPr>
      <w:r w:rsidRPr="00F47AD9">
        <w:rPr>
          <w:rStyle w:val="FootnoteReference"/>
          <w:highlight w:val="yellow"/>
        </w:rPr>
        <w:footnoteRef/>
      </w:r>
      <w:r w:rsidRPr="00F47AD9">
        <w:rPr>
          <w:highlight w:val="yellow"/>
          <w:lang w:val="sk-SK"/>
        </w:rPr>
        <w:t xml:space="preserve"> </w:t>
      </w:r>
      <w:hyperlink r:id="rId12">
        <w:r w:rsidRPr="00F47AD9">
          <w:rPr>
            <w:rStyle w:val="Hyperlink"/>
            <w:highlight w:val="yellow"/>
            <w:lang w:val="sk-SK"/>
          </w:rPr>
          <w:t>http://enrd.ec.europa.eu/enrd-static/networks-and-networking/nrn-toolkit/principles-and-practice-of-networking/network-definitions-and-diversity/en/rural-networks-and-networking_en.html</w:t>
        </w:r>
      </w:hyperlink>
    </w:p>
  </w:footnote>
  <w:footnote w:id="21">
    <w:p w:rsidR="001924CD" w:rsidRPr="00F47AD9" w:rsidRDefault="001924CD" w:rsidP="00923616">
      <w:pPr>
        <w:pStyle w:val="FootnoteText"/>
        <w:rPr>
          <w:highlight w:val="yellow"/>
          <w:lang w:val="sk-SK"/>
        </w:rPr>
      </w:pPr>
      <w:r w:rsidRPr="00F47AD9">
        <w:rPr>
          <w:rStyle w:val="FootnoteReference"/>
          <w:highlight w:val="yellow"/>
        </w:rPr>
        <w:footnoteRef/>
      </w:r>
      <w:r w:rsidRPr="00F47AD9">
        <w:rPr>
          <w:highlight w:val="yellow"/>
        </w:rPr>
        <w:t xml:space="preserve"> Art. 68 rozporządzenia (UE) nr 1305/2013.</w:t>
      </w:r>
    </w:p>
  </w:footnote>
  <w:footnote w:id="22">
    <w:p w:rsidR="001924CD" w:rsidRPr="00F47AD9" w:rsidRDefault="001924CD" w:rsidP="00923616">
      <w:pPr>
        <w:pStyle w:val="FootnoteText"/>
        <w:rPr>
          <w:rFonts w:cs="Arial"/>
          <w:szCs w:val="16"/>
          <w:highlight w:val="yellow"/>
        </w:rPr>
      </w:pPr>
      <w:r w:rsidRPr="00F47AD9">
        <w:rPr>
          <w:rStyle w:val="FootnoteReference"/>
          <w:highlight w:val="yellow"/>
        </w:rPr>
        <w:footnoteRef/>
      </w:r>
      <w:r w:rsidRPr="00F47AD9">
        <w:rPr>
          <w:highlight w:val="yellow"/>
        </w:rPr>
        <w:t xml:space="preserve"> Art. 54 ust. 2 rozporządzenia (UE) nr 1305/2013.</w:t>
      </w:r>
    </w:p>
  </w:footnote>
  <w:footnote w:id="23">
    <w:p w:rsidR="001924CD" w:rsidRPr="00F47AD9" w:rsidRDefault="001924CD" w:rsidP="0088698A">
      <w:pPr>
        <w:pStyle w:val="FootnoteText"/>
        <w:rPr>
          <w:highlight w:val="yellow"/>
        </w:rPr>
      </w:pPr>
      <w:r w:rsidRPr="00F47AD9">
        <w:rPr>
          <w:rStyle w:val="FootnoteReference"/>
          <w:highlight w:val="yellow"/>
        </w:rPr>
        <w:footnoteRef/>
      </w:r>
      <w:r w:rsidRPr="00F47AD9">
        <w:rPr>
          <w:highlight w:val="yellow"/>
        </w:rPr>
        <w:t xml:space="preserve"> Wartość dodana działalności KSOW zazwyczaj wiąże się z rozwojem kapitału społecznego, wkładem w tworzenie i rozwój tożsamości terytorialnej i indywidualnej, poprawą zarządzania oraz zachętami do wymiany informacji i wiedzy.</w:t>
      </w:r>
    </w:p>
  </w:footnote>
  <w:footnote w:id="24">
    <w:p w:rsidR="001924CD" w:rsidRPr="00F47AD9" w:rsidRDefault="001924CD" w:rsidP="00FF5B4F">
      <w:pPr>
        <w:pStyle w:val="FootnoteText"/>
        <w:rPr>
          <w:highlight w:val="yellow"/>
        </w:rPr>
      </w:pPr>
      <w:r w:rsidRPr="00F47AD9">
        <w:rPr>
          <w:rStyle w:val="FootnoteReference"/>
          <w:highlight w:val="yellow"/>
        </w:rPr>
        <w:footnoteRef/>
      </w:r>
      <w:r w:rsidRPr="00F47AD9">
        <w:rPr>
          <w:highlight w:val="yellow"/>
        </w:rPr>
        <w:t xml:space="preserve"> </w:t>
      </w:r>
      <w:hyperlink r:id="rId13">
        <w:r w:rsidRPr="00F47AD9">
          <w:rPr>
            <w:rFonts w:eastAsiaTheme="majorEastAsia"/>
            <w:highlight w:val="yellow"/>
          </w:rPr>
          <w:t>Zestaw narzędzi samooceny KSOW</w:t>
        </w:r>
      </w:hyperlink>
      <w:r w:rsidRPr="00F47AD9">
        <w:rPr>
          <w:highlight w:val="yellow"/>
        </w:rPr>
        <w:t>, ENRD. http://enrd.ec.europa.eu/enrd-static/networks-and-networking/nrn-self-assessment-tool-kit/en/index_en.html</w:t>
      </w:r>
    </w:p>
  </w:footnote>
  <w:footnote w:id="25">
    <w:p w:rsidR="001924CD" w:rsidRPr="00F47AD9" w:rsidRDefault="001924CD" w:rsidP="003A1D3C">
      <w:pPr>
        <w:pStyle w:val="FootnoteText"/>
        <w:rPr>
          <w:highlight w:val="yellow"/>
        </w:rPr>
      </w:pPr>
      <w:r w:rsidRPr="00F47AD9">
        <w:rPr>
          <w:rStyle w:val="FootnoteReference"/>
          <w:highlight w:val="yellow"/>
        </w:rPr>
        <w:footnoteRef/>
      </w:r>
      <w:r w:rsidRPr="00F47AD9">
        <w:rPr>
          <w:highlight w:val="yellow"/>
        </w:rPr>
        <w:t xml:space="preserve"> </w:t>
      </w:r>
      <w:hyperlink r:id="rId14">
        <w:r w:rsidRPr="00F47AD9">
          <w:rPr>
            <w:highlight w:val="yellow"/>
          </w:rPr>
          <w:t>https://enrd.ec.europa.eu/en/networking/network-self-assessment</w:t>
        </w:r>
      </w:hyperlink>
      <w:r w:rsidRPr="00F47AD9">
        <w:rPr>
          <w:highlight w:val="yellow"/>
        </w:rPr>
        <w:t>.</w:t>
      </w:r>
    </w:p>
  </w:footnote>
  <w:footnote w:id="26">
    <w:p w:rsidR="001924CD" w:rsidRPr="00F47AD9" w:rsidRDefault="001924CD">
      <w:pPr>
        <w:pStyle w:val="FootnoteText"/>
        <w:rPr>
          <w:highlight w:val="yellow"/>
          <w:lang w:val="sk-SK"/>
        </w:rPr>
      </w:pPr>
      <w:r w:rsidRPr="00F47AD9">
        <w:rPr>
          <w:rStyle w:val="FootnoteReference"/>
          <w:highlight w:val="yellow"/>
        </w:rPr>
        <w:footnoteRef/>
      </w:r>
      <w:r w:rsidRPr="00F47AD9">
        <w:rPr>
          <w:highlight w:val="yellow"/>
        </w:rPr>
        <w:t xml:space="preserve"> Art. 68 rozporządzenia (UE) nr 1303/2013 i załącznik I pkt 9 rozporządzenia wykonawczego Komisji (UE) nr 808/2014.</w:t>
      </w:r>
    </w:p>
  </w:footnote>
  <w:footnote w:id="27">
    <w:p w:rsidR="001924CD" w:rsidRPr="00F47AD9" w:rsidRDefault="001924CD" w:rsidP="00FF5B4F">
      <w:pPr>
        <w:pStyle w:val="FootnoteText"/>
        <w:rPr>
          <w:highlight w:val="yellow"/>
        </w:rPr>
      </w:pPr>
      <w:r w:rsidRPr="00F47AD9">
        <w:rPr>
          <w:rStyle w:val="FootnoteReference"/>
          <w:highlight w:val="yellow"/>
        </w:rPr>
        <w:footnoteRef/>
      </w:r>
      <w:r w:rsidRPr="00F47AD9">
        <w:rPr>
          <w:highlight w:val="yellow"/>
        </w:rPr>
        <w:t xml:space="preserve"> Pkt 2 załącznika VII do rozporządzenia wykonawczego Komisji (UE) nr 808/2014.</w:t>
      </w:r>
    </w:p>
  </w:footnote>
  <w:footnote w:id="28">
    <w:p w:rsidR="001924CD" w:rsidRPr="00F47AD9" w:rsidRDefault="001924CD" w:rsidP="00FF5B4F">
      <w:pPr>
        <w:pStyle w:val="FootnoteText"/>
        <w:rPr>
          <w:highlight w:val="yellow"/>
        </w:rPr>
      </w:pPr>
      <w:r w:rsidRPr="00F47AD9">
        <w:rPr>
          <w:rStyle w:val="FootnoteReference"/>
          <w:highlight w:val="yellow"/>
        </w:rPr>
        <w:footnoteRef/>
      </w:r>
      <w:r w:rsidRPr="00F47AD9">
        <w:rPr>
          <w:highlight w:val="yellow"/>
        </w:rPr>
        <w:t xml:space="preserve"> Art. 50 rozporządzenia (UE) nr 1303/2013 i pkt 7 załącznika VII do rozporządzenia wykonawczego Komisji (UE) nr 808/2014.</w:t>
      </w:r>
    </w:p>
  </w:footnote>
  <w:footnote w:id="29">
    <w:p w:rsidR="001924CD" w:rsidRPr="00F47AD9" w:rsidRDefault="001924CD" w:rsidP="00FF5B4F">
      <w:pPr>
        <w:pStyle w:val="FootnoteText"/>
        <w:rPr>
          <w:highlight w:val="yellow"/>
        </w:rPr>
      </w:pPr>
      <w:r w:rsidRPr="00F47AD9">
        <w:rPr>
          <w:rStyle w:val="FootnoteReference"/>
          <w:highlight w:val="yellow"/>
        </w:rPr>
        <w:footnoteRef/>
      </w:r>
      <w:r w:rsidRPr="00F47AD9">
        <w:rPr>
          <w:highlight w:val="yellow"/>
        </w:rPr>
        <w:t xml:space="preserve"> Pkt 7 załącznika V do rozporządzenia wykonawczego Komisji (UE) nr 808/2014.</w:t>
      </w:r>
    </w:p>
  </w:footnote>
  <w:footnote w:id="30">
    <w:p w:rsidR="001924CD" w:rsidRPr="00F47AD9" w:rsidRDefault="001924CD" w:rsidP="00FF5B4F">
      <w:pPr>
        <w:pStyle w:val="FootnoteText"/>
        <w:rPr>
          <w:highlight w:val="yellow"/>
        </w:rPr>
      </w:pPr>
      <w:r w:rsidRPr="00F47AD9">
        <w:rPr>
          <w:rStyle w:val="FootnoteReference"/>
          <w:highlight w:val="yellow"/>
        </w:rPr>
        <w:footnoteRef/>
      </w:r>
      <w:r w:rsidRPr="00F47AD9">
        <w:rPr>
          <w:highlight w:val="yellow"/>
        </w:rPr>
        <w:t xml:space="preserve"> Art. 52 rozporządzenia (UE) nr 1303/2013.</w:t>
      </w:r>
    </w:p>
  </w:footnote>
  <w:footnote w:id="31">
    <w:p w:rsidR="001924CD" w:rsidRPr="00F47AD9" w:rsidRDefault="001924CD">
      <w:pPr>
        <w:pStyle w:val="FootnoteText"/>
        <w:rPr>
          <w:highlight w:val="yellow"/>
        </w:rPr>
      </w:pPr>
      <w:r w:rsidRPr="00F47AD9">
        <w:rPr>
          <w:rStyle w:val="FootnoteReference"/>
          <w:highlight w:val="yellow"/>
        </w:rPr>
        <w:footnoteRef/>
      </w:r>
      <w:r w:rsidRPr="00F47AD9">
        <w:rPr>
          <w:highlight w:val="yellow"/>
        </w:rPr>
        <w:t xml:space="preserve"> Art. 52 ust. 2 rozporządzenia (UE) nr 1303/2013.</w:t>
      </w:r>
    </w:p>
  </w:footnote>
  <w:footnote w:id="32">
    <w:p w:rsidR="001924CD" w:rsidRPr="00F47AD9" w:rsidRDefault="001924CD" w:rsidP="003F5115">
      <w:pPr>
        <w:pStyle w:val="FootnoteText"/>
        <w:rPr>
          <w:highlight w:val="yellow"/>
        </w:rPr>
      </w:pPr>
      <w:r w:rsidRPr="00F47AD9">
        <w:rPr>
          <w:rStyle w:val="FootnoteReference"/>
          <w:highlight w:val="yellow"/>
        </w:rPr>
        <w:footnoteRef/>
      </w:r>
      <w:r w:rsidRPr="00F47AD9">
        <w:rPr>
          <w:highlight w:val="yellow"/>
        </w:rPr>
        <w:t xml:space="preserve"> Art. 78 rozporządzenia (UE) nr 1305/2013.</w:t>
      </w:r>
    </w:p>
  </w:footnote>
  <w:footnote w:id="33">
    <w:p w:rsidR="001924CD" w:rsidRPr="00F47AD9" w:rsidRDefault="001924CD" w:rsidP="003F5115">
      <w:pPr>
        <w:pStyle w:val="FootnoteText"/>
        <w:rPr>
          <w:highlight w:val="yellow"/>
        </w:rPr>
      </w:pPr>
      <w:r w:rsidRPr="00F47AD9">
        <w:rPr>
          <w:rStyle w:val="FootnoteReference"/>
          <w:highlight w:val="yellow"/>
        </w:rPr>
        <w:footnoteRef/>
      </w:r>
      <w:r w:rsidRPr="00F47AD9">
        <w:rPr>
          <w:highlight w:val="yellow"/>
        </w:rPr>
        <w:t xml:space="preserve"> Załącznik V do rozporządzenia wykonawczego Komisji (UE) nr 808/2014.</w:t>
      </w:r>
    </w:p>
  </w:footnote>
  <w:footnote w:id="34">
    <w:p w:rsidR="001924CD" w:rsidRPr="00F47AD9" w:rsidRDefault="001924CD" w:rsidP="00403F21">
      <w:pPr>
        <w:pStyle w:val="FootnoteText"/>
        <w:rPr>
          <w:szCs w:val="16"/>
          <w:highlight w:val="yellow"/>
        </w:rPr>
      </w:pPr>
      <w:r w:rsidRPr="00F47AD9">
        <w:rPr>
          <w:rStyle w:val="FootnoteReference"/>
          <w:highlight w:val="yellow"/>
        </w:rPr>
        <w:footnoteRef/>
      </w:r>
      <w:r w:rsidRPr="00F47AD9">
        <w:rPr>
          <w:highlight w:val="yellow"/>
        </w:rPr>
        <w:t xml:space="preserve"> Art. 54 ust. 2 rozporządzenia (UE) nr 1305/2013.</w:t>
      </w:r>
    </w:p>
  </w:footnote>
  <w:footnote w:id="35">
    <w:p w:rsidR="001924CD" w:rsidRPr="00F47AD9" w:rsidRDefault="001924CD" w:rsidP="00403F21">
      <w:pPr>
        <w:pStyle w:val="FootnoteText"/>
        <w:rPr>
          <w:highlight w:val="yellow"/>
        </w:rPr>
      </w:pPr>
      <w:r w:rsidRPr="00F47AD9">
        <w:rPr>
          <w:rStyle w:val="FootnoteReference"/>
          <w:highlight w:val="yellow"/>
        </w:rPr>
        <w:footnoteRef/>
      </w:r>
      <w:r w:rsidRPr="00F47AD9">
        <w:rPr>
          <w:highlight w:val="yellow"/>
        </w:rPr>
        <w:t xml:space="preserve"> Zaleca się formułować cele KSOW specyficzne dla programu na zasadach określonych w przepisach WE dotyczących ustanawiania celów politycznych </w:t>
      </w:r>
      <w:hyperlink r:id="rId15">
        <w:r w:rsidRPr="00F47AD9">
          <w:rPr>
            <w:rStyle w:val="Hyperlink"/>
            <w:highlight w:val="yellow"/>
          </w:rPr>
          <w:t>http://ec.europa.eu/smart-regulation/guidelines/tool_13_en.htm</w:t>
        </w:r>
      </w:hyperlink>
    </w:p>
  </w:footnote>
  <w:footnote w:id="36">
    <w:p w:rsidR="001924CD" w:rsidRPr="00F47AD9" w:rsidRDefault="001924CD" w:rsidP="00403F21">
      <w:pPr>
        <w:pStyle w:val="FootnoteText"/>
        <w:rPr>
          <w:highlight w:val="yellow"/>
          <w:lang w:val="sk-SK"/>
        </w:rPr>
      </w:pPr>
      <w:r w:rsidRPr="00F47AD9">
        <w:rPr>
          <w:rStyle w:val="FootnoteReference"/>
          <w:highlight w:val="yellow"/>
        </w:rPr>
        <w:footnoteRef/>
      </w:r>
      <w:r w:rsidRPr="00F47AD9">
        <w:rPr>
          <w:highlight w:val="yellow"/>
        </w:rPr>
        <w:t xml:space="preserve"> Art. 54 ust. 3 rozporządzenia (UE) nr 1305/2013.</w:t>
      </w:r>
    </w:p>
  </w:footnote>
  <w:footnote w:id="37">
    <w:p w:rsidR="001924CD" w:rsidRPr="00F47AD9" w:rsidRDefault="001924CD" w:rsidP="00A27369">
      <w:pPr>
        <w:pStyle w:val="FootnoteText"/>
        <w:rPr>
          <w:highlight w:val="yellow"/>
        </w:rPr>
      </w:pPr>
      <w:r w:rsidRPr="00F47AD9">
        <w:rPr>
          <w:rStyle w:val="FootnoteReference"/>
          <w:highlight w:val="yellow"/>
        </w:rPr>
        <w:footnoteRef/>
      </w:r>
      <w:r w:rsidRPr="00F47AD9">
        <w:rPr>
          <w:highlight w:val="yellow"/>
        </w:rPr>
        <w:t xml:space="preserve"> Art. 54 ust. 1 rozporządzenia (UE) nr 1303/2013 Art. 68 lit. a) rozporządzenia (UE) nr 1305/2013.</w:t>
      </w:r>
    </w:p>
  </w:footnote>
  <w:footnote w:id="38">
    <w:p w:rsidR="001924CD" w:rsidRPr="00F47AD9" w:rsidRDefault="001924CD" w:rsidP="00A27369">
      <w:pPr>
        <w:pStyle w:val="FootnoteText"/>
        <w:rPr>
          <w:highlight w:val="yellow"/>
        </w:rPr>
      </w:pPr>
      <w:r w:rsidRPr="00F47AD9">
        <w:rPr>
          <w:rStyle w:val="FootnoteReference"/>
          <w:highlight w:val="yellow"/>
        </w:rPr>
        <w:footnoteRef/>
      </w:r>
      <w:r w:rsidRPr="00F47AD9">
        <w:rPr>
          <w:highlight w:val="yellow"/>
        </w:rPr>
        <w:t xml:space="preserve"> Art. 54 ust. 2 i art. 54 ust. 3 rozporządzenia (UE) nr 1305/2013.</w:t>
      </w:r>
    </w:p>
  </w:footnote>
  <w:footnote w:id="39">
    <w:p w:rsidR="001924CD" w:rsidRPr="00F47AD9" w:rsidRDefault="001924CD" w:rsidP="00A27369">
      <w:pPr>
        <w:pStyle w:val="FootnoteText"/>
        <w:rPr>
          <w:rFonts w:cs="Arial"/>
          <w:szCs w:val="16"/>
          <w:highlight w:val="yellow"/>
        </w:rPr>
      </w:pPr>
      <w:r w:rsidRPr="00F47AD9">
        <w:rPr>
          <w:rStyle w:val="FootnoteReference"/>
          <w:highlight w:val="yellow"/>
        </w:rPr>
        <w:footnoteRef/>
      </w:r>
      <w:r w:rsidRPr="00F47AD9">
        <w:rPr>
          <w:highlight w:val="yellow"/>
        </w:rPr>
        <w:t xml:space="preserve"> Dokument roboczy: Wspólne pytania ewaluacyjne dla programu rozwoju obszarów wiejskich na lata 2014-2020 (ang. Common evaluation questions for the RDP 2014-2020) Załącznik V do rozporządzenia wykonawczego Komisji (UE) nr 808/2014.</w:t>
      </w:r>
    </w:p>
  </w:footnote>
  <w:footnote w:id="40">
    <w:p w:rsidR="001924CD" w:rsidRPr="00F47AD9" w:rsidRDefault="001924CD" w:rsidP="00A27369">
      <w:pPr>
        <w:spacing w:after="0" w:line="240" w:lineRule="auto"/>
        <w:ind w:right="215"/>
        <w:rPr>
          <w:rStyle w:val="FootnoteTextChar1"/>
          <w:rFonts w:eastAsiaTheme="minorHAnsi"/>
          <w:highlight w:val="yellow"/>
        </w:rPr>
      </w:pPr>
      <w:r w:rsidRPr="00F47AD9">
        <w:rPr>
          <w:rStyle w:val="FootnoteReference"/>
          <w:highlight w:val="yellow"/>
        </w:rPr>
        <w:footnoteRef/>
      </w:r>
      <w:r w:rsidRPr="00F47AD9">
        <w:rPr>
          <w:color w:val="000000"/>
          <w:sz w:val="16"/>
          <w:highlight w:val="yellow"/>
        </w:rPr>
        <w:t xml:space="preserve"> </w:t>
      </w:r>
      <w:r w:rsidRPr="00F47AD9">
        <w:rPr>
          <w:rStyle w:val="FootnoteTextChar1"/>
          <w:rFonts w:eastAsiaTheme="minorHAnsi"/>
          <w:highlight w:val="yellow"/>
        </w:rPr>
        <w:t>Art. 54 ust. 2 rozporządzenia (UE) nr 1305/2013.</w:t>
      </w:r>
    </w:p>
  </w:footnote>
  <w:footnote w:id="41">
    <w:p w:rsidR="001924CD" w:rsidRPr="00F47AD9" w:rsidRDefault="001924CD" w:rsidP="00A27369">
      <w:pPr>
        <w:pStyle w:val="FootnoteText"/>
        <w:rPr>
          <w:rFonts w:cs="Arial"/>
          <w:szCs w:val="16"/>
          <w:highlight w:val="yellow"/>
        </w:rPr>
      </w:pPr>
      <w:r w:rsidRPr="00F47AD9">
        <w:rPr>
          <w:rStyle w:val="FootnoteReference"/>
          <w:highlight w:val="yellow"/>
        </w:rPr>
        <w:footnoteRef/>
      </w:r>
      <w:r w:rsidRPr="00F47AD9">
        <w:rPr>
          <w:highlight w:val="yellow"/>
        </w:rPr>
        <w:t xml:space="preserve"> Załącznik IV do rozporządzenia wykonawczego Komisji (UE) nr 808/2014, wskaźniki produktu O.24, O.25 i O.26.</w:t>
      </w:r>
    </w:p>
  </w:footnote>
  <w:footnote w:id="42">
    <w:p w:rsidR="001924CD" w:rsidRPr="00F47AD9" w:rsidRDefault="001924CD">
      <w:pPr>
        <w:pStyle w:val="FootnoteText"/>
        <w:rPr>
          <w:highlight w:val="yellow"/>
          <w:lang w:val="sk-SK"/>
        </w:rPr>
      </w:pPr>
      <w:r w:rsidRPr="00F47AD9">
        <w:rPr>
          <w:rStyle w:val="FootnoteReference"/>
          <w:highlight w:val="yellow"/>
        </w:rPr>
        <w:footnoteRef/>
      </w:r>
      <w:r w:rsidRPr="00F47AD9">
        <w:rPr>
          <w:highlight w:val="yellow"/>
        </w:rPr>
        <w:t xml:space="preserve"> </w:t>
      </w:r>
      <w:hyperlink r:id="rId16">
        <w:r w:rsidRPr="00F47AD9">
          <w:rPr>
            <w:rStyle w:val="Hyperlink"/>
            <w:highlight w:val="yellow"/>
          </w:rPr>
          <w:t>https://enrd.ec.europa.eu/en/evaluation-helpdesks-publications</w:t>
        </w:r>
      </w:hyperlink>
    </w:p>
  </w:footnote>
  <w:footnote w:id="43">
    <w:p w:rsidR="001924CD" w:rsidRPr="00F47AD9" w:rsidRDefault="001924CD" w:rsidP="00A27369">
      <w:pPr>
        <w:pStyle w:val="FootnoteText"/>
        <w:rPr>
          <w:highlight w:val="yellow"/>
          <w:lang w:val="sk-SK"/>
        </w:rPr>
      </w:pPr>
      <w:r w:rsidRPr="00F47AD9">
        <w:rPr>
          <w:rStyle w:val="FootnoteReference"/>
          <w:highlight w:val="yellow"/>
        </w:rPr>
        <w:footnoteRef/>
      </w:r>
      <w:r w:rsidRPr="00F47AD9">
        <w:rPr>
          <w:highlight w:val="yellow"/>
        </w:rPr>
        <w:t xml:space="preserve"> Art. 54 ust. 2 rozporządzenia (UE) nr 1305/2013.</w:t>
      </w:r>
    </w:p>
  </w:footnote>
  <w:footnote w:id="44">
    <w:p w:rsidR="001924CD" w:rsidRPr="00F47AD9" w:rsidRDefault="001924CD" w:rsidP="00CA57FC">
      <w:pPr>
        <w:pStyle w:val="FootnoteText"/>
        <w:rPr>
          <w:rFonts w:cs="Arial"/>
          <w:szCs w:val="16"/>
          <w:highlight w:val="yellow"/>
        </w:rPr>
      </w:pPr>
      <w:r w:rsidRPr="00F47AD9">
        <w:rPr>
          <w:rStyle w:val="FootnoteReference"/>
          <w:highlight w:val="yellow"/>
        </w:rPr>
        <w:footnoteRef/>
      </w:r>
      <w:r w:rsidRPr="00F47AD9">
        <w:rPr>
          <w:highlight w:val="yellow"/>
        </w:rPr>
        <w:t xml:space="preserve"> Wspólne pytanie ewaluacyjne nr 21, załącznik V do rozporządzenia wykonawczego Komisji (UE) nr 808/2014.</w:t>
      </w:r>
    </w:p>
  </w:footnote>
  <w:footnote w:id="45">
    <w:p w:rsidR="001924CD" w:rsidRPr="00F47AD9" w:rsidRDefault="001924CD" w:rsidP="00CA57FC">
      <w:pPr>
        <w:pStyle w:val="FootnoteText"/>
        <w:rPr>
          <w:rFonts w:cs="Arial"/>
          <w:szCs w:val="16"/>
          <w:highlight w:val="yellow"/>
        </w:rPr>
      </w:pPr>
      <w:r w:rsidRPr="00F47AD9">
        <w:rPr>
          <w:rStyle w:val="FootnoteReference"/>
          <w:highlight w:val="yellow"/>
        </w:rPr>
        <w:footnoteRef/>
      </w:r>
      <w:r w:rsidRPr="00F47AD9">
        <w:rPr>
          <w:highlight w:val="yellow"/>
        </w:rPr>
        <w:t xml:space="preserve"> Opracowane przez państwa członkowskie.</w:t>
      </w:r>
    </w:p>
  </w:footnote>
  <w:footnote w:id="46">
    <w:p w:rsidR="001924CD" w:rsidRPr="00F47AD9" w:rsidRDefault="001924CD" w:rsidP="00CA57FC">
      <w:pPr>
        <w:pStyle w:val="FootnoteText"/>
        <w:rPr>
          <w:rFonts w:cs="Arial"/>
          <w:szCs w:val="16"/>
          <w:highlight w:val="yellow"/>
        </w:rPr>
      </w:pPr>
      <w:r w:rsidRPr="00F47AD9">
        <w:rPr>
          <w:rStyle w:val="FootnoteReference"/>
          <w:highlight w:val="yellow"/>
        </w:rPr>
        <w:footnoteRef/>
      </w:r>
      <w:r w:rsidRPr="00F47AD9">
        <w:rPr>
          <w:highlight w:val="yellow"/>
        </w:rPr>
        <w:t xml:space="preserve"> Wskaźniki produktu O.24, O.25 i O.26, załącznik IV do rozporządzenia wykonawczego Komisji (UE) nr 808/2014.</w:t>
      </w:r>
    </w:p>
  </w:footnote>
  <w:footnote w:id="47">
    <w:p w:rsidR="001924CD" w:rsidRPr="00F47AD9" w:rsidRDefault="001924CD" w:rsidP="00CA57FC">
      <w:pPr>
        <w:pStyle w:val="FootnoteText"/>
        <w:rPr>
          <w:highlight w:val="yellow"/>
        </w:rPr>
      </w:pPr>
      <w:r w:rsidRPr="00F47AD9">
        <w:rPr>
          <w:rStyle w:val="FootnoteReference"/>
          <w:highlight w:val="yellow"/>
        </w:rPr>
        <w:footnoteRef/>
      </w:r>
      <w:r w:rsidRPr="00F47AD9">
        <w:rPr>
          <w:highlight w:val="yellow"/>
        </w:rPr>
        <w:t xml:space="preserve"> Opracowane przez państwa członkowskie.</w:t>
      </w:r>
    </w:p>
  </w:footnote>
  <w:footnote w:id="48">
    <w:p w:rsidR="001924CD" w:rsidRPr="00F47AD9" w:rsidRDefault="001924CD" w:rsidP="007134D0">
      <w:pPr>
        <w:pStyle w:val="FootnoteText"/>
        <w:rPr>
          <w:highlight w:val="yellow"/>
        </w:rPr>
      </w:pPr>
      <w:r w:rsidRPr="00F47AD9">
        <w:rPr>
          <w:rStyle w:val="FootnoteReference"/>
          <w:rFonts w:eastAsiaTheme="minorEastAsia"/>
          <w:highlight w:val="yellow"/>
        </w:rPr>
        <w:footnoteRef/>
      </w:r>
      <w:r w:rsidRPr="00F47AD9">
        <w:rPr>
          <w:highlight w:val="yellow"/>
        </w:rPr>
        <w:t xml:space="preserve"> Art. 66 rozporządzenia (UE) nr 1305/2013.</w:t>
      </w:r>
    </w:p>
  </w:footnote>
  <w:footnote w:id="49">
    <w:p w:rsidR="001924CD" w:rsidRPr="00F47AD9" w:rsidRDefault="001924CD" w:rsidP="007134D0">
      <w:pPr>
        <w:pStyle w:val="FootnoteText"/>
        <w:rPr>
          <w:highlight w:val="yellow"/>
        </w:rPr>
      </w:pPr>
      <w:r w:rsidRPr="00F47AD9">
        <w:rPr>
          <w:rStyle w:val="FootnoteReference"/>
          <w:rFonts w:eastAsiaTheme="minorEastAsia"/>
          <w:highlight w:val="yellow"/>
        </w:rPr>
        <w:footnoteRef/>
      </w:r>
      <w:r w:rsidRPr="00F47AD9">
        <w:rPr>
          <w:highlight w:val="yellow"/>
        </w:rPr>
        <w:t xml:space="preserve"> Art. 66 ust. 2 rozporządzenia (UE) nr 1305/2013.</w:t>
      </w:r>
    </w:p>
  </w:footnote>
  <w:footnote w:id="50">
    <w:p w:rsidR="001924CD" w:rsidRPr="00F47AD9" w:rsidRDefault="001924CD" w:rsidP="007134D0">
      <w:pPr>
        <w:pStyle w:val="FootnoteText"/>
        <w:rPr>
          <w:highlight w:val="yellow"/>
        </w:rPr>
      </w:pPr>
      <w:r w:rsidRPr="00F47AD9">
        <w:rPr>
          <w:rStyle w:val="FootnoteReference"/>
          <w:rFonts w:eastAsiaTheme="minorEastAsia"/>
          <w:highlight w:val="yellow"/>
        </w:rPr>
        <w:footnoteRef/>
      </w:r>
      <w:r w:rsidRPr="00F47AD9">
        <w:rPr>
          <w:highlight w:val="yellow"/>
        </w:rPr>
        <w:t xml:space="preserve"> Słowacja – rolę JWS pełni krajowa agencja rozwoju obszarów wiejskich, instytucja częściowo finansowana przez Ministerstwa Rolnictwa.</w:t>
      </w:r>
    </w:p>
  </w:footnote>
  <w:footnote w:id="51">
    <w:p w:rsidR="001924CD" w:rsidRPr="00F47AD9" w:rsidRDefault="001924CD" w:rsidP="007134D0">
      <w:pPr>
        <w:pStyle w:val="FootnoteText"/>
        <w:rPr>
          <w:highlight w:val="yellow"/>
        </w:rPr>
      </w:pPr>
      <w:r w:rsidRPr="00F47AD9">
        <w:rPr>
          <w:rStyle w:val="FootnoteReference"/>
          <w:rFonts w:eastAsiaTheme="minorEastAsia"/>
          <w:highlight w:val="yellow"/>
        </w:rPr>
        <w:footnoteRef/>
      </w:r>
      <w:r w:rsidRPr="00F47AD9">
        <w:rPr>
          <w:highlight w:val="yellow"/>
        </w:rPr>
        <w:t xml:space="preserve"> Bułgaria – rola JWS została przejęta przez prywatną firmę INTERPRED WTC.</w:t>
      </w:r>
    </w:p>
  </w:footnote>
  <w:footnote w:id="52">
    <w:p w:rsidR="001924CD" w:rsidRPr="00F47AD9" w:rsidRDefault="001924CD" w:rsidP="00DE0CC0">
      <w:pPr>
        <w:pStyle w:val="FootnoteText"/>
        <w:rPr>
          <w:highlight w:val="yellow"/>
        </w:rPr>
      </w:pPr>
      <w:r w:rsidRPr="00F47AD9">
        <w:rPr>
          <w:rStyle w:val="FootnoteReference"/>
          <w:rFonts w:eastAsiaTheme="minorEastAsia"/>
          <w:highlight w:val="yellow"/>
        </w:rPr>
        <w:footnoteRef/>
      </w:r>
      <w:r w:rsidRPr="00F47AD9">
        <w:rPr>
          <w:highlight w:val="yellow"/>
        </w:rPr>
        <w:t xml:space="preserve"> </w:t>
      </w:r>
      <w:hyperlink r:id="rId17">
        <w:r w:rsidRPr="00F47AD9">
          <w:rPr>
            <w:highlight w:val="yellow"/>
          </w:rPr>
          <w:t>Wytyczne dotyczące ustanowienia i funkcjonowania krajowych sieci obszarów wiejskich</w:t>
        </w:r>
      </w:hyperlink>
      <w:r w:rsidRPr="00F47AD9">
        <w:rPr>
          <w:highlight w:val="yellow"/>
        </w:rPr>
        <w:t xml:space="preserve"> w latach 2014-2020 (ang. Guidance fiche for the establishment and operation of National Rural Networks 2014-2020), opracowane przez Komisję Europejską (DG AGRI) na podstawie rozporządzenia (UE) 1305/2013 oraz, w stosownych przypadkach, na podstawie rozporządzenia (UE) 1303/2013.</w:t>
      </w:r>
    </w:p>
  </w:footnote>
  <w:footnote w:id="53">
    <w:p w:rsidR="001924CD" w:rsidRPr="00F47AD9" w:rsidRDefault="001924CD" w:rsidP="007134D0">
      <w:pPr>
        <w:pStyle w:val="FootnoteText"/>
        <w:rPr>
          <w:highlight w:val="yellow"/>
        </w:rPr>
      </w:pPr>
      <w:r w:rsidRPr="00F47AD9">
        <w:rPr>
          <w:rStyle w:val="FootnoteReference"/>
          <w:rFonts w:eastAsiaTheme="minorEastAsia"/>
          <w:highlight w:val="yellow"/>
        </w:rPr>
        <w:footnoteRef/>
      </w:r>
      <w:r w:rsidRPr="00F47AD9">
        <w:rPr>
          <w:highlight w:val="yellow"/>
        </w:rPr>
        <w:t xml:space="preserve"> Art. 7 rozporządzenia (UE) nr 1306/2013.</w:t>
      </w:r>
    </w:p>
  </w:footnote>
  <w:footnote w:id="54">
    <w:p w:rsidR="001924CD" w:rsidRPr="00F47AD9" w:rsidRDefault="001924CD" w:rsidP="007134D0">
      <w:pPr>
        <w:pStyle w:val="FootnoteText"/>
        <w:rPr>
          <w:highlight w:val="yellow"/>
          <w:lang w:val="sk-SK"/>
        </w:rPr>
      </w:pPr>
      <w:r w:rsidRPr="00F47AD9">
        <w:rPr>
          <w:rStyle w:val="FootnoteReference"/>
          <w:rFonts w:eastAsiaTheme="minorEastAsia"/>
          <w:highlight w:val="yellow"/>
        </w:rPr>
        <w:footnoteRef/>
      </w:r>
      <w:r w:rsidRPr="00F47AD9">
        <w:rPr>
          <w:highlight w:val="yellow"/>
        </w:rPr>
        <w:t xml:space="preserve"> Art. 73 rozporządzenia (UE) nr 1305/2013.</w:t>
      </w:r>
    </w:p>
  </w:footnote>
  <w:footnote w:id="55">
    <w:p w:rsidR="001924CD" w:rsidRPr="00F47AD9" w:rsidRDefault="001924CD" w:rsidP="007134D0">
      <w:pPr>
        <w:pStyle w:val="FootnoteText"/>
        <w:rPr>
          <w:highlight w:val="yellow"/>
        </w:rPr>
      </w:pPr>
      <w:r w:rsidRPr="00F47AD9">
        <w:rPr>
          <w:rStyle w:val="FootnoteReference"/>
          <w:rFonts w:eastAsiaTheme="minorEastAsia"/>
          <w:highlight w:val="yellow"/>
        </w:rPr>
        <w:footnoteRef/>
      </w:r>
      <w:r w:rsidRPr="00F47AD9">
        <w:rPr>
          <w:highlight w:val="yellow"/>
        </w:rPr>
        <w:t xml:space="preserve"> Art. 72 rozporządzenia (UE) nr 1305/2013.</w:t>
      </w:r>
    </w:p>
  </w:footnote>
  <w:footnote w:id="56">
    <w:p w:rsidR="001924CD" w:rsidRPr="00F47AD9" w:rsidRDefault="001924CD" w:rsidP="007134D0">
      <w:pPr>
        <w:pStyle w:val="FootnoteText"/>
        <w:rPr>
          <w:highlight w:val="yellow"/>
        </w:rPr>
      </w:pPr>
      <w:r w:rsidRPr="00F47AD9">
        <w:rPr>
          <w:rStyle w:val="FootnoteReference"/>
          <w:rFonts w:eastAsiaTheme="minorEastAsia"/>
          <w:highlight w:val="yellow"/>
        </w:rPr>
        <w:footnoteRef/>
      </w:r>
      <w:r w:rsidRPr="00F47AD9">
        <w:rPr>
          <w:highlight w:val="yellow"/>
        </w:rPr>
        <w:t xml:space="preserve"> Art. 74 rozporządzenia (UE) nr 1305/2013.</w:t>
      </w:r>
    </w:p>
  </w:footnote>
  <w:footnote w:id="57">
    <w:p w:rsidR="001924CD" w:rsidRPr="00F47AD9" w:rsidRDefault="001924CD" w:rsidP="007134D0">
      <w:pPr>
        <w:pStyle w:val="FootnoteText"/>
        <w:rPr>
          <w:highlight w:val="yellow"/>
          <w:lang w:val="sk-SK"/>
        </w:rPr>
      </w:pPr>
      <w:r w:rsidRPr="00F47AD9">
        <w:rPr>
          <w:rStyle w:val="FootnoteReference"/>
          <w:rFonts w:eastAsiaTheme="minorEastAsia"/>
          <w:highlight w:val="yellow"/>
        </w:rPr>
        <w:footnoteRef/>
      </w:r>
      <w:r w:rsidRPr="00F47AD9">
        <w:rPr>
          <w:highlight w:val="yellow"/>
        </w:rPr>
        <w:t xml:space="preserve"> Wytyczne dotyczące ustanowienia i funkcjonowania krajowych sieci obszarów wiejskich w latach 2014-2020.</w:t>
      </w:r>
    </w:p>
  </w:footnote>
  <w:footnote w:id="58">
    <w:p w:rsidR="001924CD" w:rsidRPr="00F47AD9" w:rsidRDefault="001924CD">
      <w:pPr>
        <w:pStyle w:val="FootnoteText"/>
        <w:rPr>
          <w:highlight w:val="yellow"/>
        </w:rPr>
      </w:pPr>
      <w:r w:rsidRPr="00F47AD9">
        <w:rPr>
          <w:rStyle w:val="FootnoteReference"/>
          <w:highlight w:val="yellow"/>
        </w:rPr>
        <w:footnoteRef/>
      </w:r>
      <w:r w:rsidRPr="00F47AD9">
        <w:rPr>
          <w:highlight w:val="yellow"/>
        </w:rPr>
        <w:t xml:space="preserve"> Art. 54 ust. 3 pkt iii) rozporządzenia (UE) nr 1305/2013.</w:t>
      </w:r>
    </w:p>
  </w:footnote>
  <w:footnote w:id="59">
    <w:p w:rsidR="001924CD" w:rsidRPr="00F47AD9" w:rsidRDefault="001924CD" w:rsidP="007134D0">
      <w:pPr>
        <w:pStyle w:val="FootnoteText"/>
        <w:rPr>
          <w:highlight w:val="yellow"/>
        </w:rPr>
      </w:pPr>
      <w:r w:rsidRPr="00F47AD9">
        <w:rPr>
          <w:rStyle w:val="FootnoteReference"/>
          <w:rFonts w:eastAsiaTheme="minorEastAsia"/>
          <w:highlight w:val="yellow"/>
        </w:rPr>
        <w:footnoteRef/>
      </w:r>
      <w:r w:rsidRPr="00F47AD9">
        <w:rPr>
          <w:highlight w:val="yellow"/>
        </w:rPr>
        <w:t xml:space="preserve"> Art. 54 ust. 3 rozporządzenia (UE) nr 1303/2013.</w:t>
      </w:r>
    </w:p>
  </w:footnote>
  <w:footnote w:id="60">
    <w:p w:rsidR="001924CD" w:rsidRPr="00F47AD9" w:rsidRDefault="001924CD" w:rsidP="007134D0">
      <w:pPr>
        <w:pStyle w:val="FootnoteText"/>
        <w:rPr>
          <w:highlight w:val="yellow"/>
          <w:lang w:val="sk-SK"/>
        </w:rPr>
      </w:pPr>
      <w:r w:rsidRPr="00F47AD9">
        <w:rPr>
          <w:rStyle w:val="FootnoteReference"/>
          <w:rFonts w:eastAsiaTheme="minorEastAsia"/>
          <w:highlight w:val="yellow"/>
        </w:rPr>
        <w:footnoteRef/>
      </w:r>
      <w:r w:rsidRPr="00F47AD9">
        <w:rPr>
          <w:highlight w:val="yellow"/>
        </w:rPr>
        <w:t xml:space="preserve"> W przypadku braku zasobów ewaluacyjnych w państwie członkowskim.</w:t>
      </w:r>
    </w:p>
  </w:footnote>
  <w:footnote w:id="61">
    <w:p w:rsidR="001924CD" w:rsidRPr="00F47AD9" w:rsidRDefault="001924CD" w:rsidP="007134D0">
      <w:pPr>
        <w:pStyle w:val="FootnoteText"/>
        <w:rPr>
          <w:highlight w:val="yellow"/>
        </w:rPr>
      </w:pPr>
      <w:r w:rsidRPr="00F47AD9">
        <w:rPr>
          <w:rStyle w:val="FootnoteReference"/>
          <w:rFonts w:eastAsiaTheme="minorEastAsia"/>
          <w:highlight w:val="yellow"/>
        </w:rPr>
        <w:footnoteRef/>
      </w:r>
      <w:r w:rsidRPr="00F47AD9">
        <w:rPr>
          <w:highlight w:val="yellow"/>
        </w:rPr>
        <w:t xml:space="preserve"> Załącznik I do rozporządzenia wykonawczego Komisji (UE) nr 808/2014.</w:t>
      </w:r>
    </w:p>
  </w:footnote>
  <w:footnote w:id="62">
    <w:p w:rsidR="001924CD" w:rsidRPr="00F47AD9" w:rsidRDefault="001924CD" w:rsidP="007134D0">
      <w:pPr>
        <w:pStyle w:val="FootnoteText"/>
        <w:rPr>
          <w:highlight w:val="yellow"/>
          <w:lang w:val="en-US"/>
        </w:rPr>
      </w:pPr>
      <w:r w:rsidRPr="00F47AD9">
        <w:rPr>
          <w:rStyle w:val="FootnoteReference"/>
          <w:rFonts w:eastAsiaTheme="minorEastAsia"/>
          <w:highlight w:val="yellow"/>
        </w:rPr>
        <w:footnoteRef/>
      </w:r>
      <w:r w:rsidRPr="00F47AD9">
        <w:rPr>
          <w:highlight w:val="yellow"/>
        </w:rPr>
        <w:t xml:space="preserve"> Wytyczne – „Opracowanie i wdrożenie planu ewaluacji PROW 2014-2020” (ang. </w:t>
      </w:r>
      <w:r w:rsidRPr="00F47AD9">
        <w:rPr>
          <w:highlight w:val="yellow"/>
          <w:lang w:val="en-US"/>
        </w:rPr>
        <w:t xml:space="preserve">Establishing and implementing the evaluation plan of 2014-2020 RDPs) </w:t>
      </w:r>
      <w:hyperlink r:id="rId18">
        <w:r w:rsidRPr="00F47AD9">
          <w:rPr>
            <w:highlight w:val="yellow"/>
            <w:lang w:val="en-US"/>
          </w:rPr>
          <w:t>http://enrd.ec.europa.eu/en/evaluation-helpdesks-publications</w:t>
        </w:r>
      </w:hyperlink>
      <w:r w:rsidRPr="00F47AD9">
        <w:rPr>
          <w:highlight w:val="yellow"/>
          <w:lang w:val="en-US"/>
        </w:rPr>
        <w:t>.</w:t>
      </w:r>
    </w:p>
  </w:footnote>
  <w:footnote w:id="63">
    <w:p w:rsidR="001924CD" w:rsidRPr="00F47AD9" w:rsidRDefault="001924CD" w:rsidP="00E36BC6">
      <w:pPr>
        <w:pStyle w:val="FootnoteText"/>
        <w:rPr>
          <w:highlight w:val="yellow"/>
        </w:rPr>
      </w:pPr>
      <w:r w:rsidRPr="00F47AD9">
        <w:rPr>
          <w:rStyle w:val="FootnoteReference"/>
          <w:highlight w:val="yellow"/>
        </w:rPr>
        <w:footnoteRef/>
      </w:r>
      <w:r w:rsidRPr="00F47AD9">
        <w:rPr>
          <w:highlight w:val="yellow"/>
        </w:rPr>
        <w:t xml:space="preserve"> Załączniki IV i V do rozporządzenia wykonawczego komisji (UE) nr 808/2014.</w:t>
      </w:r>
    </w:p>
  </w:footnote>
  <w:footnote w:id="64">
    <w:p w:rsidR="001924CD" w:rsidRPr="00F47AD9" w:rsidRDefault="001924CD" w:rsidP="00E36BC6">
      <w:pPr>
        <w:pStyle w:val="FootnoteText"/>
        <w:rPr>
          <w:highlight w:val="yellow"/>
        </w:rPr>
      </w:pPr>
      <w:r w:rsidRPr="00F47AD9">
        <w:rPr>
          <w:rStyle w:val="FootnoteReference"/>
          <w:highlight w:val="yellow"/>
        </w:rPr>
        <w:footnoteRef/>
      </w:r>
      <w:r w:rsidRPr="00F47AD9">
        <w:rPr>
          <w:highlight w:val="yellow"/>
        </w:rPr>
        <w:t xml:space="preserve"> Art. 54 rozporządzenia (UE) nr 1303/2014.</w:t>
      </w:r>
    </w:p>
  </w:footnote>
  <w:footnote w:id="65">
    <w:p w:rsidR="001924CD" w:rsidRPr="00F47AD9" w:rsidRDefault="001924CD" w:rsidP="007134D0">
      <w:pPr>
        <w:pStyle w:val="FootnoteText"/>
        <w:rPr>
          <w:highlight w:val="yellow"/>
        </w:rPr>
      </w:pPr>
      <w:r w:rsidRPr="00F47AD9">
        <w:rPr>
          <w:rStyle w:val="FootnoteReference"/>
          <w:rFonts w:eastAsiaTheme="minorEastAsia"/>
          <w:highlight w:val="yellow"/>
        </w:rPr>
        <w:footnoteRef/>
      </w:r>
      <w:r w:rsidRPr="00F47AD9">
        <w:rPr>
          <w:highlight w:val="yellow"/>
        </w:rPr>
        <w:t xml:space="preserve"> Europejska Sieć na rzecz Rozwoju Obszarów Wiejskich, przewodnik KSOW pod adresem </w:t>
      </w:r>
      <w:hyperlink r:id="rId19">
        <w:r w:rsidRPr="00F47AD9">
          <w:rPr>
            <w:highlight w:val="yellow"/>
          </w:rPr>
          <w:t>http://enrd.ec.europa.eu/enrd-static/app_templates/enrd_assets/pdf/guidebook/nrn_handbook_webversion.pdf</w:t>
        </w:r>
      </w:hyperlink>
    </w:p>
  </w:footnote>
  <w:footnote w:id="66">
    <w:p w:rsidR="001924CD" w:rsidRPr="00F47AD9" w:rsidRDefault="001924CD" w:rsidP="00FC0A30">
      <w:pPr>
        <w:pStyle w:val="FootnoteText"/>
        <w:rPr>
          <w:highlight w:val="yellow"/>
        </w:rPr>
      </w:pPr>
      <w:r w:rsidRPr="00F47AD9">
        <w:rPr>
          <w:rStyle w:val="FootnoteReference"/>
          <w:rFonts w:eastAsiaTheme="minorEastAsia"/>
          <w:highlight w:val="yellow"/>
        </w:rPr>
        <w:footnoteRef/>
      </w:r>
      <w:r w:rsidRPr="00F47AD9">
        <w:rPr>
          <w:highlight w:val="yellow"/>
        </w:rPr>
        <w:t xml:space="preserve"> Europejska Sieć na rzecz Rozwoju Obszarów Wiejskich, przewodnik KSOW pod adresem </w:t>
      </w:r>
      <w:hyperlink r:id="rId20">
        <w:r w:rsidRPr="00F47AD9">
          <w:rPr>
            <w:highlight w:val="yellow"/>
          </w:rPr>
          <w:t>http://enrd.ec.europa.eu/enrd-static/app_templates/enrd_assets/pdf/guidebook/nrn_handbook_webversion.pdf</w:t>
        </w:r>
      </w:hyperlink>
      <w:r w:rsidRPr="00F47AD9">
        <w:rPr>
          <w:highlight w:val="yellow"/>
        </w:rPr>
        <w:t>, s. 87.</w:t>
      </w:r>
    </w:p>
  </w:footnote>
  <w:footnote w:id="67">
    <w:p w:rsidR="001924CD" w:rsidRPr="00F47AD9" w:rsidRDefault="001924CD" w:rsidP="009A7C06">
      <w:pPr>
        <w:pStyle w:val="FootnoteText"/>
        <w:rPr>
          <w:highlight w:val="yellow"/>
        </w:rPr>
      </w:pPr>
      <w:r w:rsidRPr="00F47AD9">
        <w:rPr>
          <w:rStyle w:val="FootnoteReference"/>
          <w:highlight w:val="yellow"/>
        </w:rPr>
        <w:footnoteRef/>
      </w:r>
      <w:r w:rsidRPr="00F47AD9">
        <w:rPr>
          <w:highlight w:val="yellow"/>
        </w:rPr>
        <w:t xml:space="preserve"> Art. 54 ust. 2 rozporządzenia (UE) nr 1305/2015.</w:t>
      </w:r>
    </w:p>
  </w:footnote>
  <w:footnote w:id="68">
    <w:p w:rsidR="001924CD" w:rsidRPr="00F47AD9" w:rsidRDefault="001924CD" w:rsidP="009A7C06">
      <w:pPr>
        <w:pStyle w:val="FootnoteText"/>
        <w:rPr>
          <w:highlight w:val="yellow"/>
        </w:rPr>
      </w:pPr>
      <w:r w:rsidRPr="00F47AD9">
        <w:rPr>
          <w:rStyle w:val="FootnoteReference"/>
          <w:highlight w:val="yellow"/>
        </w:rPr>
        <w:footnoteRef/>
      </w:r>
      <w:r w:rsidRPr="00F47AD9">
        <w:rPr>
          <w:highlight w:val="yellow"/>
        </w:rPr>
        <w:t xml:space="preserve"> Art. 54 ust. 3 rozporządzenia (UE) nr 1305/2015.</w:t>
      </w:r>
    </w:p>
  </w:footnote>
  <w:footnote w:id="69">
    <w:p w:rsidR="001924CD" w:rsidRPr="00F47AD9" w:rsidRDefault="001924CD" w:rsidP="00FC0A30">
      <w:pPr>
        <w:pStyle w:val="FootnoteText"/>
        <w:rPr>
          <w:highlight w:val="yellow"/>
        </w:rPr>
      </w:pPr>
      <w:r w:rsidRPr="00F47AD9">
        <w:rPr>
          <w:rStyle w:val="FootnoteReference"/>
          <w:highlight w:val="yellow"/>
        </w:rPr>
        <w:footnoteRef/>
      </w:r>
      <w:r w:rsidRPr="00F47AD9">
        <w:rPr>
          <w:highlight w:val="yellow"/>
        </w:rPr>
        <w:t xml:space="preserve"> Dotyczy tylko analizy kontekstowej KSOW.</w:t>
      </w:r>
    </w:p>
  </w:footnote>
  <w:footnote w:id="70">
    <w:p w:rsidR="001924CD" w:rsidRPr="00F47AD9" w:rsidRDefault="001924CD" w:rsidP="00FC0A30">
      <w:pPr>
        <w:pStyle w:val="FootnoteText"/>
        <w:rPr>
          <w:highlight w:val="yellow"/>
        </w:rPr>
      </w:pPr>
      <w:r w:rsidRPr="00F47AD9">
        <w:rPr>
          <w:rStyle w:val="FootnoteReference"/>
          <w:highlight w:val="yellow"/>
        </w:rPr>
        <w:footnoteRef/>
      </w:r>
      <w:r w:rsidRPr="00F47AD9">
        <w:rPr>
          <w:rFonts w:ascii="Calibri" w:hAnsi="Calibri"/>
          <w:sz w:val="18"/>
          <w:highlight w:val="yellow"/>
        </w:rPr>
        <w:t xml:space="preserve"> </w:t>
      </w:r>
      <w:r w:rsidRPr="00F47AD9">
        <w:rPr>
          <w:highlight w:val="yellow"/>
        </w:rPr>
        <w:t>Art. 54 ust. 2 rozporządzenia (UE) nr 1305/2013.</w:t>
      </w:r>
    </w:p>
  </w:footnote>
  <w:footnote w:id="71">
    <w:p w:rsidR="001924CD" w:rsidRPr="00F47AD9" w:rsidRDefault="001924CD" w:rsidP="00FC0A30">
      <w:pPr>
        <w:pStyle w:val="FootnoteText"/>
        <w:rPr>
          <w:highlight w:val="yellow"/>
        </w:rPr>
      </w:pPr>
      <w:r w:rsidRPr="00F47AD9">
        <w:rPr>
          <w:rStyle w:val="FootnoteReference"/>
          <w:highlight w:val="yellow"/>
        </w:rPr>
        <w:footnoteRef/>
      </w:r>
      <w:r w:rsidRPr="00F47AD9">
        <w:rPr>
          <w:rFonts w:ascii="Calibri" w:hAnsi="Calibri"/>
          <w:sz w:val="18"/>
          <w:highlight w:val="yellow"/>
        </w:rPr>
        <w:t xml:space="preserve"> </w:t>
      </w:r>
      <w:r w:rsidRPr="00F47AD9">
        <w:rPr>
          <w:highlight w:val="yellow"/>
        </w:rPr>
        <w:t>Art. 54 ust. 3 rozporządzenia (UE) nr 1305/2013.</w:t>
      </w:r>
    </w:p>
  </w:footnote>
  <w:footnote w:id="72">
    <w:p w:rsidR="001924CD" w:rsidRPr="00F47AD9" w:rsidRDefault="001924CD" w:rsidP="00FC0A30">
      <w:pPr>
        <w:pStyle w:val="FootnoteText"/>
        <w:rPr>
          <w:highlight w:val="yellow"/>
          <w:lang w:val="sk-SK"/>
        </w:rPr>
      </w:pPr>
      <w:r w:rsidRPr="00F47AD9">
        <w:rPr>
          <w:rStyle w:val="FootnoteReference"/>
          <w:highlight w:val="yellow"/>
        </w:rPr>
        <w:footnoteRef/>
      </w:r>
      <w:r w:rsidRPr="00F47AD9">
        <w:rPr>
          <w:highlight w:val="yellow"/>
        </w:rPr>
        <w:t xml:space="preserve"> </w:t>
      </w:r>
      <w:hyperlink r:id="rId21">
        <w:r w:rsidRPr="00F47AD9">
          <w:rPr>
            <w:rStyle w:val="Hyperlink"/>
            <w:highlight w:val="yellow"/>
          </w:rPr>
          <w:t>http://ec.europa.eu/smart-regulation/guidelines/tool_13_en.htm</w:t>
        </w:r>
      </w:hyperlink>
      <w:r w:rsidRPr="00F47AD9">
        <w:rPr>
          <w:highlight w:val="yellow"/>
        </w:rPr>
        <w:t xml:space="preserve"> oraz Techniczny podręcznik na temat ram monitorowania i ewaluacji wspólnej polityki rolnej na lata 2014-2020 (ang. </w:t>
      </w:r>
      <w:r w:rsidRPr="00F47AD9">
        <w:rPr>
          <w:highlight w:val="yellow"/>
          <w:lang w:val="en-US"/>
        </w:rPr>
        <w:t>Technical Handbook on the Monitoring and Evaluating Framework of the Common Agriculture Policy 2014-2020), DG AGRI, 2015, glosariusz.</w:t>
      </w:r>
    </w:p>
  </w:footnote>
  <w:footnote w:id="73">
    <w:p w:rsidR="001924CD" w:rsidRPr="00F47AD9" w:rsidRDefault="001924CD" w:rsidP="00FC0A30">
      <w:pPr>
        <w:pStyle w:val="FootnoteText"/>
        <w:rPr>
          <w:highlight w:val="yellow"/>
        </w:rPr>
      </w:pPr>
      <w:r w:rsidRPr="00F47AD9">
        <w:rPr>
          <w:rStyle w:val="FootnoteReference"/>
          <w:rFonts w:eastAsiaTheme="minorEastAsia"/>
          <w:highlight w:val="yellow"/>
        </w:rPr>
        <w:footnoteRef/>
      </w:r>
      <w:r w:rsidRPr="00F47AD9">
        <w:rPr>
          <w:highlight w:val="yellow"/>
        </w:rPr>
        <w:t xml:space="preserve"> Zob. </w:t>
      </w:r>
      <w:r w:rsidRPr="00F47AD9">
        <w:rPr>
          <w:b/>
          <w:color w:val="E7E6E6" w:themeColor="background2"/>
          <w:highlight w:val="yellow"/>
        </w:rPr>
        <w:t>CZĘŚĆ II</w:t>
      </w:r>
      <w:r w:rsidRPr="00F47AD9">
        <w:rPr>
          <w:highlight w:val="yellow"/>
        </w:rPr>
        <w:t>, rozdział 8.1: Rola pytań ewaluacyjnych w ocenie KSOW.</w:t>
      </w:r>
    </w:p>
  </w:footnote>
  <w:footnote w:id="74">
    <w:p w:rsidR="001924CD" w:rsidRPr="00F47AD9" w:rsidRDefault="001924CD" w:rsidP="00FC0A30">
      <w:pPr>
        <w:pStyle w:val="FootnoteText"/>
        <w:rPr>
          <w:highlight w:val="yellow"/>
        </w:rPr>
      </w:pPr>
      <w:r w:rsidRPr="00F47AD9">
        <w:rPr>
          <w:rStyle w:val="FootnoteReference"/>
          <w:highlight w:val="yellow"/>
        </w:rPr>
        <w:footnoteRef/>
      </w:r>
      <w:r w:rsidRPr="00F47AD9">
        <w:rPr>
          <w:highlight w:val="yellow"/>
        </w:rPr>
        <w:t xml:space="preserve"> Załącznik V do rozporządzenia wykonawczego Komisji (UE) nr 808/2014, pytanie ewaluacyjne 21.</w:t>
      </w:r>
    </w:p>
  </w:footnote>
  <w:footnote w:id="75">
    <w:p w:rsidR="001924CD" w:rsidRPr="00F47AD9" w:rsidRDefault="001924CD" w:rsidP="00FC0A30">
      <w:pPr>
        <w:pStyle w:val="FootnoteText"/>
        <w:rPr>
          <w:highlight w:val="yellow"/>
          <w:lang w:val="sk-SK"/>
        </w:rPr>
      </w:pPr>
      <w:r w:rsidRPr="00F47AD9">
        <w:rPr>
          <w:rStyle w:val="FootnoteReference"/>
          <w:highlight w:val="yellow"/>
        </w:rPr>
        <w:footnoteRef/>
      </w:r>
      <w:r w:rsidRPr="00F47AD9">
        <w:rPr>
          <w:highlight w:val="yellow"/>
          <w:lang w:val="nn-NO"/>
        </w:rPr>
        <w:t xml:space="preserve"> </w:t>
      </w:r>
      <w:hyperlink r:id="rId22">
        <w:r w:rsidRPr="00F47AD9">
          <w:rPr>
            <w:rStyle w:val="Hyperlink"/>
            <w:highlight w:val="yellow"/>
            <w:lang w:val="nn-NO"/>
          </w:rPr>
          <w:t>http://enrd.ec.europa.eu/enrd-static/evaluation/good-practices-workshops/national-rural-network-programmes/en/national-rural-network-programmes_en.html</w:t>
        </w:r>
      </w:hyperlink>
      <w:r w:rsidRPr="00F47AD9">
        <w:rPr>
          <w:highlight w:val="yellow"/>
          <w:lang w:val="nn-NO"/>
        </w:rPr>
        <w:t xml:space="preserve"> </w:t>
      </w:r>
      <w:r w:rsidRPr="00F47AD9">
        <w:rPr>
          <w:color w:val="auto"/>
          <w:highlight w:val="yellow"/>
          <w:lang w:val="nn-NO"/>
        </w:rPr>
        <w:t>i</w:t>
      </w:r>
      <w:r w:rsidRPr="00F47AD9">
        <w:rPr>
          <w:highlight w:val="yellow"/>
          <w:lang w:val="nn-NO"/>
        </w:rPr>
        <w:t xml:space="preserve"> </w:t>
      </w:r>
      <w:hyperlink r:id="rId23">
        <w:r w:rsidRPr="00F47AD9">
          <w:rPr>
            <w:rStyle w:val="Hyperlink"/>
            <w:highlight w:val="yellow"/>
            <w:lang w:val="nn-NO"/>
          </w:rPr>
          <w:t>http://enrd.ec.europa.eu/enrd-static/evaluation/good-practices-workshops/national-rural-networks/en/national-rural-networks_en.html</w:t>
        </w:r>
      </w:hyperlink>
    </w:p>
  </w:footnote>
  <w:footnote w:id="76">
    <w:p w:rsidR="001924CD" w:rsidRPr="00F47AD9" w:rsidRDefault="001924CD" w:rsidP="00FC0A30">
      <w:pPr>
        <w:pStyle w:val="FootnoteText"/>
        <w:rPr>
          <w:highlight w:val="yellow"/>
          <w:lang w:val="sk-SK"/>
        </w:rPr>
      </w:pPr>
      <w:r w:rsidRPr="00F47AD9">
        <w:rPr>
          <w:rStyle w:val="FootnoteReference"/>
          <w:highlight w:val="yellow"/>
        </w:rPr>
        <w:footnoteRef/>
      </w:r>
      <w:r w:rsidRPr="00F47AD9">
        <w:rPr>
          <w:highlight w:val="yellow"/>
          <w:lang w:val="sk-SK"/>
        </w:rPr>
        <w:t xml:space="preserve"> </w:t>
      </w:r>
      <w:hyperlink r:id="rId24">
        <w:r w:rsidRPr="00F47AD9">
          <w:rPr>
            <w:rStyle w:val="Hyperlink"/>
            <w:highlight w:val="yellow"/>
            <w:lang w:val="sk-SK"/>
          </w:rPr>
          <w:t>http://enrd.ec.europa.eu/enrd-static/evaluation/library/evaluation-helpdesk-publications/en/evaluation-helpdesk-publications_en.html</w:t>
        </w:r>
      </w:hyperlink>
    </w:p>
  </w:footnote>
  <w:footnote w:id="77">
    <w:p w:rsidR="001924CD" w:rsidRPr="00F47AD9" w:rsidRDefault="001924CD" w:rsidP="00FC0A30">
      <w:pPr>
        <w:pStyle w:val="FootnoteText"/>
        <w:rPr>
          <w:highlight w:val="yellow"/>
          <w:lang w:val="en-US"/>
        </w:rPr>
      </w:pPr>
      <w:r w:rsidRPr="00F47AD9">
        <w:rPr>
          <w:rStyle w:val="FootnoteReference"/>
          <w:rFonts w:eastAsiaTheme="minorEastAsia"/>
          <w:highlight w:val="yellow"/>
        </w:rPr>
        <w:footnoteRef/>
      </w:r>
      <w:r w:rsidRPr="00F47AD9">
        <w:rPr>
          <w:highlight w:val="yellow"/>
        </w:rPr>
        <w:t xml:space="preserve"> Dokument roboczy w sprawie </w:t>
      </w:r>
      <w:hyperlink r:id="rId25">
        <w:r w:rsidRPr="00F47AD9">
          <w:rPr>
            <w:highlight w:val="yellow"/>
          </w:rPr>
          <w:t>ewaluacji programów krajowych sieci obszarów wiejskich</w:t>
        </w:r>
      </w:hyperlink>
      <w:r w:rsidRPr="00F47AD9">
        <w:rPr>
          <w:highlight w:val="yellow"/>
        </w:rPr>
        <w:t xml:space="preserve"> (ang. </w:t>
      </w:r>
      <w:r w:rsidRPr="00F47AD9">
        <w:rPr>
          <w:highlight w:val="yellow"/>
          <w:lang w:val="en-US"/>
        </w:rPr>
        <w:t xml:space="preserve">Working Paper on the Evaluation of the National Rural Network), Europejska Sieć Ewaluacji Rozwoju Obszarów Wiejskich, lipiec 2010 r., s. 18. </w:t>
      </w:r>
    </w:p>
  </w:footnote>
  <w:footnote w:id="78">
    <w:p w:rsidR="001924CD" w:rsidRPr="00F47AD9" w:rsidRDefault="001924CD" w:rsidP="00FC0A30">
      <w:pPr>
        <w:pStyle w:val="FootnoteText"/>
        <w:rPr>
          <w:highlight w:val="yellow"/>
        </w:rPr>
      </w:pPr>
      <w:r w:rsidRPr="00F47AD9">
        <w:rPr>
          <w:rStyle w:val="FootnoteReference"/>
          <w:highlight w:val="yellow"/>
        </w:rPr>
        <w:footnoteRef/>
      </w:r>
      <w:r w:rsidRPr="00F47AD9">
        <w:rPr>
          <w:highlight w:val="yellow"/>
        </w:rPr>
        <w:t xml:space="preserve"> Podręcznik ewaluacji EuropeAid </w:t>
      </w:r>
      <w:r w:rsidRPr="00F47AD9">
        <w:rPr>
          <w:rStyle w:val="Hyperlink"/>
          <w:highlight w:val="yellow"/>
        </w:rPr>
        <w:t>http://ec.europa.eu/europeaid/evaluation/methodology/methods/mth_cri_en.htm</w:t>
      </w:r>
    </w:p>
  </w:footnote>
  <w:footnote w:id="79">
    <w:p w:rsidR="001924CD" w:rsidRPr="00F47AD9" w:rsidRDefault="001924CD" w:rsidP="00FC0A30">
      <w:pPr>
        <w:pStyle w:val="FootnoteText"/>
        <w:rPr>
          <w:rFonts w:ascii="Calibri" w:hAnsi="Calibri"/>
          <w:sz w:val="18"/>
          <w:szCs w:val="18"/>
          <w:highlight w:val="yellow"/>
        </w:rPr>
      </w:pPr>
      <w:r w:rsidRPr="00F47AD9">
        <w:rPr>
          <w:rStyle w:val="FootnoteReference"/>
          <w:highlight w:val="yellow"/>
        </w:rPr>
        <w:footnoteRef/>
      </w:r>
      <w:r w:rsidRPr="00F47AD9">
        <w:rPr>
          <w:rFonts w:ascii="Calibri" w:hAnsi="Calibri"/>
          <w:sz w:val="18"/>
          <w:highlight w:val="yellow"/>
        </w:rPr>
        <w:t xml:space="preserve"> Załącznik IV do rozporządzenia wykonawczego Komisji (UE) nr 808/2014, dokument roboczy: Programowanie i określanie celów rozwoju obszarów wiejskich (2014-2020) (ang. Rural Development programming and target setting (2014-2020)).</w:t>
      </w:r>
    </w:p>
  </w:footnote>
  <w:footnote w:id="80">
    <w:p w:rsidR="001924CD" w:rsidRPr="00F47AD9" w:rsidRDefault="001924CD" w:rsidP="00FC0A30">
      <w:pPr>
        <w:pStyle w:val="FootnoteText"/>
        <w:rPr>
          <w:highlight w:val="yellow"/>
          <w:lang w:val="sk-SK"/>
        </w:rPr>
      </w:pPr>
      <w:r w:rsidRPr="00F47AD9">
        <w:rPr>
          <w:rStyle w:val="FootnoteReference"/>
          <w:highlight w:val="yellow"/>
        </w:rPr>
        <w:footnoteRef/>
      </w:r>
      <w:r w:rsidRPr="00F47AD9">
        <w:rPr>
          <w:highlight w:val="yellow"/>
        </w:rPr>
        <w:t xml:space="preserve"> Techniczny podręcznik na temat ram monitorowania i ewaluacji wspólnej polityki rolnej na lata 2014-2020 (ang. </w:t>
      </w:r>
      <w:r w:rsidRPr="00F47AD9">
        <w:rPr>
          <w:highlight w:val="yellow"/>
          <w:lang w:val="en-US"/>
        </w:rPr>
        <w:t xml:space="preserve">Technical Handbook on the Monitoring and Evaluating Framework of the Common Agriculture Policy 2014-2020), </w:t>
      </w:r>
      <w:hyperlink r:id="rId26">
        <w:r w:rsidRPr="00F47AD9">
          <w:rPr>
            <w:rStyle w:val="Hyperlink"/>
            <w:highlight w:val="yellow"/>
            <w:lang w:val="en-US"/>
          </w:rPr>
          <w:t>http://ec.europa.eu/agriculture/cap-post-2013/monitoring-evaluation/index_en.htm</w:t>
        </w:r>
      </w:hyperlink>
    </w:p>
  </w:footnote>
  <w:footnote w:id="81">
    <w:p w:rsidR="001924CD" w:rsidRPr="00F47AD9" w:rsidRDefault="001924CD" w:rsidP="00FC0A30">
      <w:pPr>
        <w:pStyle w:val="FootnoteText"/>
        <w:rPr>
          <w:highlight w:val="yellow"/>
          <w:lang w:val="en-GB"/>
        </w:rPr>
      </w:pPr>
      <w:r w:rsidRPr="00F47AD9">
        <w:rPr>
          <w:rStyle w:val="FootnoteReference"/>
          <w:rFonts w:eastAsiaTheme="minorEastAsia"/>
          <w:highlight w:val="yellow"/>
        </w:rPr>
        <w:footnoteRef/>
      </w:r>
      <w:r w:rsidRPr="00F47AD9">
        <w:rPr>
          <w:highlight w:val="yellow"/>
        </w:rPr>
        <w:t xml:space="preserve"> Dokument roboczy w sprawie </w:t>
      </w:r>
      <w:hyperlink r:id="rId27">
        <w:r w:rsidRPr="00F47AD9">
          <w:rPr>
            <w:rStyle w:val="Hyperlink"/>
            <w:highlight w:val="yellow"/>
          </w:rPr>
          <w:t>ewaluacji programów krajowych sieci obszarów wiejskich</w:t>
        </w:r>
      </w:hyperlink>
      <w:r w:rsidRPr="00F47AD9">
        <w:rPr>
          <w:highlight w:val="yellow"/>
        </w:rPr>
        <w:t xml:space="preserve"> (ang. </w:t>
      </w:r>
      <w:r w:rsidRPr="00F47AD9">
        <w:rPr>
          <w:highlight w:val="yellow"/>
          <w:lang w:val="en-US"/>
        </w:rPr>
        <w:t xml:space="preserve">Working Paper on the Evaluation of the National Rural Network), Europejska Sieć Ewaluacji Rozwoju Obszarów Wiejskich, lipiec 2010 r., s. 21-26. </w:t>
      </w:r>
    </w:p>
  </w:footnote>
  <w:footnote w:id="82">
    <w:p w:rsidR="001924CD" w:rsidRPr="00F47AD9" w:rsidRDefault="001924CD" w:rsidP="00FC0A30">
      <w:pPr>
        <w:pStyle w:val="FootnoteText"/>
        <w:rPr>
          <w:highlight w:val="yellow"/>
        </w:rPr>
      </w:pPr>
      <w:r w:rsidRPr="00F47AD9">
        <w:rPr>
          <w:rStyle w:val="FootnoteReference"/>
          <w:rFonts w:eastAsiaTheme="minorEastAsia"/>
          <w:highlight w:val="yellow"/>
        </w:rPr>
        <w:footnoteRef/>
      </w:r>
      <w:r w:rsidRPr="00F47AD9">
        <w:rPr>
          <w:highlight w:val="yellow"/>
        </w:rPr>
        <w:t xml:space="preserve"> Dodatkowe informacje można znaleźć w </w:t>
      </w:r>
      <w:hyperlink r:id="rId28">
        <w:r w:rsidRPr="00F47AD9">
          <w:rPr>
            <w:highlight w:val="yellow"/>
          </w:rPr>
          <w:t>Wytycznych na temat śródokresowej ewaluacji programów rozwoju obszarów wiejskich 2007-2013</w:t>
        </w:r>
      </w:hyperlink>
      <w:r w:rsidRPr="00F47AD9">
        <w:rPr>
          <w:highlight w:val="yellow"/>
        </w:rPr>
        <w:t xml:space="preserve"> (ang. Guidelines on the Mid-Term Evaluation of the Rural Development Programmes 2007-2013), Europejska Sieć Ewaluacji Rozwoju Obszarów Wiejskich, lipiec 2009 r., s. 11-13 oraz w wytycznych „Opracowanie i wdrożenie planu ewaluacji PROW 2014-2020” (ang. Establishing and implementing the evaluation plan of 2014-2020 RDPs), Europejska Sieci Ewaluacji Rozwoju Obszarów Wiejskich, marzec 2014 r., s. 67-72.</w:t>
      </w:r>
    </w:p>
  </w:footnote>
  <w:footnote w:id="83">
    <w:p w:rsidR="001924CD" w:rsidRPr="00F47AD9" w:rsidRDefault="001924CD" w:rsidP="001249DA">
      <w:pPr>
        <w:pStyle w:val="CommentText"/>
        <w:spacing w:before="0" w:after="0"/>
        <w:rPr>
          <w:highlight w:val="yellow"/>
          <w:lang w:val="sk-SK"/>
        </w:rPr>
      </w:pPr>
      <w:r w:rsidRPr="00F47AD9">
        <w:rPr>
          <w:rStyle w:val="FootnoteReference"/>
          <w:highlight w:val="yellow"/>
        </w:rPr>
        <w:footnoteRef/>
      </w:r>
      <w:r w:rsidRPr="00F47AD9">
        <w:rPr>
          <w:rStyle w:val="FootnoteTextChar1"/>
          <w:highlight w:val="yellow"/>
        </w:rPr>
        <w:t xml:space="preserve"> Na przykład w Portugalii KSOW wydała wytyczne metodologiczne, które zapewniają wspólny zestaw narzędzi (np. kwestionariusze do oceny wydarzeń) dla beneficjentów KSOW w ramach prowadzonej działalności. Narzędzia te są dostępne w Internecie. </w:t>
      </w:r>
    </w:p>
  </w:footnote>
  <w:footnote w:id="84">
    <w:p w:rsidR="001924CD" w:rsidRPr="00F47AD9" w:rsidRDefault="001924CD" w:rsidP="000574FB">
      <w:pPr>
        <w:pStyle w:val="FootnoteText"/>
        <w:rPr>
          <w:highlight w:val="yellow"/>
        </w:rPr>
      </w:pPr>
      <w:r w:rsidRPr="00F47AD9">
        <w:rPr>
          <w:rStyle w:val="FootnoteReference"/>
          <w:rFonts w:eastAsiaTheme="minorEastAsia"/>
          <w:highlight w:val="yellow"/>
        </w:rPr>
        <w:footnoteRef/>
      </w:r>
      <w:r w:rsidRPr="00F47AD9">
        <w:rPr>
          <w:highlight w:val="yellow"/>
        </w:rPr>
        <w:t xml:space="preserve"> Dalsze informacje na temat czterech etapów ewaluacji można znaleźć w wytycznych CMEF dotyczących ewaluacji (ang. </w:t>
      </w:r>
      <w:hyperlink r:id="rId29">
        <w:r w:rsidRPr="00F47AD9">
          <w:rPr>
            <w:rStyle w:val="Hyperlink"/>
            <w:highlight w:val="yellow"/>
          </w:rPr>
          <w:t>CMEF Guidance Note B Evaluation Guidelines</w:t>
        </w:r>
      </w:hyperlink>
      <w:r w:rsidRPr="00F47AD9">
        <w:rPr>
          <w:color w:val="E7E6E6" w:themeColor="background2"/>
          <w:highlight w:val="yellow"/>
        </w:rPr>
        <w:t xml:space="preserve"> 2007-2013</w:t>
      </w:r>
      <w:r w:rsidRPr="00F47AD9">
        <w:rPr>
          <w:highlight w:val="yellow"/>
        </w:rPr>
        <w:t>).</w:t>
      </w:r>
    </w:p>
  </w:footnote>
  <w:footnote w:id="85">
    <w:p w:rsidR="001924CD" w:rsidRPr="00F47AD9" w:rsidRDefault="001924CD" w:rsidP="00352793">
      <w:pPr>
        <w:pStyle w:val="FootnoteText"/>
        <w:rPr>
          <w:highlight w:val="yellow"/>
        </w:rPr>
      </w:pPr>
      <w:r w:rsidRPr="00F47AD9">
        <w:rPr>
          <w:rStyle w:val="FootnoteReference"/>
          <w:rFonts w:eastAsiaTheme="minorEastAsia"/>
          <w:highlight w:val="yellow"/>
        </w:rPr>
        <w:footnoteRef/>
      </w:r>
      <w:r w:rsidRPr="00F47AD9">
        <w:rPr>
          <w:highlight w:val="yellow"/>
        </w:rPr>
        <w:t xml:space="preserve"> System zapewnienia jakości ewaluacji WFP pod adresem </w:t>
      </w:r>
      <w:hyperlink r:id="rId30">
        <w:r w:rsidRPr="00F47AD9">
          <w:rPr>
            <w:highlight w:val="yellow"/>
          </w:rPr>
          <w:t>http://www.wfp.org/evaluation/methods-and-tools/eqas-evaluation-quality-assurance-system</w:t>
        </w:r>
      </w:hyperlink>
      <w:r w:rsidRPr="00F47AD9">
        <w:rPr>
          <w:highlight w:val="yellow"/>
        </w:rPr>
        <w:t>.</w:t>
      </w:r>
    </w:p>
  </w:footnote>
  <w:footnote w:id="86">
    <w:p w:rsidR="001924CD" w:rsidRPr="00F7430B" w:rsidRDefault="001924CD" w:rsidP="000574FB">
      <w:pPr>
        <w:pStyle w:val="FootnoteText"/>
        <w:rPr>
          <w:lang w:val="en-US"/>
        </w:rPr>
      </w:pPr>
      <w:r w:rsidRPr="00F47AD9">
        <w:rPr>
          <w:rStyle w:val="FootnoteReference"/>
          <w:rFonts w:eastAsiaTheme="minorEastAsia"/>
          <w:highlight w:val="yellow"/>
        </w:rPr>
        <w:footnoteRef/>
      </w:r>
      <w:r w:rsidRPr="00F47AD9">
        <w:rPr>
          <w:highlight w:val="yellow"/>
        </w:rPr>
        <w:t xml:space="preserve"> </w:t>
      </w:r>
      <w:hyperlink r:id="rId31">
        <w:r w:rsidRPr="00F47AD9">
          <w:rPr>
            <w:highlight w:val="yellow"/>
          </w:rPr>
          <w:t>Załącznik 6 „Formularz oceny jakości”</w:t>
        </w:r>
      </w:hyperlink>
      <w:r w:rsidRPr="00F47AD9">
        <w:rPr>
          <w:highlight w:val="yellow"/>
        </w:rPr>
        <w:t xml:space="preserve"> (ang. Quality Assessment Form) do Podręcznika oceny prawodawstwa DG ds. Rynku Wewnętrznego i Usług (ang. DG Market Guide to Evaluating Legislation), s. 87-97</w:t>
      </w:r>
    </w:p>
  </w:footnote>
  <w:footnote w:id="87">
    <w:p w:rsidR="001924CD" w:rsidRPr="000C17C2" w:rsidRDefault="001924CD" w:rsidP="00320BBA">
      <w:pPr>
        <w:pStyle w:val="FootnoteText"/>
        <w:rPr>
          <w:lang w:val="en-GB"/>
        </w:rPr>
      </w:pPr>
      <w:r>
        <w:rPr>
          <w:rStyle w:val="FootnoteReference"/>
        </w:rPr>
        <w:footnoteRef/>
      </w:r>
      <w:r w:rsidRPr="007E5604">
        <w:rPr>
          <w:lang w:val="en-US"/>
        </w:rPr>
        <w:t xml:space="preserve"> See also: Helpdesk of the European Rural Evaluation Network (2014): Guidelines for the Ex post Evaluation of 2007-2013 RDPs. Brussels. P. 61ff.,</w:t>
      </w:r>
      <w:hyperlink r:id="rId32">
        <w:r w:rsidRPr="007E5604">
          <w:rPr>
            <w:rStyle w:val="Hyperlink"/>
            <w:lang w:val="en-US"/>
          </w:rPr>
          <w:t>http://enrd.ec.europa.eu/enrd-static/evaluation/library/evaluation-helpdesk-publications/en/evaluation-helpdesk-publications_en.html</w:t>
        </w:r>
      </w:hyperlink>
    </w:p>
  </w:footnote>
  <w:footnote w:id="88">
    <w:p w:rsidR="001924CD" w:rsidRPr="0041009C" w:rsidRDefault="001924CD" w:rsidP="00320BBA">
      <w:pPr>
        <w:pStyle w:val="FootnoteText"/>
        <w:rPr>
          <w:lang w:val="en-US"/>
        </w:rPr>
      </w:pPr>
      <w:r>
        <w:rPr>
          <w:rStyle w:val="FootnoteReference"/>
        </w:rPr>
        <w:footnoteRef/>
      </w:r>
      <w:r w:rsidRPr="007E5604">
        <w:rPr>
          <w:lang w:val="en-US"/>
        </w:rPr>
        <w:t xml:space="preserve"> See the references for further reading at the end of chapter 3.1.</w:t>
      </w:r>
    </w:p>
  </w:footnote>
  <w:footnote w:id="89">
    <w:p w:rsidR="001924CD" w:rsidRPr="003C23DE" w:rsidRDefault="001924CD" w:rsidP="00320BBA">
      <w:pPr>
        <w:pStyle w:val="FootnoteText"/>
        <w:rPr>
          <w:lang w:val="en-GB"/>
        </w:rPr>
      </w:pPr>
      <w:r>
        <w:rPr>
          <w:rStyle w:val="FootnoteReference"/>
        </w:rPr>
        <w:footnoteRef/>
      </w:r>
      <w:r w:rsidRPr="007E5604">
        <w:rPr>
          <w:lang w:val="en-US"/>
        </w:rPr>
        <w:t xml:space="preserve"> Context parameters have been proposed by the ENRD Contact Point and the Helpdesk of the European Evaluation Network for Rural Development in 2014; as they are not part of the legal framework, they can be adjusted by Member States if appropriate. The list of context parameters can be found in </w:t>
      </w:r>
      <w:r w:rsidRPr="007E5604">
        <w:rPr>
          <w:b/>
          <w:color w:val="E7E6E6" w:themeColor="background2"/>
          <w:lang w:val="en-US"/>
        </w:rPr>
        <w:t>PART I</w:t>
      </w:r>
      <w:r w:rsidRPr="007E5604">
        <w:rPr>
          <w:lang w:val="en-US"/>
        </w:rPr>
        <w:t>, Chapter 2.2.2 Preparation of evaluation</w:t>
      </w:r>
    </w:p>
  </w:footnote>
  <w:footnote w:id="90">
    <w:p w:rsidR="001924CD" w:rsidRPr="009E2C9F" w:rsidRDefault="001924CD" w:rsidP="00320BBA">
      <w:pPr>
        <w:pStyle w:val="FootnoteText"/>
        <w:rPr>
          <w:lang w:val="sk-SK"/>
        </w:rPr>
      </w:pPr>
      <w:r>
        <w:rPr>
          <w:rStyle w:val="FootnoteReference"/>
        </w:rPr>
        <w:footnoteRef/>
      </w:r>
      <w:r w:rsidRPr="007E5604">
        <w:rPr>
          <w:lang w:val="en-US"/>
        </w:rPr>
        <w:t xml:space="preserve"> RACER: relevant, accepted, credible, easy, robust</w:t>
      </w:r>
    </w:p>
  </w:footnote>
  <w:footnote w:id="91">
    <w:p w:rsidR="001924CD" w:rsidRPr="003C23DE" w:rsidRDefault="001924CD" w:rsidP="00320BBA">
      <w:pPr>
        <w:pStyle w:val="FootnoteText"/>
        <w:rPr>
          <w:lang w:val="en-GB"/>
        </w:rPr>
      </w:pPr>
      <w:r>
        <w:rPr>
          <w:rStyle w:val="FootnoteReference"/>
        </w:rPr>
        <w:footnoteRef/>
      </w:r>
      <w:r w:rsidRPr="007E5604">
        <w:rPr>
          <w:lang w:val="en-US"/>
        </w:rPr>
        <w:t xml:space="preserve"> Information about intervention logic´ effects can be found in the guidelines „Assessment of RDP results: How to prepare for reporting on evaluation in 2017“, published in April 2016 </w:t>
      </w:r>
    </w:p>
  </w:footnote>
  <w:footnote w:id="92">
    <w:p w:rsidR="001924CD" w:rsidRPr="007E5604" w:rsidRDefault="001924CD" w:rsidP="00320BBA">
      <w:pPr>
        <w:pStyle w:val="FootnoteText"/>
      </w:pPr>
      <w:r>
        <w:rPr>
          <w:rStyle w:val="FootnoteReference"/>
        </w:rPr>
        <w:footnoteRef/>
      </w:r>
      <w:r>
        <w:t xml:space="preserve"> </w:t>
      </w:r>
      <w:r>
        <w:rPr>
          <w:highlight w:val="yellow"/>
        </w:rPr>
        <w:t>Więcej wskazówek na ten temat znajduje się w wytycznych: Assessment of RDP results: How to prepare for reporting on evaluation in 2017“ (Ocena rezultatów PROW: jak przygotować się do sprawozdawczości na temat ewaluacji w 2017 r.).</w:t>
      </w:r>
      <w:r>
        <w:t xml:space="preserve"> </w:t>
      </w:r>
    </w:p>
  </w:footnote>
  <w:footnote w:id="93">
    <w:p w:rsidR="001924CD" w:rsidRPr="003C23DE" w:rsidRDefault="001924CD" w:rsidP="00320BBA">
      <w:pPr>
        <w:pStyle w:val="FootnoteText"/>
        <w:rPr>
          <w:lang w:val="en-GB"/>
        </w:rPr>
      </w:pPr>
      <w:r>
        <w:rPr>
          <w:rStyle w:val="FootnoteReference"/>
        </w:rPr>
        <w:footnoteRef/>
      </w:r>
      <w:r w:rsidRPr="007E5604">
        <w:rPr>
          <w:lang w:val="en-US"/>
        </w:rPr>
        <w:t xml:space="preserve"> See also the guidelines: Assessment of RDP results: how to prepare for reporting on evaluation in 2017, to be published in 2016, Chapter 7.</w:t>
      </w:r>
    </w:p>
  </w:footnote>
  <w:footnote w:id="94">
    <w:p w:rsidR="001924CD" w:rsidRPr="003C23DE" w:rsidRDefault="001924CD" w:rsidP="00320BBA">
      <w:pPr>
        <w:pStyle w:val="FootnoteText"/>
        <w:rPr>
          <w:lang w:val="en-GB"/>
        </w:rPr>
      </w:pPr>
      <w:r>
        <w:rPr>
          <w:rStyle w:val="FootnoteReference"/>
        </w:rPr>
        <w:footnoteRef/>
      </w:r>
      <w:r w:rsidRPr="007E5604">
        <w:rPr>
          <w:lang w:val="en-US"/>
        </w:rPr>
        <w:t xml:space="preserve"> See for example the World Bank’s publications on measuring social capital, such as Working Paper No. 18, 2004: “Measuring social capital: an integrated questionnaire”, </w:t>
      </w:r>
      <w:hyperlink r:id="rId33">
        <w:r w:rsidRPr="007E5604">
          <w:rPr>
            <w:lang w:val="en-US"/>
          </w:rPr>
          <w:t>http://documents.worldbank.org/curated/en/2004/01/3050371/measuring-social-capital-integrated-questionnaire</w:t>
        </w:r>
      </w:hyperlink>
      <w:r w:rsidRPr="007E5604">
        <w:rPr>
          <w:lang w:val="en-US"/>
        </w:rPr>
        <w:t xml:space="preserve"> ; or particular approaches to capture changes induced by social innovation, e.g. the Regional Social Innovation Index (</w:t>
      </w:r>
      <w:hyperlink r:id="rId34">
        <w:r w:rsidRPr="007E5604">
          <w:rPr>
            <w:rStyle w:val="Hyperlink"/>
            <w:lang w:val="en-US"/>
          </w:rPr>
          <w:t>http://avitem.org/IMG/pdf/cuaderno_resindex_eng.pdf</w:t>
        </w:r>
      </w:hyperlink>
      <w:r w:rsidRPr="007E5604">
        <w:rPr>
          <w:lang w:val="en-US"/>
        </w:rPr>
        <w:t xml:space="preserve">) developed for the Spanish Euskadi Region in 2013; or the achievements of the EU research project IAREG on indicators of social capital in the EU: </w:t>
      </w:r>
      <w:hyperlink r:id="rId35">
        <w:r w:rsidRPr="007E5604">
          <w:rPr>
            <w:rStyle w:val="Hyperlink"/>
            <w:lang w:val="en-US"/>
          </w:rPr>
          <w:t>http://www.iareg.org/fileadmin/iareg/media/papers/WP2_02.pdf</w:t>
        </w:r>
      </w:hyperlink>
      <w:r w:rsidRPr="007E5604">
        <w:rPr>
          <w:lang w:val="en-US"/>
        </w:rPr>
        <w:t xml:space="preserve"> </w:t>
      </w:r>
    </w:p>
  </w:footnote>
  <w:footnote w:id="95">
    <w:p w:rsidR="001924CD" w:rsidRPr="003C23DE" w:rsidRDefault="001924CD" w:rsidP="00320BBA">
      <w:pPr>
        <w:pStyle w:val="FootnoteText"/>
        <w:rPr>
          <w:lang w:val="en-GB"/>
        </w:rPr>
      </w:pPr>
      <w:r>
        <w:rPr>
          <w:rStyle w:val="FootnoteReference"/>
        </w:rPr>
        <w:footnoteRef/>
      </w:r>
      <w:r w:rsidRPr="007E5604">
        <w:rPr>
          <w:lang w:val="en-US"/>
        </w:rPr>
        <w:t xml:space="preserve"> See also guidelines: Assessment of RDP results: how to prepare for reporting on evaluation in 2017, which will be published in April 2016</w:t>
      </w:r>
    </w:p>
  </w:footnote>
  <w:footnote w:id="96">
    <w:p w:rsidR="001924CD" w:rsidRPr="003C23DE" w:rsidRDefault="001924CD" w:rsidP="00320BBA">
      <w:pPr>
        <w:pStyle w:val="FootnoteText"/>
        <w:rPr>
          <w:lang w:val="en-GB"/>
        </w:rPr>
      </w:pPr>
      <w:r>
        <w:rPr>
          <w:rStyle w:val="FootnoteReference"/>
        </w:rPr>
        <w:footnoteRef/>
      </w:r>
      <w:r w:rsidRPr="007E5604">
        <w:rPr>
          <w:lang w:val="en-US"/>
        </w:rPr>
        <w:t xml:space="preserve"> See also the guidelines: Assessment of RDP results: how to prepare for reporting on evaluation in 2017, which will be published in 2016 </w:t>
      </w:r>
    </w:p>
  </w:footnote>
  <w:footnote w:id="97">
    <w:p w:rsidR="001924CD" w:rsidRPr="003C23DE" w:rsidRDefault="001924CD" w:rsidP="00320BBA">
      <w:pPr>
        <w:pStyle w:val="FootnoteText"/>
        <w:rPr>
          <w:lang w:val="en-GB"/>
        </w:rPr>
      </w:pPr>
      <w:r>
        <w:rPr>
          <w:rStyle w:val="FootnoteReference"/>
        </w:rPr>
        <w:footnoteRef/>
      </w:r>
      <w:r w:rsidRPr="007E5604">
        <w:rPr>
          <w:lang w:val="en-US"/>
        </w:rPr>
        <w:t xml:space="preserve"> Assessment of RDP results: how to prepare for reporting on evaluation in 2017, which will be published in April and Guidelines for ex post evaluation of 2007-2013 RDPs, </w:t>
      </w:r>
      <w:hyperlink r:id="rId36">
        <w:r w:rsidRPr="007E5604">
          <w:rPr>
            <w:rStyle w:val="Hyperlink"/>
            <w:lang w:val="en-US"/>
          </w:rPr>
          <w:t>http://enrd.ec.europa.eu/enrd-static/evaluation/library/evaluation-helpdesk-publications/en/evaluation-helpdesk-publications_en.html</w:t>
        </w:r>
      </w:hyperlink>
    </w:p>
  </w:footnote>
  <w:footnote w:id="98">
    <w:p w:rsidR="001924CD" w:rsidRPr="00165985" w:rsidRDefault="001924CD" w:rsidP="00320BBA">
      <w:pPr>
        <w:pStyle w:val="FootnoteText"/>
        <w:rPr>
          <w:lang w:val="en-US"/>
        </w:rPr>
      </w:pPr>
      <w:r>
        <w:rPr>
          <w:rStyle w:val="FootnoteReference"/>
        </w:rPr>
        <w:footnoteRef/>
      </w:r>
      <w:r w:rsidRPr="007E5604">
        <w:rPr>
          <w:lang w:val="en-US"/>
        </w:rPr>
        <w:t xml:space="preserve"> See the Helpdesk Guide (July 2010): Approaches for assessing the impacts of the Rural Development Programmes in the context of multiple intervening factors, p. 26 ff.</w:t>
      </w:r>
    </w:p>
  </w:footnote>
  <w:footnote w:id="99">
    <w:p w:rsidR="001924CD" w:rsidRPr="003C23DE" w:rsidRDefault="001924CD" w:rsidP="00320BBA">
      <w:pPr>
        <w:pStyle w:val="FootnoteText"/>
        <w:rPr>
          <w:lang w:val="en-GB"/>
        </w:rPr>
      </w:pPr>
      <w:r>
        <w:rPr>
          <w:rStyle w:val="FootnoteReference"/>
        </w:rPr>
        <w:footnoteRef/>
      </w:r>
      <w:r w:rsidRPr="007E5604">
        <w:rPr>
          <w:lang w:val="en-US"/>
        </w:rPr>
        <w:t xml:space="preserve"> Idem, p. 56 ff.</w:t>
      </w:r>
    </w:p>
  </w:footnote>
  <w:footnote w:id="100">
    <w:p w:rsidR="001924CD" w:rsidRPr="003C23DE" w:rsidRDefault="001924CD" w:rsidP="00320BBA">
      <w:pPr>
        <w:pStyle w:val="FootnoteText"/>
        <w:rPr>
          <w:lang w:val="en-GB"/>
        </w:rPr>
      </w:pPr>
      <w:r>
        <w:rPr>
          <w:rStyle w:val="FootnoteReference"/>
        </w:rPr>
        <w:footnoteRef/>
      </w:r>
      <w:r w:rsidRPr="007E5604">
        <w:rPr>
          <w:lang w:val="en-US"/>
        </w:rPr>
        <w:t xml:space="preserve"> </w:t>
      </w:r>
      <w:r w:rsidRPr="007E5604">
        <w:rPr>
          <w:highlight w:val="yellow"/>
          <w:lang w:val="en-US"/>
        </w:rPr>
        <w:t xml:space="preserve">np. SurveyMonkey, </w:t>
      </w:r>
      <w:hyperlink r:id="rId37">
        <w:r w:rsidRPr="007E5604">
          <w:rPr>
            <w:rStyle w:val="Hyperlink"/>
            <w:highlight w:val="yellow"/>
            <w:lang w:val="en-US"/>
          </w:rPr>
          <w:t>https://www.surveymonkey.com/</w:t>
        </w:r>
      </w:hyperlink>
      <w:r w:rsidRPr="007E5604">
        <w:rPr>
          <w:highlight w:val="yellow"/>
          <w:lang w:val="en-US"/>
        </w:rPr>
        <w:t xml:space="preserve">, KvikSurvey, </w:t>
      </w:r>
      <w:hyperlink r:id="rId38">
        <w:r w:rsidRPr="007E5604">
          <w:rPr>
            <w:rStyle w:val="Hyperlink"/>
            <w:highlight w:val="yellow"/>
            <w:lang w:val="en-US"/>
          </w:rPr>
          <w:t>https://kwiksurveys.com/</w:t>
        </w:r>
      </w:hyperlink>
      <w:r w:rsidRPr="007E5604">
        <w:rPr>
          <w:highlight w:val="yellow"/>
          <w:lang w:val="en-US"/>
        </w:rPr>
        <w:t xml:space="preserve"> itp.</w:t>
      </w:r>
    </w:p>
  </w:footnote>
  <w:footnote w:id="101">
    <w:p w:rsidR="001924CD" w:rsidRPr="000C17C2" w:rsidRDefault="001924CD" w:rsidP="00320BBA">
      <w:pPr>
        <w:pStyle w:val="FootnoteText"/>
        <w:rPr>
          <w:highlight w:val="yellow"/>
          <w:lang w:val="en-GB"/>
        </w:rPr>
      </w:pPr>
      <w:r>
        <w:rPr>
          <w:rStyle w:val="FootnoteReference"/>
        </w:rPr>
        <w:footnoteRef/>
      </w:r>
      <w:r w:rsidRPr="007E5604">
        <w:rPr>
          <w:lang w:val="en-GB"/>
        </w:rPr>
        <w:t xml:space="preserve"> </w:t>
      </w:r>
      <w:r w:rsidRPr="007E5604">
        <w:rPr>
          <w:rStyle w:val="Hyperlink"/>
          <w:highlight w:val="yellow"/>
          <w:lang w:val="en-GB"/>
        </w:rPr>
        <w:t>http://edutechwiki.unige.ch/en/Repertory_grid_technique</w:t>
      </w:r>
    </w:p>
  </w:footnote>
  <w:footnote w:id="102">
    <w:p w:rsidR="001924CD" w:rsidRPr="007E5604" w:rsidRDefault="001924CD" w:rsidP="00320BBA">
      <w:pPr>
        <w:pStyle w:val="FootnoteText"/>
        <w:rPr>
          <w:highlight w:val="yellow"/>
        </w:rPr>
      </w:pPr>
      <w:r>
        <w:rPr>
          <w:rStyle w:val="FootnoteReference"/>
          <w:highlight w:val="yellow"/>
        </w:rPr>
        <w:footnoteRef/>
      </w:r>
      <w:r>
        <w:rPr>
          <w:highlight w:val="yellow"/>
        </w:rPr>
        <w:t xml:space="preserve"> Według Steve’a de Shazera „można wiedzieć, co jest lepsze, nie wiedząc, co jest dobre”.</w:t>
      </w:r>
    </w:p>
  </w:footnote>
  <w:footnote w:id="103">
    <w:p w:rsidR="001924CD" w:rsidRPr="007E5604" w:rsidRDefault="001924CD" w:rsidP="00320BBA">
      <w:pPr>
        <w:pStyle w:val="FootnoteText"/>
        <w:rPr>
          <w:highlight w:val="yellow"/>
        </w:rPr>
      </w:pPr>
      <w:r>
        <w:rPr>
          <w:rStyle w:val="FootnoteReference"/>
          <w:highlight w:val="yellow"/>
        </w:rPr>
        <w:footnoteRef/>
      </w:r>
      <w:r>
        <w:rPr>
          <w:highlight w:val="yellow"/>
        </w:rPr>
        <w:t xml:space="preserve"> </w:t>
      </w:r>
      <w:hyperlink r:id="rId39">
        <w:r>
          <w:rPr>
            <w:rStyle w:val="Hyperlink"/>
            <w:highlight w:val="yellow"/>
          </w:rPr>
          <w:t>https://en.wikipedia.org/wiki/Collective_intelligence</w:t>
        </w:r>
      </w:hyperlink>
      <w:r>
        <w:rPr>
          <w:highlight w:val="yellow"/>
        </w:rPr>
        <w:t xml:space="preserve"> </w:t>
      </w:r>
    </w:p>
  </w:footnote>
  <w:footnote w:id="104">
    <w:p w:rsidR="001924CD" w:rsidRPr="003C23DE" w:rsidRDefault="001924CD" w:rsidP="00320BBA">
      <w:pPr>
        <w:pStyle w:val="FootnoteText"/>
        <w:rPr>
          <w:lang w:val="en-GB"/>
        </w:rPr>
      </w:pPr>
      <w:r>
        <w:rPr>
          <w:rStyle w:val="FootnoteReference"/>
          <w:highlight w:val="yellow"/>
        </w:rPr>
        <w:footnoteRef/>
      </w:r>
      <w:r w:rsidRPr="006D3A5C">
        <w:rPr>
          <w:highlight w:val="yellow"/>
        </w:rPr>
        <w:t xml:space="preserve"> Robert Lukesch, Harald Payer, Jutta Rabenau (2008): Wissen von innen – Fokusgruppen in der Begleitforschung von Regionen Aktiv, [w:] Michael Böcher, Max Krott, Sebastian Tränkner (2008): Regional Governance und integrierte ländliche Entwicklung. s. 179-205. </w:t>
      </w:r>
      <w:r w:rsidRPr="007E5604">
        <w:rPr>
          <w:highlight w:val="yellow"/>
          <w:lang w:val="en-US"/>
        </w:rPr>
        <w:t>Springer, Wiesbaden.</w:t>
      </w:r>
    </w:p>
  </w:footnote>
  <w:footnote w:id="105">
    <w:p w:rsidR="001924CD" w:rsidRPr="000C17C2" w:rsidRDefault="001924CD" w:rsidP="00320BBA">
      <w:pPr>
        <w:pStyle w:val="FootnoteText"/>
        <w:rPr>
          <w:highlight w:val="yellow"/>
          <w:lang w:val="en-GB"/>
        </w:rPr>
      </w:pPr>
      <w:r>
        <w:rPr>
          <w:rStyle w:val="FootnoteReference"/>
        </w:rPr>
        <w:footnoteRef/>
      </w:r>
      <w:r w:rsidRPr="007E5604">
        <w:rPr>
          <w:lang w:val="en-US"/>
        </w:rPr>
        <w:t xml:space="preserve"> </w:t>
      </w:r>
      <w:r w:rsidRPr="007E5604">
        <w:rPr>
          <w:highlight w:val="yellow"/>
          <w:lang w:val="en-US"/>
        </w:rPr>
        <w:t xml:space="preserve">Enrique Mendizabal: </w:t>
      </w:r>
      <w:r w:rsidRPr="007E5604">
        <w:rPr>
          <w:i/>
          <w:highlight w:val="yellow"/>
          <w:lang w:val="en-US"/>
        </w:rPr>
        <w:t>Understanding networks:</w:t>
      </w:r>
      <w:r w:rsidRPr="007E5604">
        <w:rPr>
          <w:highlight w:val="yellow"/>
          <w:lang w:val="en-US"/>
        </w:rPr>
        <w:t xml:space="preserve"> </w:t>
      </w:r>
      <w:r w:rsidRPr="007E5604">
        <w:rPr>
          <w:i/>
          <w:highlight w:val="yellow"/>
          <w:lang w:val="en-US"/>
        </w:rPr>
        <w:t>The functions of research policy networks</w:t>
      </w:r>
      <w:r w:rsidRPr="007E5604">
        <w:rPr>
          <w:highlight w:val="yellow"/>
          <w:lang w:val="en-US"/>
        </w:rPr>
        <w:t>, Overseas Development Institute, Londyn, 2006 r.</w:t>
      </w:r>
    </w:p>
  </w:footnote>
  <w:footnote w:id="106">
    <w:p w:rsidR="001924CD" w:rsidRPr="000C17C2" w:rsidRDefault="001924CD" w:rsidP="00B75E70">
      <w:pPr>
        <w:pStyle w:val="FootnoteText"/>
        <w:rPr>
          <w:highlight w:val="yellow"/>
          <w:lang w:val="en-US"/>
        </w:rPr>
      </w:pPr>
      <w:r>
        <w:rPr>
          <w:rStyle w:val="FootnoteReference"/>
          <w:highlight w:val="yellow"/>
        </w:rPr>
        <w:footnoteRef/>
      </w:r>
      <w:r w:rsidRPr="007E5604">
        <w:rPr>
          <w:highlight w:val="yellow"/>
          <w:lang w:val="en-US"/>
        </w:rPr>
        <w:t xml:space="preserve"> R. Mitchell, B. Agle i D. Wood, </w:t>
      </w:r>
      <w:r w:rsidRPr="007E5604">
        <w:rPr>
          <w:i/>
          <w:highlight w:val="yellow"/>
          <w:lang w:val="en-US"/>
        </w:rPr>
        <w:t>Towards a theory of stakeholder identification and salience:</w:t>
      </w:r>
      <w:r w:rsidRPr="007E5604">
        <w:rPr>
          <w:highlight w:val="yellow"/>
          <w:lang w:val="en-US"/>
        </w:rPr>
        <w:t xml:space="preserve"> </w:t>
      </w:r>
      <w:r w:rsidRPr="007E5604">
        <w:rPr>
          <w:i/>
          <w:highlight w:val="yellow"/>
          <w:lang w:val="en-US"/>
        </w:rPr>
        <w:t xml:space="preserve"> defining the principle of who and what really counts</w:t>
      </w:r>
      <w:r w:rsidRPr="007E5604">
        <w:rPr>
          <w:highlight w:val="yellow"/>
          <w:lang w:val="en-US"/>
        </w:rPr>
        <w:t>, Academy of Management Review, 22(4) (1997)</w:t>
      </w:r>
    </w:p>
  </w:footnote>
  <w:footnote w:id="107">
    <w:p w:rsidR="001924CD" w:rsidRPr="000368C0" w:rsidRDefault="001924CD" w:rsidP="00320BBA">
      <w:pPr>
        <w:pStyle w:val="FootnoteText"/>
        <w:rPr>
          <w:lang w:val="en-US"/>
        </w:rPr>
      </w:pPr>
      <w:r>
        <w:rPr>
          <w:rStyle w:val="FootnoteReference"/>
          <w:highlight w:val="yellow"/>
        </w:rPr>
        <w:footnoteRef/>
      </w:r>
      <w:r w:rsidRPr="007E5604">
        <w:rPr>
          <w:highlight w:val="yellow"/>
          <w:lang w:val="en-US"/>
        </w:rPr>
        <w:t xml:space="preserve"> David Knoke i Song Young (2008), </w:t>
      </w:r>
      <w:r w:rsidRPr="007E5604">
        <w:rPr>
          <w:i/>
          <w:highlight w:val="yellow"/>
          <w:lang w:val="en-US"/>
        </w:rPr>
        <w:t>Social network analysis,  wydanie drugie</w:t>
      </w:r>
      <w:r w:rsidRPr="007E5604">
        <w:rPr>
          <w:highlight w:val="yellow"/>
          <w:lang w:val="en-US"/>
        </w:rPr>
        <w:t xml:space="preserve">, SAGE Publications; Stanley Wasserman i Katherine Faust (1994), </w:t>
      </w:r>
      <w:r w:rsidRPr="007E5604">
        <w:rPr>
          <w:i/>
          <w:highlight w:val="yellow"/>
          <w:lang w:val="en-US"/>
        </w:rPr>
        <w:t>Social network analysis.</w:t>
      </w:r>
      <w:r w:rsidRPr="007E5604">
        <w:rPr>
          <w:highlight w:val="yellow"/>
          <w:lang w:val="en-US"/>
        </w:rPr>
        <w:t xml:space="preserve"> </w:t>
      </w:r>
      <w:r w:rsidRPr="007E5604">
        <w:rPr>
          <w:i/>
          <w:highlight w:val="yellow"/>
          <w:lang w:val="en-US"/>
        </w:rPr>
        <w:t xml:space="preserve"> Methods and Applications</w:t>
      </w:r>
      <w:r w:rsidRPr="007E5604">
        <w:rPr>
          <w:highlight w:val="yellow"/>
          <w:lang w:val="en-US"/>
        </w:rPr>
        <w:t>, Cambridge University Press.</w:t>
      </w:r>
    </w:p>
  </w:footnote>
  <w:footnote w:id="108">
    <w:p w:rsidR="001924CD" w:rsidRPr="006D3A5C" w:rsidRDefault="001924CD" w:rsidP="00320BBA">
      <w:pPr>
        <w:pStyle w:val="FootnoteText"/>
        <w:rPr>
          <w:highlight w:val="yellow"/>
          <w:lang w:val="en-US"/>
        </w:rPr>
      </w:pPr>
      <w:r>
        <w:rPr>
          <w:rStyle w:val="FootnoteReference"/>
        </w:rPr>
        <w:footnoteRef/>
      </w:r>
      <w:r w:rsidRPr="007E5604">
        <w:rPr>
          <w:lang w:val="en-US"/>
        </w:rPr>
        <w:t xml:space="preserve"> </w:t>
      </w:r>
      <w:r w:rsidRPr="007E5604">
        <w:rPr>
          <w:highlight w:val="yellow"/>
          <w:lang w:val="en-US"/>
        </w:rPr>
        <w:t xml:space="preserve">Gesellschaft für Internationale Zusammenarbeit/GIZ (2015): Cooperation Management for Practitioners. </w:t>
      </w:r>
      <w:r w:rsidRPr="006D3A5C">
        <w:rPr>
          <w:highlight w:val="yellow"/>
          <w:lang w:val="en-US"/>
        </w:rPr>
        <w:t>Managing Social Change with Capacity WORKS. Springer, Wiesbaden. Książka jest dostępna w języku angielskim, francuskim i niemieckim.</w:t>
      </w:r>
    </w:p>
  </w:footnote>
  <w:footnote w:id="109">
    <w:p w:rsidR="001924CD" w:rsidRPr="000C17C2" w:rsidRDefault="001924CD" w:rsidP="00320BBA">
      <w:pPr>
        <w:pStyle w:val="FootnoteText"/>
        <w:rPr>
          <w:highlight w:val="yellow"/>
        </w:rPr>
      </w:pPr>
      <w:r>
        <w:rPr>
          <w:rStyle w:val="FootnoteReference"/>
          <w:highlight w:val="yellow"/>
        </w:rPr>
        <w:footnoteRef/>
      </w:r>
      <w:r w:rsidRPr="007E5604">
        <w:rPr>
          <w:lang w:val="en-US"/>
        </w:rPr>
        <w:t xml:space="preserve"> </w:t>
      </w:r>
      <w:r w:rsidRPr="007E5604">
        <w:rPr>
          <w:highlight w:val="yellow"/>
          <w:lang w:val="en-US"/>
        </w:rPr>
        <w:t>Andrè Martinuzzi i Ursula Kopp: Systemic constellations in theory-based evaluations – tools and experiences.</w:t>
      </w:r>
      <w:r w:rsidRPr="007E5604">
        <w:rPr>
          <w:lang w:val="en-US"/>
        </w:rPr>
        <w:t xml:space="preserve"> </w:t>
      </w:r>
      <w:hyperlink r:id="rId40">
        <w:r>
          <w:rPr>
            <w:rStyle w:val="Hyperlink"/>
            <w:highlight w:val="yellow"/>
          </w:rPr>
          <w:t>http://ec.europa.eu/regional_policy/archive/conferences/evaluation2009/abstracts/martinuzzi.pdf</w:t>
        </w:r>
      </w:hyperlink>
      <w:r>
        <w:rPr>
          <w:highlight w:val="yellow"/>
        </w:rPr>
        <w:t xml:space="preserve"> </w:t>
      </w:r>
    </w:p>
  </w:footnote>
  <w:footnote w:id="110">
    <w:p w:rsidR="001924CD" w:rsidRPr="007E5604" w:rsidRDefault="001924CD" w:rsidP="00320BBA">
      <w:pPr>
        <w:pStyle w:val="FootnoteText"/>
        <w:rPr>
          <w:highlight w:val="yellow"/>
        </w:rPr>
      </w:pPr>
      <w:r>
        <w:rPr>
          <w:rStyle w:val="FootnoteReference"/>
          <w:highlight w:val="yellow"/>
        </w:rPr>
        <w:footnoteRef/>
      </w:r>
      <w:r>
        <w:rPr>
          <w:highlight w:val="yellow"/>
        </w:rPr>
        <w:t xml:space="preserve"> Zob. na przykład: Krysia M. Yardley-Matwiejczuk, 1997: Role Play-Theory and Practice, Sage.</w:t>
      </w:r>
    </w:p>
  </w:footnote>
  <w:footnote w:id="111">
    <w:p w:rsidR="001924CD" w:rsidRPr="007E5604" w:rsidRDefault="001924CD" w:rsidP="00320BBA">
      <w:pPr>
        <w:pStyle w:val="FootnoteText"/>
      </w:pPr>
      <w:r>
        <w:rPr>
          <w:rStyle w:val="FootnoteReference"/>
          <w:highlight w:val="yellow"/>
        </w:rPr>
        <w:footnoteRef/>
      </w:r>
      <w:r>
        <w:rPr>
          <w:highlight w:val="yellow"/>
        </w:rPr>
        <w:t xml:space="preserve"> </w:t>
      </w:r>
      <w:hyperlink r:id="rId41">
        <w:r>
          <w:rPr>
            <w:rStyle w:val="Hyperlink"/>
            <w:highlight w:val="yellow"/>
          </w:rPr>
          <w:t>http://asgpp.org/pdf/psychodrama.conciseintro.pdf</w:t>
        </w:r>
      </w:hyperlink>
      <w:r>
        <w:t xml:space="preserve"> </w:t>
      </w:r>
    </w:p>
  </w:footnote>
  <w:footnote w:id="112">
    <w:p w:rsidR="001924CD" w:rsidRPr="007E5604" w:rsidRDefault="001924CD" w:rsidP="00320BBA">
      <w:pPr>
        <w:pStyle w:val="FootnoteText"/>
      </w:pPr>
      <w:r>
        <w:rPr>
          <w:rStyle w:val="FootnoteReference"/>
        </w:rPr>
        <w:footnoteRef/>
      </w:r>
      <w:r>
        <w:t xml:space="preserve"> </w:t>
      </w:r>
      <w:r>
        <w:rPr>
          <w:highlight w:val="yellow"/>
        </w:rPr>
        <w:t>Zob. również wytyczne: „Assessment of RDP Results: How to prepare for reporting on evaluation in 2017“ (Ocena rezultatów PROW: jak przygotować się do sprawozdawczości na temat ewaluacji w 2017 r.), rozdział 7.</w:t>
      </w:r>
    </w:p>
  </w:footnote>
  <w:footnote w:id="113">
    <w:p w:rsidR="001924CD" w:rsidRPr="00C04FDB" w:rsidRDefault="001924CD" w:rsidP="00320BBA">
      <w:pPr>
        <w:pStyle w:val="FootnoteText"/>
        <w:rPr>
          <w:lang w:val="en-US"/>
        </w:rPr>
      </w:pPr>
      <w:r>
        <w:rPr>
          <w:rStyle w:val="FootnoteReference"/>
        </w:rPr>
        <w:footnoteRef/>
      </w:r>
      <w:r w:rsidRPr="007E5604">
        <w:rPr>
          <w:lang w:val="en-US"/>
        </w:rPr>
        <w:t xml:space="preserve"> The NRN Self-Assessment Toolkit provides a host of useful resources for practicing self-assessment for NSU: </w:t>
      </w:r>
      <w:hyperlink r:id="rId42">
        <w:r w:rsidRPr="007E5604">
          <w:rPr>
            <w:rStyle w:val="Hyperlink"/>
            <w:lang w:val="en-US"/>
          </w:rPr>
          <w:t>http://enrd.ec.europa.eu/enrd-static/networks-and-networking/nrn-self-assessment-tool-kit/practical-tools-for-nrn-self-assessment/en/practical-tools-for-nrn-self-assessment_en.html</w:t>
        </w:r>
      </w:hyperlink>
      <w:r w:rsidRPr="007E5604">
        <w:rPr>
          <w:lang w:val="en-US"/>
        </w:rPr>
        <w:t xml:space="preserve"> </w:t>
      </w:r>
    </w:p>
  </w:footnote>
  <w:footnote w:id="114">
    <w:p w:rsidR="001924CD" w:rsidRPr="008A0246" w:rsidRDefault="001924CD" w:rsidP="00320BBA">
      <w:pPr>
        <w:pStyle w:val="FootnoteText"/>
      </w:pPr>
      <w:r>
        <w:rPr>
          <w:rStyle w:val="FootnoteReference"/>
        </w:rPr>
        <w:footnoteRef/>
      </w:r>
      <w:r w:rsidRPr="007E5604">
        <w:rPr>
          <w:lang w:val="en-US"/>
        </w:rPr>
        <w:t xml:space="preserve"> See for example the Scottish case study presented during the Helpdesk workshop held in Rome, 11/12 April 2014: “NRN – How to show their benefits.” </w:t>
      </w:r>
      <w:hyperlink r:id="rId43">
        <w:r>
          <w:rPr>
            <w:rStyle w:val="Hyperlink"/>
          </w:rPr>
          <w:t>https://enrd.ec.europa.eu/sites/enrd/files/assets/pdf/evaluation/national-rural-networks/GPW10_Scotland.pdf</w:t>
        </w:r>
      </w:hyperlink>
      <w:r>
        <w:t xml:space="preserve"> </w:t>
      </w:r>
    </w:p>
  </w:footnote>
  <w:footnote w:id="115">
    <w:p w:rsidR="001924CD" w:rsidRPr="00472DFD" w:rsidRDefault="001924CD" w:rsidP="00320BBA">
      <w:pPr>
        <w:pStyle w:val="FootnoteText"/>
        <w:rPr>
          <w:lang w:val="en-US"/>
        </w:rPr>
      </w:pPr>
      <w:r>
        <w:rPr>
          <w:rStyle w:val="FootnoteReference"/>
        </w:rPr>
        <w:footnoteRef/>
      </w:r>
      <w:r w:rsidRPr="007E5604">
        <w:rPr>
          <w:lang w:val="en-US"/>
        </w:rPr>
        <w:t xml:space="preserve"> For instance, the Austrian NRN Strategy 2014-2020 defines five overall objectives and 17 strategic objectives and 13 types of interventions which are cross-related to a host of operational objectives in five priority areas: (i) Agriculture and forestry and related value chains; (ii) Environment, biodiversity and nature protection; (iii) climate change and climate protection; (iv) innovation; (v) basic services, LEADER and local/regional development. It should be noted that the innovation priority coincides with the network support unit for the EIP OG which is embedded in the same NSU in Austria.</w:t>
      </w:r>
    </w:p>
  </w:footnote>
  <w:footnote w:id="116">
    <w:p w:rsidR="001924CD" w:rsidRPr="007E5604" w:rsidRDefault="001924CD" w:rsidP="000A3387">
      <w:pPr>
        <w:pStyle w:val="FootnoteText"/>
        <w:rPr>
          <w:highlight w:val="yellow"/>
        </w:rPr>
      </w:pPr>
      <w:r>
        <w:rPr>
          <w:rStyle w:val="FootnoteReference"/>
        </w:rPr>
        <w:footnoteRef/>
      </w:r>
      <w:r>
        <w:t xml:space="preserve"> </w:t>
      </w:r>
      <w:r>
        <w:rPr>
          <w:highlight w:val="yellow"/>
        </w:rPr>
        <w:t>Podejście „emic” bada, w jaki sposób ludzie myślą, postrzegają i kategoryzują świat (Wikipedia).</w:t>
      </w:r>
    </w:p>
  </w:footnote>
  <w:footnote w:id="117">
    <w:p w:rsidR="001924CD" w:rsidRPr="007E5604" w:rsidRDefault="001924CD" w:rsidP="000A3387">
      <w:pPr>
        <w:pStyle w:val="FootnoteText"/>
      </w:pPr>
      <w:r>
        <w:rPr>
          <w:rStyle w:val="FootnoteReference"/>
          <w:highlight w:val="yellow"/>
        </w:rPr>
        <w:footnoteRef/>
      </w:r>
      <w:r>
        <w:rPr>
          <w:highlight w:val="yellow"/>
        </w:rPr>
        <w:t xml:space="preserve"> </w:t>
      </w:r>
      <w:r>
        <w:rPr>
          <w:color w:val="808080" w:themeColor="background1" w:themeShade="80"/>
          <w:highlight w:val="yellow"/>
          <w:shd w:val="clear" w:color="auto" w:fill="FFFFFF"/>
        </w:rPr>
        <w:t xml:space="preserve">Podejście „etic” polega na opisie </w:t>
      </w:r>
      <w:hyperlink r:id="rId44" w:tooltip="Zachowanie">
        <w:r>
          <w:rPr>
            <w:color w:val="808080" w:themeColor="background1" w:themeShade="80"/>
            <w:highlight w:val="yellow"/>
            <w:shd w:val="clear" w:color="auto" w:fill="FFFFFF"/>
          </w:rPr>
          <w:t>zachowania</w:t>
        </w:r>
      </w:hyperlink>
      <w:r>
        <w:rPr>
          <w:color w:val="808080" w:themeColor="background1" w:themeShade="80"/>
          <w:highlight w:val="yellow"/>
          <w:shd w:val="clear" w:color="auto" w:fill="FFFFFF"/>
        </w:rPr>
        <w:t xml:space="preserve"> lub poglądów przez analityka lub obserwatora społecznego (Wikipedia).</w:t>
      </w:r>
    </w:p>
  </w:footnote>
  <w:footnote w:id="118">
    <w:p w:rsidR="001924CD" w:rsidRPr="003C23DE" w:rsidRDefault="001924CD" w:rsidP="00320BBA">
      <w:pPr>
        <w:pStyle w:val="FootnoteText"/>
        <w:rPr>
          <w:lang w:val="en-GB"/>
        </w:rPr>
      </w:pPr>
      <w:r>
        <w:rPr>
          <w:rStyle w:val="FootnoteReference"/>
        </w:rPr>
        <w:footnoteRef/>
      </w:r>
      <w:r w:rsidRPr="007E5604">
        <w:rPr>
          <w:lang w:val="en-US"/>
        </w:rPr>
        <w:t xml:space="preserve"> Also see the guidelines: Assessment of RDP results: how to prepare for reporting on evaluation in 2017, Chapter 8.</w:t>
      </w:r>
    </w:p>
  </w:footnote>
  <w:footnote w:id="119">
    <w:p w:rsidR="001924CD" w:rsidRPr="004F24B6" w:rsidRDefault="001924CD" w:rsidP="00320BBA">
      <w:pPr>
        <w:pStyle w:val="FootnoteText"/>
        <w:rPr>
          <w:lang w:val="en-US"/>
        </w:rPr>
      </w:pPr>
      <w:r>
        <w:rPr>
          <w:rStyle w:val="FootnoteReference"/>
        </w:rPr>
        <w:footnoteRef/>
      </w:r>
      <w:r w:rsidRPr="007E5604">
        <w:rPr>
          <w:lang w:val="en-US"/>
        </w:rPr>
        <w:t xml:space="preserve"> E.g. multipliers are explicitly addressed by the Austrian Network Strategy.</w:t>
      </w:r>
    </w:p>
  </w:footnote>
  <w:footnote w:id="120">
    <w:p w:rsidR="001924CD" w:rsidRPr="00DA0DC1" w:rsidRDefault="001924CD" w:rsidP="00320BBA">
      <w:pPr>
        <w:pStyle w:val="FootnoteText"/>
        <w:rPr>
          <w:lang w:val="sk-SK"/>
        </w:rPr>
      </w:pPr>
      <w:r>
        <w:rPr>
          <w:rStyle w:val="FootnoteReference"/>
        </w:rPr>
        <w:footnoteRef/>
      </w:r>
      <w:r w:rsidRPr="007E5604">
        <w:rPr>
          <w:lang w:val="en-US"/>
        </w:rPr>
        <w:t xml:space="preserve"> Guidelines for ex post evaluation of 2007-2013 RDPs </w:t>
      </w:r>
      <w:hyperlink r:id="rId45">
        <w:r w:rsidRPr="007E5604">
          <w:rPr>
            <w:rStyle w:val="Hyperlink"/>
            <w:lang w:val="en-US"/>
          </w:rPr>
          <w:t>http://enrd.ec.europa.eu/enrd-static/evaluation/library/evaluation-helpdesk-publications/en/evaluation-helpdesk-publications_en.html</w:t>
        </w:r>
      </w:hyperlink>
    </w:p>
  </w:footnote>
  <w:footnote w:id="121">
    <w:p w:rsidR="001924CD" w:rsidRPr="00E07CE3" w:rsidRDefault="001924CD" w:rsidP="00320BBA">
      <w:pPr>
        <w:pStyle w:val="FootnoteText"/>
        <w:rPr>
          <w:lang w:val="sk-SK"/>
        </w:rPr>
      </w:pPr>
      <w:r>
        <w:rPr>
          <w:rStyle w:val="FootnoteReference"/>
        </w:rPr>
        <w:footnoteRef/>
      </w:r>
      <w:r w:rsidRPr="007E5604">
        <w:rPr>
          <w:lang w:val="sk-SK"/>
        </w:rPr>
        <w:t xml:space="preserve"> </w:t>
      </w:r>
      <w:hyperlink r:id="rId46">
        <w:r w:rsidRPr="007E5604">
          <w:rPr>
            <w:rStyle w:val="Hyperlink"/>
            <w:lang w:val="sk-SK"/>
          </w:rPr>
          <w:t>http://ec.europa.eu/agriculture/evaluation/rural-development-reports/2014/investment-support-rdp/fulltext_en.pdf</w:t>
        </w:r>
      </w:hyperlink>
    </w:p>
  </w:footnote>
  <w:footnote w:id="122">
    <w:p w:rsidR="001924CD" w:rsidRPr="003C23DE" w:rsidRDefault="001924CD" w:rsidP="00320BBA">
      <w:pPr>
        <w:pStyle w:val="FootnoteText"/>
        <w:rPr>
          <w:lang w:val="en-GB"/>
        </w:rPr>
      </w:pPr>
      <w:r>
        <w:rPr>
          <w:rStyle w:val="FootnoteReference"/>
        </w:rPr>
        <w:footnoteRef/>
      </w:r>
      <w:r w:rsidRPr="007E5604">
        <w:rPr>
          <w:lang w:val="en-US"/>
        </w:rPr>
        <w:t xml:space="preserve"> Helpdesk of the European Evaluation Network for RDPs 2007-2013 (2015): Working Document: Common Evaluation Questions for Rural Development Programmes 2014-2020.</w:t>
      </w:r>
    </w:p>
  </w:footnote>
  <w:footnote w:id="123">
    <w:p w:rsidR="001924CD" w:rsidRPr="0003537C" w:rsidRDefault="001924CD" w:rsidP="00C4370D">
      <w:pPr>
        <w:pStyle w:val="FootnoteText"/>
        <w:rPr>
          <w:rFonts w:asciiTheme="minorHAnsi" w:hAnsiTheme="minorHAnsi"/>
          <w:lang w:val="sk-SK"/>
        </w:rPr>
      </w:pPr>
      <w:r>
        <w:rPr>
          <w:rStyle w:val="FootnoteReference"/>
        </w:rPr>
        <w:footnoteRef/>
      </w:r>
      <w:r>
        <w:t xml:space="preserve"> </w:t>
      </w:r>
      <w:r>
        <w:rPr>
          <w:rFonts w:asciiTheme="minorHAnsi" w:hAnsiTheme="minorHAnsi"/>
          <w:highlight w:val="yellow"/>
        </w:rPr>
        <w:t>Załącznik V do rozporządzenia wykonawczego Komisji (UE) nr 808/2014</w:t>
      </w:r>
    </w:p>
  </w:footnote>
  <w:footnote w:id="124">
    <w:p w:rsidR="001924CD" w:rsidRPr="008C2B59" w:rsidRDefault="001924CD" w:rsidP="00C4370D">
      <w:pPr>
        <w:pStyle w:val="FootnoteText"/>
        <w:rPr>
          <w:highlight w:val="yellow"/>
          <w:lang w:val="sk-SK"/>
        </w:rPr>
      </w:pPr>
      <w:r>
        <w:rPr>
          <w:rStyle w:val="FootnoteReference"/>
        </w:rPr>
        <w:footnoteRef/>
      </w:r>
      <w:r w:rsidRPr="008C2B59">
        <w:rPr>
          <w:lang w:val="sk-SK"/>
        </w:rPr>
        <w:t xml:space="preserve"> </w:t>
      </w:r>
      <w:r w:rsidRPr="008C2B59">
        <w:rPr>
          <w:highlight w:val="yellow"/>
          <w:lang w:val="sk-SK"/>
        </w:rPr>
        <w:t>Capturing impacts of Leader and of measures to improve Quality of Life in rural areas (Określanie wpływu programu Leader i działań na rzecz poprawy jakości życia na obszarach wiejskich), Europejska Sieć Ewaluacji Rozwoju Obszarów Wiejskich, 2010 r.</w:t>
      </w:r>
    </w:p>
  </w:footnote>
  <w:footnote w:id="125">
    <w:p w:rsidR="001924CD" w:rsidRPr="008C2B59" w:rsidRDefault="001924CD" w:rsidP="00C4370D">
      <w:pPr>
        <w:pStyle w:val="FootnoteText"/>
        <w:rPr>
          <w:highlight w:val="yellow"/>
          <w:lang w:val="sk-SK"/>
        </w:rPr>
      </w:pPr>
      <w:r>
        <w:rPr>
          <w:rStyle w:val="FootnoteReference"/>
          <w:highlight w:val="yellow"/>
        </w:rPr>
        <w:footnoteRef/>
      </w:r>
      <w:r w:rsidRPr="008C2B59">
        <w:rPr>
          <w:highlight w:val="yellow"/>
          <w:lang w:val="sk-SK"/>
        </w:rPr>
        <w:t xml:space="preserve"> Capturing impacts of Leader and of measures to improve Quality of Life in rural areas (Określanie wpływu programu Leader i działań na rzecz poprawy jakości życia na obszarach wiejskich), Europejska Sieć Ewaluacji Rozwoju Obszarów Wiejskich, 2010 r.</w:t>
      </w:r>
    </w:p>
  </w:footnote>
  <w:footnote w:id="126">
    <w:p w:rsidR="001924CD" w:rsidRPr="008C2B59" w:rsidRDefault="001924CD" w:rsidP="00C4370D">
      <w:pPr>
        <w:pStyle w:val="FootnoteText"/>
        <w:rPr>
          <w:highlight w:val="yellow"/>
        </w:rPr>
      </w:pPr>
      <w:r>
        <w:rPr>
          <w:rStyle w:val="FootnoteReference"/>
          <w:highlight w:val="yellow"/>
        </w:rPr>
        <w:footnoteRef/>
      </w:r>
      <w:r>
        <w:rPr>
          <w:highlight w:val="yellow"/>
        </w:rPr>
        <w:t xml:space="preserve"> Analiza uwarunkowań społeczno-gospodarczych i płciowych FAO (SEAGA) - http://www.fao.org/knowledge/goodpractices/bp-gender-equity-in-rural/bp-seaga/en/</w:t>
      </w:r>
    </w:p>
  </w:footnote>
  <w:footnote w:id="127">
    <w:p w:rsidR="001924CD" w:rsidRPr="00B571DC" w:rsidRDefault="001924CD" w:rsidP="00C4370D">
      <w:pPr>
        <w:pStyle w:val="FootnoteText"/>
        <w:rPr>
          <w:lang w:val="en-US"/>
        </w:rPr>
      </w:pPr>
      <w:r>
        <w:rPr>
          <w:rStyle w:val="FootnoteReference"/>
          <w:highlight w:val="yellow"/>
        </w:rPr>
        <w:footnoteRef/>
      </w:r>
      <w:r w:rsidRPr="008C2B59">
        <w:rPr>
          <w:highlight w:val="yellow"/>
          <w:lang w:val="en-GB"/>
        </w:rPr>
        <w:t xml:space="preserve"> Enrique Mendizabal: Understanding Networks: The Functions of Research Policy Networks, Overseas Development Institute, Londyn, 2006 r.</w:t>
      </w:r>
    </w:p>
  </w:footnote>
  <w:footnote w:id="128">
    <w:p w:rsidR="001924CD" w:rsidRPr="008C2B59" w:rsidRDefault="001924CD" w:rsidP="00C4370D">
      <w:pPr>
        <w:pStyle w:val="FootnoteText"/>
        <w:rPr>
          <w:highlight w:val="yellow"/>
          <w:lang w:val="de-DE"/>
        </w:rPr>
      </w:pPr>
      <w:r>
        <w:rPr>
          <w:rStyle w:val="FootnoteReference"/>
        </w:rPr>
        <w:footnoteRef/>
      </w:r>
      <w:r w:rsidRPr="008C2B59">
        <w:rPr>
          <w:lang w:val="de-DE"/>
        </w:rPr>
        <w:t xml:space="preserve"> </w:t>
      </w:r>
      <w:r w:rsidRPr="008C2B59">
        <w:rPr>
          <w:highlight w:val="yellow"/>
          <w:lang w:val="de-DE"/>
        </w:rPr>
        <w:t>Bauer-Wolf, S. i in., (2008), Erfolgreich durch Netzwerkkompetenz, Springer-Verlag, Wiedeń.</w:t>
      </w:r>
    </w:p>
  </w:footnote>
  <w:footnote w:id="129">
    <w:p w:rsidR="001924CD" w:rsidRPr="008C2B59" w:rsidRDefault="001924CD" w:rsidP="00C4370D">
      <w:pPr>
        <w:pStyle w:val="FootnoteText"/>
        <w:rPr>
          <w:lang w:val="de-DE"/>
        </w:rPr>
      </w:pPr>
      <w:r>
        <w:rPr>
          <w:rStyle w:val="FootnoteReference"/>
          <w:highlight w:val="yellow"/>
        </w:rPr>
        <w:footnoteRef/>
      </w:r>
      <w:r w:rsidRPr="008C2B59">
        <w:rPr>
          <w:highlight w:val="yellow"/>
          <w:lang w:val="de-DE"/>
        </w:rPr>
        <w:t xml:space="preserve"> Capturing impacts of Leader and of measures to improve Quality of Life in rural areas (Określanie wpływu programu Leader i działań na rzecz poprawy jakości życia na obszarach wiejskich), Europejska Sieć Ewaluacji Rozwoju Obszarów Wiejskich, 2010 r.</w:t>
      </w:r>
    </w:p>
  </w:footnote>
  <w:footnote w:id="130">
    <w:p w:rsidR="001924CD" w:rsidRPr="0003537C" w:rsidRDefault="001924CD" w:rsidP="00C4370D">
      <w:pPr>
        <w:pStyle w:val="FootnoteText"/>
        <w:rPr>
          <w:rFonts w:asciiTheme="minorHAnsi" w:hAnsiTheme="minorHAnsi"/>
          <w:lang w:val="sk-SK"/>
        </w:rPr>
      </w:pPr>
      <w:r>
        <w:rPr>
          <w:rStyle w:val="FootnoteReference"/>
        </w:rPr>
        <w:footnoteRef/>
      </w:r>
      <w:r>
        <w:t xml:space="preserve"> Regulation (EU) No 1305/2013, Art. 54.2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4CD" w:rsidRDefault="001924CD" w:rsidP="00EE0D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4CD" w:rsidRPr="00AA72F9" w:rsidRDefault="001924CD" w:rsidP="003637C5">
    <w:pPr>
      <w:pStyle w:val="Header"/>
      <w:pBdr>
        <w:bottom w:val="none" w:sz="0" w:space="0" w:color="auto"/>
      </w:pBdr>
      <w:ind w:right="95"/>
      <w:jc w:val="right"/>
      <w:rPr>
        <w:rFonts w:cs="Arial"/>
        <w:lang w:val="en-US"/>
      </w:rPr>
    </w:pPr>
    <w:r>
      <w:tab/>
    </w:r>
    <w:r w:rsidRPr="00AA72F9">
      <w:rPr>
        <w:lang w:val="en-US"/>
      </w:rPr>
      <w:t>Guidelines for the evaluation of National Rural Networks 2014-2020</w:t>
    </w:r>
  </w:p>
  <w:p w:rsidR="001924CD" w:rsidRPr="00AA72F9" w:rsidRDefault="001924CD" w:rsidP="00F15219">
    <w:pPr>
      <w:pStyle w:val="Header"/>
      <w:pBdr>
        <w:bottom w:val="none" w:sz="0" w:space="0" w:color="auto"/>
      </w:pBdr>
      <w:rPr>
        <w:rFonts w:cs="Arial"/>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4CD" w:rsidRPr="00AA72F9" w:rsidRDefault="001924CD" w:rsidP="00F15219">
    <w:pPr>
      <w:pStyle w:val="Header"/>
      <w:pBdr>
        <w:bottom w:val="none" w:sz="0" w:space="0" w:color="auto"/>
      </w:pBdr>
      <w:rPr>
        <w:rFonts w:cs="Arial"/>
        <w:lang w:val="en-US"/>
      </w:rPr>
    </w:pPr>
    <w:r>
      <w:tab/>
    </w:r>
    <w:r w:rsidRPr="00AA72F9">
      <w:rPr>
        <w:lang w:val="en-US"/>
      </w:rPr>
      <w:t>Guidelines for the evaluation of National Rural Networks 2014-2020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4CD" w:rsidRPr="00AA72F9" w:rsidRDefault="001924CD" w:rsidP="006A75AC">
    <w:pPr>
      <w:pStyle w:val="Header"/>
      <w:pBdr>
        <w:bottom w:val="none" w:sz="0" w:space="0" w:color="auto"/>
      </w:pBdr>
      <w:tabs>
        <w:tab w:val="clear" w:pos="8618"/>
        <w:tab w:val="right" w:pos="12869"/>
      </w:tabs>
      <w:rPr>
        <w:lang w:val="en-US"/>
      </w:rPr>
    </w:pPr>
    <w:r>
      <w:tab/>
    </w:r>
    <w:r w:rsidRPr="00AA72F9">
      <w:rPr>
        <w:lang w:val="en-US"/>
      </w:rPr>
      <w:t>Guidelines for the evaluation of National Rural Networks 2014-2020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4CD" w:rsidRPr="00AA72F9" w:rsidRDefault="001924CD" w:rsidP="00DD4A55">
    <w:pPr>
      <w:pStyle w:val="Header"/>
      <w:pBdr>
        <w:bottom w:val="none" w:sz="0" w:space="0" w:color="auto"/>
      </w:pBdr>
      <w:tabs>
        <w:tab w:val="clear" w:pos="8618"/>
        <w:tab w:val="right" w:pos="12869"/>
      </w:tabs>
      <w:ind w:left="0"/>
      <w:rPr>
        <w:rFonts w:cs="Arial"/>
        <w:lang w:val="en-US"/>
      </w:rPr>
    </w:pPr>
    <w:r>
      <w:tab/>
    </w:r>
    <w:r w:rsidRPr="00AA72F9">
      <w:rPr>
        <w:lang w:val="en-US"/>
      </w:rPr>
      <w:t>Guidelines for the evaluation of National Rural Networks 2014-2020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4CD" w:rsidRPr="008C2B59" w:rsidRDefault="001924CD" w:rsidP="003637C5">
    <w:pPr>
      <w:pStyle w:val="Header"/>
      <w:pBdr>
        <w:bottom w:val="none" w:sz="0" w:space="0" w:color="auto"/>
      </w:pBdr>
      <w:ind w:right="-46"/>
      <w:jc w:val="right"/>
      <w:rPr>
        <w:rFonts w:cs="Arial"/>
        <w:lang w:val="en-GB"/>
      </w:rPr>
    </w:pPr>
    <w:r>
      <w:tab/>
    </w:r>
    <w:r w:rsidRPr="008C2B59">
      <w:rPr>
        <w:lang w:val="en-GB"/>
      </w:rPr>
      <w:t>Guidelines for the evaluation of National Rural Networks 2014-2020</w:t>
    </w:r>
  </w:p>
  <w:p w:rsidR="001924CD" w:rsidRPr="008C2B59" w:rsidRDefault="001924CD"/>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4CD" w:rsidRPr="008C2B59" w:rsidRDefault="001924CD" w:rsidP="00754C47">
    <w:pPr>
      <w:pStyle w:val="Header"/>
      <w:pBdr>
        <w:bottom w:val="none" w:sz="0" w:space="0" w:color="auto"/>
      </w:pBdr>
      <w:jc w:val="right"/>
      <w:rPr>
        <w:lang w:val="en-GB"/>
      </w:rPr>
    </w:pPr>
    <w:r>
      <w:tab/>
    </w:r>
    <w:r w:rsidRPr="008C2B59">
      <w:rPr>
        <w:lang w:val="en-GB"/>
      </w:rPr>
      <w:t>Guidelines for the evaluation of National Rural Networks 2014-2020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6B59" w:rsidRPr="00150D5B" w:rsidRDefault="005103D6" w:rsidP="00EE0DA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D6B59" w:rsidRPr="00150D5B" w:rsidRDefault="005103D6" w:rsidP="00EE0D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CAA118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8B84A1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E217F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3B2B99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7D0CB6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AA6385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30AB7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82A11D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B1ABBE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0BE9D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7A2DB0"/>
    <w:multiLevelType w:val="hybridMultilevel"/>
    <w:tmpl w:val="3814AA86"/>
    <w:lvl w:ilvl="0" w:tplc="86B09552">
      <w:start w:val="1"/>
      <w:numFmt w:val="decimal"/>
      <w:pStyle w:val="HHeadingboxes"/>
      <w:suff w:val="space"/>
      <w:lvlText w:val="Box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AC8565D"/>
    <w:multiLevelType w:val="hybridMultilevel"/>
    <w:tmpl w:val="BCEAD7F8"/>
    <w:lvl w:ilvl="0" w:tplc="57FEFEFC">
      <w:start w:val="1"/>
      <w:numFmt w:val="decimal"/>
      <w:pStyle w:val="HHeadingmaps"/>
      <w:suff w:val="space"/>
      <w:lvlText w:val="Map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0AED5A3D"/>
    <w:multiLevelType w:val="hybridMultilevel"/>
    <w:tmpl w:val="2AD454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C84A41"/>
    <w:multiLevelType w:val="multilevel"/>
    <w:tmpl w:val="B5F87352"/>
    <w:lvl w:ilvl="0">
      <w:start w:val="1"/>
      <w:numFmt w:val="decimal"/>
      <w:pStyle w:val="Heading1"/>
      <w:lvlText w:val="%1"/>
      <w:lvlJc w:val="left"/>
      <w:pPr>
        <w:tabs>
          <w:tab w:val="num" w:pos="474"/>
        </w:tabs>
        <w:ind w:left="262" w:hanging="148"/>
      </w:pPr>
      <w:rPr>
        <w:rFonts w:hint="default"/>
      </w:rPr>
    </w:lvl>
    <w:lvl w:ilvl="1">
      <w:start w:val="1"/>
      <w:numFmt w:val="decimal"/>
      <w:pStyle w:val="Heading2"/>
      <w:lvlText w:val="%1.%2"/>
      <w:lvlJc w:val="left"/>
      <w:pPr>
        <w:tabs>
          <w:tab w:val="num" w:pos="360"/>
        </w:tabs>
        <w:ind w:left="0" w:firstLine="0"/>
      </w:pPr>
      <w:rPr>
        <w:rFonts w:hint="default"/>
      </w:rPr>
    </w:lvl>
    <w:lvl w:ilvl="2">
      <w:start w:val="1"/>
      <w:numFmt w:val="decimal"/>
      <w:pStyle w:val="Heading3"/>
      <w:lvlText w:val="%1.%2.%3"/>
      <w:lvlJc w:val="left"/>
      <w:pPr>
        <w:tabs>
          <w:tab w:val="num" w:pos="720"/>
        </w:tabs>
        <w:ind w:left="0" w:firstLine="0"/>
      </w:pPr>
      <w:rPr>
        <w:rFonts w:hint="default"/>
      </w:rPr>
    </w:lvl>
    <w:lvl w:ilvl="3">
      <w:start w:val="1"/>
      <w:numFmt w:val="decimal"/>
      <w:pStyle w:val="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14" w15:restartNumberingAfterBreak="0">
    <w:nsid w:val="167B2CA7"/>
    <w:multiLevelType w:val="hybridMultilevel"/>
    <w:tmpl w:val="BE1CE284"/>
    <w:lvl w:ilvl="0" w:tplc="F61A0CBA">
      <w:start w:val="1"/>
      <w:numFmt w:val="bullet"/>
      <w:pStyle w:val="Style2"/>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1A49295C"/>
    <w:multiLevelType w:val="hybridMultilevel"/>
    <w:tmpl w:val="6B262650"/>
    <w:lvl w:ilvl="0" w:tplc="9F18E784">
      <w:start w:val="1"/>
      <w:numFmt w:val="lowerLetter"/>
      <w:pStyle w:val="H-ParagraphList"/>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A7B1418"/>
    <w:multiLevelType w:val="hybridMultilevel"/>
    <w:tmpl w:val="1920263E"/>
    <w:lvl w:ilvl="0" w:tplc="AB9CF3CC">
      <w:start w:val="1"/>
      <w:numFmt w:val="bullet"/>
      <w:lvlText w:val=""/>
      <w:lvlJc w:val="left"/>
      <w:pPr>
        <w:ind w:left="720" w:hanging="360"/>
      </w:pPr>
      <w:rPr>
        <w:rFonts w:ascii="Symbol" w:hAnsi="Symbol" w:hint="default"/>
        <w:color w:val="FFC000" w:themeColor="accent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D101BF3"/>
    <w:multiLevelType w:val="hybridMultilevel"/>
    <w:tmpl w:val="F4E8313A"/>
    <w:lvl w:ilvl="0" w:tplc="FB046D44">
      <w:start w:val="1"/>
      <w:numFmt w:val="bullet"/>
      <w:pStyle w:val="HBox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4DD6B4F"/>
    <w:multiLevelType w:val="hybridMultilevel"/>
    <w:tmpl w:val="04CEB46C"/>
    <w:lvl w:ilvl="0" w:tplc="080C0017">
      <w:start w:val="1"/>
      <w:numFmt w:val="lowerLetter"/>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9" w15:restartNumberingAfterBreak="0">
    <w:nsid w:val="27006F01"/>
    <w:multiLevelType w:val="hybridMultilevel"/>
    <w:tmpl w:val="0B7CF542"/>
    <w:lvl w:ilvl="0" w:tplc="07D6E800">
      <w:start w:val="1"/>
      <w:numFmt w:val="bullet"/>
      <w:pStyle w:val="Hlistline3"/>
      <w:lvlText w:val="o"/>
      <w:lvlJc w:val="left"/>
      <w:pPr>
        <w:ind w:left="927" w:hanging="360"/>
      </w:pPr>
      <w:rPr>
        <w:rFonts w:ascii="Courier New" w:hAnsi="Courier New" w:hint="default"/>
        <w:color w:val="F07E31"/>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B3D77C8"/>
    <w:multiLevelType w:val="hybridMultilevel"/>
    <w:tmpl w:val="5D2CCB22"/>
    <w:lvl w:ilvl="0" w:tplc="F4E23CEC">
      <w:start w:val="1"/>
      <w:numFmt w:val="bullet"/>
      <w:pStyle w:val="Normal1"/>
      <w:lvlText w:val=""/>
      <w:lvlJc w:val="left"/>
      <w:pPr>
        <w:ind w:left="720" w:hanging="360"/>
      </w:pPr>
      <w:rPr>
        <w:rFonts w:ascii="Symbol" w:hAnsi="Symbol" w:hint="default"/>
        <w:color w:val="006463"/>
        <w:sz w:val="20"/>
      </w:rPr>
    </w:lvl>
    <w:lvl w:ilvl="1" w:tplc="A0485656">
      <w:start w:val="1"/>
      <w:numFmt w:val="bullet"/>
      <w:lvlText w:val="o"/>
      <w:lvlJc w:val="left"/>
      <w:pPr>
        <w:ind w:left="1440" w:hanging="360"/>
      </w:pPr>
      <w:rPr>
        <w:rFonts w:ascii="Courier New" w:hAnsi="Courier New" w:cs="Courier New" w:hint="default"/>
      </w:rPr>
    </w:lvl>
    <w:lvl w:ilvl="2" w:tplc="9D381C60" w:tentative="1">
      <w:start w:val="1"/>
      <w:numFmt w:val="bullet"/>
      <w:lvlText w:val=""/>
      <w:lvlJc w:val="left"/>
      <w:pPr>
        <w:ind w:left="2160" w:hanging="360"/>
      </w:pPr>
      <w:rPr>
        <w:rFonts w:ascii="Wingdings" w:hAnsi="Wingdings" w:hint="default"/>
      </w:rPr>
    </w:lvl>
    <w:lvl w:ilvl="3" w:tplc="F2427A0A" w:tentative="1">
      <w:start w:val="1"/>
      <w:numFmt w:val="bullet"/>
      <w:lvlText w:val=""/>
      <w:lvlJc w:val="left"/>
      <w:pPr>
        <w:ind w:left="2880" w:hanging="360"/>
      </w:pPr>
      <w:rPr>
        <w:rFonts w:ascii="Symbol" w:hAnsi="Symbol" w:hint="default"/>
      </w:rPr>
    </w:lvl>
    <w:lvl w:ilvl="4" w:tplc="48346152" w:tentative="1">
      <w:start w:val="1"/>
      <w:numFmt w:val="bullet"/>
      <w:lvlText w:val="o"/>
      <w:lvlJc w:val="left"/>
      <w:pPr>
        <w:ind w:left="3600" w:hanging="360"/>
      </w:pPr>
      <w:rPr>
        <w:rFonts w:ascii="Courier New" w:hAnsi="Courier New" w:cs="Courier New" w:hint="default"/>
      </w:rPr>
    </w:lvl>
    <w:lvl w:ilvl="5" w:tplc="046AC282" w:tentative="1">
      <w:start w:val="1"/>
      <w:numFmt w:val="bullet"/>
      <w:lvlText w:val=""/>
      <w:lvlJc w:val="left"/>
      <w:pPr>
        <w:ind w:left="4320" w:hanging="360"/>
      </w:pPr>
      <w:rPr>
        <w:rFonts w:ascii="Wingdings" w:hAnsi="Wingdings" w:hint="default"/>
      </w:rPr>
    </w:lvl>
    <w:lvl w:ilvl="6" w:tplc="8490FEC0" w:tentative="1">
      <w:start w:val="1"/>
      <w:numFmt w:val="bullet"/>
      <w:lvlText w:val=""/>
      <w:lvlJc w:val="left"/>
      <w:pPr>
        <w:ind w:left="5040" w:hanging="360"/>
      </w:pPr>
      <w:rPr>
        <w:rFonts w:ascii="Symbol" w:hAnsi="Symbol" w:hint="default"/>
      </w:rPr>
    </w:lvl>
    <w:lvl w:ilvl="7" w:tplc="D6700596" w:tentative="1">
      <w:start w:val="1"/>
      <w:numFmt w:val="bullet"/>
      <w:lvlText w:val="o"/>
      <w:lvlJc w:val="left"/>
      <w:pPr>
        <w:ind w:left="5760" w:hanging="360"/>
      </w:pPr>
      <w:rPr>
        <w:rFonts w:ascii="Courier New" w:hAnsi="Courier New" w:cs="Courier New" w:hint="default"/>
      </w:rPr>
    </w:lvl>
    <w:lvl w:ilvl="8" w:tplc="8CBCB464" w:tentative="1">
      <w:start w:val="1"/>
      <w:numFmt w:val="bullet"/>
      <w:lvlText w:val=""/>
      <w:lvlJc w:val="left"/>
      <w:pPr>
        <w:ind w:left="6480" w:hanging="360"/>
      </w:pPr>
      <w:rPr>
        <w:rFonts w:ascii="Wingdings" w:hAnsi="Wingdings" w:hint="default"/>
      </w:rPr>
    </w:lvl>
  </w:abstractNum>
  <w:abstractNum w:abstractNumId="21" w15:restartNumberingAfterBreak="0">
    <w:nsid w:val="302835FE"/>
    <w:multiLevelType w:val="hybridMultilevel"/>
    <w:tmpl w:val="042698C6"/>
    <w:lvl w:ilvl="0" w:tplc="040C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 w15:restartNumberingAfterBreak="0">
    <w:nsid w:val="310547BD"/>
    <w:multiLevelType w:val="hybridMultilevel"/>
    <w:tmpl w:val="918E6E38"/>
    <w:lvl w:ilvl="0" w:tplc="EDCC2EA4">
      <w:start w:val="1"/>
      <w:numFmt w:val="decimal"/>
      <w:pStyle w:val="HHeadingfigures"/>
      <w:suff w:val="space"/>
      <w:lvlText w:val="Figure %1."/>
      <w:lvlJc w:val="left"/>
      <w:pPr>
        <w:ind w:left="710" w:firstLine="0"/>
      </w:pPr>
      <w:rPr>
        <w:b/>
        <w:bCs w:val="0"/>
        <w:i w:val="0"/>
        <w:iCs w:val="0"/>
        <w:caps w:val="0"/>
        <w:smallCaps w:val="0"/>
        <w:strike w:val="0"/>
        <w:dstrike w:val="0"/>
        <w:noProof w:val="0"/>
        <w:vanish w:val="0"/>
        <w:color w:val="576C88" w:themeColor="text2" w:themeTint="D9"/>
        <w:spacing w:val="0"/>
        <w:kern w:val="0"/>
        <w:position w:val="0"/>
        <w:u w:val="none"/>
        <w:effect w:val="none"/>
        <w:vertAlign w:val="baseline"/>
        <w:em w:val="none"/>
        <w:specVanish w:val="0"/>
      </w:rPr>
    </w:lvl>
    <w:lvl w:ilvl="1" w:tplc="04070019" w:tentative="1">
      <w:start w:val="1"/>
      <w:numFmt w:val="lowerLetter"/>
      <w:lvlText w:val="%2."/>
      <w:lvlJc w:val="left"/>
      <w:pPr>
        <w:ind w:left="1158" w:hanging="360"/>
      </w:pPr>
    </w:lvl>
    <w:lvl w:ilvl="2" w:tplc="0407001B" w:tentative="1">
      <w:start w:val="1"/>
      <w:numFmt w:val="lowerRoman"/>
      <w:lvlText w:val="%3."/>
      <w:lvlJc w:val="right"/>
      <w:pPr>
        <w:ind w:left="1878" w:hanging="180"/>
      </w:pPr>
    </w:lvl>
    <w:lvl w:ilvl="3" w:tplc="0407000F" w:tentative="1">
      <w:start w:val="1"/>
      <w:numFmt w:val="decimal"/>
      <w:lvlText w:val="%4."/>
      <w:lvlJc w:val="left"/>
      <w:pPr>
        <w:ind w:left="2598" w:hanging="360"/>
      </w:pPr>
    </w:lvl>
    <w:lvl w:ilvl="4" w:tplc="04070019" w:tentative="1">
      <w:start w:val="1"/>
      <w:numFmt w:val="lowerLetter"/>
      <w:lvlText w:val="%5."/>
      <w:lvlJc w:val="left"/>
      <w:pPr>
        <w:ind w:left="3318" w:hanging="360"/>
      </w:pPr>
    </w:lvl>
    <w:lvl w:ilvl="5" w:tplc="0407001B" w:tentative="1">
      <w:start w:val="1"/>
      <w:numFmt w:val="lowerRoman"/>
      <w:lvlText w:val="%6."/>
      <w:lvlJc w:val="right"/>
      <w:pPr>
        <w:ind w:left="4038" w:hanging="180"/>
      </w:pPr>
    </w:lvl>
    <w:lvl w:ilvl="6" w:tplc="0407000F" w:tentative="1">
      <w:start w:val="1"/>
      <w:numFmt w:val="decimal"/>
      <w:lvlText w:val="%7."/>
      <w:lvlJc w:val="left"/>
      <w:pPr>
        <w:ind w:left="4758" w:hanging="360"/>
      </w:pPr>
    </w:lvl>
    <w:lvl w:ilvl="7" w:tplc="04070019" w:tentative="1">
      <w:start w:val="1"/>
      <w:numFmt w:val="lowerLetter"/>
      <w:lvlText w:val="%8."/>
      <w:lvlJc w:val="left"/>
      <w:pPr>
        <w:ind w:left="5478" w:hanging="360"/>
      </w:pPr>
    </w:lvl>
    <w:lvl w:ilvl="8" w:tplc="0407001B" w:tentative="1">
      <w:start w:val="1"/>
      <w:numFmt w:val="lowerRoman"/>
      <w:lvlText w:val="%9."/>
      <w:lvlJc w:val="right"/>
      <w:pPr>
        <w:ind w:left="6198" w:hanging="180"/>
      </w:pPr>
    </w:lvl>
  </w:abstractNum>
  <w:abstractNum w:abstractNumId="23" w15:restartNumberingAfterBreak="0">
    <w:nsid w:val="3BBC6932"/>
    <w:multiLevelType w:val="hybridMultilevel"/>
    <w:tmpl w:val="E0D005D6"/>
    <w:lvl w:ilvl="0" w:tplc="322C1F12">
      <w:start w:val="1"/>
      <w:numFmt w:val="bullet"/>
      <w:pStyle w:val="Hlistbullet"/>
      <w:lvlText w:val=""/>
      <w:lvlJc w:val="left"/>
      <w:pPr>
        <w:ind w:left="644" w:hanging="360"/>
      </w:pPr>
      <w:rPr>
        <w:rFonts w:ascii="Symbol" w:hAnsi="Symbol" w:hint="default"/>
        <w:color w:val="57825E"/>
      </w:rPr>
    </w:lvl>
    <w:lvl w:ilvl="1" w:tplc="E1BEDB28">
      <w:start w:val="1"/>
      <w:numFmt w:val="bullet"/>
      <w:lvlText w:val=""/>
      <w:lvlJc w:val="left"/>
      <w:pPr>
        <w:tabs>
          <w:tab w:val="num" w:pos="1440"/>
        </w:tabs>
        <w:ind w:left="1440" w:hanging="360"/>
      </w:pPr>
      <w:rPr>
        <w:rFonts w:ascii="Symbol" w:hAnsi="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CD4440A"/>
    <w:multiLevelType w:val="hybridMultilevel"/>
    <w:tmpl w:val="DDCA52D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43A72027"/>
    <w:multiLevelType w:val="hybridMultilevel"/>
    <w:tmpl w:val="23B2B4A4"/>
    <w:lvl w:ilvl="0" w:tplc="8EEC6D12">
      <w:start w:val="1"/>
      <w:numFmt w:val="decimal"/>
      <w:pStyle w:val="HHeadingtables"/>
      <w:suff w:val="space"/>
      <w:lvlText w:val="Table %1."/>
      <w:lvlJc w:val="left"/>
      <w:pPr>
        <w:ind w:left="993" w:firstLine="0"/>
      </w:pPr>
      <w:rPr>
        <w:b/>
        <w:bCs w:val="0"/>
        <w:i w:val="0"/>
        <w:iCs w:val="0"/>
        <w:caps w:val="0"/>
        <w:smallCaps w:val="0"/>
        <w:strike w:val="0"/>
        <w:dstrike w:val="0"/>
        <w:noProof w:val="0"/>
        <w:vanish w:val="0"/>
        <w:color w:val="576C88" w:themeColor="text2" w:themeTint="D9"/>
        <w:spacing w:val="0"/>
        <w:kern w:val="0"/>
        <w:position w:val="0"/>
        <w:sz w:val="16"/>
        <w:szCs w:val="16"/>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7F07D58"/>
    <w:multiLevelType w:val="hybridMultilevel"/>
    <w:tmpl w:val="38C2E6A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47F8294A"/>
    <w:multiLevelType w:val="hybridMultilevel"/>
    <w:tmpl w:val="BEB23BCA"/>
    <w:lvl w:ilvl="0" w:tplc="FCE8E9D0">
      <w:start w:val="1"/>
      <w:numFmt w:val="lowerLetter"/>
      <w:pStyle w:val="Hlistabc"/>
      <w:lvlText w:val="%1)"/>
      <w:lvlJc w:val="left"/>
      <w:pPr>
        <w:tabs>
          <w:tab w:val="num" w:pos="644"/>
        </w:tabs>
        <w:ind w:left="567" w:hanging="283"/>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8" w15:restartNumberingAfterBreak="0">
    <w:nsid w:val="4EA5566D"/>
    <w:multiLevelType w:val="hybridMultilevel"/>
    <w:tmpl w:val="972044A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58F0FE8"/>
    <w:multiLevelType w:val="multilevel"/>
    <w:tmpl w:val="A29E2408"/>
    <w:lvl w:ilvl="0">
      <w:start w:val="1"/>
      <w:numFmt w:val="decimal"/>
      <w:pStyle w:val="H-Heading1"/>
      <w:lvlText w:val="%1."/>
      <w:lvlJc w:val="left"/>
      <w:pPr>
        <w:ind w:left="644" w:hanging="360"/>
      </w:pPr>
      <w:rPr>
        <w:rFonts w:hint="default"/>
      </w:rPr>
    </w:lvl>
    <w:lvl w:ilvl="1">
      <w:start w:val="1"/>
      <w:numFmt w:val="decimal"/>
      <w:isLgl/>
      <w:lvlText w:val="%1.%2"/>
      <w:lvlJc w:val="left"/>
      <w:pPr>
        <w:ind w:left="1088" w:hanging="804"/>
      </w:pPr>
      <w:rPr>
        <w:rFonts w:hint="default"/>
      </w:rPr>
    </w:lvl>
    <w:lvl w:ilvl="2">
      <w:start w:val="1"/>
      <w:numFmt w:val="decimal"/>
      <w:pStyle w:val="H-Heading3"/>
      <w:isLgl/>
      <w:lvlText w:val="%1.%2.%3"/>
      <w:lvlJc w:val="left"/>
      <w:pPr>
        <w:ind w:left="434" w:hanging="51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2084" w:hanging="180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804" w:hanging="2520"/>
      </w:pPr>
      <w:rPr>
        <w:rFonts w:hint="default"/>
      </w:rPr>
    </w:lvl>
  </w:abstractNum>
  <w:abstractNum w:abstractNumId="30" w15:restartNumberingAfterBreak="0">
    <w:nsid w:val="5C6E36F1"/>
    <w:multiLevelType w:val="multilevel"/>
    <w:tmpl w:val="3E245F3E"/>
    <w:lvl w:ilvl="0">
      <w:start w:val="1"/>
      <w:numFmt w:val="decimal"/>
      <w:lvlText w:val="%1."/>
      <w:lvlJc w:val="left"/>
      <w:pPr>
        <w:ind w:left="360" w:hanging="360"/>
      </w:pPr>
      <w:rPr>
        <w:rFonts w:hint="default"/>
      </w:rPr>
    </w:lvl>
    <w:lvl w:ilvl="1">
      <w:start w:val="1"/>
      <w:numFmt w:val="decimal"/>
      <w:pStyle w:val="H-Heading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E966D9A"/>
    <w:multiLevelType w:val="hybridMultilevel"/>
    <w:tmpl w:val="C9A2DA18"/>
    <w:lvl w:ilvl="0" w:tplc="52E8049A">
      <w:start w:val="1"/>
      <w:numFmt w:val="lowerLetter"/>
      <w:lvlText w:val="%1."/>
      <w:lvlJc w:val="left"/>
      <w:pPr>
        <w:ind w:left="1080" w:hanging="360"/>
      </w:pPr>
      <w:rPr>
        <w:rFonts w:hint="default"/>
        <w:color w:val="576C88" w:themeColor="text2" w:themeTint="D9"/>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F0B65C8"/>
    <w:multiLevelType w:val="hybridMultilevel"/>
    <w:tmpl w:val="D07CA386"/>
    <w:lvl w:ilvl="0" w:tplc="E1BEDB28">
      <w:start w:val="1"/>
      <w:numFmt w:val="bullet"/>
      <w:lvlText w:val=""/>
      <w:lvlJc w:val="left"/>
      <w:pPr>
        <w:ind w:left="644" w:hanging="360"/>
      </w:pPr>
      <w:rPr>
        <w:rFonts w:ascii="Symbol" w:hAnsi="Symbol" w:hint="default"/>
        <w:color w:val="57825E"/>
      </w:rPr>
    </w:lvl>
    <w:lvl w:ilvl="1" w:tplc="080C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D29039E"/>
    <w:multiLevelType w:val="hybridMultilevel"/>
    <w:tmpl w:val="7F30DA44"/>
    <w:lvl w:ilvl="0" w:tplc="0409000F">
      <w:start w:val="1"/>
      <w:numFmt w:val="decimal"/>
      <w:lvlText w:val="%1."/>
      <w:lvlJc w:val="left"/>
      <w:pPr>
        <w:ind w:left="720" w:hanging="360"/>
      </w:pPr>
      <w:rPr>
        <w:rFonts w:hint="default"/>
      </w:rPr>
    </w:lvl>
    <w:lvl w:ilvl="1" w:tplc="F4EA5ED6">
      <w:start w:val="1"/>
      <w:numFmt w:val="lowerLetter"/>
      <w:lvlText w:val="%2."/>
      <w:lvlJc w:val="left"/>
      <w:pPr>
        <w:ind w:left="1440" w:hanging="360"/>
      </w:pPr>
      <w:rPr>
        <w:color w:val="576C88" w:themeColor="text2" w:themeTint="D9"/>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95D33D3"/>
    <w:multiLevelType w:val="multilevel"/>
    <w:tmpl w:val="3196CAE8"/>
    <w:lvl w:ilvl="0">
      <w:start w:val="1"/>
      <w:numFmt w:val="decimal"/>
      <w:pStyle w:val="HHeading1"/>
      <w:lvlText w:val="%1"/>
      <w:lvlJc w:val="left"/>
      <w:pPr>
        <w:tabs>
          <w:tab w:val="num" w:pos="474"/>
        </w:tabs>
        <w:ind w:left="262" w:hanging="148"/>
      </w:pPr>
      <w:rPr>
        <w:rFonts w:hint="default"/>
      </w:rPr>
    </w:lvl>
    <w:lvl w:ilvl="1">
      <w:start w:val="1"/>
      <w:numFmt w:val="decimal"/>
      <w:pStyle w:val="HHeading2"/>
      <w:lvlText w:val="%1.%2"/>
      <w:lvlJc w:val="left"/>
      <w:pPr>
        <w:tabs>
          <w:tab w:val="num" w:pos="360"/>
        </w:tabs>
        <w:ind w:left="0" w:firstLine="0"/>
      </w:pPr>
      <w:rPr>
        <w:rFonts w:hint="default"/>
      </w:rPr>
    </w:lvl>
    <w:lvl w:ilvl="2">
      <w:start w:val="1"/>
      <w:numFmt w:val="decimal"/>
      <w:pStyle w:val="HHeading3"/>
      <w:lvlText w:val="%1.%2.%3"/>
      <w:lvlJc w:val="left"/>
      <w:pPr>
        <w:tabs>
          <w:tab w:val="num" w:pos="720"/>
        </w:tabs>
        <w:ind w:left="0" w:firstLine="0"/>
      </w:pPr>
      <w:rPr>
        <w:rFonts w:hint="default"/>
      </w:rPr>
    </w:lvl>
    <w:lvl w:ilvl="3">
      <w:start w:val="1"/>
      <w:numFmt w:val="decimal"/>
      <w:pStyle w:val="H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35" w15:restartNumberingAfterBreak="0">
    <w:nsid w:val="7E752836"/>
    <w:multiLevelType w:val="hybridMultilevel"/>
    <w:tmpl w:val="FB2C5A82"/>
    <w:lvl w:ilvl="0" w:tplc="8890A148">
      <w:start w:val="1"/>
      <w:numFmt w:val="bullet"/>
      <w:pStyle w:val="Htablebullet"/>
      <w:lvlText w:val=""/>
      <w:lvlJc w:val="left"/>
      <w:pPr>
        <w:ind w:left="501" w:hanging="360"/>
      </w:pPr>
      <w:rPr>
        <w:rFonts w:ascii="Symbol" w:hAnsi="Symbol" w:hint="default"/>
        <w:color w:val="57825E"/>
      </w:rPr>
    </w:lvl>
    <w:lvl w:ilvl="1" w:tplc="04070003">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23"/>
  </w:num>
  <w:num w:numId="3">
    <w:abstractNumId w:val="27"/>
  </w:num>
  <w:num w:numId="4">
    <w:abstractNumId w:val="19"/>
  </w:num>
  <w:num w:numId="5">
    <w:abstractNumId w:val="35"/>
  </w:num>
  <w:num w:numId="6">
    <w:abstractNumId w:val="34"/>
  </w:num>
  <w:num w:numId="7">
    <w:abstractNumId w:val="25"/>
  </w:num>
  <w:num w:numId="8">
    <w:abstractNumId w:val="22"/>
  </w:num>
  <w:num w:numId="9">
    <w:abstractNumId w:val="11"/>
  </w:num>
  <w:num w:numId="10">
    <w:abstractNumId w:val="10"/>
  </w:num>
  <w:num w:numId="11">
    <w:abstractNumId w:val="17"/>
  </w:num>
  <w:num w:numId="12">
    <w:abstractNumId w:val="14"/>
  </w:num>
  <w:num w:numId="13">
    <w:abstractNumId w:val="21"/>
  </w:num>
  <w:num w:numId="14">
    <w:abstractNumId w:val="24"/>
  </w:num>
  <w:num w:numId="15">
    <w:abstractNumId w:val="16"/>
  </w:num>
  <w:num w:numId="16">
    <w:abstractNumId w:val="32"/>
  </w:num>
  <w:num w:numId="17">
    <w:abstractNumId w:val="26"/>
  </w:num>
  <w:num w:numId="18">
    <w:abstractNumId w:val="28"/>
  </w:num>
  <w:num w:numId="19">
    <w:abstractNumId w:val="27"/>
    <w:lvlOverride w:ilvl="0">
      <w:startOverride w:val="1"/>
    </w:lvlOverride>
  </w:num>
  <w:num w:numId="20">
    <w:abstractNumId w:val="20"/>
  </w:num>
  <w:num w:numId="21">
    <w:abstractNumId w:val="15"/>
  </w:num>
  <w:num w:numId="22">
    <w:abstractNumId w:val="30"/>
  </w:num>
  <w:num w:numId="23">
    <w:abstractNumId w:val="29"/>
  </w:num>
  <w:num w:numId="24">
    <w:abstractNumId w:val="27"/>
    <w:lvlOverride w:ilvl="0">
      <w:startOverride w:val="1"/>
    </w:lvlOverride>
  </w:num>
  <w:num w:numId="25">
    <w:abstractNumId w:val="12"/>
  </w:num>
  <w:num w:numId="26">
    <w:abstractNumId w:val="33"/>
  </w:num>
  <w:num w:numId="27">
    <w:abstractNumId w:val="31"/>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 w:numId="3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24CD"/>
    <w:rsid w:val="001924CD"/>
    <w:rsid w:val="00387226"/>
    <w:rsid w:val="005103D6"/>
    <w:rsid w:val="007B323F"/>
    <w:rsid w:val="007F4DD3"/>
    <w:rsid w:val="00866B4D"/>
    <w:rsid w:val="008D05D4"/>
    <w:rsid w:val="00D85FF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4B45899-0016-4BFF-9389-E28564D7C1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924CD"/>
    <w:pPr>
      <w:keepNext/>
      <w:framePr w:hSpace="142" w:vSpace="142" w:wrap="notBeside" w:vAnchor="page" w:hAnchor="margin" w:y="1532"/>
      <w:numPr>
        <w:numId w:val="1"/>
      </w:numPr>
      <w:pBdr>
        <w:left w:val="single" w:sz="48" w:space="8" w:color="33CCCC"/>
      </w:pBdr>
      <w:tabs>
        <w:tab w:val="clear" w:pos="474"/>
        <w:tab w:val="left" w:pos="227"/>
      </w:tabs>
      <w:suppressAutoHyphens/>
      <w:spacing w:before="60" w:after="20" w:line="240" w:lineRule="auto"/>
      <w:ind w:left="227" w:hanging="227"/>
      <w:outlineLvl w:val="0"/>
    </w:pPr>
    <w:rPr>
      <w:rFonts w:ascii="Arial" w:eastAsia="Times New Roman" w:hAnsi="Arial" w:cs="Arial"/>
      <w:b/>
      <w:bCs/>
      <w:kern w:val="32"/>
      <w:sz w:val="24"/>
      <w:szCs w:val="32"/>
      <w:lang w:val="pl-PL" w:eastAsia="pl-PL" w:bidi="pl-PL"/>
    </w:rPr>
  </w:style>
  <w:style w:type="paragraph" w:styleId="Heading2">
    <w:name w:val="heading 2"/>
    <w:basedOn w:val="Normal"/>
    <w:next w:val="Normal"/>
    <w:link w:val="Heading2Char"/>
    <w:uiPriority w:val="9"/>
    <w:qFormat/>
    <w:rsid w:val="001924CD"/>
    <w:pPr>
      <w:keepNext/>
      <w:numPr>
        <w:ilvl w:val="1"/>
        <w:numId w:val="1"/>
      </w:numPr>
      <w:tabs>
        <w:tab w:val="clear" w:pos="360"/>
        <w:tab w:val="left" w:pos="454"/>
      </w:tabs>
      <w:suppressAutoHyphens/>
      <w:spacing w:before="240" w:after="140" w:line="260" w:lineRule="exact"/>
      <w:ind w:left="454" w:hanging="454"/>
      <w:outlineLvl w:val="1"/>
    </w:pPr>
    <w:rPr>
      <w:rFonts w:ascii="Arial" w:eastAsia="Times New Roman" w:hAnsi="Arial" w:cs="Arial"/>
      <w:b/>
      <w:bCs/>
      <w:iCs/>
      <w:szCs w:val="28"/>
      <w:lang w:val="pl-PL" w:eastAsia="pl-PL" w:bidi="pl-PL"/>
    </w:rPr>
  </w:style>
  <w:style w:type="paragraph" w:styleId="Heading3">
    <w:name w:val="heading 3"/>
    <w:basedOn w:val="Normal"/>
    <w:next w:val="Normal"/>
    <w:link w:val="Heading3Char"/>
    <w:uiPriority w:val="9"/>
    <w:qFormat/>
    <w:rsid w:val="001924CD"/>
    <w:pPr>
      <w:keepNext/>
      <w:numPr>
        <w:ilvl w:val="2"/>
        <w:numId w:val="1"/>
      </w:numPr>
      <w:tabs>
        <w:tab w:val="clear" w:pos="720"/>
        <w:tab w:val="left" w:pos="567"/>
      </w:tabs>
      <w:suppressAutoHyphens/>
      <w:spacing w:before="240" w:after="140" w:line="240" w:lineRule="exact"/>
      <w:ind w:left="567" w:hanging="567"/>
      <w:outlineLvl w:val="2"/>
    </w:pPr>
    <w:rPr>
      <w:rFonts w:ascii="Arial" w:eastAsia="Times New Roman" w:hAnsi="Arial" w:cs="Arial"/>
      <w:b/>
      <w:bCs/>
      <w:color w:val="5F5F5F"/>
      <w:sz w:val="20"/>
      <w:szCs w:val="26"/>
      <w:lang w:val="pl-PL" w:eastAsia="pl-PL" w:bidi="pl-PL"/>
    </w:rPr>
  </w:style>
  <w:style w:type="paragraph" w:styleId="Heading4">
    <w:name w:val="heading 4"/>
    <w:aliases w:val="Heading 4 Char1,Título 4 Car,Heading 4 Char1 Car,no vale 2,no vale 2 Car,Überschrift 4 Zchn,Nadpis 4 Char Zchn,Nadpis 4 Char1 Char Zchn,Nadpis 4 Char Char Char Zchn,Heading 4 Char2 Char Char Char Zchn"/>
    <w:next w:val="Normal"/>
    <w:link w:val="Heading4Char"/>
    <w:uiPriority w:val="99"/>
    <w:qFormat/>
    <w:rsid w:val="001924CD"/>
    <w:pPr>
      <w:keepNext/>
      <w:numPr>
        <w:ilvl w:val="3"/>
        <w:numId w:val="1"/>
      </w:numPr>
      <w:tabs>
        <w:tab w:val="clear" w:pos="1080"/>
        <w:tab w:val="left" w:pos="680"/>
      </w:tabs>
      <w:suppressAutoHyphens/>
      <w:spacing w:before="240" w:after="0" w:line="240" w:lineRule="auto"/>
      <w:ind w:left="680" w:hanging="680"/>
      <w:outlineLvl w:val="3"/>
    </w:pPr>
    <w:rPr>
      <w:rFonts w:ascii="Arial" w:eastAsia="Times New Roman" w:hAnsi="Arial" w:cs="Times New Roman"/>
      <w:b/>
      <w:bCs/>
      <w:color w:val="5F5F5F"/>
      <w:sz w:val="18"/>
      <w:szCs w:val="28"/>
      <w:lang w:val="pl-PL" w:eastAsia="pl-PL" w:bidi="pl-PL"/>
    </w:rPr>
  </w:style>
  <w:style w:type="paragraph" w:styleId="Heading5">
    <w:name w:val="heading 5"/>
    <w:basedOn w:val="Normal"/>
    <w:next w:val="Normal"/>
    <w:link w:val="Heading5Char"/>
    <w:uiPriority w:val="9"/>
    <w:qFormat/>
    <w:rsid w:val="001924CD"/>
    <w:pPr>
      <w:suppressAutoHyphens/>
      <w:spacing w:before="200" w:after="100" w:line="220" w:lineRule="atLeast"/>
      <w:outlineLvl w:val="4"/>
    </w:pPr>
    <w:rPr>
      <w:rFonts w:ascii="Arial" w:eastAsia="Times New Roman" w:hAnsi="Arial" w:cs="Times New Roman"/>
      <w:b/>
      <w:bCs/>
      <w:iCs/>
      <w:color w:val="5F5F5F"/>
      <w:sz w:val="18"/>
      <w:szCs w:val="26"/>
      <w:lang w:val="pl-PL" w:eastAsia="pl-PL" w:bidi="pl-PL"/>
    </w:rPr>
  </w:style>
  <w:style w:type="paragraph" w:styleId="Heading6">
    <w:name w:val="heading 6"/>
    <w:basedOn w:val="Normal"/>
    <w:next w:val="Normal"/>
    <w:link w:val="Heading6Char"/>
    <w:uiPriority w:val="9"/>
    <w:qFormat/>
    <w:rsid w:val="001924CD"/>
    <w:pPr>
      <w:suppressAutoHyphens/>
      <w:spacing w:before="140" w:after="140" w:line="200" w:lineRule="exact"/>
      <w:outlineLvl w:val="5"/>
    </w:pPr>
    <w:rPr>
      <w:rFonts w:ascii="Arial" w:eastAsia="Times New Roman" w:hAnsi="Arial" w:cs="Times New Roman"/>
      <w:b/>
      <w:bCs/>
      <w:color w:val="576C88" w:themeColor="text2" w:themeTint="D9"/>
      <w:sz w:val="20"/>
      <w:lang w:val="pl-PL" w:eastAsia="pl-PL" w:bidi="pl-PL"/>
    </w:rPr>
  </w:style>
  <w:style w:type="paragraph" w:styleId="Heading7">
    <w:name w:val="heading 7"/>
    <w:basedOn w:val="Normal"/>
    <w:next w:val="Normal"/>
    <w:link w:val="Heading7Char"/>
    <w:uiPriority w:val="9"/>
    <w:qFormat/>
    <w:rsid w:val="001924CD"/>
    <w:pPr>
      <w:suppressAutoHyphens/>
      <w:spacing w:before="140" w:after="140" w:line="200" w:lineRule="exact"/>
      <w:outlineLvl w:val="6"/>
    </w:pPr>
    <w:rPr>
      <w:rFonts w:ascii="Arial" w:eastAsia="Times New Roman" w:hAnsi="Arial" w:cs="Times New Roman"/>
      <w:b/>
      <w:color w:val="808080"/>
      <w:sz w:val="16"/>
      <w:szCs w:val="24"/>
      <w:lang w:val="pl-PL" w:eastAsia="pl-PL" w:bidi="pl-PL"/>
    </w:rPr>
  </w:style>
  <w:style w:type="paragraph" w:styleId="Heading8">
    <w:name w:val="heading 8"/>
    <w:basedOn w:val="Normal"/>
    <w:next w:val="Normal"/>
    <w:link w:val="Heading8Char"/>
    <w:uiPriority w:val="9"/>
    <w:qFormat/>
    <w:rsid w:val="001924CD"/>
    <w:pPr>
      <w:suppressAutoHyphens/>
      <w:spacing w:before="140" w:after="140" w:line="200" w:lineRule="exact"/>
      <w:outlineLvl w:val="7"/>
    </w:pPr>
    <w:rPr>
      <w:rFonts w:ascii="Arial" w:eastAsia="Times New Roman" w:hAnsi="Arial" w:cs="Times New Roman"/>
      <w:b/>
      <w:iCs/>
      <w:color w:val="808080"/>
      <w:sz w:val="16"/>
      <w:szCs w:val="24"/>
      <w:lang w:val="pl-PL" w:eastAsia="pl-PL" w:bidi="pl-PL"/>
    </w:rPr>
  </w:style>
  <w:style w:type="paragraph" w:styleId="Heading9">
    <w:name w:val="heading 9"/>
    <w:basedOn w:val="Heading1"/>
    <w:next w:val="Normal"/>
    <w:link w:val="Heading9Char"/>
    <w:qFormat/>
    <w:rsid w:val="001924CD"/>
    <w:pPr>
      <w:framePr w:wrap="notBeside"/>
      <w:numPr>
        <w:numId w:val="0"/>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24CD"/>
    <w:rPr>
      <w:rFonts w:ascii="Arial" w:eastAsia="Times New Roman" w:hAnsi="Arial" w:cs="Arial"/>
      <w:b/>
      <w:bCs/>
      <w:kern w:val="32"/>
      <w:sz w:val="24"/>
      <w:szCs w:val="32"/>
      <w:lang w:val="pl-PL" w:eastAsia="pl-PL" w:bidi="pl-PL"/>
    </w:rPr>
  </w:style>
  <w:style w:type="character" w:customStyle="1" w:styleId="Heading2Char">
    <w:name w:val="Heading 2 Char"/>
    <w:basedOn w:val="DefaultParagraphFont"/>
    <w:link w:val="Heading2"/>
    <w:uiPriority w:val="9"/>
    <w:rsid w:val="001924CD"/>
    <w:rPr>
      <w:rFonts w:ascii="Arial" w:eastAsia="Times New Roman" w:hAnsi="Arial" w:cs="Arial"/>
      <w:b/>
      <w:bCs/>
      <w:iCs/>
      <w:szCs w:val="28"/>
      <w:lang w:val="pl-PL" w:eastAsia="pl-PL" w:bidi="pl-PL"/>
    </w:rPr>
  </w:style>
  <w:style w:type="character" w:customStyle="1" w:styleId="Heading3Char">
    <w:name w:val="Heading 3 Char"/>
    <w:basedOn w:val="DefaultParagraphFont"/>
    <w:link w:val="Heading3"/>
    <w:uiPriority w:val="9"/>
    <w:rsid w:val="001924CD"/>
    <w:rPr>
      <w:rFonts w:ascii="Arial" w:eastAsia="Times New Roman" w:hAnsi="Arial" w:cs="Arial"/>
      <w:b/>
      <w:bCs/>
      <w:color w:val="5F5F5F"/>
      <w:sz w:val="20"/>
      <w:szCs w:val="26"/>
      <w:lang w:val="pl-PL" w:eastAsia="pl-PL" w:bidi="pl-PL"/>
    </w:rPr>
  </w:style>
  <w:style w:type="character" w:customStyle="1" w:styleId="Heading4Char">
    <w:name w:val="Heading 4 Char"/>
    <w:aliases w:val="Heading 4 Char1 Char,Título 4 Car Char,Heading 4 Char1 Car Char,no vale 2 Char,no vale 2 Car Char,Überschrift 4 Zchn Char,Nadpis 4 Char Zchn Char,Nadpis 4 Char1 Char Zchn Char,Nadpis 4 Char Char Char Zchn Char"/>
    <w:basedOn w:val="DefaultParagraphFont"/>
    <w:link w:val="Heading4"/>
    <w:uiPriority w:val="99"/>
    <w:rsid w:val="001924CD"/>
    <w:rPr>
      <w:rFonts w:ascii="Arial" w:eastAsia="Times New Roman" w:hAnsi="Arial" w:cs="Times New Roman"/>
      <w:b/>
      <w:bCs/>
      <w:color w:val="5F5F5F"/>
      <w:sz w:val="18"/>
      <w:szCs w:val="28"/>
      <w:lang w:val="pl-PL" w:eastAsia="pl-PL" w:bidi="pl-PL"/>
    </w:rPr>
  </w:style>
  <w:style w:type="character" w:customStyle="1" w:styleId="Heading5Char">
    <w:name w:val="Heading 5 Char"/>
    <w:basedOn w:val="DefaultParagraphFont"/>
    <w:link w:val="Heading5"/>
    <w:rsid w:val="001924CD"/>
    <w:rPr>
      <w:rFonts w:ascii="Arial" w:eastAsia="Times New Roman" w:hAnsi="Arial" w:cs="Times New Roman"/>
      <w:b/>
      <w:bCs/>
      <w:iCs/>
      <w:color w:val="5F5F5F"/>
      <w:sz w:val="18"/>
      <w:szCs w:val="26"/>
      <w:lang w:val="pl-PL" w:eastAsia="pl-PL" w:bidi="pl-PL"/>
    </w:rPr>
  </w:style>
  <w:style w:type="character" w:customStyle="1" w:styleId="Heading6Char">
    <w:name w:val="Heading 6 Char"/>
    <w:basedOn w:val="DefaultParagraphFont"/>
    <w:link w:val="Heading6"/>
    <w:uiPriority w:val="9"/>
    <w:rsid w:val="001924CD"/>
    <w:rPr>
      <w:rFonts w:ascii="Arial" w:eastAsia="Times New Roman" w:hAnsi="Arial" w:cs="Times New Roman"/>
      <w:b/>
      <w:bCs/>
      <w:color w:val="576C88" w:themeColor="text2" w:themeTint="D9"/>
      <w:sz w:val="20"/>
      <w:lang w:val="pl-PL" w:eastAsia="pl-PL" w:bidi="pl-PL"/>
    </w:rPr>
  </w:style>
  <w:style w:type="character" w:customStyle="1" w:styleId="Heading7Char">
    <w:name w:val="Heading 7 Char"/>
    <w:basedOn w:val="DefaultParagraphFont"/>
    <w:link w:val="Heading7"/>
    <w:rsid w:val="001924CD"/>
    <w:rPr>
      <w:rFonts w:ascii="Arial" w:eastAsia="Times New Roman" w:hAnsi="Arial" w:cs="Times New Roman"/>
      <w:b/>
      <w:color w:val="808080"/>
      <w:sz w:val="16"/>
      <w:szCs w:val="24"/>
      <w:lang w:val="pl-PL" w:eastAsia="pl-PL" w:bidi="pl-PL"/>
    </w:rPr>
  </w:style>
  <w:style w:type="character" w:customStyle="1" w:styleId="Heading8Char">
    <w:name w:val="Heading 8 Char"/>
    <w:basedOn w:val="DefaultParagraphFont"/>
    <w:link w:val="Heading8"/>
    <w:rsid w:val="001924CD"/>
    <w:rPr>
      <w:rFonts w:ascii="Arial" w:eastAsia="Times New Roman" w:hAnsi="Arial" w:cs="Times New Roman"/>
      <w:b/>
      <w:iCs/>
      <w:color w:val="808080"/>
      <w:sz w:val="16"/>
      <w:szCs w:val="24"/>
      <w:lang w:val="pl-PL" w:eastAsia="pl-PL" w:bidi="pl-PL"/>
    </w:rPr>
  </w:style>
  <w:style w:type="character" w:customStyle="1" w:styleId="Heading9Char">
    <w:name w:val="Heading 9 Char"/>
    <w:basedOn w:val="DefaultParagraphFont"/>
    <w:link w:val="Heading9"/>
    <w:rsid w:val="001924CD"/>
    <w:rPr>
      <w:rFonts w:ascii="Arial" w:eastAsia="Times New Roman" w:hAnsi="Arial" w:cs="Arial"/>
      <w:b/>
      <w:bCs/>
      <w:kern w:val="32"/>
      <w:sz w:val="24"/>
      <w:lang w:val="pl-PL" w:eastAsia="pl-PL" w:bidi="pl-PL"/>
    </w:rPr>
  </w:style>
  <w:style w:type="paragraph" w:styleId="TOC2">
    <w:name w:val="toc 2"/>
    <w:next w:val="Normal"/>
    <w:uiPriority w:val="39"/>
    <w:rsid w:val="001924CD"/>
    <w:pPr>
      <w:tabs>
        <w:tab w:val="left" w:pos="454"/>
        <w:tab w:val="right" w:leader="dot" w:pos="8742"/>
      </w:tabs>
      <w:suppressAutoHyphens/>
      <w:spacing w:before="60" w:after="0" w:line="280" w:lineRule="exact"/>
      <w:ind w:left="454" w:right="284" w:hanging="454"/>
    </w:pPr>
    <w:rPr>
      <w:rFonts w:ascii="Arial" w:eastAsia="Times New Roman" w:hAnsi="Arial" w:cs="Times New Roman"/>
      <w:noProof/>
      <w:color w:val="262626"/>
      <w:sz w:val="20"/>
      <w:lang w:val="pl-PL" w:eastAsia="pl-PL" w:bidi="pl-PL"/>
    </w:rPr>
  </w:style>
  <w:style w:type="paragraph" w:styleId="Header">
    <w:name w:val="header"/>
    <w:link w:val="HeaderChar"/>
    <w:uiPriority w:val="99"/>
    <w:rsid w:val="001924CD"/>
    <w:pPr>
      <w:pBdr>
        <w:bottom w:val="single" w:sz="4" w:space="4" w:color="auto"/>
      </w:pBdr>
      <w:tabs>
        <w:tab w:val="right" w:pos="8618"/>
      </w:tabs>
      <w:spacing w:before="60" w:after="0" w:line="240" w:lineRule="auto"/>
      <w:ind w:left="-907" w:right="-907"/>
    </w:pPr>
    <w:rPr>
      <w:rFonts w:ascii="Arial" w:eastAsia="Times New Roman" w:hAnsi="Arial" w:cs="Times New Roman"/>
      <w:color w:val="F07E31"/>
      <w:sz w:val="16"/>
      <w:szCs w:val="20"/>
      <w:lang w:val="pl-PL" w:eastAsia="pl-PL" w:bidi="pl-PL"/>
    </w:rPr>
  </w:style>
  <w:style w:type="character" w:customStyle="1" w:styleId="HeaderChar">
    <w:name w:val="Header Char"/>
    <w:basedOn w:val="DefaultParagraphFont"/>
    <w:link w:val="Header"/>
    <w:uiPriority w:val="99"/>
    <w:rsid w:val="001924CD"/>
    <w:rPr>
      <w:rFonts w:ascii="Arial" w:eastAsia="Times New Roman" w:hAnsi="Arial" w:cs="Times New Roman"/>
      <w:color w:val="F07E31"/>
      <w:sz w:val="16"/>
      <w:szCs w:val="20"/>
      <w:lang w:val="pl-PL" w:eastAsia="pl-PL" w:bidi="pl-PL"/>
    </w:rPr>
  </w:style>
  <w:style w:type="paragraph" w:styleId="Footer">
    <w:name w:val="footer"/>
    <w:link w:val="FooterChar"/>
    <w:uiPriority w:val="99"/>
    <w:rsid w:val="001924CD"/>
    <w:pPr>
      <w:tabs>
        <w:tab w:val="right" w:pos="8618"/>
      </w:tabs>
      <w:spacing w:after="0" w:line="240" w:lineRule="auto"/>
      <w:ind w:left="-907" w:right="-907"/>
      <w:jc w:val="center"/>
    </w:pPr>
    <w:rPr>
      <w:rFonts w:ascii="Helvetica LT Pro Light" w:eastAsia="Times New Roman" w:hAnsi="Helvetica LT Pro Light" w:cs="Times New Roman"/>
      <w:color w:val="808080"/>
      <w:sz w:val="18"/>
      <w:szCs w:val="20"/>
      <w:lang w:val="pl-PL" w:eastAsia="pl-PL" w:bidi="pl-PL"/>
    </w:rPr>
  </w:style>
  <w:style w:type="character" w:customStyle="1" w:styleId="FooterChar">
    <w:name w:val="Footer Char"/>
    <w:basedOn w:val="DefaultParagraphFont"/>
    <w:link w:val="Footer"/>
    <w:uiPriority w:val="99"/>
    <w:rsid w:val="001924CD"/>
    <w:rPr>
      <w:rFonts w:ascii="Helvetica LT Pro Light" w:eastAsia="Times New Roman" w:hAnsi="Helvetica LT Pro Light" w:cs="Times New Roman"/>
      <w:color w:val="808080"/>
      <w:sz w:val="18"/>
      <w:szCs w:val="20"/>
      <w:lang w:val="pl-PL" w:eastAsia="pl-PL" w:bidi="pl-PL"/>
    </w:rPr>
  </w:style>
  <w:style w:type="character" w:styleId="PageNumber">
    <w:name w:val="page number"/>
    <w:basedOn w:val="DefaultParagraphFont"/>
    <w:semiHidden/>
    <w:rsid w:val="001924CD"/>
    <w:rPr>
      <w:rFonts w:ascii="Arial" w:hAnsi="Arial"/>
      <w:color w:val="808080"/>
      <w:sz w:val="18"/>
    </w:rPr>
  </w:style>
  <w:style w:type="paragraph" w:customStyle="1" w:styleId="HTitle2">
    <w:name w:val="H_Title2"/>
    <w:basedOn w:val="Normal"/>
    <w:qFormat/>
    <w:rsid w:val="001924CD"/>
    <w:pPr>
      <w:autoSpaceDE w:val="0"/>
      <w:autoSpaceDN w:val="0"/>
      <w:adjustRightInd w:val="0"/>
      <w:spacing w:after="120" w:line="280" w:lineRule="atLeast"/>
    </w:pPr>
    <w:rPr>
      <w:rFonts w:ascii="Helvetica LT Pro Light" w:eastAsia="Times New Roman" w:hAnsi="Helvetica LT Pro Light" w:cs="Times New Roman"/>
      <w:b/>
      <w:smallCaps/>
      <w:color w:val="6F6F6F"/>
      <w:sz w:val="44"/>
      <w:szCs w:val="52"/>
      <w:lang w:val="pl-PL" w:eastAsia="pl-PL" w:bidi="pl-PL"/>
    </w:rPr>
  </w:style>
  <w:style w:type="paragraph" w:customStyle="1" w:styleId="Hlistbullet">
    <w:name w:val="H_list_bullet"/>
    <w:rsid w:val="001924CD"/>
    <w:pPr>
      <w:numPr>
        <w:numId w:val="2"/>
      </w:numPr>
      <w:spacing w:before="60" w:after="0" w:line="220" w:lineRule="atLeast"/>
      <w:jc w:val="both"/>
    </w:pPr>
    <w:rPr>
      <w:rFonts w:ascii="Arial" w:eastAsia="Times New Roman" w:hAnsi="Arial" w:cs="Arial"/>
      <w:color w:val="576C88" w:themeColor="text2" w:themeTint="D9"/>
      <w:sz w:val="20"/>
      <w:szCs w:val="20"/>
      <w:lang w:val="pl-PL" w:eastAsia="pl-PL" w:bidi="pl-PL"/>
    </w:rPr>
  </w:style>
  <w:style w:type="paragraph" w:customStyle="1" w:styleId="Hlistbullet2">
    <w:name w:val="H_list_bullet2"/>
    <w:basedOn w:val="Hlistbullet"/>
    <w:next w:val="HStandard"/>
    <w:rsid w:val="001924CD"/>
    <w:pPr>
      <w:spacing w:after="140"/>
    </w:pPr>
  </w:style>
  <w:style w:type="paragraph" w:customStyle="1" w:styleId="Hlistabc">
    <w:name w:val="H_list_abc"/>
    <w:rsid w:val="001924CD"/>
    <w:pPr>
      <w:numPr>
        <w:numId w:val="3"/>
      </w:numPr>
      <w:tabs>
        <w:tab w:val="clear" w:pos="644"/>
        <w:tab w:val="left" w:pos="567"/>
      </w:tabs>
      <w:spacing w:before="60" w:after="0" w:line="220" w:lineRule="atLeast"/>
      <w:ind w:left="568" w:hanging="284"/>
      <w:jc w:val="both"/>
    </w:pPr>
    <w:rPr>
      <w:rFonts w:ascii="Arial" w:eastAsia="Times New Roman" w:hAnsi="Arial" w:cs="Times New Roman"/>
      <w:color w:val="262626"/>
      <w:sz w:val="20"/>
      <w:szCs w:val="20"/>
      <w:lang w:val="pl-PL" w:eastAsia="pl-PL" w:bidi="pl-PL"/>
    </w:rPr>
  </w:style>
  <w:style w:type="paragraph" w:customStyle="1" w:styleId="Hlistabc2">
    <w:name w:val="H_list_abc_2"/>
    <w:basedOn w:val="Hlistabc"/>
    <w:next w:val="HStandard"/>
    <w:rsid w:val="001924CD"/>
    <w:pPr>
      <w:spacing w:after="140"/>
    </w:pPr>
    <w:rPr>
      <w:color w:val="576C88" w:themeColor="text2" w:themeTint="D9"/>
    </w:rPr>
  </w:style>
  <w:style w:type="paragraph" w:customStyle="1" w:styleId="HTitle1">
    <w:name w:val="H_Title1"/>
    <w:basedOn w:val="Normal"/>
    <w:rsid w:val="001924CD"/>
    <w:pPr>
      <w:autoSpaceDE w:val="0"/>
      <w:autoSpaceDN w:val="0"/>
      <w:adjustRightInd w:val="0"/>
      <w:spacing w:after="120" w:line="280" w:lineRule="atLeast"/>
      <w:jc w:val="both"/>
    </w:pPr>
    <w:rPr>
      <w:rFonts w:ascii="Helvetica LT Pro" w:eastAsia="Times New Roman" w:hAnsi="Helvetica LT Pro" w:cs="Times New Roman"/>
      <w:b/>
      <w:bCs/>
      <w:caps/>
      <w:color w:val="F07E31"/>
      <w:sz w:val="44"/>
      <w:szCs w:val="32"/>
      <w:lang w:val="pl-PL" w:eastAsia="pl-PL" w:bidi="pl-PL"/>
    </w:rPr>
  </w:style>
  <w:style w:type="paragraph" w:customStyle="1" w:styleId="Autor">
    <w:name w:val="Autor"/>
    <w:basedOn w:val="Normal"/>
    <w:rsid w:val="001924CD"/>
    <w:pPr>
      <w:spacing w:after="0" w:line="280" w:lineRule="exact"/>
    </w:pPr>
    <w:rPr>
      <w:rFonts w:ascii="Arial" w:eastAsia="Times New Roman" w:hAnsi="Arial" w:cs="Times New Roman"/>
      <w:sz w:val="20"/>
      <w:szCs w:val="24"/>
      <w:lang w:val="pl-PL" w:eastAsia="pl-PL" w:bidi="pl-PL"/>
    </w:rPr>
  </w:style>
  <w:style w:type="paragraph" w:customStyle="1" w:styleId="HTitle3">
    <w:name w:val="H_Title3"/>
    <w:basedOn w:val="Autor"/>
    <w:rsid w:val="001924CD"/>
    <w:rPr>
      <w:rFonts w:ascii="Helvetica LT Pro Light" w:hAnsi="Helvetica LT Pro Light"/>
      <w:b/>
      <w:color w:val="6F6F6F"/>
      <w:sz w:val="28"/>
    </w:rPr>
  </w:style>
  <w:style w:type="paragraph" w:styleId="TOC1">
    <w:name w:val="toc 1"/>
    <w:next w:val="Normal"/>
    <w:uiPriority w:val="39"/>
    <w:rsid w:val="001924CD"/>
    <w:pPr>
      <w:tabs>
        <w:tab w:val="left" w:pos="454"/>
        <w:tab w:val="right" w:leader="dot" w:pos="8742"/>
      </w:tabs>
      <w:suppressAutoHyphens/>
      <w:spacing w:before="200" w:after="0" w:line="300" w:lineRule="exact"/>
      <w:ind w:left="454" w:right="284" w:hanging="454"/>
    </w:pPr>
    <w:rPr>
      <w:rFonts w:ascii="Arial" w:eastAsia="Times New Roman" w:hAnsi="Arial" w:cs="Times New Roman"/>
      <w:noProof/>
      <w:color w:val="44546A" w:themeColor="text2"/>
      <w:sz w:val="20"/>
      <w:szCs w:val="20"/>
      <w:lang w:val="pl-PL" w:eastAsia="pl-PL" w:bidi="pl-PL"/>
    </w:rPr>
  </w:style>
  <w:style w:type="paragraph" w:styleId="TOC3">
    <w:name w:val="toc 3"/>
    <w:next w:val="Normal"/>
    <w:uiPriority w:val="39"/>
    <w:rsid w:val="001924CD"/>
    <w:pPr>
      <w:tabs>
        <w:tab w:val="left" w:pos="1021"/>
        <w:tab w:val="right" w:leader="dot" w:pos="8742"/>
      </w:tabs>
      <w:suppressAutoHyphens/>
      <w:spacing w:before="60" w:after="0" w:line="280" w:lineRule="exact"/>
      <w:ind w:left="1021" w:right="284" w:hanging="567"/>
    </w:pPr>
    <w:rPr>
      <w:rFonts w:ascii="Arial" w:eastAsia="Times New Roman" w:hAnsi="Arial" w:cs="Times New Roman"/>
      <w:noProof/>
      <w:color w:val="262626"/>
      <w:sz w:val="18"/>
      <w:szCs w:val="20"/>
      <w:lang w:val="pl-PL" w:eastAsia="pl-PL" w:bidi="pl-PL"/>
    </w:rPr>
  </w:style>
  <w:style w:type="paragraph" w:customStyle="1" w:styleId="Fuzeilequerformat">
    <w:name w:val="Fußzeile_querformat"/>
    <w:basedOn w:val="Footer"/>
    <w:rsid w:val="001924CD"/>
    <w:pPr>
      <w:tabs>
        <w:tab w:val="clear" w:pos="8618"/>
        <w:tab w:val="right" w:pos="12871"/>
      </w:tabs>
    </w:pPr>
  </w:style>
  <w:style w:type="paragraph" w:styleId="TableofFigures">
    <w:name w:val="table of figures"/>
    <w:next w:val="HStandard"/>
    <w:uiPriority w:val="99"/>
    <w:rsid w:val="001924CD"/>
    <w:pPr>
      <w:tabs>
        <w:tab w:val="left" w:pos="851"/>
        <w:tab w:val="right" w:leader="dot" w:pos="7711"/>
      </w:tabs>
      <w:suppressAutoHyphens/>
      <w:spacing w:before="60" w:after="0" w:line="280" w:lineRule="exact"/>
      <w:ind w:left="851" w:right="284" w:hanging="851"/>
    </w:pPr>
    <w:rPr>
      <w:rFonts w:ascii="Arial" w:eastAsia="Times New Roman" w:hAnsi="Arial" w:cs="Times New Roman"/>
      <w:sz w:val="20"/>
      <w:szCs w:val="20"/>
      <w:lang w:val="pl-PL" w:eastAsia="pl-PL" w:bidi="pl-PL"/>
    </w:rPr>
  </w:style>
  <w:style w:type="paragraph" w:customStyle="1" w:styleId="Hlistline3">
    <w:name w:val="H_list_line3"/>
    <w:rsid w:val="001924CD"/>
    <w:pPr>
      <w:numPr>
        <w:numId w:val="4"/>
      </w:numPr>
      <w:tabs>
        <w:tab w:val="left" w:pos="851"/>
      </w:tabs>
      <w:spacing w:before="60" w:after="0" w:line="220" w:lineRule="atLeast"/>
      <w:ind w:left="851" w:hanging="284"/>
    </w:pPr>
    <w:rPr>
      <w:rFonts w:ascii="Arial" w:eastAsia="Times New Roman" w:hAnsi="Arial" w:cs="Times New Roman"/>
      <w:color w:val="262626"/>
      <w:sz w:val="20"/>
      <w:szCs w:val="20"/>
      <w:lang w:val="pl-PL" w:eastAsia="pl-PL" w:bidi="pl-PL"/>
    </w:rPr>
  </w:style>
  <w:style w:type="paragraph" w:customStyle="1" w:styleId="Hlistline4">
    <w:name w:val="H_list_line4"/>
    <w:basedOn w:val="Hlistline3"/>
    <w:next w:val="HStandard"/>
    <w:rsid w:val="001924CD"/>
    <w:pPr>
      <w:spacing w:after="140"/>
    </w:pPr>
  </w:style>
  <w:style w:type="paragraph" w:customStyle="1" w:styleId="HSource">
    <w:name w:val="H_Source"/>
    <w:next w:val="HStandard"/>
    <w:rsid w:val="001924CD"/>
    <w:pPr>
      <w:suppressAutoHyphens/>
      <w:spacing w:before="60" w:after="140" w:line="240" w:lineRule="auto"/>
      <w:jc w:val="center"/>
    </w:pPr>
    <w:rPr>
      <w:rFonts w:ascii="Arial" w:eastAsia="Times New Roman" w:hAnsi="Arial" w:cs="Times New Roman"/>
      <w:color w:val="576C88" w:themeColor="text2" w:themeTint="D9"/>
      <w:sz w:val="16"/>
      <w:szCs w:val="20"/>
      <w:lang w:val="pl-PL" w:eastAsia="pl-PL" w:bidi="pl-PL"/>
    </w:rPr>
  </w:style>
  <w:style w:type="paragraph" w:customStyle="1" w:styleId="Htableleft">
    <w:name w:val="H_table_left"/>
    <w:rsid w:val="001924CD"/>
    <w:pPr>
      <w:suppressAutoHyphens/>
      <w:spacing w:before="40" w:after="40" w:line="240" w:lineRule="auto"/>
    </w:pPr>
    <w:rPr>
      <w:rFonts w:ascii="Arial" w:eastAsia="Times New Roman" w:hAnsi="Arial" w:cs="Times New Roman"/>
      <w:color w:val="262626"/>
      <w:sz w:val="18"/>
      <w:szCs w:val="20"/>
      <w:lang w:val="pl-PL" w:eastAsia="pl-PL" w:bidi="pl-PL"/>
    </w:rPr>
  </w:style>
  <w:style w:type="paragraph" w:customStyle="1" w:styleId="Htablecentered">
    <w:name w:val="H_table_centered"/>
    <w:basedOn w:val="Htableleft"/>
    <w:rsid w:val="001924CD"/>
    <w:pPr>
      <w:jc w:val="center"/>
    </w:pPr>
  </w:style>
  <w:style w:type="paragraph" w:customStyle="1" w:styleId="Htableleftbolt">
    <w:name w:val="H_table_left_bolt"/>
    <w:basedOn w:val="Htableleft"/>
    <w:rsid w:val="001924CD"/>
    <w:rPr>
      <w:b/>
      <w:color w:val="576C88" w:themeColor="text2" w:themeTint="D9"/>
      <w:sz w:val="16"/>
    </w:rPr>
  </w:style>
  <w:style w:type="paragraph" w:customStyle="1" w:styleId="Htablecenteredbolt">
    <w:name w:val="H_table_centered_bolt"/>
    <w:basedOn w:val="Htablecentered"/>
    <w:rsid w:val="001924CD"/>
    <w:rPr>
      <w:b/>
      <w:color w:val="FFFFFF" w:themeColor="background1"/>
    </w:rPr>
  </w:style>
  <w:style w:type="paragraph" w:styleId="FootnoteText">
    <w:name w:val="footnote text"/>
    <w:aliases w:val="Fußnote,Geneva 9,Font: Geneva 9,Boston 10,f,ft,Footnote Text Char Char Char Char Char Char Char Char Char Char,Footnote Text Char Char,Footnote Text Char Char Char Char Char Char Char Char Char Char Char Char,Footnote Text2"/>
    <w:link w:val="FootnoteTextChar1"/>
    <w:qFormat/>
    <w:rsid w:val="001924CD"/>
    <w:pPr>
      <w:tabs>
        <w:tab w:val="left" w:pos="170"/>
      </w:tabs>
      <w:spacing w:after="0" w:line="180" w:lineRule="exact"/>
      <w:ind w:left="170" w:hanging="170"/>
    </w:pPr>
    <w:rPr>
      <w:rFonts w:ascii="Arial" w:eastAsia="Times New Roman" w:hAnsi="Arial" w:cs="Times New Roman"/>
      <w:color w:val="808080"/>
      <w:sz w:val="16"/>
      <w:szCs w:val="20"/>
      <w:lang w:val="pl-PL" w:eastAsia="pl-PL" w:bidi="pl-PL"/>
    </w:rPr>
  </w:style>
  <w:style w:type="character" w:customStyle="1" w:styleId="FootnoteTextChar">
    <w:name w:val="Footnote Text Char"/>
    <w:basedOn w:val="DefaultParagraphFont"/>
    <w:uiPriority w:val="99"/>
    <w:rsid w:val="001924CD"/>
    <w:rPr>
      <w:sz w:val="20"/>
      <w:szCs w:val="20"/>
    </w:rPr>
  </w:style>
  <w:style w:type="paragraph" w:customStyle="1" w:styleId="Htablebullet">
    <w:name w:val="H_table_bullet"/>
    <w:basedOn w:val="Htableleft"/>
    <w:rsid w:val="001924CD"/>
    <w:pPr>
      <w:numPr>
        <w:numId w:val="5"/>
      </w:numPr>
      <w:tabs>
        <w:tab w:val="left" w:pos="142"/>
      </w:tabs>
    </w:pPr>
    <w:rPr>
      <w:rFonts w:cs="Arial"/>
      <w:color w:val="262626" w:themeColor="text1" w:themeTint="D9"/>
    </w:rPr>
  </w:style>
  <w:style w:type="character" w:styleId="FootnoteReference">
    <w:name w:val="footnote reference"/>
    <w:aliases w:val="Überschrift 4 Zchn1,Título 4 Car Zchn,Heading 4 Char1 Car Zchn,no vale 2 Zchn,no vale 2 Car Zchn,Footnote symbol,ftref,Footnote Refernece,Footnote Reference Number,BVI fnr,Fußnotenzeichen_Raxen,Heading 4 Char2 Char"/>
    <w:basedOn w:val="DefaultParagraphFont"/>
    <w:rsid w:val="001924CD"/>
    <w:rPr>
      <w:rFonts w:ascii="Arial" w:hAnsi="Arial"/>
      <w:i/>
      <w:dstrike w:val="0"/>
      <w:color w:val="000000" w:themeColor="text1"/>
      <w:position w:val="6"/>
      <w:sz w:val="12"/>
      <w:vertAlign w:val="baseline"/>
    </w:rPr>
  </w:style>
  <w:style w:type="paragraph" w:customStyle="1" w:styleId="HContent">
    <w:name w:val="H_Content"/>
    <w:basedOn w:val="Heading1"/>
    <w:next w:val="HStandard"/>
    <w:rsid w:val="001924CD"/>
    <w:pPr>
      <w:pageBreakBefore/>
      <w:framePr w:hSpace="0" w:vSpace="0" w:wrap="auto" w:vAnchor="margin" w:hAnchor="text" w:yAlign="inline"/>
      <w:numPr>
        <w:numId w:val="0"/>
      </w:numPr>
      <w:pBdr>
        <w:left w:val="none" w:sz="0" w:space="0" w:color="auto"/>
      </w:pBdr>
      <w:spacing w:before="360" w:after="360" w:line="280" w:lineRule="atLeast"/>
    </w:pPr>
    <w:rPr>
      <w:rFonts w:ascii="Helvetica LT Pro" w:hAnsi="Helvetica LT Pro"/>
      <w:caps/>
      <w:color w:val="F07E31"/>
      <w:sz w:val="20"/>
    </w:rPr>
  </w:style>
  <w:style w:type="paragraph" w:customStyle="1" w:styleId="HHeading1">
    <w:name w:val="H_Heading 1"/>
    <w:next w:val="HStandard"/>
    <w:rsid w:val="001924CD"/>
    <w:pPr>
      <w:keepNext/>
      <w:pageBreakBefore/>
      <w:numPr>
        <w:numId w:val="6"/>
      </w:numPr>
      <w:tabs>
        <w:tab w:val="clear" w:pos="474"/>
        <w:tab w:val="left" w:pos="510"/>
      </w:tabs>
      <w:spacing w:before="360" w:after="360" w:line="280" w:lineRule="atLeast"/>
      <w:ind w:left="510" w:hanging="510"/>
      <w:outlineLvl w:val="0"/>
    </w:pPr>
    <w:rPr>
      <w:rFonts w:ascii="Arial" w:eastAsia="Times New Roman" w:hAnsi="Arial" w:cs="Times New Roman"/>
      <w:b/>
      <w:caps/>
      <w:color w:val="F07E31"/>
      <w:sz w:val="20"/>
      <w:szCs w:val="20"/>
      <w:lang w:val="pl-PL" w:eastAsia="pl-PL" w:bidi="pl-PL"/>
    </w:rPr>
  </w:style>
  <w:style w:type="paragraph" w:customStyle="1" w:styleId="HHeading2">
    <w:name w:val="H_Heading 2"/>
    <w:next w:val="HStandard"/>
    <w:rsid w:val="001924CD"/>
    <w:pPr>
      <w:keepNext/>
      <w:keepLines/>
      <w:numPr>
        <w:ilvl w:val="1"/>
        <w:numId w:val="6"/>
      </w:numPr>
      <w:tabs>
        <w:tab w:val="left" w:pos="510"/>
      </w:tabs>
      <w:spacing w:before="240" w:after="140" w:line="260" w:lineRule="exact"/>
      <w:outlineLvl w:val="1"/>
    </w:pPr>
    <w:rPr>
      <w:rFonts w:ascii="Arial" w:eastAsia="Times New Roman" w:hAnsi="Arial" w:cs="Arial"/>
      <w:b/>
      <w:color w:val="6F6F6F"/>
      <w:sz w:val="20"/>
      <w:szCs w:val="20"/>
      <w:lang w:val="pl-PL" w:eastAsia="pl-PL" w:bidi="pl-PL"/>
    </w:rPr>
  </w:style>
  <w:style w:type="paragraph" w:customStyle="1" w:styleId="HHeading3">
    <w:name w:val="H_Heading 3"/>
    <w:next w:val="HStandard"/>
    <w:rsid w:val="001924CD"/>
    <w:pPr>
      <w:keepNext/>
      <w:keepLines/>
      <w:numPr>
        <w:ilvl w:val="2"/>
        <w:numId w:val="6"/>
      </w:numPr>
      <w:tabs>
        <w:tab w:val="left" w:pos="567"/>
      </w:tabs>
      <w:spacing w:before="240" w:after="140" w:line="240" w:lineRule="exact"/>
      <w:outlineLvl w:val="2"/>
    </w:pPr>
    <w:rPr>
      <w:rFonts w:ascii="Arial" w:eastAsia="Times New Roman" w:hAnsi="Arial" w:cs="Arial"/>
      <w:color w:val="F07E31"/>
      <w:sz w:val="20"/>
      <w:szCs w:val="20"/>
      <w:lang w:val="pl-PL" w:eastAsia="pl-PL" w:bidi="pl-PL"/>
    </w:rPr>
  </w:style>
  <w:style w:type="paragraph" w:customStyle="1" w:styleId="HHeading4">
    <w:name w:val="H_Heading 4"/>
    <w:next w:val="HStandard"/>
    <w:rsid w:val="001924CD"/>
    <w:pPr>
      <w:keepNext/>
      <w:keepLines/>
      <w:numPr>
        <w:ilvl w:val="3"/>
        <w:numId w:val="6"/>
      </w:numPr>
      <w:tabs>
        <w:tab w:val="clear" w:pos="1080"/>
        <w:tab w:val="left" w:pos="680"/>
      </w:tabs>
      <w:spacing w:before="240" w:after="140" w:line="240" w:lineRule="auto"/>
      <w:ind w:left="680" w:hanging="680"/>
      <w:outlineLvl w:val="3"/>
    </w:pPr>
    <w:rPr>
      <w:rFonts w:ascii="Helvetica LT Pro" w:eastAsia="Times New Roman" w:hAnsi="Helvetica LT Pro" w:cs="Times New Roman"/>
      <w:b/>
      <w:color w:val="5F5F5F"/>
      <w:sz w:val="18"/>
      <w:szCs w:val="20"/>
      <w:lang w:val="pl-PL" w:eastAsia="pl-PL" w:bidi="pl-PL"/>
    </w:rPr>
  </w:style>
  <w:style w:type="paragraph" w:customStyle="1" w:styleId="HHeading5">
    <w:name w:val="H_Heading 5"/>
    <w:next w:val="HStandard"/>
    <w:rsid w:val="001924CD"/>
    <w:pPr>
      <w:keepNext/>
      <w:keepLines/>
      <w:spacing w:before="200" w:after="100" w:line="240" w:lineRule="auto"/>
      <w:outlineLvl w:val="4"/>
    </w:pPr>
    <w:rPr>
      <w:rFonts w:ascii="Arial" w:eastAsia="Times New Roman" w:hAnsi="Arial" w:cs="Arial"/>
      <w:b/>
      <w:color w:val="57825E"/>
      <w:sz w:val="20"/>
      <w:szCs w:val="20"/>
      <w:lang w:val="pl-PL" w:eastAsia="pl-PL" w:bidi="pl-PL"/>
    </w:rPr>
  </w:style>
  <w:style w:type="paragraph" w:customStyle="1" w:styleId="HHeading9">
    <w:name w:val="H_Heading 9"/>
    <w:basedOn w:val="HHeading1"/>
    <w:next w:val="HStandard"/>
    <w:rsid w:val="001924CD"/>
    <w:pPr>
      <w:numPr>
        <w:numId w:val="0"/>
      </w:numPr>
    </w:pPr>
    <w:rPr>
      <w:noProof/>
    </w:rPr>
  </w:style>
  <w:style w:type="character" w:styleId="Hyperlink">
    <w:name w:val="Hyperlink"/>
    <w:basedOn w:val="DefaultParagraphFont"/>
    <w:uiPriority w:val="99"/>
    <w:rsid w:val="001924CD"/>
    <w:rPr>
      <w:color w:val="E7E6E6" w:themeColor="background2"/>
      <w:u w:val="single"/>
    </w:rPr>
  </w:style>
  <w:style w:type="paragraph" w:customStyle="1" w:styleId="HStandard">
    <w:name w:val="H_Standard"/>
    <w:rsid w:val="001924CD"/>
    <w:pPr>
      <w:spacing w:after="120" w:line="280" w:lineRule="atLeast"/>
      <w:jc w:val="both"/>
    </w:pPr>
    <w:rPr>
      <w:rFonts w:ascii="Arial" w:eastAsia="Times New Roman" w:hAnsi="Arial" w:cs="Arial"/>
      <w:color w:val="576C88" w:themeColor="text2" w:themeTint="D9"/>
      <w:sz w:val="20"/>
      <w:szCs w:val="20"/>
      <w:lang w:val="pl-PL" w:eastAsia="pl-PL" w:bidi="pl-PL"/>
    </w:rPr>
  </w:style>
  <w:style w:type="paragraph" w:styleId="DocumentMap">
    <w:name w:val="Document Map"/>
    <w:basedOn w:val="Normal"/>
    <w:link w:val="DocumentMapChar"/>
    <w:semiHidden/>
    <w:rsid w:val="001924CD"/>
    <w:pPr>
      <w:shd w:val="clear" w:color="auto" w:fill="000080"/>
      <w:spacing w:before="60" w:after="140" w:line="220" w:lineRule="atLeast"/>
      <w:jc w:val="both"/>
    </w:pPr>
    <w:rPr>
      <w:rFonts w:ascii="Tahoma" w:eastAsia="Times New Roman" w:hAnsi="Tahoma" w:cs="Tahoma"/>
      <w:sz w:val="18"/>
      <w:szCs w:val="24"/>
      <w:lang w:val="pl-PL" w:eastAsia="pl-PL" w:bidi="pl-PL"/>
    </w:rPr>
  </w:style>
  <w:style w:type="character" w:customStyle="1" w:styleId="DocumentMapChar">
    <w:name w:val="Document Map Char"/>
    <w:basedOn w:val="DefaultParagraphFont"/>
    <w:link w:val="DocumentMap"/>
    <w:semiHidden/>
    <w:rsid w:val="001924CD"/>
    <w:rPr>
      <w:rFonts w:ascii="Tahoma" w:eastAsia="Times New Roman" w:hAnsi="Tahoma" w:cs="Tahoma"/>
      <w:sz w:val="18"/>
      <w:szCs w:val="24"/>
      <w:shd w:val="clear" w:color="auto" w:fill="000080"/>
      <w:lang w:val="pl-PL" w:eastAsia="pl-PL" w:bidi="pl-PL"/>
    </w:rPr>
  </w:style>
  <w:style w:type="paragraph" w:styleId="BalloonText">
    <w:name w:val="Balloon Text"/>
    <w:basedOn w:val="Normal"/>
    <w:link w:val="BalloonTextChar"/>
    <w:uiPriority w:val="99"/>
    <w:semiHidden/>
    <w:unhideWhenUsed/>
    <w:rsid w:val="001924CD"/>
    <w:pPr>
      <w:spacing w:after="0" w:line="240" w:lineRule="auto"/>
      <w:jc w:val="both"/>
    </w:pPr>
    <w:rPr>
      <w:rFonts w:ascii="Tahoma" w:eastAsia="Times New Roman" w:hAnsi="Tahoma" w:cs="Tahoma"/>
      <w:sz w:val="16"/>
      <w:szCs w:val="16"/>
      <w:lang w:val="pl-PL" w:eastAsia="pl-PL" w:bidi="pl-PL"/>
    </w:rPr>
  </w:style>
  <w:style w:type="character" w:customStyle="1" w:styleId="BalloonTextChar">
    <w:name w:val="Balloon Text Char"/>
    <w:basedOn w:val="DefaultParagraphFont"/>
    <w:link w:val="BalloonText"/>
    <w:uiPriority w:val="99"/>
    <w:semiHidden/>
    <w:rsid w:val="001924CD"/>
    <w:rPr>
      <w:rFonts w:ascii="Tahoma" w:eastAsia="Times New Roman" w:hAnsi="Tahoma" w:cs="Tahoma"/>
      <w:sz w:val="16"/>
      <w:szCs w:val="16"/>
      <w:lang w:val="pl-PL" w:eastAsia="pl-PL" w:bidi="pl-PL"/>
    </w:rPr>
  </w:style>
  <w:style w:type="table" w:styleId="TableGrid">
    <w:name w:val="Table Grid"/>
    <w:basedOn w:val="TableNormal"/>
    <w:uiPriority w:val="59"/>
    <w:rsid w:val="001924CD"/>
    <w:pPr>
      <w:spacing w:after="0" w:line="240" w:lineRule="auto"/>
    </w:pPr>
    <w:rPr>
      <w:rFonts w:ascii="Times New Roman" w:eastAsia="Times New Roman" w:hAnsi="Times New Roman" w:cs="Times New Roman"/>
      <w:sz w:val="20"/>
      <w:szCs w:val="20"/>
      <w:lang w:val="pl-PL" w:eastAsia="pl-PL" w:bidi="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Headingtables">
    <w:name w:val="H_Heading_tables"/>
    <w:next w:val="HStandard"/>
    <w:qFormat/>
    <w:rsid w:val="001924CD"/>
    <w:pPr>
      <w:numPr>
        <w:numId w:val="7"/>
      </w:numPr>
      <w:spacing w:before="200" w:after="140" w:line="240" w:lineRule="auto"/>
      <w:ind w:left="0"/>
    </w:pPr>
    <w:rPr>
      <w:rFonts w:ascii="Arial" w:eastAsia="Times New Roman" w:hAnsi="Arial" w:cs="Arial"/>
      <w:b/>
      <w:color w:val="576C88" w:themeColor="text2" w:themeTint="D9"/>
      <w:sz w:val="16"/>
      <w:szCs w:val="20"/>
      <w:lang w:val="pl-PL" w:eastAsia="pl-PL" w:bidi="pl-PL"/>
    </w:rPr>
  </w:style>
  <w:style w:type="paragraph" w:customStyle="1" w:styleId="HHeadingfigures">
    <w:name w:val="H_Heading_figures"/>
    <w:basedOn w:val="HHeadingtables"/>
    <w:next w:val="HStandard"/>
    <w:qFormat/>
    <w:rsid w:val="001924CD"/>
    <w:pPr>
      <w:numPr>
        <w:numId w:val="8"/>
      </w:numPr>
      <w:ind w:left="0"/>
    </w:pPr>
  </w:style>
  <w:style w:type="paragraph" w:customStyle="1" w:styleId="HHeadingmaps">
    <w:name w:val="H_Heading_maps"/>
    <w:basedOn w:val="HHeadingtables"/>
    <w:next w:val="HStandard"/>
    <w:qFormat/>
    <w:rsid w:val="001924CD"/>
    <w:pPr>
      <w:keepNext/>
      <w:keepLines/>
      <w:numPr>
        <w:numId w:val="9"/>
      </w:numPr>
      <w:outlineLvl w:val="5"/>
    </w:pPr>
    <w:rPr>
      <w:b w:val="0"/>
    </w:rPr>
  </w:style>
  <w:style w:type="paragraph" w:customStyle="1" w:styleId="HHeadingboxes">
    <w:name w:val="H_Heading_boxes"/>
    <w:basedOn w:val="HHeadingtables"/>
    <w:next w:val="HStandard"/>
    <w:qFormat/>
    <w:rsid w:val="001924CD"/>
    <w:pPr>
      <w:numPr>
        <w:numId w:val="10"/>
      </w:numPr>
    </w:pPr>
  </w:style>
  <w:style w:type="paragraph" w:customStyle="1" w:styleId="HBox">
    <w:name w:val="H_Box"/>
    <w:next w:val="HStandard"/>
    <w:qFormat/>
    <w:rsid w:val="001924CD"/>
    <w:pPr>
      <w:pBdr>
        <w:top w:val="single" w:sz="4" w:space="4" w:color="auto"/>
        <w:left w:val="single" w:sz="4" w:space="4" w:color="auto"/>
        <w:bottom w:val="single" w:sz="4" w:space="4" w:color="auto"/>
        <w:right w:val="single" w:sz="4" w:space="4" w:color="auto"/>
      </w:pBdr>
      <w:shd w:val="pct10" w:color="auto" w:fill="auto"/>
      <w:spacing w:after="0" w:line="240" w:lineRule="auto"/>
      <w:jc w:val="both"/>
    </w:pPr>
    <w:rPr>
      <w:rFonts w:ascii="Arial" w:eastAsia="Times New Roman" w:hAnsi="Arial" w:cs="Times New Roman"/>
      <w:color w:val="262626"/>
      <w:sz w:val="20"/>
      <w:szCs w:val="20"/>
      <w:lang w:val="pl-PL" w:eastAsia="pl-PL" w:bidi="pl-PL"/>
    </w:rPr>
  </w:style>
  <w:style w:type="paragraph" w:customStyle="1" w:styleId="HBoxbullet">
    <w:name w:val="H_Box_bullet"/>
    <w:next w:val="HStandard"/>
    <w:qFormat/>
    <w:rsid w:val="001924CD"/>
    <w:pPr>
      <w:numPr>
        <w:numId w:val="11"/>
      </w:numPr>
      <w:pBdr>
        <w:top w:val="single" w:sz="4" w:space="4" w:color="auto"/>
        <w:left w:val="single" w:sz="4" w:space="8" w:color="auto"/>
        <w:bottom w:val="single" w:sz="4" w:space="4" w:color="auto"/>
        <w:right w:val="single" w:sz="4" w:space="4" w:color="auto"/>
      </w:pBdr>
      <w:shd w:val="pct10" w:color="auto" w:fill="auto"/>
      <w:spacing w:after="0" w:line="240" w:lineRule="auto"/>
      <w:ind w:left="364" w:hanging="284"/>
      <w:jc w:val="both"/>
    </w:pPr>
    <w:rPr>
      <w:rFonts w:ascii="Helvetica LT Pro Light" w:eastAsia="Times New Roman" w:hAnsi="Helvetica LT Pro Light" w:cs="Times New Roman"/>
      <w:sz w:val="20"/>
      <w:szCs w:val="20"/>
      <w:lang w:val="pl-PL" w:eastAsia="pl-PL" w:bidi="pl-PL"/>
    </w:rPr>
  </w:style>
  <w:style w:type="paragraph" w:customStyle="1" w:styleId="Hdisclaimer">
    <w:name w:val="H_disclaimer"/>
    <w:qFormat/>
    <w:rsid w:val="001924CD"/>
    <w:pPr>
      <w:spacing w:after="120" w:line="280" w:lineRule="atLeast"/>
      <w:jc w:val="both"/>
    </w:pPr>
    <w:rPr>
      <w:rFonts w:ascii="Helvetica LT Pro Light" w:eastAsia="Times New Roman" w:hAnsi="Helvetica LT Pro Light" w:cs="Arial"/>
      <w:color w:val="6F6F6F"/>
      <w:sz w:val="18"/>
      <w:szCs w:val="18"/>
      <w:lang w:val="pl-PL" w:eastAsia="pl-PL" w:bidi="pl-PL"/>
    </w:rPr>
  </w:style>
  <w:style w:type="paragraph" w:styleId="EndnoteText">
    <w:name w:val="endnote text"/>
    <w:basedOn w:val="Normal"/>
    <w:link w:val="EndnoteTextChar"/>
    <w:uiPriority w:val="99"/>
    <w:semiHidden/>
    <w:unhideWhenUsed/>
    <w:rsid w:val="001924CD"/>
    <w:pPr>
      <w:spacing w:after="0" w:line="240" w:lineRule="auto"/>
      <w:jc w:val="both"/>
    </w:pPr>
    <w:rPr>
      <w:rFonts w:ascii="Arial" w:eastAsia="Times New Roman" w:hAnsi="Arial" w:cs="Times New Roman"/>
      <w:sz w:val="20"/>
      <w:szCs w:val="20"/>
      <w:lang w:val="pl-PL" w:eastAsia="pl-PL" w:bidi="pl-PL"/>
    </w:rPr>
  </w:style>
  <w:style w:type="character" w:customStyle="1" w:styleId="EndnoteTextChar">
    <w:name w:val="Endnote Text Char"/>
    <w:basedOn w:val="DefaultParagraphFont"/>
    <w:link w:val="EndnoteText"/>
    <w:uiPriority w:val="99"/>
    <w:semiHidden/>
    <w:rsid w:val="001924CD"/>
    <w:rPr>
      <w:rFonts w:ascii="Arial" w:eastAsia="Times New Roman" w:hAnsi="Arial" w:cs="Times New Roman"/>
      <w:sz w:val="20"/>
      <w:szCs w:val="20"/>
      <w:lang w:val="pl-PL" w:eastAsia="pl-PL" w:bidi="pl-PL"/>
    </w:rPr>
  </w:style>
  <w:style w:type="character" w:styleId="EndnoteReference">
    <w:name w:val="endnote reference"/>
    <w:basedOn w:val="DefaultParagraphFont"/>
    <w:uiPriority w:val="99"/>
    <w:semiHidden/>
    <w:unhideWhenUsed/>
    <w:rsid w:val="001924CD"/>
    <w:rPr>
      <w:vertAlign w:val="superscript"/>
    </w:rPr>
  </w:style>
  <w:style w:type="character" w:styleId="CommentReference">
    <w:name w:val="annotation reference"/>
    <w:basedOn w:val="DefaultParagraphFont"/>
    <w:uiPriority w:val="99"/>
    <w:semiHidden/>
    <w:unhideWhenUsed/>
    <w:rsid w:val="001924CD"/>
    <w:rPr>
      <w:sz w:val="16"/>
      <w:szCs w:val="16"/>
    </w:rPr>
  </w:style>
  <w:style w:type="paragraph" w:styleId="CommentText">
    <w:name w:val="annotation text"/>
    <w:basedOn w:val="Normal"/>
    <w:link w:val="CommentTextChar"/>
    <w:uiPriority w:val="99"/>
    <w:semiHidden/>
    <w:unhideWhenUsed/>
    <w:rsid w:val="001924CD"/>
    <w:pPr>
      <w:spacing w:before="60" w:after="140" w:line="240" w:lineRule="auto"/>
      <w:jc w:val="both"/>
    </w:pPr>
    <w:rPr>
      <w:rFonts w:ascii="Arial" w:eastAsia="Times New Roman" w:hAnsi="Arial" w:cs="Times New Roman"/>
      <w:sz w:val="20"/>
      <w:szCs w:val="20"/>
      <w:lang w:val="pl-PL" w:eastAsia="pl-PL" w:bidi="pl-PL"/>
    </w:rPr>
  </w:style>
  <w:style w:type="character" w:customStyle="1" w:styleId="CommentTextChar">
    <w:name w:val="Comment Text Char"/>
    <w:basedOn w:val="DefaultParagraphFont"/>
    <w:link w:val="CommentText"/>
    <w:uiPriority w:val="99"/>
    <w:rsid w:val="001924CD"/>
    <w:rPr>
      <w:rFonts w:ascii="Arial" w:eastAsia="Times New Roman" w:hAnsi="Arial" w:cs="Times New Roman"/>
      <w:sz w:val="20"/>
      <w:szCs w:val="20"/>
      <w:lang w:val="pl-PL" w:eastAsia="pl-PL" w:bidi="pl-PL"/>
    </w:rPr>
  </w:style>
  <w:style w:type="paragraph" w:styleId="CommentSubject">
    <w:name w:val="annotation subject"/>
    <w:basedOn w:val="CommentText"/>
    <w:next w:val="CommentText"/>
    <w:link w:val="CommentSubjectChar"/>
    <w:uiPriority w:val="99"/>
    <w:semiHidden/>
    <w:unhideWhenUsed/>
    <w:rsid w:val="001924CD"/>
    <w:rPr>
      <w:b/>
      <w:bCs/>
    </w:rPr>
  </w:style>
  <w:style w:type="character" w:customStyle="1" w:styleId="CommentSubjectChar">
    <w:name w:val="Comment Subject Char"/>
    <w:basedOn w:val="CommentTextChar"/>
    <w:link w:val="CommentSubject"/>
    <w:uiPriority w:val="99"/>
    <w:semiHidden/>
    <w:rsid w:val="001924CD"/>
    <w:rPr>
      <w:rFonts w:ascii="Arial" w:eastAsia="Times New Roman" w:hAnsi="Arial" w:cs="Times New Roman"/>
      <w:b/>
      <w:bCs/>
      <w:sz w:val="20"/>
      <w:szCs w:val="20"/>
      <w:lang w:val="pl-PL" w:eastAsia="pl-PL" w:bidi="pl-PL"/>
    </w:rPr>
  </w:style>
  <w:style w:type="character" w:customStyle="1" w:styleId="FootnoteTextChar1">
    <w:name w:val="Footnote Text Char1"/>
    <w:aliases w:val="Fußnote Char,Geneva 9 Char,Font: Geneva 9 Char,Boston 10 Char,f Char,ft Char,Footnote Text Char Char Char Char Char Char Char Char Char Char Char,Footnote Text Char Char Char,Footnote Text2 Char"/>
    <w:basedOn w:val="DefaultParagraphFont"/>
    <w:link w:val="FootnoteText"/>
    <w:rsid w:val="001924CD"/>
    <w:rPr>
      <w:rFonts w:ascii="Arial" w:eastAsia="Times New Roman" w:hAnsi="Arial" w:cs="Times New Roman"/>
      <w:color w:val="808080"/>
      <w:sz w:val="16"/>
      <w:szCs w:val="20"/>
      <w:lang w:val="pl-PL" w:eastAsia="pl-PL" w:bidi="pl-PL"/>
    </w:rPr>
  </w:style>
  <w:style w:type="paragraph" w:styleId="ListParagraph">
    <w:name w:val="List Paragraph"/>
    <w:basedOn w:val="Normal"/>
    <w:uiPriority w:val="34"/>
    <w:qFormat/>
    <w:rsid w:val="001924CD"/>
    <w:pPr>
      <w:ind w:left="720"/>
      <w:contextualSpacing/>
    </w:pPr>
    <w:rPr>
      <w:lang w:val="pl-PL" w:eastAsia="pl-PL" w:bidi="pl-PL"/>
    </w:rPr>
  </w:style>
  <w:style w:type="paragraph" w:customStyle="1" w:styleId="Default">
    <w:name w:val="Default"/>
    <w:rsid w:val="001924CD"/>
    <w:pPr>
      <w:autoSpaceDE w:val="0"/>
      <w:autoSpaceDN w:val="0"/>
      <w:adjustRightInd w:val="0"/>
      <w:spacing w:after="0" w:line="240" w:lineRule="auto"/>
    </w:pPr>
    <w:rPr>
      <w:rFonts w:ascii="EUAlbertina" w:hAnsi="EUAlbertina" w:cs="EUAlbertina"/>
      <w:color w:val="000000"/>
      <w:sz w:val="24"/>
      <w:szCs w:val="24"/>
      <w:lang w:val="pl-PL" w:eastAsia="pl-PL" w:bidi="pl-PL"/>
    </w:rPr>
  </w:style>
  <w:style w:type="paragraph" w:styleId="Caption">
    <w:name w:val="caption"/>
    <w:aliases w:val="Table"/>
    <w:basedOn w:val="Normal"/>
    <w:next w:val="Normal"/>
    <w:link w:val="CaptionChar"/>
    <w:qFormat/>
    <w:rsid w:val="001924CD"/>
    <w:pPr>
      <w:keepNext/>
      <w:keepLines/>
      <w:spacing w:after="120" w:line="240" w:lineRule="auto"/>
      <w:jc w:val="both"/>
    </w:pPr>
    <w:rPr>
      <w:rFonts w:ascii="Arial" w:eastAsia="Times New Roman" w:hAnsi="Arial" w:cs="Times New Roman"/>
      <w:b/>
      <w:bCs/>
      <w:sz w:val="16"/>
      <w:szCs w:val="20"/>
      <w:lang w:val="pl-PL" w:eastAsia="pl-PL" w:bidi="pl-PL"/>
    </w:rPr>
  </w:style>
  <w:style w:type="character" w:customStyle="1" w:styleId="CaptionChar">
    <w:name w:val="Caption Char"/>
    <w:aliases w:val="Table Char"/>
    <w:link w:val="Caption"/>
    <w:locked/>
    <w:rsid w:val="001924CD"/>
    <w:rPr>
      <w:rFonts w:ascii="Arial" w:eastAsia="Times New Roman" w:hAnsi="Arial" w:cs="Times New Roman"/>
      <w:b/>
      <w:bCs/>
      <w:sz w:val="16"/>
      <w:szCs w:val="20"/>
      <w:lang w:val="pl-PL" w:eastAsia="pl-PL" w:bidi="pl-PL"/>
    </w:rPr>
  </w:style>
  <w:style w:type="paragraph" w:styleId="Subtitle">
    <w:name w:val="Subtitle"/>
    <w:basedOn w:val="Normal"/>
    <w:next w:val="Normal"/>
    <w:link w:val="SubtitleChar"/>
    <w:uiPriority w:val="11"/>
    <w:qFormat/>
    <w:rsid w:val="001924CD"/>
    <w:pPr>
      <w:numPr>
        <w:ilvl w:val="1"/>
      </w:numPr>
    </w:pPr>
    <w:rPr>
      <w:rFonts w:eastAsiaTheme="minorEastAsia"/>
      <w:color w:val="5A5A5A" w:themeColor="text1" w:themeTint="A5"/>
      <w:spacing w:val="15"/>
      <w:lang w:val="pl-PL" w:eastAsia="pl-PL" w:bidi="pl-PL"/>
    </w:rPr>
  </w:style>
  <w:style w:type="character" w:customStyle="1" w:styleId="SubtitleChar">
    <w:name w:val="Subtitle Char"/>
    <w:basedOn w:val="DefaultParagraphFont"/>
    <w:link w:val="Subtitle"/>
    <w:uiPriority w:val="11"/>
    <w:rsid w:val="001924CD"/>
    <w:rPr>
      <w:rFonts w:eastAsiaTheme="minorEastAsia"/>
      <w:color w:val="5A5A5A" w:themeColor="text1" w:themeTint="A5"/>
      <w:spacing w:val="15"/>
      <w:lang w:val="pl-PL" w:eastAsia="pl-PL" w:bidi="pl-PL"/>
    </w:rPr>
  </w:style>
  <w:style w:type="character" w:styleId="Emphasis">
    <w:name w:val="Emphasis"/>
    <w:basedOn w:val="DefaultParagraphFont"/>
    <w:uiPriority w:val="20"/>
    <w:qFormat/>
    <w:rsid w:val="001924CD"/>
    <w:rPr>
      <w:i/>
      <w:iCs/>
    </w:rPr>
  </w:style>
  <w:style w:type="paragraph" w:styleId="NormalWeb">
    <w:name w:val="Normal (Web)"/>
    <w:basedOn w:val="Normal"/>
    <w:uiPriority w:val="99"/>
    <w:semiHidden/>
    <w:unhideWhenUsed/>
    <w:rsid w:val="001924CD"/>
    <w:pPr>
      <w:spacing w:before="100" w:beforeAutospacing="1" w:after="100" w:afterAutospacing="1" w:line="240" w:lineRule="auto"/>
    </w:pPr>
    <w:rPr>
      <w:rFonts w:ascii="Times New Roman" w:eastAsia="Times New Roman" w:hAnsi="Times New Roman" w:cs="Times New Roman"/>
      <w:sz w:val="24"/>
      <w:szCs w:val="24"/>
      <w:lang w:val="pl-PL" w:eastAsia="pl-PL" w:bidi="pl-PL"/>
    </w:rPr>
  </w:style>
  <w:style w:type="character" w:styleId="IntenseEmphasis">
    <w:name w:val="Intense Emphasis"/>
    <w:basedOn w:val="DefaultParagraphFont"/>
    <w:uiPriority w:val="21"/>
    <w:qFormat/>
    <w:rsid w:val="001924CD"/>
    <w:rPr>
      <w:i/>
      <w:iCs/>
      <w:color w:val="5B9BD5" w:themeColor="accent1"/>
    </w:rPr>
  </w:style>
  <w:style w:type="character" w:styleId="IntenseReference">
    <w:name w:val="Intense Reference"/>
    <w:basedOn w:val="DefaultParagraphFont"/>
    <w:uiPriority w:val="32"/>
    <w:qFormat/>
    <w:rsid w:val="001924CD"/>
    <w:rPr>
      <w:b/>
      <w:bCs/>
      <w:smallCaps/>
      <w:color w:val="5B9BD5" w:themeColor="accent1"/>
      <w:spacing w:val="5"/>
    </w:rPr>
  </w:style>
  <w:style w:type="paragraph" w:styleId="Title">
    <w:name w:val="Title"/>
    <w:basedOn w:val="Normal"/>
    <w:link w:val="TitleChar"/>
    <w:qFormat/>
    <w:rsid w:val="001924CD"/>
    <w:pPr>
      <w:spacing w:before="240" w:after="60" w:line="240" w:lineRule="auto"/>
      <w:outlineLvl w:val="4"/>
    </w:pPr>
    <w:rPr>
      <w:rFonts w:ascii="Arial" w:eastAsia="Times New Roman" w:hAnsi="Arial" w:cs="Times New Roman"/>
      <w:b/>
      <w:i/>
      <w:snapToGrid w:val="0"/>
      <w:color w:val="749B29"/>
      <w:kern w:val="28"/>
      <w:sz w:val="20"/>
      <w:szCs w:val="20"/>
      <w:lang w:val="pl-PL" w:eastAsia="pl-PL" w:bidi="pl-PL"/>
    </w:rPr>
  </w:style>
  <w:style w:type="character" w:customStyle="1" w:styleId="TitleChar">
    <w:name w:val="Title Char"/>
    <w:basedOn w:val="DefaultParagraphFont"/>
    <w:link w:val="Title"/>
    <w:rsid w:val="001924CD"/>
    <w:rPr>
      <w:rFonts w:ascii="Arial" w:eastAsia="Times New Roman" w:hAnsi="Arial" w:cs="Times New Roman"/>
      <w:b/>
      <w:i/>
      <w:snapToGrid w:val="0"/>
      <w:color w:val="749B29"/>
      <w:kern w:val="28"/>
      <w:sz w:val="20"/>
      <w:szCs w:val="20"/>
      <w:lang w:val="pl-PL" w:eastAsia="pl-PL" w:bidi="pl-PL"/>
    </w:rPr>
  </w:style>
  <w:style w:type="paragraph" w:styleId="BodyText2">
    <w:name w:val="Body Text 2"/>
    <w:basedOn w:val="Normal"/>
    <w:link w:val="BodyText2Char"/>
    <w:rsid w:val="001924CD"/>
    <w:pPr>
      <w:spacing w:after="0" w:line="240" w:lineRule="auto"/>
      <w:jc w:val="both"/>
    </w:pPr>
    <w:rPr>
      <w:rFonts w:ascii="Times New Roman" w:eastAsia="Times New Roman" w:hAnsi="Times New Roman" w:cs="Times New Roman"/>
      <w:sz w:val="24"/>
      <w:szCs w:val="20"/>
      <w:lang w:val="pl-PL" w:eastAsia="pl-PL" w:bidi="pl-PL"/>
    </w:rPr>
  </w:style>
  <w:style w:type="character" w:customStyle="1" w:styleId="BodyText2Char">
    <w:name w:val="Body Text 2 Char"/>
    <w:basedOn w:val="DefaultParagraphFont"/>
    <w:link w:val="BodyText2"/>
    <w:rsid w:val="001924CD"/>
    <w:rPr>
      <w:rFonts w:ascii="Times New Roman" w:eastAsia="Times New Roman" w:hAnsi="Times New Roman" w:cs="Times New Roman"/>
      <w:sz w:val="24"/>
      <w:szCs w:val="20"/>
      <w:lang w:val="pl-PL" w:eastAsia="pl-PL" w:bidi="pl-PL"/>
    </w:rPr>
  </w:style>
  <w:style w:type="paragraph" w:styleId="BodyText">
    <w:name w:val="Body Text"/>
    <w:basedOn w:val="Normal"/>
    <w:link w:val="BodyTextChar"/>
    <w:uiPriority w:val="99"/>
    <w:rsid w:val="001924CD"/>
    <w:pPr>
      <w:spacing w:after="120" w:line="240" w:lineRule="auto"/>
      <w:jc w:val="both"/>
    </w:pPr>
    <w:rPr>
      <w:rFonts w:ascii="Arial" w:eastAsia="Times New Roman" w:hAnsi="Arial" w:cs="Times New Roman"/>
      <w:sz w:val="18"/>
      <w:szCs w:val="20"/>
      <w:lang w:val="pl-PL" w:eastAsia="pl-PL" w:bidi="pl-PL"/>
    </w:rPr>
  </w:style>
  <w:style w:type="character" w:customStyle="1" w:styleId="BodyTextChar">
    <w:name w:val="Body Text Char"/>
    <w:basedOn w:val="DefaultParagraphFont"/>
    <w:link w:val="BodyText"/>
    <w:uiPriority w:val="99"/>
    <w:rsid w:val="001924CD"/>
    <w:rPr>
      <w:rFonts w:ascii="Arial" w:eastAsia="Times New Roman" w:hAnsi="Arial" w:cs="Times New Roman"/>
      <w:sz w:val="18"/>
      <w:szCs w:val="20"/>
      <w:lang w:val="pl-PL" w:eastAsia="pl-PL" w:bidi="pl-PL"/>
    </w:rPr>
  </w:style>
  <w:style w:type="paragraph" w:customStyle="1" w:styleId="Cuerpo">
    <w:name w:val="Cuerpo"/>
    <w:rsid w:val="001924CD"/>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val="pl-PL" w:eastAsia="pl-PL" w:bidi="pl-PL"/>
    </w:rPr>
  </w:style>
  <w:style w:type="paragraph" w:styleId="Revision">
    <w:name w:val="Revision"/>
    <w:hidden/>
    <w:uiPriority w:val="99"/>
    <w:semiHidden/>
    <w:rsid w:val="001924CD"/>
    <w:pPr>
      <w:spacing w:after="0" w:line="240" w:lineRule="auto"/>
    </w:pPr>
    <w:rPr>
      <w:lang w:val="pl-PL" w:eastAsia="pl-PL" w:bidi="pl-PL"/>
    </w:rPr>
  </w:style>
  <w:style w:type="paragraph" w:customStyle="1" w:styleId="CM4">
    <w:name w:val="CM4"/>
    <w:basedOn w:val="Normal"/>
    <w:next w:val="Normal"/>
    <w:uiPriority w:val="99"/>
    <w:rsid w:val="001924CD"/>
    <w:pPr>
      <w:autoSpaceDE w:val="0"/>
      <w:autoSpaceDN w:val="0"/>
      <w:adjustRightInd w:val="0"/>
      <w:spacing w:after="0" w:line="240" w:lineRule="auto"/>
    </w:pPr>
    <w:rPr>
      <w:rFonts w:ascii="EUAlbertina" w:eastAsia="Times New Roman" w:hAnsi="EUAlbertina" w:cs="Times New Roman"/>
      <w:sz w:val="24"/>
      <w:szCs w:val="24"/>
      <w:lang w:val="pl-PL" w:eastAsia="pl-PL" w:bidi="pl-PL"/>
    </w:rPr>
  </w:style>
  <w:style w:type="table" w:styleId="LightList-Accent3">
    <w:name w:val="Light List Accent 3"/>
    <w:basedOn w:val="TableNormal"/>
    <w:uiPriority w:val="61"/>
    <w:rsid w:val="001924CD"/>
    <w:pPr>
      <w:spacing w:after="0" w:line="240" w:lineRule="auto"/>
    </w:pPr>
    <w:rPr>
      <w:rFonts w:ascii="Times New Roman" w:eastAsia="Times New Roman" w:hAnsi="Times New Roman" w:cs="Times New Roman"/>
      <w:sz w:val="20"/>
      <w:szCs w:val="20"/>
      <w:lang w:val="pl-PL" w:eastAsia="pl-PL" w:bidi="pl-PL"/>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Style2">
    <w:name w:val="Style2"/>
    <w:basedOn w:val="NoSpacing"/>
    <w:link w:val="Style2Char"/>
    <w:qFormat/>
    <w:rsid w:val="001924CD"/>
    <w:pPr>
      <w:numPr>
        <w:numId w:val="12"/>
      </w:numPr>
      <w:pBdr>
        <w:top w:val="nil"/>
        <w:left w:val="nil"/>
        <w:bottom w:val="nil"/>
        <w:right w:val="nil"/>
        <w:between w:val="nil"/>
        <w:bar w:val="nil"/>
      </w:pBdr>
    </w:pPr>
    <w:rPr>
      <w:rFonts w:ascii="Calibri" w:eastAsia="Arial Unicode MS" w:hAnsi="Calibri" w:cs="Calibri"/>
      <w:bdr w:val="nil"/>
    </w:rPr>
  </w:style>
  <w:style w:type="character" w:customStyle="1" w:styleId="Style2Char">
    <w:name w:val="Style2 Char"/>
    <w:basedOn w:val="DefaultParagraphFont"/>
    <w:link w:val="Style2"/>
    <w:rsid w:val="001924CD"/>
    <w:rPr>
      <w:rFonts w:ascii="Calibri" w:eastAsia="Arial Unicode MS" w:hAnsi="Calibri" w:cs="Calibri"/>
      <w:bdr w:val="nil"/>
      <w:lang w:val="pl-PL" w:eastAsia="pl-PL" w:bidi="pl-PL"/>
    </w:rPr>
  </w:style>
  <w:style w:type="paragraph" w:styleId="NoSpacing">
    <w:name w:val="No Spacing"/>
    <w:uiPriority w:val="1"/>
    <w:qFormat/>
    <w:rsid w:val="001924CD"/>
    <w:pPr>
      <w:spacing w:after="0" w:line="240" w:lineRule="auto"/>
    </w:pPr>
    <w:rPr>
      <w:lang w:val="pl-PL" w:eastAsia="pl-PL" w:bidi="pl-PL"/>
    </w:rPr>
  </w:style>
  <w:style w:type="table" w:customStyle="1" w:styleId="TableGrid2">
    <w:name w:val="Table Grid2"/>
    <w:basedOn w:val="TableNormal"/>
    <w:next w:val="TableGrid"/>
    <w:uiPriority w:val="39"/>
    <w:rsid w:val="001924CD"/>
    <w:pPr>
      <w:spacing w:after="0" w:line="240" w:lineRule="auto"/>
    </w:pPr>
    <w:rPr>
      <w:lang w:val="pl-PL" w:eastAsia="pl-PL" w:bidi="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1924CD"/>
  </w:style>
  <w:style w:type="table" w:customStyle="1" w:styleId="Mriekatabuky1">
    <w:name w:val="Mriežka tabuľky1"/>
    <w:basedOn w:val="TableNormal"/>
    <w:next w:val="TableGrid"/>
    <w:uiPriority w:val="59"/>
    <w:rsid w:val="001924CD"/>
    <w:pPr>
      <w:spacing w:after="0" w:line="240" w:lineRule="auto"/>
    </w:pPr>
    <w:rPr>
      <w:rFonts w:ascii="Calibri" w:eastAsia="Times New Roman" w:hAnsi="Calibri" w:cs="Times New Roman"/>
      <w:sz w:val="24"/>
      <w:szCs w:val="24"/>
      <w:lang w:val="pl-PL" w:eastAsia="pl-PL" w:bidi="pl-P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LightShading-Accent2">
    <w:name w:val="Light Shading Accent 2"/>
    <w:basedOn w:val="TableNormal"/>
    <w:uiPriority w:val="60"/>
    <w:rsid w:val="001924CD"/>
    <w:pPr>
      <w:spacing w:after="0" w:line="240" w:lineRule="auto"/>
    </w:pPr>
    <w:rPr>
      <w:rFonts w:ascii="Times New Roman" w:eastAsia="Times New Roman" w:hAnsi="Times New Roman" w:cs="Times New Roman"/>
      <w:color w:val="C45911" w:themeColor="accent2" w:themeShade="BF"/>
      <w:sz w:val="20"/>
      <w:szCs w:val="20"/>
      <w:lang w:val="pl-PL" w:eastAsia="pl-PL" w:bidi="pl-PL"/>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1924CD"/>
    <w:pPr>
      <w:spacing w:after="0" w:line="240" w:lineRule="auto"/>
    </w:pPr>
    <w:rPr>
      <w:rFonts w:ascii="Times New Roman" w:eastAsia="Times New Roman" w:hAnsi="Times New Roman" w:cs="Times New Roman"/>
      <w:color w:val="7B7B7B" w:themeColor="accent3" w:themeShade="BF"/>
      <w:sz w:val="20"/>
      <w:szCs w:val="20"/>
      <w:lang w:val="pl-PL" w:eastAsia="pl-PL" w:bidi="pl-PL"/>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List-Accent5">
    <w:name w:val="Light List Accent 5"/>
    <w:basedOn w:val="TableNormal"/>
    <w:uiPriority w:val="61"/>
    <w:rsid w:val="001924CD"/>
    <w:pPr>
      <w:spacing w:after="0" w:line="240" w:lineRule="auto"/>
    </w:pPr>
    <w:rPr>
      <w:rFonts w:ascii="Times New Roman" w:eastAsia="Times New Roman" w:hAnsi="Times New Roman" w:cs="Times New Roman"/>
      <w:sz w:val="20"/>
      <w:szCs w:val="20"/>
      <w:lang w:val="pl-PL" w:eastAsia="pl-PL" w:bidi="pl-PL"/>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styleId="FollowedHyperlink">
    <w:name w:val="FollowedHyperlink"/>
    <w:basedOn w:val="DefaultParagraphFont"/>
    <w:uiPriority w:val="99"/>
    <w:semiHidden/>
    <w:unhideWhenUsed/>
    <w:rsid w:val="001924CD"/>
    <w:rPr>
      <w:color w:val="954F72" w:themeColor="followedHyperlink"/>
      <w:u w:val="single"/>
    </w:rPr>
  </w:style>
  <w:style w:type="paragraph" w:customStyle="1" w:styleId="Normal1">
    <w:name w:val="Normal1"/>
    <w:next w:val="Normal"/>
    <w:rsid w:val="001924CD"/>
    <w:pPr>
      <w:numPr>
        <w:numId w:val="20"/>
      </w:numPr>
      <w:spacing w:after="120" w:line="280" w:lineRule="atLeast"/>
      <w:jc w:val="both"/>
    </w:pPr>
    <w:rPr>
      <w:rFonts w:ascii="Arial" w:eastAsia="Times New Roman" w:hAnsi="Arial" w:cs="Times New Roman"/>
      <w:sz w:val="20"/>
      <w:lang w:val="pl-PL" w:eastAsia="pl-PL" w:bidi="pl-PL"/>
    </w:rPr>
  </w:style>
  <w:style w:type="character" w:customStyle="1" w:styleId="FootnoteTextChar2">
    <w:name w:val="Footnote Text Char2"/>
    <w:aliases w:val="Fußnote Char1,Geneva 9 Char1,Font: Geneva 9 Char1,Boston 10 Char1,f Char1,ft Char1,Footnote Text Char Char Char Char Char Char Char Char Char Char Char1,Footnote Text Char Char Char1,Footnote Text2 Char1"/>
    <w:locked/>
    <w:rsid w:val="001924CD"/>
    <w:rPr>
      <w:rFonts w:ascii="Arial" w:hAnsi="Arial" w:cs="Times New Roman"/>
      <w:sz w:val="16"/>
      <w:lang w:val="pl-PL" w:eastAsia="pl-PL"/>
    </w:rPr>
  </w:style>
  <w:style w:type="paragraph" w:customStyle="1" w:styleId="H-Standard">
    <w:name w:val="H-Standard"/>
    <w:basedOn w:val="Normal"/>
    <w:qFormat/>
    <w:rsid w:val="001924CD"/>
    <w:pPr>
      <w:spacing w:after="120" w:line="280" w:lineRule="atLeast"/>
      <w:jc w:val="both"/>
    </w:pPr>
    <w:rPr>
      <w:rFonts w:ascii="Arial" w:eastAsia="Times New Roman" w:hAnsi="Arial" w:cs="Arial"/>
      <w:color w:val="576C88" w:themeColor="text2" w:themeTint="D9"/>
      <w:sz w:val="20"/>
      <w:szCs w:val="18"/>
      <w:lang w:val="pl-PL" w:eastAsia="pl-PL" w:bidi="pl-PL"/>
    </w:rPr>
  </w:style>
  <w:style w:type="paragraph" w:customStyle="1" w:styleId="H-Heading1">
    <w:name w:val="H-Heading 1"/>
    <w:basedOn w:val="Heading1"/>
    <w:qFormat/>
    <w:rsid w:val="001924CD"/>
    <w:pPr>
      <w:framePr w:hSpace="0" w:vSpace="0" w:wrap="auto" w:vAnchor="margin" w:hAnchor="text" w:yAlign="inline"/>
      <w:numPr>
        <w:numId w:val="23"/>
      </w:numPr>
      <w:pBdr>
        <w:left w:val="none" w:sz="0" w:space="0" w:color="auto"/>
      </w:pBdr>
      <w:tabs>
        <w:tab w:val="clear" w:pos="227"/>
      </w:tabs>
      <w:suppressAutoHyphens w:val="0"/>
      <w:spacing w:before="360" w:after="360" w:line="280" w:lineRule="atLeast"/>
    </w:pPr>
    <w:rPr>
      <w:rFonts w:cs="Times New Roman"/>
      <w:caps/>
      <w:color w:val="DF6532"/>
      <w:szCs w:val="24"/>
    </w:rPr>
  </w:style>
  <w:style w:type="paragraph" w:customStyle="1" w:styleId="H-ParagraphList">
    <w:name w:val="H-Paragraph List"/>
    <w:basedOn w:val="ListParagraph"/>
    <w:qFormat/>
    <w:rsid w:val="001924CD"/>
    <w:pPr>
      <w:numPr>
        <w:numId w:val="21"/>
      </w:numPr>
      <w:spacing w:after="120" w:line="280" w:lineRule="atLeast"/>
      <w:contextualSpacing w:val="0"/>
      <w:jc w:val="both"/>
    </w:pPr>
    <w:rPr>
      <w:rFonts w:ascii="Helvetica" w:eastAsia="Times New Roman" w:hAnsi="Helvetica" w:cs="Arial"/>
      <w:snapToGrid w:val="0"/>
      <w:color w:val="000000"/>
      <w:sz w:val="20"/>
      <w:szCs w:val="24"/>
    </w:rPr>
  </w:style>
  <w:style w:type="paragraph" w:customStyle="1" w:styleId="H-Heading2">
    <w:name w:val="H-Heading 2"/>
    <w:basedOn w:val="H-Heading1"/>
    <w:qFormat/>
    <w:rsid w:val="001924CD"/>
    <w:pPr>
      <w:numPr>
        <w:ilvl w:val="1"/>
        <w:numId w:val="22"/>
      </w:numPr>
      <w:spacing w:before="240" w:after="240"/>
    </w:pPr>
    <w:rPr>
      <w:caps w:val="0"/>
      <w:color w:val="6F6F6F"/>
      <w:sz w:val="20"/>
    </w:rPr>
  </w:style>
  <w:style w:type="paragraph" w:customStyle="1" w:styleId="H-Heading3">
    <w:name w:val="H-Heading 3"/>
    <w:basedOn w:val="H-Heading2"/>
    <w:rsid w:val="001924CD"/>
    <w:pPr>
      <w:numPr>
        <w:ilvl w:val="2"/>
        <w:numId w:val="23"/>
      </w:numPr>
    </w:pPr>
    <w:rPr>
      <w:b w:val="0"/>
      <w:color w:val="DF6532"/>
    </w:rPr>
  </w:style>
  <w:style w:type="paragraph" w:customStyle="1" w:styleId="H-Heading4">
    <w:name w:val="H-Heading 4"/>
    <w:basedOn w:val="H-Heading3"/>
    <w:qFormat/>
    <w:rsid w:val="001924CD"/>
    <w:pPr>
      <w:numPr>
        <w:ilvl w:val="0"/>
        <w:numId w:val="0"/>
      </w:numPr>
    </w:pPr>
    <w:rPr>
      <w:b/>
      <w:color w:val="6E8967"/>
    </w:rPr>
  </w:style>
  <w:style w:type="paragraph" w:styleId="Bibliography">
    <w:name w:val="Bibliography"/>
    <w:basedOn w:val="Normal"/>
    <w:next w:val="Normal"/>
    <w:uiPriority w:val="37"/>
    <w:semiHidden/>
    <w:unhideWhenUsed/>
    <w:rsid w:val="001924CD"/>
    <w:pPr>
      <w:spacing w:before="60" w:after="140" w:line="220" w:lineRule="atLeast"/>
      <w:jc w:val="both"/>
    </w:pPr>
    <w:rPr>
      <w:rFonts w:ascii="Arial" w:eastAsia="Times New Roman" w:hAnsi="Arial" w:cs="Times New Roman"/>
      <w:sz w:val="18"/>
      <w:szCs w:val="24"/>
      <w:lang w:val="pl-PL" w:eastAsia="pl-PL" w:bidi="pl-PL"/>
    </w:rPr>
  </w:style>
  <w:style w:type="paragraph" w:styleId="BlockText">
    <w:name w:val="Block Text"/>
    <w:basedOn w:val="Normal"/>
    <w:uiPriority w:val="99"/>
    <w:semiHidden/>
    <w:unhideWhenUsed/>
    <w:rsid w:val="001924CD"/>
    <w:pPr>
      <w:pBdr>
        <w:top w:val="single" w:sz="2" w:space="10" w:color="5B9BD5" w:themeColor="accent1"/>
        <w:left w:val="single" w:sz="2" w:space="10" w:color="5B9BD5" w:themeColor="accent1"/>
        <w:bottom w:val="single" w:sz="2" w:space="10" w:color="5B9BD5" w:themeColor="accent1"/>
        <w:right w:val="single" w:sz="2" w:space="10" w:color="5B9BD5" w:themeColor="accent1"/>
      </w:pBdr>
      <w:spacing w:before="60" w:after="140" w:line="220" w:lineRule="atLeast"/>
      <w:ind w:left="1152" w:right="1152"/>
      <w:jc w:val="both"/>
    </w:pPr>
    <w:rPr>
      <w:rFonts w:eastAsiaTheme="minorEastAsia"/>
      <w:i/>
      <w:iCs/>
      <w:color w:val="5B9BD5" w:themeColor="accent1"/>
      <w:sz w:val="18"/>
      <w:szCs w:val="24"/>
      <w:lang w:val="pl-PL" w:eastAsia="pl-PL" w:bidi="pl-PL"/>
    </w:rPr>
  </w:style>
  <w:style w:type="paragraph" w:styleId="BodyText3">
    <w:name w:val="Body Text 3"/>
    <w:basedOn w:val="Normal"/>
    <w:link w:val="BodyText3Char"/>
    <w:uiPriority w:val="99"/>
    <w:semiHidden/>
    <w:unhideWhenUsed/>
    <w:rsid w:val="001924CD"/>
    <w:pPr>
      <w:spacing w:before="60" w:after="120" w:line="220" w:lineRule="atLeast"/>
      <w:jc w:val="both"/>
    </w:pPr>
    <w:rPr>
      <w:rFonts w:ascii="Arial" w:eastAsia="Times New Roman" w:hAnsi="Arial" w:cs="Times New Roman"/>
      <w:sz w:val="16"/>
      <w:szCs w:val="16"/>
      <w:lang w:val="pl-PL" w:eastAsia="pl-PL" w:bidi="pl-PL"/>
    </w:rPr>
  </w:style>
  <w:style w:type="character" w:customStyle="1" w:styleId="BodyText3Char">
    <w:name w:val="Body Text 3 Char"/>
    <w:basedOn w:val="DefaultParagraphFont"/>
    <w:link w:val="BodyText3"/>
    <w:uiPriority w:val="99"/>
    <w:semiHidden/>
    <w:rsid w:val="001924CD"/>
    <w:rPr>
      <w:rFonts w:ascii="Arial" w:eastAsia="Times New Roman" w:hAnsi="Arial" w:cs="Times New Roman"/>
      <w:sz w:val="16"/>
      <w:szCs w:val="16"/>
      <w:lang w:val="pl-PL" w:eastAsia="pl-PL" w:bidi="pl-PL"/>
    </w:rPr>
  </w:style>
  <w:style w:type="paragraph" w:styleId="BodyTextFirstIndent">
    <w:name w:val="Body Text First Indent"/>
    <w:basedOn w:val="BodyText"/>
    <w:link w:val="BodyTextFirstIndentChar"/>
    <w:uiPriority w:val="99"/>
    <w:semiHidden/>
    <w:unhideWhenUsed/>
    <w:rsid w:val="001924CD"/>
    <w:pPr>
      <w:spacing w:before="60" w:after="140" w:line="220" w:lineRule="atLeast"/>
      <w:ind w:firstLine="360"/>
    </w:pPr>
    <w:rPr>
      <w:szCs w:val="24"/>
    </w:rPr>
  </w:style>
  <w:style w:type="character" w:customStyle="1" w:styleId="BodyTextFirstIndentChar">
    <w:name w:val="Body Text First Indent Char"/>
    <w:basedOn w:val="BodyTextChar"/>
    <w:link w:val="BodyTextFirstIndent"/>
    <w:uiPriority w:val="99"/>
    <w:semiHidden/>
    <w:rsid w:val="001924CD"/>
    <w:rPr>
      <w:rFonts w:ascii="Arial" w:eastAsia="Times New Roman" w:hAnsi="Arial" w:cs="Times New Roman"/>
      <w:sz w:val="18"/>
      <w:szCs w:val="24"/>
      <w:lang w:val="pl-PL" w:eastAsia="pl-PL" w:bidi="pl-PL"/>
    </w:rPr>
  </w:style>
  <w:style w:type="paragraph" w:styleId="BodyTextIndent">
    <w:name w:val="Body Text Indent"/>
    <w:basedOn w:val="Normal"/>
    <w:link w:val="BodyTextIndentChar"/>
    <w:uiPriority w:val="99"/>
    <w:semiHidden/>
    <w:unhideWhenUsed/>
    <w:rsid w:val="001924CD"/>
    <w:pPr>
      <w:spacing w:before="60" w:after="120" w:line="220" w:lineRule="atLeast"/>
      <w:ind w:left="283"/>
      <w:jc w:val="both"/>
    </w:pPr>
    <w:rPr>
      <w:rFonts w:ascii="Arial" w:eastAsia="Times New Roman" w:hAnsi="Arial" w:cs="Times New Roman"/>
      <w:sz w:val="18"/>
      <w:szCs w:val="24"/>
      <w:lang w:val="pl-PL" w:eastAsia="pl-PL" w:bidi="pl-PL"/>
    </w:rPr>
  </w:style>
  <w:style w:type="character" w:customStyle="1" w:styleId="BodyTextIndentChar">
    <w:name w:val="Body Text Indent Char"/>
    <w:basedOn w:val="DefaultParagraphFont"/>
    <w:link w:val="BodyTextIndent"/>
    <w:uiPriority w:val="99"/>
    <w:semiHidden/>
    <w:rsid w:val="001924CD"/>
    <w:rPr>
      <w:rFonts w:ascii="Arial" w:eastAsia="Times New Roman" w:hAnsi="Arial" w:cs="Times New Roman"/>
      <w:sz w:val="18"/>
      <w:szCs w:val="24"/>
      <w:lang w:val="pl-PL" w:eastAsia="pl-PL" w:bidi="pl-PL"/>
    </w:rPr>
  </w:style>
  <w:style w:type="paragraph" w:styleId="BodyTextFirstIndent2">
    <w:name w:val="Body Text First Indent 2"/>
    <w:basedOn w:val="BodyTextIndent"/>
    <w:link w:val="BodyTextFirstIndent2Char"/>
    <w:uiPriority w:val="99"/>
    <w:semiHidden/>
    <w:unhideWhenUsed/>
    <w:rsid w:val="001924CD"/>
    <w:pPr>
      <w:spacing w:after="140"/>
      <w:ind w:left="360" w:firstLine="360"/>
    </w:pPr>
  </w:style>
  <w:style w:type="character" w:customStyle="1" w:styleId="BodyTextFirstIndent2Char">
    <w:name w:val="Body Text First Indent 2 Char"/>
    <w:basedOn w:val="BodyTextIndentChar"/>
    <w:link w:val="BodyTextFirstIndent2"/>
    <w:uiPriority w:val="99"/>
    <w:semiHidden/>
    <w:rsid w:val="001924CD"/>
    <w:rPr>
      <w:rFonts w:ascii="Arial" w:eastAsia="Times New Roman" w:hAnsi="Arial" w:cs="Times New Roman"/>
      <w:sz w:val="18"/>
      <w:szCs w:val="24"/>
      <w:lang w:val="pl-PL" w:eastAsia="pl-PL" w:bidi="pl-PL"/>
    </w:rPr>
  </w:style>
  <w:style w:type="paragraph" w:styleId="BodyTextIndent2">
    <w:name w:val="Body Text Indent 2"/>
    <w:basedOn w:val="Normal"/>
    <w:link w:val="BodyTextIndent2Char"/>
    <w:uiPriority w:val="99"/>
    <w:semiHidden/>
    <w:unhideWhenUsed/>
    <w:rsid w:val="001924CD"/>
    <w:pPr>
      <w:spacing w:before="60" w:after="120" w:line="480" w:lineRule="auto"/>
      <w:ind w:left="283"/>
      <w:jc w:val="both"/>
    </w:pPr>
    <w:rPr>
      <w:rFonts w:ascii="Arial" w:eastAsia="Times New Roman" w:hAnsi="Arial" w:cs="Times New Roman"/>
      <w:sz w:val="18"/>
      <w:szCs w:val="24"/>
      <w:lang w:val="pl-PL" w:eastAsia="pl-PL" w:bidi="pl-PL"/>
    </w:rPr>
  </w:style>
  <w:style w:type="character" w:customStyle="1" w:styleId="BodyTextIndent2Char">
    <w:name w:val="Body Text Indent 2 Char"/>
    <w:basedOn w:val="DefaultParagraphFont"/>
    <w:link w:val="BodyTextIndent2"/>
    <w:uiPriority w:val="99"/>
    <w:semiHidden/>
    <w:rsid w:val="001924CD"/>
    <w:rPr>
      <w:rFonts w:ascii="Arial" w:eastAsia="Times New Roman" w:hAnsi="Arial" w:cs="Times New Roman"/>
      <w:sz w:val="18"/>
      <w:szCs w:val="24"/>
      <w:lang w:val="pl-PL" w:eastAsia="pl-PL" w:bidi="pl-PL"/>
    </w:rPr>
  </w:style>
  <w:style w:type="paragraph" w:styleId="BodyTextIndent3">
    <w:name w:val="Body Text Indent 3"/>
    <w:basedOn w:val="Normal"/>
    <w:link w:val="BodyTextIndent3Char"/>
    <w:uiPriority w:val="99"/>
    <w:semiHidden/>
    <w:unhideWhenUsed/>
    <w:rsid w:val="001924CD"/>
    <w:pPr>
      <w:spacing w:before="60" w:after="120" w:line="220" w:lineRule="atLeast"/>
      <w:ind w:left="283"/>
      <w:jc w:val="both"/>
    </w:pPr>
    <w:rPr>
      <w:rFonts w:ascii="Arial" w:eastAsia="Times New Roman" w:hAnsi="Arial" w:cs="Times New Roman"/>
      <w:sz w:val="16"/>
      <w:szCs w:val="16"/>
      <w:lang w:val="pl-PL" w:eastAsia="pl-PL" w:bidi="pl-PL"/>
    </w:rPr>
  </w:style>
  <w:style w:type="character" w:customStyle="1" w:styleId="BodyTextIndent3Char">
    <w:name w:val="Body Text Indent 3 Char"/>
    <w:basedOn w:val="DefaultParagraphFont"/>
    <w:link w:val="BodyTextIndent3"/>
    <w:uiPriority w:val="99"/>
    <w:semiHidden/>
    <w:rsid w:val="001924CD"/>
    <w:rPr>
      <w:rFonts w:ascii="Arial" w:eastAsia="Times New Roman" w:hAnsi="Arial" w:cs="Times New Roman"/>
      <w:sz w:val="16"/>
      <w:szCs w:val="16"/>
      <w:lang w:val="pl-PL" w:eastAsia="pl-PL" w:bidi="pl-PL"/>
    </w:rPr>
  </w:style>
  <w:style w:type="paragraph" w:styleId="Closing">
    <w:name w:val="Closing"/>
    <w:basedOn w:val="Normal"/>
    <w:link w:val="ClosingChar"/>
    <w:uiPriority w:val="99"/>
    <w:semiHidden/>
    <w:unhideWhenUsed/>
    <w:rsid w:val="001924CD"/>
    <w:pPr>
      <w:spacing w:after="0" w:line="240" w:lineRule="auto"/>
      <w:ind w:left="4252"/>
      <w:jc w:val="both"/>
    </w:pPr>
    <w:rPr>
      <w:rFonts w:ascii="Arial" w:eastAsia="Times New Roman" w:hAnsi="Arial" w:cs="Times New Roman"/>
      <w:sz w:val="18"/>
      <w:szCs w:val="24"/>
      <w:lang w:val="pl-PL" w:eastAsia="pl-PL" w:bidi="pl-PL"/>
    </w:rPr>
  </w:style>
  <w:style w:type="character" w:customStyle="1" w:styleId="ClosingChar">
    <w:name w:val="Closing Char"/>
    <w:basedOn w:val="DefaultParagraphFont"/>
    <w:link w:val="Closing"/>
    <w:uiPriority w:val="99"/>
    <w:semiHidden/>
    <w:rsid w:val="001924CD"/>
    <w:rPr>
      <w:rFonts w:ascii="Arial" w:eastAsia="Times New Roman" w:hAnsi="Arial" w:cs="Times New Roman"/>
      <w:sz w:val="18"/>
      <w:szCs w:val="24"/>
      <w:lang w:val="pl-PL" w:eastAsia="pl-PL" w:bidi="pl-PL"/>
    </w:rPr>
  </w:style>
  <w:style w:type="paragraph" w:styleId="Date">
    <w:name w:val="Date"/>
    <w:basedOn w:val="Normal"/>
    <w:next w:val="Normal"/>
    <w:link w:val="DateChar"/>
    <w:uiPriority w:val="99"/>
    <w:semiHidden/>
    <w:unhideWhenUsed/>
    <w:rsid w:val="001924CD"/>
    <w:pPr>
      <w:spacing w:before="60" w:after="140" w:line="220" w:lineRule="atLeast"/>
      <w:jc w:val="both"/>
    </w:pPr>
    <w:rPr>
      <w:rFonts w:ascii="Arial" w:eastAsia="Times New Roman" w:hAnsi="Arial" w:cs="Times New Roman"/>
      <w:sz w:val="18"/>
      <w:szCs w:val="24"/>
      <w:lang w:val="pl-PL" w:eastAsia="pl-PL" w:bidi="pl-PL"/>
    </w:rPr>
  </w:style>
  <w:style w:type="character" w:customStyle="1" w:styleId="DateChar">
    <w:name w:val="Date Char"/>
    <w:basedOn w:val="DefaultParagraphFont"/>
    <w:link w:val="Date"/>
    <w:uiPriority w:val="99"/>
    <w:semiHidden/>
    <w:rsid w:val="001924CD"/>
    <w:rPr>
      <w:rFonts w:ascii="Arial" w:eastAsia="Times New Roman" w:hAnsi="Arial" w:cs="Times New Roman"/>
      <w:sz w:val="18"/>
      <w:szCs w:val="24"/>
      <w:lang w:val="pl-PL" w:eastAsia="pl-PL" w:bidi="pl-PL"/>
    </w:rPr>
  </w:style>
  <w:style w:type="paragraph" w:styleId="E-mailSignature">
    <w:name w:val="E-mail Signature"/>
    <w:basedOn w:val="Normal"/>
    <w:link w:val="E-mailSignatureChar"/>
    <w:uiPriority w:val="99"/>
    <w:semiHidden/>
    <w:unhideWhenUsed/>
    <w:rsid w:val="001924CD"/>
    <w:pPr>
      <w:spacing w:after="0" w:line="240" w:lineRule="auto"/>
      <w:jc w:val="both"/>
    </w:pPr>
    <w:rPr>
      <w:rFonts w:ascii="Arial" w:eastAsia="Times New Roman" w:hAnsi="Arial" w:cs="Times New Roman"/>
      <w:sz w:val="18"/>
      <w:szCs w:val="24"/>
      <w:lang w:val="pl-PL" w:eastAsia="pl-PL" w:bidi="pl-PL"/>
    </w:rPr>
  </w:style>
  <w:style w:type="character" w:customStyle="1" w:styleId="E-mailSignatureChar">
    <w:name w:val="E-mail Signature Char"/>
    <w:basedOn w:val="DefaultParagraphFont"/>
    <w:link w:val="E-mailSignature"/>
    <w:uiPriority w:val="99"/>
    <w:semiHidden/>
    <w:rsid w:val="001924CD"/>
    <w:rPr>
      <w:rFonts w:ascii="Arial" w:eastAsia="Times New Roman" w:hAnsi="Arial" w:cs="Times New Roman"/>
      <w:sz w:val="18"/>
      <w:szCs w:val="24"/>
      <w:lang w:val="pl-PL" w:eastAsia="pl-PL" w:bidi="pl-PL"/>
    </w:rPr>
  </w:style>
  <w:style w:type="paragraph" w:styleId="EnvelopeAddress">
    <w:name w:val="envelope address"/>
    <w:basedOn w:val="Normal"/>
    <w:uiPriority w:val="99"/>
    <w:semiHidden/>
    <w:unhideWhenUsed/>
    <w:rsid w:val="001924CD"/>
    <w:pPr>
      <w:framePr w:w="7938" w:h="1985" w:hRule="exact" w:hSpace="141" w:wrap="auto" w:hAnchor="page" w:xAlign="center" w:yAlign="bottom"/>
      <w:spacing w:after="0" w:line="240" w:lineRule="auto"/>
      <w:ind w:left="2835"/>
      <w:jc w:val="both"/>
    </w:pPr>
    <w:rPr>
      <w:rFonts w:asciiTheme="majorHAnsi" w:eastAsiaTheme="majorEastAsia" w:hAnsiTheme="majorHAnsi" w:cstheme="majorBidi"/>
      <w:sz w:val="24"/>
      <w:szCs w:val="24"/>
      <w:lang w:val="pl-PL" w:eastAsia="pl-PL" w:bidi="pl-PL"/>
    </w:rPr>
  </w:style>
  <w:style w:type="paragraph" w:styleId="EnvelopeReturn">
    <w:name w:val="envelope return"/>
    <w:basedOn w:val="Normal"/>
    <w:uiPriority w:val="99"/>
    <w:semiHidden/>
    <w:unhideWhenUsed/>
    <w:rsid w:val="001924CD"/>
    <w:pPr>
      <w:spacing w:after="0" w:line="240" w:lineRule="auto"/>
      <w:jc w:val="both"/>
    </w:pPr>
    <w:rPr>
      <w:rFonts w:asciiTheme="majorHAnsi" w:eastAsiaTheme="majorEastAsia" w:hAnsiTheme="majorHAnsi" w:cstheme="majorBidi"/>
      <w:sz w:val="20"/>
      <w:szCs w:val="20"/>
      <w:lang w:val="pl-PL" w:eastAsia="pl-PL" w:bidi="pl-PL"/>
    </w:rPr>
  </w:style>
  <w:style w:type="paragraph" w:styleId="HTMLAddress">
    <w:name w:val="HTML Address"/>
    <w:basedOn w:val="Normal"/>
    <w:link w:val="HTMLAddressChar"/>
    <w:uiPriority w:val="99"/>
    <w:semiHidden/>
    <w:unhideWhenUsed/>
    <w:rsid w:val="001924CD"/>
    <w:pPr>
      <w:spacing w:after="0" w:line="240" w:lineRule="auto"/>
      <w:jc w:val="both"/>
    </w:pPr>
    <w:rPr>
      <w:rFonts w:ascii="Arial" w:eastAsia="Times New Roman" w:hAnsi="Arial" w:cs="Times New Roman"/>
      <w:i/>
      <w:iCs/>
      <w:sz w:val="18"/>
      <w:szCs w:val="24"/>
      <w:lang w:val="pl-PL" w:eastAsia="pl-PL" w:bidi="pl-PL"/>
    </w:rPr>
  </w:style>
  <w:style w:type="character" w:customStyle="1" w:styleId="HTMLAddressChar">
    <w:name w:val="HTML Address Char"/>
    <w:basedOn w:val="DefaultParagraphFont"/>
    <w:link w:val="HTMLAddress"/>
    <w:uiPriority w:val="99"/>
    <w:semiHidden/>
    <w:rsid w:val="001924CD"/>
    <w:rPr>
      <w:rFonts w:ascii="Arial" w:eastAsia="Times New Roman" w:hAnsi="Arial" w:cs="Times New Roman"/>
      <w:i/>
      <w:iCs/>
      <w:sz w:val="18"/>
      <w:szCs w:val="24"/>
      <w:lang w:val="pl-PL" w:eastAsia="pl-PL" w:bidi="pl-PL"/>
    </w:rPr>
  </w:style>
  <w:style w:type="paragraph" w:styleId="HTMLPreformatted">
    <w:name w:val="HTML Preformatted"/>
    <w:basedOn w:val="Normal"/>
    <w:link w:val="HTMLPreformattedChar"/>
    <w:uiPriority w:val="99"/>
    <w:semiHidden/>
    <w:unhideWhenUsed/>
    <w:rsid w:val="001924CD"/>
    <w:pPr>
      <w:spacing w:after="0" w:line="240" w:lineRule="auto"/>
      <w:jc w:val="both"/>
    </w:pPr>
    <w:rPr>
      <w:rFonts w:ascii="Consolas" w:eastAsia="Times New Roman" w:hAnsi="Consolas" w:cs="Times New Roman"/>
      <w:sz w:val="20"/>
      <w:szCs w:val="20"/>
      <w:lang w:val="pl-PL" w:eastAsia="pl-PL" w:bidi="pl-PL"/>
    </w:rPr>
  </w:style>
  <w:style w:type="character" w:customStyle="1" w:styleId="HTMLPreformattedChar">
    <w:name w:val="HTML Preformatted Char"/>
    <w:basedOn w:val="DefaultParagraphFont"/>
    <w:link w:val="HTMLPreformatted"/>
    <w:uiPriority w:val="99"/>
    <w:semiHidden/>
    <w:rsid w:val="001924CD"/>
    <w:rPr>
      <w:rFonts w:ascii="Consolas" w:eastAsia="Times New Roman" w:hAnsi="Consolas" w:cs="Times New Roman"/>
      <w:sz w:val="20"/>
      <w:szCs w:val="20"/>
      <w:lang w:val="pl-PL" w:eastAsia="pl-PL" w:bidi="pl-PL"/>
    </w:rPr>
  </w:style>
  <w:style w:type="paragraph" w:styleId="Index1">
    <w:name w:val="index 1"/>
    <w:basedOn w:val="Normal"/>
    <w:next w:val="Normal"/>
    <w:autoRedefine/>
    <w:uiPriority w:val="99"/>
    <w:semiHidden/>
    <w:unhideWhenUsed/>
    <w:rsid w:val="001924CD"/>
    <w:pPr>
      <w:spacing w:after="0" w:line="240" w:lineRule="auto"/>
      <w:ind w:left="180" w:hanging="180"/>
      <w:jc w:val="both"/>
    </w:pPr>
    <w:rPr>
      <w:rFonts w:ascii="Arial" w:eastAsia="Times New Roman" w:hAnsi="Arial" w:cs="Times New Roman"/>
      <w:sz w:val="18"/>
      <w:szCs w:val="24"/>
      <w:lang w:val="pl-PL" w:eastAsia="pl-PL" w:bidi="pl-PL"/>
    </w:rPr>
  </w:style>
  <w:style w:type="paragraph" w:styleId="Index2">
    <w:name w:val="index 2"/>
    <w:basedOn w:val="Normal"/>
    <w:next w:val="Normal"/>
    <w:autoRedefine/>
    <w:uiPriority w:val="99"/>
    <w:semiHidden/>
    <w:unhideWhenUsed/>
    <w:rsid w:val="001924CD"/>
    <w:pPr>
      <w:spacing w:after="0" w:line="240" w:lineRule="auto"/>
      <w:ind w:left="360" w:hanging="180"/>
      <w:jc w:val="both"/>
    </w:pPr>
    <w:rPr>
      <w:rFonts w:ascii="Arial" w:eastAsia="Times New Roman" w:hAnsi="Arial" w:cs="Times New Roman"/>
      <w:sz w:val="18"/>
      <w:szCs w:val="24"/>
      <w:lang w:val="pl-PL" w:eastAsia="pl-PL" w:bidi="pl-PL"/>
    </w:rPr>
  </w:style>
  <w:style w:type="paragraph" w:styleId="Index3">
    <w:name w:val="index 3"/>
    <w:basedOn w:val="Normal"/>
    <w:next w:val="Normal"/>
    <w:autoRedefine/>
    <w:uiPriority w:val="99"/>
    <w:semiHidden/>
    <w:unhideWhenUsed/>
    <w:rsid w:val="001924CD"/>
    <w:pPr>
      <w:spacing w:after="0" w:line="240" w:lineRule="auto"/>
      <w:ind w:left="540" w:hanging="180"/>
      <w:jc w:val="both"/>
    </w:pPr>
    <w:rPr>
      <w:rFonts w:ascii="Arial" w:eastAsia="Times New Roman" w:hAnsi="Arial" w:cs="Times New Roman"/>
      <w:sz w:val="18"/>
      <w:szCs w:val="24"/>
      <w:lang w:val="pl-PL" w:eastAsia="pl-PL" w:bidi="pl-PL"/>
    </w:rPr>
  </w:style>
  <w:style w:type="paragraph" w:styleId="Index4">
    <w:name w:val="index 4"/>
    <w:basedOn w:val="Normal"/>
    <w:next w:val="Normal"/>
    <w:autoRedefine/>
    <w:uiPriority w:val="99"/>
    <w:semiHidden/>
    <w:unhideWhenUsed/>
    <w:rsid w:val="001924CD"/>
    <w:pPr>
      <w:spacing w:after="0" w:line="240" w:lineRule="auto"/>
      <w:ind w:left="720" w:hanging="180"/>
      <w:jc w:val="both"/>
    </w:pPr>
    <w:rPr>
      <w:rFonts w:ascii="Arial" w:eastAsia="Times New Roman" w:hAnsi="Arial" w:cs="Times New Roman"/>
      <w:sz w:val="18"/>
      <w:szCs w:val="24"/>
      <w:lang w:val="pl-PL" w:eastAsia="pl-PL" w:bidi="pl-PL"/>
    </w:rPr>
  </w:style>
  <w:style w:type="paragraph" w:styleId="Index5">
    <w:name w:val="index 5"/>
    <w:basedOn w:val="Normal"/>
    <w:next w:val="Normal"/>
    <w:autoRedefine/>
    <w:uiPriority w:val="99"/>
    <w:semiHidden/>
    <w:unhideWhenUsed/>
    <w:rsid w:val="001924CD"/>
    <w:pPr>
      <w:spacing w:after="0" w:line="240" w:lineRule="auto"/>
      <w:ind w:left="900" w:hanging="180"/>
      <w:jc w:val="both"/>
    </w:pPr>
    <w:rPr>
      <w:rFonts w:ascii="Arial" w:eastAsia="Times New Roman" w:hAnsi="Arial" w:cs="Times New Roman"/>
      <w:sz w:val="18"/>
      <w:szCs w:val="24"/>
      <w:lang w:val="pl-PL" w:eastAsia="pl-PL" w:bidi="pl-PL"/>
    </w:rPr>
  </w:style>
  <w:style w:type="paragraph" w:styleId="Index6">
    <w:name w:val="index 6"/>
    <w:basedOn w:val="Normal"/>
    <w:next w:val="Normal"/>
    <w:autoRedefine/>
    <w:uiPriority w:val="99"/>
    <w:semiHidden/>
    <w:unhideWhenUsed/>
    <w:rsid w:val="001924CD"/>
    <w:pPr>
      <w:spacing w:after="0" w:line="240" w:lineRule="auto"/>
      <w:ind w:left="1080" w:hanging="180"/>
      <w:jc w:val="both"/>
    </w:pPr>
    <w:rPr>
      <w:rFonts w:ascii="Arial" w:eastAsia="Times New Roman" w:hAnsi="Arial" w:cs="Times New Roman"/>
      <w:sz w:val="18"/>
      <w:szCs w:val="24"/>
      <w:lang w:val="pl-PL" w:eastAsia="pl-PL" w:bidi="pl-PL"/>
    </w:rPr>
  </w:style>
  <w:style w:type="paragraph" w:styleId="Index7">
    <w:name w:val="index 7"/>
    <w:basedOn w:val="Normal"/>
    <w:next w:val="Normal"/>
    <w:autoRedefine/>
    <w:uiPriority w:val="99"/>
    <w:semiHidden/>
    <w:unhideWhenUsed/>
    <w:rsid w:val="001924CD"/>
    <w:pPr>
      <w:spacing w:after="0" w:line="240" w:lineRule="auto"/>
      <w:ind w:left="1260" w:hanging="180"/>
      <w:jc w:val="both"/>
    </w:pPr>
    <w:rPr>
      <w:rFonts w:ascii="Arial" w:eastAsia="Times New Roman" w:hAnsi="Arial" w:cs="Times New Roman"/>
      <w:sz w:val="18"/>
      <w:szCs w:val="24"/>
      <w:lang w:val="pl-PL" w:eastAsia="pl-PL" w:bidi="pl-PL"/>
    </w:rPr>
  </w:style>
  <w:style w:type="paragraph" w:styleId="Index8">
    <w:name w:val="index 8"/>
    <w:basedOn w:val="Normal"/>
    <w:next w:val="Normal"/>
    <w:autoRedefine/>
    <w:uiPriority w:val="99"/>
    <w:semiHidden/>
    <w:unhideWhenUsed/>
    <w:rsid w:val="001924CD"/>
    <w:pPr>
      <w:spacing w:after="0" w:line="240" w:lineRule="auto"/>
      <w:ind w:left="1440" w:hanging="180"/>
      <w:jc w:val="both"/>
    </w:pPr>
    <w:rPr>
      <w:rFonts w:ascii="Arial" w:eastAsia="Times New Roman" w:hAnsi="Arial" w:cs="Times New Roman"/>
      <w:sz w:val="18"/>
      <w:szCs w:val="24"/>
      <w:lang w:val="pl-PL" w:eastAsia="pl-PL" w:bidi="pl-PL"/>
    </w:rPr>
  </w:style>
  <w:style w:type="paragraph" w:styleId="Index9">
    <w:name w:val="index 9"/>
    <w:basedOn w:val="Normal"/>
    <w:next w:val="Normal"/>
    <w:autoRedefine/>
    <w:uiPriority w:val="99"/>
    <w:semiHidden/>
    <w:unhideWhenUsed/>
    <w:rsid w:val="001924CD"/>
    <w:pPr>
      <w:spacing w:after="0" w:line="240" w:lineRule="auto"/>
      <w:ind w:left="1620" w:hanging="180"/>
      <w:jc w:val="both"/>
    </w:pPr>
    <w:rPr>
      <w:rFonts w:ascii="Arial" w:eastAsia="Times New Roman" w:hAnsi="Arial" w:cs="Times New Roman"/>
      <w:sz w:val="18"/>
      <w:szCs w:val="24"/>
      <w:lang w:val="pl-PL" w:eastAsia="pl-PL" w:bidi="pl-PL"/>
    </w:rPr>
  </w:style>
  <w:style w:type="paragraph" w:styleId="IndexHeading">
    <w:name w:val="index heading"/>
    <w:basedOn w:val="Normal"/>
    <w:next w:val="Index1"/>
    <w:uiPriority w:val="99"/>
    <w:semiHidden/>
    <w:unhideWhenUsed/>
    <w:rsid w:val="001924CD"/>
    <w:pPr>
      <w:spacing w:before="60" w:after="140" w:line="220" w:lineRule="atLeast"/>
      <w:jc w:val="both"/>
    </w:pPr>
    <w:rPr>
      <w:rFonts w:asciiTheme="majorHAnsi" w:eastAsiaTheme="majorEastAsia" w:hAnsiTheme="majorHAnsi" w:cstheme="majorBidi"/>
      <w:b/>
      <w:bCs/>
      <w:sz w:val="18"/>
      <w:szCs w:val="24"/>
      <w:lang w:val="pl-PL" w:eastAsia="pl-PL" w:bidi="pl-PL"/>
    </w:rPr>
  </w:style>
  <w:style w:type="paragraph" w:styleId="IntenseQuote">
    <w:name w:val="Intense Quote"/>
    <w:basedOn w:val="Normal"/>
    <w:next w:val="Normal"/>
    <w:link w:val="IntenseQuoteChar"/>
    <w:uiPriority w:val="30"/>
    <w:qFormat/>
    <w:rsid w:val="001924CD"/>
    <w:pPr>
      <w:pBdr>
        <w:top w:val="single" w:sz="4" w:space="10" w:color="5B9BD5" w:themeColor="accent1"/>
        <w:bottom w:val="single" w:sz="4" w:space="10" w:color="5B9BD5" w:themeColor="accent1"/>
      </w:pBdr>
      <w:spacing w:before="360" w:after="360" w:line="220" w:lineRule="atLeast"/>
      <w:ind w:left="864" w:right="864"/>
      <w:jc w:val="center"/>
    </w:pPr>
    <w:rPr>
      <w:rFonts w:ascii="Arial" w:eastAsia="Times New Roman" w:hAnsi="Arial" w:cs="Times New Roman"/>
      <w:i/>
      <w:iCs/>
      <w:color w:val="5B9BD5" w:themeColor="accent1"/>
      <w:sz w:val="18"/>
      <w:szCs w:val="24"/>
      <w:lang w:val="pl-PL" w:eastAsia="pl-PL" w:bidi="pl-PL"/>
    </w:rPr>
  </w:style>
  <w:style w:type="character" w:customStyle="1" w:styleId="IntenseQuoteChar">
    <w:name w:val="Intense Quote Char"/>
    <w:basedOn w:val="DefaultParagraphFont"/>
    <w:link w:val="IntenseQuote"/>
    <w:uiPriority w:val="30"/>
    <w:rsid w:val="001924CD"/>
    <w:rPr>
      <w:rFonts w:ascii="Arial" w:eastAsia="Times New Roman" w:hAnsi="Arial" w:cs="Times New Roman"/>
      <w:i/>
      <w:iCs/>
      <w:color w:val="5B9BD5" w:themeColor="accent1"/>
      <w:sz w:val="18"/>
      <w:szCs w:val="24"/>
      <w:lang w:val="pl-PL" w:eastAsia="pl-PL" w:bidi="pl-PL"/>
    </w:rPr>
  </w:style>
  <w:style w:type="paragraph" w:styleId="List">
    <w:name w:val="List"/>
    <w:basedOn w:val="Normal"/>
    <w:uiPriority w:val="99"/>
    <w:semiHidden/>
    <w:unhideWhenUsed/>
    <w:rsid w:val="001924CD"/>
    <w:pPr>
      <w:spacing w:before="60" w:after="140" w:line="220" w:lineRule="atLeast"/>
      <w:ind w:left="283" w:hanging="283"/>
      <w:contextualSpacing/>
      <w:jc w:val="both"/>
    </w:pPr>
    <w:rPr>
      <w:rFonts w:ascii="Arial" w:eastAsia="Times New Roman" w:hAnsi="Arial" w:cs="Times New Roman"/>
      <w:sz w:val="18"/>
      <w:szCs w:val="24"/>
      <w:lang w:val="pl-PL" w:eastAsia="pl-PL" w:bidi="pl-PL"/>
    </w:rPr>
  </w:style>
  <w:style w:type="paragraph" w:styleId="List2">
    <w:name w:val="List 2"/>
    <w:basedOn w:val="Normal"/>
    <w:uiPriority w:val="99"/>
    <w:semiHidden/>
    <w:unhideWhenUsed/>
    <w:rsid w:val="001924CD"/>
    <w:pPr>
      <w:spacing w:before="60" w:after="140" w:line="220" w:lineRule="atLeast"/>
      <w:ind w:left="566" w:hanging="283"/>
      <w:contextualSpacing/>
      <w:jc w:val="both"/>
    </w:pPr>
    <w:rPr>
      <w:rFonts w:ascii="Arial" w:eastAsia="Times New Roman" w:hAnsi="Arial" w:cs="Times New Roman"/>
      <w:sz w:val="18"/>
      <w:szCs w:val="24"/>
      <w:lang w:val="pl-PL" w:eastAsia="pl-PL" w:bidi="pl-PL"/>
    </w:rPr>
  </w:style>
  <w:style w:type="paragraph" w:styleId="List3">
    <w:name w:val="List 3"/>
    <w:basedOn w:val="Normal"/>
    <w:uiPriority w:val="99"/>
    <w:semiHidden/>
    <w:unhideWhenUsed/>
    <w:rsid w:val="001924CD"/>
    <w:pPr>
      <w:spacing w:before="60" w:after="140" w:line="220" w:lineRule="atLeast"/>
      <w:ind w:left="849" w:hanging="283"/>
      <w:contextualSpacing/>
      <w:jc w:val="both"/>
    </w:pPr>
    <w:rPr>
      <w:rFonts w:ascii="Arial" w:eastAsia="Times New Roman" w:hAnsi="Arial" w:cs="Times New Roman"/>
      <w:sz w:val="18"/>
      <w:szCs w:val="24"/>
      <w:lang w:val="pl-PL" w:eastAsia="pl-PL" w:bidi="pl-PL"/>
    </w:rPr>
  </w:style>
  <w:style w:type="paragraph" w:styleId="List4">
    <w:name w:val="List 4"/>
    <w:basedOn w:val="Normal"/>
    <w:uiPriority w:val="99"/>
    <w:semiHidden/>
    <w:unhideWhenUsed/>
    <w:rsid w:val="001924CD"/>
    <w:pPr>
      <w:spacing w:before="60" w:after="140" w:line="220" w:lineRule="atLeast"/>
      <w:ind w:left="1132" w:hanging="283"/>
      <w:contextualSpacing/>
      <w:jc w:val="both"/>
    </w:pPr>
    <w:rPr>
      <w:rFonts w:ascii="Arial" w:eastAsia="Times New Roman" w:hAnsi="Arial" w:cs="Times New Roman"/>
      <w:sz w:val="18"/>
      <w:szCs w:val="24"/>
      <w:lang w:val="pl-PL" w:eastAsia="pl-PL" w:bidi="pl-PL"/>
    </w:rPr>
  </w:style>
  <w:style w:type="paragraph" w:styleId="List5">
    <w:name w:val="List 5"/>
    <w:basedOn w:val="Normal"/>
    <w:uiPriority w:val="99"/>
    <w:semiHidden/>
    <w:unhideWhenUsed/>
    <w:rsid w:val="001924CD"/>
    <w:pPr>
      <w:spacing w:before="60" w:after="140" w:line="220" w:lineRule="atLeast"/>
      <w:ind w:left="1415" w:hanging="283"/>
      <w:contextualSpacing/>
      <w:jc w:val="both"/>
    </w:pPr>
    <w:rPr>
      <w:rFonts w:ascii="Arial" w:eastAsia="Times New Roman" w:hAnsi="Arial" w:cs="Times New Roman"/>
      <w:sz w:val="18"/>
      <w:szCs w:val="24"/>
      <w:lang w:val="pl-PL" w:eastAsia="pl-PL" w:bidi="pl-PL"/>
    </w:rPr>
  </w:style>
  <w:style w:type="paragraph" w:styleId="ListBullet">
    <w:name w:val="List Bullet"/>
    <w:basedOn w:val="Normal"/>
    <w:uiPriority w:val="99"/>
    <w:semiHidden/>
    <w:unhideWhenUsed/>
    <w:rsid w:val="001924CD"/>
    <w:pPr>
      <w:numPr>
        <w:numId w:val="28"/>
      </w:numPr>
      <w:spacing w:before="60" w:after="140" w:line="220" w:lineRule="atLeast"/>
      <w:contextualSpacing/>
      <w:jc w:val="both"/>
    </w:pPr>
    <w:rPr>
      <w:rFonts w:ascii="Arial" w:eastAsia="Times New Roman" w:hAnsi="Arial" w:cs="Times New Roman"/>
      <w:sz w:val="18"/>
      <w:szCs w:val="24"/>
      <w:lang w:val="pl-PL" w:eastAsia="pl-PL" w:bidi="pl-PL"/>
    </w:rPr>
  </w:style>
  <w:style w:type="paragraph" w:styleId="ListBullet2">
    <w:name w:val="List Bullet 2"/>
    <w:basedOn w:val="Normal"/>
    <w:uiPriority w:val="99"/>
    <w:semiHidden/>
    <w:unhideWhenUsed/>
    <w:rsid w:val="001924CD"/>
    <w:pPr>
      <w:numPr>
        <w:numId w:val="29"/>
      </w:numPr>
      <w:spacing w:before="60" w:after="140" w:line="220" w:lineRule="atLeast"/>
      <w:contextualSpacing/>
      <w:jc w:val="both"/>
    </w:pPr>
    <w:rPr>
      <w:rFonts w:ascii="Arial" w:eastAsia="Times New Roman" w:hAnsi="Arial" w:cs="Times New Roman"/>
      <w:sz w:val="18"/>
      <w:szCs w:val="24"/>
      <w:lang w:val="pl-PL" w:eastAsia="pl-PL" w:bidi="pl-PL"/>
    </w:rPr>
  </w:style>
  <w:style w:type="paragraph" w:styleId="ListBullet3">
    <w:name w:val="List Bullet 3"/>
    <w:basedOn w:val="Normal"/>
    <w:uiPriority w:val="99"/>
    <w:semiHidden/>
    <w:unhideWhenUsed/>
    <w:rsid w:val="001924CD"/>
    <w:pPr>
      <w:numPr>
        <w:numId w:val="30"/>
      </w:numPr>
      <w:spacing w:before="60" w:after="140" w:line="220" w:lineRule="atLeast"/>
      <w:contextualSpacing/>
      <w:jc w:val="both"/>
    </w:pPr>
    <w:rPr>
      <w:rFonts w:ascii="Arial" w:eastAsia="Times New Roman" w:hAnsi="Arial" w:cs="Times New Roman"/>
      <w:sz w:val="18"/>
      <w:szCs w:val="24"/>
      <w:lang w:val="pl-PL" w:eastAsia="pl-PL" w:bidi="pl-PL"/>
    </w:rPr>
  </w:style>
  <w:style w:type="paragraph" w:styleId="ListBullet4">
    <w:name w:val="List Bullet 4"/>
    <w:basedOn w:val="Normal"/>
    <w:uiPriority w:val="99"/>
    <w:semiHidden/>
    <w:unhideWhenUsed/>
    <w:rsid w:val="001924CD"/>
    <w:pPr>
      <w:numPr>
        <w:numId w:val="31"/>
      </w:numPr>
      <w:spacing w:before="60" w:after="140" w:line="220" w:lineRule="atLeast"/>
      <w:contextualSpacing/>
      <w:jc w:val="both"/>
    </w:pPr>
    <w:rPr>
      <w:rFonts w:ascii="Arial" w:eastAsia="Times New Roman" w:hAnsi="Arial" w:cs="Times New Roman"/>
      <w:sz w:val="18"/>
      <w:szCs w:val="24"/>
      <w:lang w:val="pl-PL" w:eastAsia="pl-PL" w:bidi="pl-PL"/>
    </w:rPr>
  </w:style>
  <w:style w:type="paragraph" w:styleId="ListBullet5">
    <w:name w:val="List Bullet 5"/>
    <w:basedOn w:val="Normal"/>
    <w:uiPriority w:val="99"/>
    <w:semiHidden/>
    <w:unhideWhenUsed/>
    <w:rsid w:val="001924CD"/>
    <w:pPr>
      <w:numPr>
        <w:numId w:val="32"/>
      </w:numPr>
      <w:spacing w:before="60" w:after="140" w:line="220" w:lineRule="atLeast"/>
      <w:contextualSpacing/>
      <w:jc w:val="both"/>
    </w:pPr>
    <w:rPr>
      <w:rFonts w:ascii="Arial" w:eastAsia="Times New Roman" w:hAnsi="Arial" w:cs="Times New Roman"/>
      <w:sz w:val="18"/>
      <w:szCs w:val="24"/>
      <w:lang w:val="pl-PL" w:eastAsia="pl-PL" w:bidi="pl-PL"/>
    </w:rPr>
  </w:style>
  <w:style w:type="paragraph" w:styleId="ListContinue">
    <w:name w:val="List Continue"/>
    <w:basedOn w:val="Normal"/>
    <w:uiPriority w:val="99"/>
    <w:semiHidden/>
    <w:unhideWhenUsed/>
    <w:rsid w:val="001924CD"/>
    <w:pPr>
      <w:spacing w:before="60" w:after="120" w:line="220" w:lineRule="atLeast"/>
      <w:ind w:left="283"/>
      <w:contextualSpacing/>
      <w:jc w:val="both"/>
    </w:pPr>
    <w:rPr>
      <w:rFonts w:ascii="Arial" w:eastAsia="Times New Roman" w:hAnsi="Arial" w:cs="Times New Roman"/>
      <w:sz w:val="18"/>
      <w:szCs w:val="24"/>
      <w:lang w:val="pl-PL" w:eastAsia="pl-PL" w:bidi="pl-PL"/>
    </w:rPr>
  </w:style>
  <w:style w:type="paragraph" w:styleId="ListContinue2">
    <w:name w:val="List Continue 2"/>
    <w:basedOn w:val="Normal"/>
    <w:uiPriority w:val="99"/>
    <w:semiHidden/>
    <w:unhideWhenUsed/>
    <w:rsid w:val="001924CD"/>
    <w:pPr>
      <w:spacing w:before="60" w:after="120" w:line="220" w:lineRule="atLeast"/>
      <w:ind w:left="566"/>
      <w:contextualSpacing/>
      <w:jc w:val="both"/>
    </w:pPr>
    <w:rPr>
      <w:rFonts w:ascii="Arial" w:eastAsia="Times New Roman" w:hAnsi="Arial" w:cs="Times New Roman"/>
      <w:sz w:val="18"/>
      <w:szCs w:val="24"/>
      <w:lang w:val="pl-PL" w:eastAsia="pl-PL" w:bidi="pl-PL"/>
    </w:rPr>
  </w:style>
  <w:style w:type="paragraph" w:styleId="ListContinue3">
    <w:name w:val="List Continue 3"/>
    <w:basedOn w:val="Normal"/>
    <w:uiPriority w:val="99"/>
    <w:semiHidden/>
    <w:unhideWhenUsed/>
    <w:rsid w:val="001924CD"/>
    <w:pPr>
      <w:spacing w:before="60" w:after="120" w:line="220" w:lineRule="atLeast"/>
      <w:ind w:left="849"/>
      <w:contextualSpacing/>
      <w:jc w:val="both"/>
    </w:pPr>
    <w:rPr>
      <w:rFonts w:ascii="Arial" w:eastAsia="Times New Roman" w:hAnsi="Arial" w:cs="Times New Roman"/>
      <w:sz w:val="18"/>
      <w:szCs w:val="24"/>
      <w:lang w:val="pl-PL" w:eastAsia="pl-PL" w:bidi="pl-PL"/>
    </w:rPr>
  </w:style>
  <w:style w:type="paragraph" w:styleId="ListContinue4">
    <w:name w:val="List Continue 4"/>
    <w:basedOn w:val="Normal"/>
    <w:uiPriority w:val="99"/>
    <w:semiHidden/>
    <w:unhideWhenUsed/>
    <w:rsid w:val="001924CD"/>
    <w:pPr>
      <w:spacing w:before="60" w:after="120" w:line="220" w:lineRule="atLeast"/>
      <w:ind w:left="1132"/>
      <w:contextualSpacing/>
      <w:jc w:val="both"/>
    </w:pPr>
    <w:rPr>
      <w:rFonts w:ascii="Arial" w:eastAsia="Times New Roman" w:hAnsi="Arial" w:cs="Times New Roman"/>
      <w:sz w:val="18"/>
      <w:szCs w:val="24"/>
      <w:lang w:val="pl-PL" w:eastAsia="pl-PL" w:bidi="pl-PL"/>
    </w:rPr>
  </w:style>
  <w:style w:type="paragraph" w:styleId="ListContinue5">
    <w:name w:val="List Continue 5"/>
    <w:basedOn w:val="Normal"/>
    <w:uiPriority w:val="99"/>
    <w:semiHidden/>
    <w:unhideWhenUsed/>
    <w:rsid w:val="001924CD"/>
    <w:pPr>
      <w:spacing w:before="60" w:after="120" w:line="220" w:lineRule="atLeast"/>
      <w:ind w:left="1415"/>
      <w:contextualSpacing/>
      <w:jc w:val="both"/>
    </w:pPr>
    <w:rPr>
      <w:rFonts w:ascii="Arial" w:eastAsia="Times New Roman" w:hAnsi="Arial" w:cs="Times New Roman"/>
      <w:sz w:val="18"/>
      <w:szCs w:val="24"/>
      <w:lang w:val="pl-PL" w:eastAsia="pl-PL" w:bidi="pl-PL"/>
    </w:rPr>
  </w:style>
  <w:style w:type="paragraph" w:styleId="ListNumber">
    <w:name w:val="List Number"/>
    <w:basedOn w:val="Normal"/>
    <w:uiPriority w:val="99"/>
    <w:semiHidden/>
    <w:unhideWhenUsed/>
    <w:rsid w:val="001924CD"/>
    <w:pPr>
      <w:numPr>
        <w:numId w:val="33"/>
      </w:numPr>
      <w:spacing w:before="60" w:after="140" w:line="220" w:lineRule="atLeast"/>
      <w:contextualSpacing/>
      <w:jc w:val="both"/>
    </w:pPr>
    <w:rPr>
      <w:rFonts w:ascii="Arial" w:eastAsia="Times New Roman" w:hAnsi="Arial" w:cs="Times New Roman"/>
      <w:sz w:val="18"/>
      <w:szCs w:val="24"/>
      <w:lang w:val="pl-PL" w:eastAsia="pl-PL" w:bidi="pl-PL"/>
    </w:rPr>
  </w:style>
  <w:style w:type="paragraph" w:styleId="ListNumber2">
    <w:name w:val="List Number 2"/>
    <w:basedOn w:val="Normal"/>
    <w:uiPriority w:val="99"/>
    <w:semiHidden/>
    <w:unhideWhenUsed/>
    <w:rsid w:val="001924CD"/>
    <w:pPr>
      <w:numPr>
        <w:numId w:val="34"/>
      </w:numPr>
      <w:spacing w:before="60" w:after="140" w:line="220" w:lineRule="atLeast"/>
      <w:contextualSpacing/>
      <w:jc w:val="both"/>
    </w:pPr>
    <w:rPr>
      <w:rFonts w:ascii="Arial" w:eastAsia="Times New Roman" w:hAnsi="Arial" w:cs="Times New Roman"/>
      <w:sz w:val="18"/>
      <w:szCs w:val="24"/>
      <w:lang w:val="pl-PL" w:eastAsia="pl-PL" w:bidi="pl-PL"/>
    </w:rPr>
  </w:style>
  <w:style w:type="paragraph" w:styleId="ListNumber3">
    <w:name w:val="List Number 3"/>
    <w:basedOn w:val="Normal"/>
    <w:uiPriority w:val="99"/>
    <w:semiHidden/>
    <w:unhideWhenUsed/>
    <w:rsid w:val="001924CD"/>
    <w:pPr>
      <w:numPr>
        <w:numId w:val="35"/>
      </w:numPr>
      <w:spacing w:before="60" w:after="140" w:line="220" w:lineRule="atLeast"/>
      <w:contextualSpacing/>
      <w:jc w:val="both"/>
    </w:pPr>
    <w:rPr>
      <w:rFonts w:ascii="Arial" w:eastAsia="Times New Roman" w:hAnsi="Arial" w:cs="Times New Roman"/>
      <w:sz w:val="18"/>
      <w:szCs w:val="24"/>
      <w:lang w:val="pl-PL" w:eastAsia="pl-PL" w:bidi="pl-PL"/>
    </w:rPr>
  </w:style>
  <w:style w:type="paragraph" w:styleId="ListNumber4">
    <w:name w:val="List Number 4"/>
    <w:basedOn w:val="Normal"/>
    <w:uiPriority w:val="99"/>
    <w:semiHidden/>
    <w:unhideWhenUsed/>
    <w:rsid w:val="001924CD"/>
    <w:pPr>
      <w:numPr>
        <w:numId w:val="36"/>
      </w:numPr>
      <w:spacing w:before="60" w:after="140" w:line="220" w:lineRule="atLeast"/>
      <w:contextualSpacing/>
      <w:jc w:val="both"/>
    </w:pPr>
    <w:rPr>
      <w:rFonts w:ascii="Arial" w:eastAsia="Times New Roman" w:hAnsi="Arial" w:cs="Times New Roman"/>
      <w:sz w:val="18"/>
      <w:szCs w:val="24"/>
      <w:lang w:val="pl-PL" w:eastAsia="pl-PL" w:bidi="pl-PL"/>
    </w:rPr>
  </w:style>
  <w:style w:type="paragraph" w:styleId="ListNumber5">
    <w:name w:val="List Number 5"/>
    <w:basedOn w:val="Normal"/>
    <w:uiPriority w:val="99"/>
    <w:semiHidden/>
    <w:unhideWhenUsed/>
    <w:rsid w:val="001924CD"/>
    <w:pPr>
      <w:numPr>
        <w:numId w:val="37"/>
      </w:numPr>
      <w:spacing w:before="60" w:after="140" w:line="220" w:lineRule="atLeast"/>
      <w:contextualSpacing/>
      <w:jc w:val="both"/>
    </w:pPr>
    <w:rPr>
      <w:rFonts w:ascii="Arial" w:eastAsia="Times New Roman" w:hAnsi="Arial" w:cs="Times New Roman"/>
      <w:sz w:val="18"/>
      <w:szCs w:val="24"/>
      <w:lang w:val="pl-PL" w:eastAsia="pl-PL" w:bidi="pl-PL"/>
    </w:rPr>
  </w:style>
  <w:style w:type="paragraph" w:styleId="MacroText">
    <w:name w:val="macro"/>
    <w:link w:val="MacroTextChar"/>
    <w:uiPriority w:val="99"/>
    <w:semiHidden/>
    <w:unhideWhenUsed/>
    <w:rsid w:val="001924CD"/>
    <w:pPr>
      <w:tabs>
        <w:tab w:val="left" w:pos="480"/>
        <w:tab w:val="left" w:pos="960"/>
        <w:tab w:val="left" w:pos="1440"/>
        <w:tab w:val="left" w:pos="1920"/>
        <w:tab w:val="left" w:pos="2400"/>
        <w:tab w:val="left" w:pos="2880"/>
        <w:tab w:val="left" w:pos="3360"/>
        <w:tab w:val="left" w:pos="3840"/>
        <w:tab w:val="left" w:pos="4320"/>
      </w:tabs>
      <w:spacing w:before="60" w:after="0" w:line="220" w:lineRule="atLeast"/>
      <w:jc w:val="both"/>
    </w:pPr>
    <w:rPr>
      <w:rFonts w:ascii="Consolas" w:eastAsia="Times New Roman" w:hAnsi="Consolas" w:cs="Times New Roman"/>
      <w:sz w:val="20"/>
      <w:szCs w:val="20"/>
      <w:lang w:val="pl-PL" w:eastAsia="pl-PL" w:bidi="pl-PL"/>
    </w:rPr>
  </w:style>
  <w:style w:type="character" w:customStyle="1" w:styleId="MacroTextChar">
    <w:name w:val="Macro Text Char"/>
    <w:basedOn w:val="DefaultParagraphFont"/>
    <w:link w:val="MacroText"/>
    <w:uiPriority w:val="99"/>
    <w:semiHidden/>
    <w:rsid w:val="001924CD"/>
    <w:rPr>
      <w:rFonts w:ascii="Consolas" w:eastAsia="Times New Roman" w:hAnsi="Consolas" w:cs="Times New Roman"/>
      <w:sz w:val="20"/>
      <w:szCs w:val="20"/>
      <w:lang w:val="pl-PL" w:eastAsia="pl-PL" w:bidi="pl-PL"/>
    </w:rPr>
  </w:style>
  <w:style w:type="paragraph" w:styleId="MessageHeader">
    <w:name w:val="Message Header"/>
    <w:basedOn w:val="Normal"/>
    <w:link w:val="MessageHeaderChar"/>
    <w:uiPriority w:val="99"/>
    <w:semiHidden/>
    <w:unhideWhenUsed/>
    <w:rsid w:val="001924C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Theme="majorHAnsi" w:eastAsiaTheme="majorEastAsia" w:hAnsiTheme="majorHAnsi" w:cstheme="majorBidi"/>
      <w:sz w:val="24"/>
      <w:szCs w:val="24"/>
      <w:lang w:val="pl-PL" w:eastAsia="pl-PL" w:bidi="pl-PL"/>
    </w:rPr>
  </w:style>
  <w:style w:type="character" w:customStyle="1" w:styleId="MessageHeaderChar">
    <w:name w:val="Message Header Char"/>
    <w:basedOn w:val="DefaultParagraphFont"/>
    <w:link w:val="MessageHeader"/>
    <w:uiPriority w:val="99"/>
    <w:semiHidden/>
    <w:rsid w:val="001924CD"/>
    <w:rPr>
      <w:rFonts w:asciiTheme="majorHAnsi" w:eastAsiaTheme="majorEastAsia" w:hAnsiTheme="majorHAnsi" w:cstheme="majorBidi"/>
      <w:sz w:val="24"/>
      <w:szCs w:val="24"/>
      <w:shd w:val="pct20" w:color="auto" w:fill="auto"/>
      <w:lang w:val="pl-PL" w:eastAsia="pl-PL" w:bidi="pl-PL"/>
    </w:rPr>
  </w:style>
  <w:style w:type="paragraph" w:styleId="NormalIndent">
    <w:name w:val="Normal Indent"/>
    <w:basedOn w:val="Normal"/>
    <w:uiPriority w:val="99"/>
    <w:semiHidden/>
    <w:unhideWhenUsed/>
    <w:rsid w:val="001924CD"/>
    <w:pPr>
      <w:spacing w:before="60" w:after="140" w:line="220" w:lineRule="atLeast"/>
      <w:ind w:left="708"/>
      <w:jc w:val="both"/>
    </w:pPr>
    <w:rPr>
      <w:rFonts w:ascii="Arial" w:eastAsia="Times New Roman" w:hAnsi="Arial" w:cs="Times New Roman"/>
      <w:sz w:val="18"/>
      <w:szCs w:val="24"/>
      <w:lang w:val="pl-PL" w:eastAsia="pl-PL" w:bidi="pl-PL"/>
    </w:rPr>
  </w:style>
  <w:style w:type="paragraph" w:styleId="NoteHeading">
    <w:name w:val="Note Heading"/>
    <w:basedOn w:val="Normal"/>
    <w:next w:val="Normal"/>
    <w:link w:val="NoteHeadingChar"/>
    <w:uiPriority w:val="99"/>
    <w:semiHidden/>
    <w:unhideWhenUsed/>
    <w:rsid w:val="001924CD"/>
    <w:pPr>
      <w:spacing w:after="0" w:line="240" w:lineRule="auto"/>
      <w:jc w:val="both"/>
    </w:pPr>
    <w:rPr>
      <w:rFonts w:ascii="Arial" w:eastAsia="Times New Roman" w:hAnsi="Arial" w:cs="Times New Roman"/>
      <w:sz w:val="18"/>
      <w:szCs w:val="24"/>
      <w:lang w:val="pl-PL" w:eastAsia="pl-PL" w:bidi="pl-PL"/>
    </w:rPr>
  </w:style>
  <w:style w:type="character" w:customStyle="1" w:styleId="NoteHeadingChar">
    <w:name w:val="Note Heading Char"/>
    <w:basedOn w:val="DefaultParagraphFont"/>
    <w:link w:val="NoteHeading"/>
    <w:uiPriority w:val="99"/>
    <w:semiHidden/>
    <w:rsid w:val="001924CD"/>
    <w:rPr>
      <w:rFonts w:ascii="Arial" w:eastAsia="Times New Roman" w:hAnsi="Arial" w:cs="Times New Roman"/>
      <w:sz w:val="18"/>
      <w:szCs w:val="24"/>
      <w:lang w:val="pl-PL" w:eastAsia="pl-PL" w:bidi="pl-PL"/>
    </w:rPr>
  </w:style>
  <w:style w:type="paragraph" w:styleId="PlainText">
    <w:name w:val="Plain Text"/>
    <w:basedOn w:val="Normal"/>
    <w:link w:val="PlainTextChar"/>
    <w:uiPriority w:val="99"/>
    <w:semiHidden/>
    <w:unhideWhenUsed/>
    <w:rsid w:val="001924CD"/>
    <w:pPr>
      <w:spacing w:after="0" w:line="240" w:lineRule="auto"/>
      <w:jc w:val="both"/>
    </w:pPr>
    <w:rPr>
      <w:rFonts w:ascii="Consolas" w:eastAsia="Times New Roman" w:hAnsi="Consolas" w:cs="Times New Roman"/>
      <w:sz w:val="21"/>
      <w:szCs w:val="21"/>
      <w:lang w:val="pl-PL" w:eastAsia="pl-PL" w:bidi="pl-PL"/>
    </w:rPr>
  </w:style>
  <w:style w:type="character" w:customStyle="1" w:styleId="PlainTextChar">
    <w:name w:val="Plain Text Char"/>
    <w:basedOn w:val="DefaultParagraphFont"/>
    <w:link w:val="PlainText"/>
    <w:uiPriority w:val="99"/>
    <w:semiHidden/>
    <w:rsid w:val="001924CD"/>
    <w:rPr>
      <w:rFonts w:ascii="Consolas" w:eastAsia="Times New Roman" w:hAnsi="Consolas" w:cs="Times New Roman"/>
      <w:sz w:val="21"/>
      <w:szCs w:val="21"/>
      <w:lang w:val="pl-PL" w:eastAsia="pl-PL" w:bidi="pl-PL"/>
    </w:rPr>
  </w:style>
  <w:style w:type="paragraph" w:styleId="Quote">
    <w:name w:val="Quote"/>
    <w:basedOn w:val="Normal"/>
    <w:next w:val="Normal"/>
    <w:link w:val="QuoteChar"/>
    <w:uiPriority w:val="29"/>
    <w:qFormat/>
    <w:rsid w:val="001924CD"/>
    <w:pPr>
      <w:spacing w:before="200" w:line="220" w:lineRule="atLeast"/>
      <w:ind w:left="864" w:right="864"/>
      <w:jc w:val="center"/>
    </w:pPr>
    <w:rPr>
      <w:rFonts w:ascii="Arial" w:eastAsia="Times New Roman" w:hAnsi="Arial" w:cs="Times New Roman"/>
      <w:i/>
      <w:iCs/>
      <w:color w:val="404040" w:themeColor="text1" w:themeTint="BF"/>
      <w:sz w:val="18"/>
      <w:szCs w:val="24"/>
      <w:lang w:val="pl-PL" w:eastAsia="pl-PL" w:bidi="pl-PL"/>
    </w:rPr>
  </w:style>
  <w:style w:type="character" w:customStyle="1" w:styleId="QuoteChar">
    <w:name w:val="Quote Char"/>
    <w:basedOn w:val="DefaultParagraphFont"/>
    <w:link w:val="Quote"/>
    <w:uiPriority w:val="29"/>
    <w:rsid w:val="001924CD"/>
    <w:rPr>
      <w:rFonts w:ascii="Arial" w:eastAsia="Times New Roman" w:hAnsi="Arial" w:cs="Times New Roman"/>
      <w:i/>
      <w:iCs/>
      <w:color w:val="404040" w:themeColor="text1" w:themeTint="BF"/>
      <w:sz w:val="18"/>
      <w:szCs w:val="24"/>
      <w:lang w:val="pl-PL" w:eastAsia="pl-PL" w:bidi="pl-PL"/>
    </w:rPr>
  </w:style>
  <w:style w:type="paragraph" w:styleId="Salutation">
    <w:name w:val="Salutation"/>
    <w:basedOn w:val="Normal"/>
    <w:next w:val="Normal"/>
    <w:link w:val="SalutationChar"/>
    <w:uiPriority w:val="99"/>
    <w:semiHidden/>
    <w:unhideWhenUsed/>
    <w:rsid w:val="001924CD"/>
    <w:pPr>
      <w:spacing w:before="60" w:after="140" w:line="220" w:lineRule="atLeast"/>
      <w:jc w:val="both"/>
    </w:pPr>
    <w:rPr>
      <w:rFonts w:ascii="Arial" w:eastAsia="Times New Roman" w:hAnsi="Arial" w:cs="Times New Roman"/>
      <w:sz w:val="18"/>
      <w:szCs w:val="24"/>
      <w:lang w:val="pl-PL" w:eastAsia="pl-PL" w:bidi="pl-PL"/>
    </w:rPr>
  </w:style>
  <w:style w:type="character" w:customStyle="1" w:styleId="SalutationChar">
    <w:name w:val="Salutation Char"/>
    <w:basedOn w:val="DefaultParagraphFont"/>
    <w:link w:val="Salutation"/>
    <w:uiPriority w:val="99"/>
    <w:semiHidden/>
    <w:rsid w:val="001924CD"/>
    <w:rPr>
      <w:rFonts w:ascii="Arial" w:eastAsia="Times New Roman" w:hAnsi="Arial" w:cs="Times New Roman"/>
      <w:sz w:val="18"/>
      <w:szCs w:val="24"/>
      <w:lang w:val="pl-PL" w:eastAsia="pl-PL" w:bidi="pl-PL"/>
    </w:rPr>
  </w:style>
  <w:style w:type="paragraph" w:styleId="Signature">
    <w:name w:val="Signature"/>
    <w:basedOn w:val="Normal"/>
    <w:link w:val="SignatureChar"/>
    <w:uiPriority w:val="99"/>
    <w:semiHidden/>
    <w:unhideWhenUsed/>
    <w:rsid w:val="001924CD"/>
    <w:pPr>
      <w:spacing w:after="0" w:line="240" w:lineRule="auto"/>
      <w:ind w:left="4252"/>
      <w:jc w:val="both"/>
    </w:pPr>
    <w:rPr>
      <w:rFonts w:ascii="Arial" w:eastAsia="Times New Roman" w:hAnsi="Arial" w:cs="Times New Roman"/>
      <w:sz w:val="18"/>
      <w:szCs w:val="24"/>
      <w:lang w:val="pl-PL" w:eastAsia="pl-PL" w:bidi="pl-PL"/>
    </w:rPr>
  </w:style>
  <w:style w:type="character" w:customStyle="1" w:styleId="SignatureChar">
    <w:name w:val="Signature Char"/>
    <w:basedOn w:val="DefaultParagraphFont"/>
    <w:link w:val="Signature"/>
    <w:uiPriority w:val="99"/>
    <w:semiHidden/>
    <w:rsid w:val="001924CD"/>
    <w:rPr>
      <w:rFonts w:ascii="Arial" w:eastAsia="Times New Roman" w:hAnsi="Arial" w:cs="Times New Roman"/>
      <w:sz w:val="18"/>
      <w:szCs w:val="24"/>
      <w:lang w:val="pl-PL" w:eastAsia="pl-PL" w:bidi="pl-PL"/>
    </w:rPr>
  </w:style>
  <w:style w:type="paragraph" w:styleId="TableofAuthorities">
    <w:name w:val="table of authorities"/>
    <w:basedOn w:val="Normal"/>
    <w:next w:val="Normal"/>
    <w:uiPriority w:val="99"/>
    <w:semiHidden/>
    <w:unhideWhenUsed/>
    <w:rsid w:val="001924CD"/>
    <w:pPr>
      <w:spacing w:before="60" w:after="0" w:line="220" w:lineRule="atLeast"/>
      <w:ind w:left="180" w:hanging="180"/>
      <w:jc w:val="both"/>
    </w:pPr>
    <w:rPr>
      <w:rFonts w:ascii="Arial" w:eastAsia="Times New Roman" w:hAnsi="Arial" w:cs="Times New Roman"/>
      <w:sz w:val="18"/>
      <w:szCs w:val="24"/>
      <w:lang w:val="pl-PL" w:eastAsia="pl-PL" w:bidi="pl-PL"/>
    </w:rPr>
  </w:style>
  <w:style w:type="paragraph" w:styleId="TOAHeading">
    <w:name w:val="toa heading"/>
    <w:basedOn w:val="Normal"/>
    <w:next w:val="Normal"/>
    <w:uiPriority w:val="99"/>
    <w:semiHidden/>
    <w:unhideWhenUsed/>
    <w:rsid w:val="001924CD"/>
    <w:pPr>
      <w:spacing w:before="120" w:after="140" w:line="220" w:lineRule="atLeast"/>
      <w:jc w:val="both"/>
    </w:pPr>
    <w:rPr>
      <w:rFonts w:asciiTheme="majorHAnsi" w:eastAsiaTheme="majorEastAsia" w:hAnsiTheme="majorHAnsi" w:cstheme="majorBidi"/>
      <w:b/>
      <w:bCs/>
      <w:sz w:val="24"/>
      <w:szCs w:val="24"/>
      <w:lang w:val="pl-PL" w:eastAsia="pl-PL" w:bidi="pl-PL"/>
    </w:rPr>
  </w:style>
  <w:style w:type="paragraph" w:styleId="TOC4">
    <w:name w:val="toc 4"/>
    <w:basedOn w:val="Normal"/>
    <w:next w:val="Normal"/>
    <w:autoRedefine/>
    <w:uiPriority w:val="39"/>
    <w:semiHidden/>
    <w:unhideWhenUsed/>
    <w:rsid w:val="001924CD"/>
    <w:pPr>
      <w:spacing w:before="60" w:after="100" w:line="220" w:lineRule="atLeast"/>
      <w:ind w:left="540"/>
      <w:jc w:val="both"/>
    </w:pPr>
    <w:rPr>
      <w:rFonts w:ascii="Arial" w:eastAsia="Times New Roman" w:hAnsi="Arial" w:cs="Times New Roman"/>
      <w:sz w:val="18"/>
      <w:szCs w:val="24"/>
      <w:lang w:val="pl-PL" w:eastAsia="pl-PL" w:bidi="pl-PL"/>
    </w:rPr>
  </w:style>
  <w:style w:type="paragraph" w:styleId="TOC5">
    <w:name w:val="toc 5"/>
    <w:basedOn w:val="Normal"/>
    <w:next w:val="Normal"/>
    <w:autoRedefine/>
    <w:uiPriority w:val="39"/>
    <w:semiHidden/>
    <w:unhideWhenUsed/>
    <w:rsid w:val="001924CD"/>
    <w:pPr>
      <w:spacing w:before="60" w:after="100" w:line="220" w:lineRule="atLeast"/>
      <w:ind w:left="720"/>
      <w:jc w:val="both"/>
    </w:pPr>
    <w:rPr>
      <w:rFonts w:ascii="Arial" w:eastAsia="Times New Roman" w:hAnsi="Arial" w:cs="Times New Roman"/>
      <w:sz w:val="18"/>
      <w:szCs w:val="24"/>
      <w:lang w:val="pl-PL" w:eastAsia="pl-PL" w:bidi="pl-PL"/>
    </w:rPr>
  </w:style>
  <w:style w:type="paragraph" w:styleId="TOC6">
    <w:name w:val="toc 6"/>
    <w:basedOn w:val="Normal"/>
    <w:next w:val="Normal"/>
    <w:autoRedefine/>
    <w:uiPriority w:val="39"/>
    <w:semiHidden/>
    <w:unhideWhenUsed/>
    <w:rsid w:val="001924CD"/>
    <w:pPr>
      <w:spacing w:before="60" w:after="100" w:line="220" w:lineRule="atLeast"/>
      <w:ind w:left="900"/>
      <w:jc w:val="both"/>
    </w:pPr>
    <w:rPr>
      <w:rFonts w:ascii="Arial" w:eastAsia="Times New Roman" w:hAnsi="Arial" w:cs="Times New Roman"/>
      <w:sz w:val="18"/>
      <w:szCs w:val="24"/>
      <w:lang w:val="pl-PL" w:eastAsia="pl-PL" w:bidi="pl-PL"/>
    </w:rPr>
  </w:style>
  <w:style w:type="paragraph" w:styleId="TOC7">
    <w:name w:val="toc 7"/>
    <w:basedOn w:val="Normal"/>
    <w:next w:val="Normal"/>
    <w:autoRedefine/>
    <w:uiPriority w:val="39"/>
    <w:semiHidden/>
    <w:unhideWhenUsed/>
    <w:rsid w:val="001924CD"/>
    <w:pPr>
      <w:spacing w:before="60" w:after="100" w:line="220" w:lineRule="atLeast"/>
      <w:ind w:left="1080"/>
      <w:jc w:val="both"/>
    </w:pPr>
    <w:rPr>
      <w:rFonts w:ascii="Arial" w:eastAsia="Times New Roman" w:hAnsi="Arial" w:cs="Times New Roman"/>
      <w:sz w:val="18"/>
      <w:szCs w:val="24"/>
      <w:lang w:val="pl-PL" w:eastAsia="pl-PL" w:bidi="pl-PL"/>
    </w:rPr>
  </w:style>
  <w:style w:type="paragraph" w:styleId="TOC8">
    <w:name w:val="toc 8"/>
    <w:basedOn w:val="Normal"/>
    <w:next w:val="Normal"/>
    <w:autoRedefine/>
    <w:uiPriority w:val="39"/>
    <w:semiHidden/>
    <w:unhideWhenUsed/>
    <w:rsid w:val="001924CD"/>
    <w:pPr>
      <w:spacing w:before="60" w:after="100" w:line="220" w:lineRule="atLeast"/>
      <w:ind w:left="1260"/>
      <w:jc w:val="both"/>
    </w:pPr>
    <w:rPr>
      <w:rFonts w:ascii="Arial" w:eastAsia="Times New Roman" w:hAnsi="Arial" w:cs="Times New Roman"/>
      <w:sz w:val="18"/>
      <w:szCs w:val="24"/>
      <w:lang w:val="pl-PL" w:eastAsia="pl-PL" w:bidi="pl-PL"/>
    </w:rPr>
  </w:style>
  <w:style w:type="paragraph" w:styleId="TOC9">
    <w:name w:val="toc 9"/>
    <w:basedOn w:val="Normal"/>
    <w:next w:val="Normal"/>
    <w:autoRedefine/>
    <w:uiPriority w:val="39"/>
    <w:semiHidden/>
    <w:unhideWhenUsed/>
    <w:rsid w:val="001924CD"/>
    <w:pPr>
      <w:spacing w:before="60" w:after="100" w:line="220" w:lineRule="atLeast"/>
      <w:ind w:left="1440"/>
      <w:jc w:val="both"/>
    </w:pPr>
    <w:rPr>
      <w:rFonts w:ascii="Arial" w:eastAsia="Times New Roman" w:hAnsi="Arial" w:cs="Times New Roman"/>
      <w:sz w:val="18"/>
      <w:szCs w:val="24"/>
      <w:lang w:val="pl-PL" w:eastAsia="pl-PL" w:bidi="pl-PL"/>
    </w:rPr>
  </w:style>
  <w:style w:type="paragraph" w:styleId="TOCHeading">
    <w:name w:val="TOC Heading"/>
    <w:basedOn w:val="Heading1"/>
    <w:next w:val="Normal"/>
    <w:uiPriority w:val="39"/>
    <w:semiHidden/>
    <w:unhideWhenUsed/>
    <w:qFormat/>
    <w:rsid w:val="001924CD"/>
    <w:pPr>
      <w:keepLines/>
      <w:framePr w:hSpace="0" w:vSpace="0" w:wrap="auto" w:vAnchor="margin" w:hAnchor="text" w:yAlign="inline"/>
      <w:numPr>
        <w:numId w:val="0"/>
      </w:numPr>
      <w:pBdr>
        <w:left w:val="none" w:sz="0" w:space="0" w:color="auto"/>
      </w:pBdr>
      <w:tabs>
        <w:tab w:val="clear" w:pos="227"/>
      </w:tabs>
      <w:suppressAutoHyphens w:val="0"/>
      <w:spacing w:before="240" w:after="0" w:line="220" w:lineRule="atLeast"/>
      <w:jc w:val="both"/>
      <w:outlineLvl w:val="9"/>
    </w:pPr>
    <w:rPr>
      <w:rFonts w:asciiTheme="majorHAnsi" w:eastAsiaTheme="majorEastAsia" w:hAnsiTheme="majorHAnsi" w:cstheme="majorBidi"/>
      <w:b w:val="0"/>
      <w:bCs w:val="0"/>
      <w:color w:val="2E74B5" w:themeColor="accent1" w:themeShade="BF"/>
      <w:kern w:val="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image" Target="media/image8.emf"/><Relationship Id="rId42" Type="http://schemas.openxmlformats.org/officeDocument/2006/relationships/hyperlink" Target="http://enrd.ec.europa.eu/enrd-static/app_templates/enrd_assets/pdf/guidebook/nrn_handbook_webversion.pdf" TargetMode="External"/><Relationship Id="rId47" Type="http://schemas.openxmlformats.org/officeDocument/2006/relationships/hyperlink" Target="http://enrd.ec.europa.eu/app_templates/enrd_assets/pdf/evaluation/epe_master.pdf" TargetMode="External"/><Relationship Id="rId63" Type="http://schemas.openxmlformats.org/officeDocument/2006/relationships/image" Target="media/image29.jpg"/><Relationship Id="rId68" Type="http://schemas.openxmlformats.org/officeDocument/2006/relationships/image" Target="media/image34.jpg"/><Relationship Id="rId16" Type="http://schemas.openxmlformats.org/officeDocument/2006/relationships/hyperlink" Target="http://www.fao.org/home/en/" TargetMode="External"/><Relationship Id="rId11" Type="http://schemas.openxmlformats.org/officeDocument/2006/relationships/header" Target="header2.xml"/><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image" Target="media/image20.jpeg"/><Relationship Id="rId40" Type="http://schemas.openxmlformats.org/officeDocument/2006/relationships/hyperlink" Target="http://enrd.ec.europa.eu/enrd-static/evaluation/library/evaluation-helpdesk-publications/en/evaluation-helpdesk-publications_en.html" TargetMode="External"/><Relationship Id="rId45" Type="http://schemas.openxmlformats.org/officeDocument/2006/relationships/hyperlink" Target="http://enrd.ec.europa.eu/enrd-static/app_templates/enrd_assets/pdf/evaluation/national-rural-networks/GPW10_Italy.pdf" TargetMode="External"/><Relationship Id="rId53" Type="http://schemas.openxmlformats.org/officeDocument/2006/relationships/image" Target="media/image26.jpeg"/><Relationship Id="rId58" Type="http://schemas.openxmlformats.org/officeDocument/2006/relationships/hyperlink" Target="http://www.communitymatters.com.au/RE_chapter.pdf" TargetMode="External"/><Relationship Id="rId66" Type="http://schemas.openxmlformats.org/officeDocument/2006/relationships/image" Target="media/image32.jpg"/><Relationship Id="rId74" Type="http://schemas.openxmlformats.org/officeDocument/2006/relationships/footer" Target="footer9.xml"/><Relationship Id="rId79" Type="http://schemas.openxmlformats.org/officeDocument/2006/relationships/customXml" Target="../customXml/item3.xml"/><Relationship Id="rId5" Type="http://schemas.openxmlformats.org/officeDocument/2006/relationships/footnotes" Target="footnotes.xml"/><Relationship Id="rId61" Type="http://schemas.openxmlformats.org/officeDocument/2006/relationships/header" Target="header7.xml"/><Relationship Id="rId19" Type="http://schemas.openxmlformats.org/officeDocument/2006/relationships/image" Target="media/image6.emf"/><Relationship Id="rId14" Type="http://schemas.openxmlformats.org/officeDocument/2006/relationships/header" Target="header3.xml"/><Relationship Id="rId22" Type="http://schemas.openxmlformats.org/officeDocument/2006/relationships/image" Target="media/image9.emf"/><Relationship Id="rId27" Type="http://schemas.openxmlformats.org/officeDocument/2006/relationships/header" Target="header4.xml"/><Relationship Id="rId30" Type="http://schemas.openxmlformats.org/officeDocument/2006/relationships/footer" Target="footer5.xml"/><Relationship Id="rId35" Type="http://schemas.openxmlformats.org/officeDocument/2006/relationships/image" Target="media/image18.emf"/><Relationship Id="rId43" Type="http://schemas.openxmlformats.org/officeDocument/2006/relationships/hyperlink" Target="http://evi.sagepub.com/content/13/4/439.full.pdf" TargetMode="External"/><Relationship Id="rId48" Type="http://schemas.openxmlformats.org/officeDocument/2006/relationships/hyperlink" Target="http://enrd.ec.europa.eu/enrd-static/app_templates/enrd_assets/pdf/guidebook/nrn_handbook_webversion.pdf" TargetMode="External"/><Relationship Id="rId56" Type="http://schemas.openxmlformats.org/officeDocument/2006/relationships/image" Target="media/image27.jpeg"/><Relationship Id="rId64" Type="http://schemas.openxmlformats.org/officeDocument/2006/relationships/image" Target="media/image30.jpg"/><Relationship Id="rId69" Type="http://schemas.openxmlformats.org/officeDocument/2006/relationships/image" Target="media/image35.jpg"/><Relationship Id="rId77" Type="http://schemas.openxmlformats.org/officeDocument/2006/relationships/customXml" Target="../customXml/item1.xml"/><Relationship Id="rId8" Type="http://schemas.openxmlformats.org/officeDocument/2006/relationships/image" Target="media/image2.jpeg"/><Relationship Id="rId51" Type="http://schemas.openxmlformats.org/officeDocument/2006/relationships/image" Target="media/image25.jpeg"/><Relationship Id="rId72" Type="http://schemas.openxmlformats.org/officeDocument/2006/relationships/footer" Target="footer8.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s://en.wikipedia.org/wiki/Geographic_information_system" TargetMode="External"/><Relationship Id="rId25" Type="http://schemas.openxmlformats.org/officeDocument/2006/relationships/image" Target="media/image12.emf"/><Relationship Id="rId33" Type="http://schemas.openxmlformats.org/officeDocument/2006/relationships/image" Target="media/image16.emf"/><Relationship Id="rId38" Type="http://schemas.openxmlformats.org/officeDocument/2006/relationships/image" Target="media/image21.png"/><Relationship Id="rId46" Type="http://schemas.openxmlformats.org/officeDocument/2006/relationships/image" Target="media/image23.emf"/><Relationship Id="rId59" Type="http://schemas.openxmlformats.org/officeDocument/2006/relationships/header" Target="header6.xml"/><Relationship Id="rId67" Type="http://schemas.openxmlformats.org/officeDocument/2006/relationships/image" Target="media/image33.jpg"/><Relationship Id="rId20" Type="http://schemas.openxmlformats.org/officeDocument/2006/relationships/image" Target="media/image7.emf"/><Relationship Id="rId41" Type="http://schemas.openxmlformats.org/officeDocument/2006/relationships/hyperlink" Target="http://enrd.ec.europa.eu/enrd-static/evaluation/library/evaluation-helpdesk-publications/en/evaluation-helpdesk-publications_en.html" TargetMode="External"/><Relationship Id="rId54" Type="http://schemas.openxmlformats.org/officeDocument/2006/relationships/hyperlink" Target="http://betterevaluation.org/plan/approach/critical_system_heuristics" TargetMode="External"/><Relationship Id="rId62" Type="http://schemas.openxmlformats.org/officeDocument/2006/relationships/footer" Target="footer7.xml"/><Relationship Id="rId70" Type="http://schemas.openxmlformats.org/officeDocument/2006/relationships/image" Target="media/image36.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10.emf"/><Relationship Id="rId28" Type="http://schemas.openxmlformats.org/officeDocument/2006/relationships/footer" Target="footer4.xml"/><Relationship Id="rId36" Type="http://schemas.openxmlformats.org/officeDocument/2006/relationships/image" Target="media/image19.emf"/><Relationship Id="rId49" Type="http://schemas.openxmlformats.org/officeDocument/2006/relationships/hyperlink" Target="http://enrd.ec.europa.eu/enrd-static/networks-and-networking/nrn-self-assessment-tool-kit/practical-tools-for-nrn-self-assessment/en/practical-tools-for-nrn-self-assessment_en.html" TargetMode="External"/><Relationship Id="rId57" Type="http://schemas.openxmlformats.org/officeDocument/2006/relationships/image" Target="media/image28.jpeg"/><Relationship Id="rId10" Type="http://schemas.openxmlformats.org/officeDocument/2006/relationships/header" Target="header1.xml"/><Relationship Id="rId31" Type="http://schemas.openxmlformats.org/officeDocument/2006/relationships/image" Target="media/image14.emf"/><Relationship Id="rId44" Type="http://schemas.openxmlformats.org/officeDocument/2006/relationships/hyperlink" Target="http://www.communitymatters.com.au/RE_chapter.pdf" TargetMode="External"/><Relationship Id="rId52" Type="http://schemas.openxmlformats.org/officeDocument/2006/relationships/hyperlink" Target="http://www.cdc.gov/pcd/issues/2005/jan/04_0050.htm" TargetMode="External"/><Relationship Id="rId60" Type="http://schemas.openxmlformats.org/officeDocument/2006/relationships/footer" Target="footer6.xml"/><Relationship Id="rId65" Type="http://schemas.openxmlformats.org/officeDocument/2006/relationships/image" Target="media/image31.jpg"/><Relationship Id="rId73" Type="http://schemas.openxmlformats.org/officeDocument/2006/relationships/header" Target="header9.xml"/><Relationship Id="rId78"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2.xml"/><Relationship Id="rId18" Type="http://schemas.openxmlformats.org/officeDocument/2006/relationships/image" Target="media/image5.emf"/><Relationship Id="rId39" Type="http://schemas.openxmlformats.org/officeDocument/2006/relationships/image" Target="media/image22.png"/><Relationship Id="rId34" Type="http://schemas.openxmlformats.org/officeDocument/2006/relationships/image" Target="media/image17.emf"/><Relationship Id="rId50" Type="http://schemas.openxmlformats.org/officeDocument/2006/relationships/image" Target="media/image24.jpeg"/><Relationship Id="rId55" Type="http://schemas.openxmlformats.org/officeDocument/2006/relationships/hyperlink" Target="http://oro.open.ac.uk/3464/" TargetMode="External"/><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header" Target="header8.xml"/><Relationship Id="rId2" Type="http://schemas.openxmlformats.org/officeDocument/2006/relationships/styles" Target="styles.xml"/><Relationship Id="rId29" Type="http://schemas.openxmlformats.org/officeDocument/2006/relationships/header" Target="header5.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notes.xml.rels><?xml version="1.0" encoding="UTF-8" standalone="yes"?>
<Relationships xmlns="http://schemas.openxmlformats.org/package/2006/relationships"><Relationship Id="rId8" Type="http://schemas.openxmlformats.org/officeDocument/2006/relationships/hyperlink" Target="https://enrd.ec.europa.eu/sites/enrd/files/assets/pdf/evaluation/national-rural-networks/GPW_10_NRN_shape.pdf" TargetMode="External"/><Relationship Id="rId13" Type="http://schemas.openxmlformats.org/officeDocument/2006/relationships/hyperlink" Target="http://enrd.ec.europa.eu/networks-and-networking/nrn-toolkit/en/nrn-toolkit_en.cfm" TargetMode="External"/><Relationship Id="rId18" Type="http://schemas.openxmlformats.org/officeDocument/2006/relationships/hyperlink" Target="http://enrd.ec.europa.eu/en/evaluation-helpdesks-publications" TargetMode="External"/><Relationship Id="rId26" Type="http://schemas.openxmlformats.org/officeDocument/2006/relationships/hyperlink" Target="http://ec.europa.eu/agriculture/cap-post-2013/monitoring-evaluation/index_en.htm" TargetMode="External"/><Relationship Id="rId39" Type="http://schemas.openxmlformats.org/officeDocument/2006/relationships/hyperlink" Target="https://en.wikipedia.org/wiki/Collective_intelligence" TargetMode="External"/><Relationship Id="rId3" Type="http://schemas.openxmlformats.org/officeDocument/2006/relationships/hyperlink" Target="http://enrd.ec.europa.eu/en/evaluation-helpdesks-publications" TargetMode="External"/><Relationship Id="rId21" Type="http://schemas.openxmlformats.org/officeDocument/2006/relationships/hyperlink" Target="http://ec.europa.eu/smart-regulation/guidelines/tool_13_en.htm" TargetMode="External"/><Relationship Id="rId34" Type="http://schemas.openxmlformats.org/officeDocument/2006/relationships/hyperlink" Target="http://avitem.org/IMG/pdf/cuaderno_resindex_eng.pdf" TargetMode="External"/><Relationship Id="rId42" Type="http://schemas.openxmlformats.org/officeDocument/2006/relationships/hyperlink" Target="http://enrd.ec.europa.eu/enrd-static/networks-and-networking/nrn-self-assessment-tool-kit/practical-tools-for-nrn-self-assessment/en/practical-tools-for-nrn-self-assessment_en.html" TargetMode="External"/><Relationship Id="rId7" Type="http://schemas.openxmlformats.org/officeDocument/2006/relationships/hyperlink" Target="http://enrd.ec.europa.eu/app_templates/enrd_assets/pdf/evaluation/EP_Guidelines_Draft_March2014.pdf" TargetMode="External"/><Relationship Id="rId12" Type="http://schemas.openxmlformats.org/officeDocument/2006/relationships/hyperlink" Target="http://enrd.ec.europa.eu/enrd-static/networks-and-networking/nrn-toolkit/principles-and-practice-of-networking/network-definitions-and-diversity/en/rural-networks-and-networking_en.html" TargetMode="External"/><Relationship Id="rId17" Type="http://schemas.openxmlformats.org/officeDocument/2006/relationships/hyperlink" Target="http://enrd.ec.europa.eu/app_templates/enrd_assets/pdf/gateway/guidance-fiche-art54-nrn-draft-jan2014.pdf" TargetMode="External"/><Relationship Id="rId25" Type="http://schemas.openxmlformats.org/officeDocument/2006/relationships/hyperlink" Target="http://enrd.ec.europa.eu/app_templates/filedownload.cfm?id=872FF4F3-F76A-CCF3-63D8-A0B1FB70F601" TargetMode="External"/><Relationship Id="rId33" Type="http://schemas.openxmlformats.org/officeDocument/2006/relationships/hyperlink" Target="http://documents.worldbank.org/curated/en/2004/01/3050371/measuring-social-capital-integrated-questionnaire" TargetMode="External"/><Relationship Id="rId38" Type="http://schemas.openxmlformats.org/officeDocument/2006/relationships/hyperlink" Target="https://kwiksurveys.com/" TargetMode="External"/><Relationship Id="rId46" Type="http://schemas.openxmlformats.org/officeDocument/2006/relationships/hyperlink" Target="http://ec.europa.eu/agriculture/evaluation/rural-development-reports/2014/investment-support-rdp/fulltext_en.pdf" TargetMode="External"/><Relationship Id="rId2" Type="http://schemas.openxmlformats.org/officeDocument/2006/relationships/hyperlink" Target="http://enrd.ec.europa.eu/app_templates/enrd_assets/pdf/evaluation/EP_Guidelines_Draft_March2014.pdf" TargetMode="External"/><Relationship Id="rId16" Type="http://schemas.openxmlformats.org/officeDocument/2006/relationships/hyperlink" Target="https://enrd.ec.europa.eu/en/evaluation-helpdesks-publications" TargetMode="External"/><Relationship Id="rId20" Type="http://schemas.openxmlformats.org/officeDocument/2006/relationships/hyperlink" Target="http://enrd.ec.europa.eu/enrd-static/app_templates/enrd_assets/pdf/guidebook/nrn_handbook_webversion.pdf" TargetMode="External"/><Relationship Id="rId29" Type="http://schemas.openxmlformats.org/officeDocument/2006/relationships/hyperlink" Target="http://ec.europa.eu/agriculture/rurdev/eval/guidance/note_b_en.pdf" TargetMode="External"/><Relationship Id="rId41" Type="http://schemas.openxmlformats.org/officeDocument/2006/relationships/hyperlink" Target="http://asgpp.org/pdf/psychodrama.conciseintro.pdf" TargetMode="External"/><Relationship Id="rId1" Type="http://schemas.openxmlformats.org/officeDocument/2006/relationships/hyperlink" Target="http://enrd.ec.europa.eu/app_templates/enrd_assets/pdf/evaluation/EP_Guidelines_Draft_March2014.pdf" TargetMode="External"/><Relationship Id="rId6" Type="http://schemas.openxmlformats.org/officeDocument/2006/relationships/hyperlink" Target="http://enrd.ec.europa.eu/app_templates/enrd_assets/pdf/evaluation/EP_Guidelines_Draft_March2014.pdf" TargetMode="External"/><Relationship Id="rId11" Type="http://schemas.openxmlformats.org/officeDocument/2006/relationships/hyperlink" Target="http://www.fao.org/docrep/008/y5702e/y5702e00.htm" TargetMode="External"/><Relationship Id="rId24" Type="http://schemas.openxmlformats.org/officeDocument/2006/relationships/hyperlink" Target="http://enrd.ec.europa.eu/enrd-static/evaluation/library/evaluation-helpdesk-publications/en/evaluation-helpdesk-publications_en.html" TargetMode="External"/><Relationship Id="rId32" Type="http://schemas.openxmlformats.org/officeDocument/2006/relationships/hyperlink" Target="http://enrd.ec.europa.eu/enrd-static/evaluation/library/evaluation-helpdesk-publications/en/evaluation-helpdesk-publications_en.html" TargetMode="External"/><Relationship Id="rId37" Type="http://schemas.openxmlformats.org/officeDocument/2006/relationships/hyperlink" Target="https://www.surveymonkey.com/" TargetMode="External"/><Relationship Id="rId40" Type="http://schemas.openxmlformats.org/officeDocument/2006/relationships/hyperlink" Target="http://ec.europa.eu/regional_policy/archive/conferences/evaluation2009/abstracts/martinuzzi.pdf" TargetMode="External"/><Relationship Id="rId45" Type="http://schemas.openxmlformats.org/officeDocument/2006/relationships/hyperlink" Target="http://enrd.ec.europa.eu/enrd-static/evaluation/library/evaluation-helpdesk-publications/en/evaluation-helpdesk-publications_en.html" TargetMode="External"/><Relationship Id="rId5" Type="http://schemas.openxmlformats.org/officeDocument/2006/relationships/hyperlink" Target="http://enrd.ec.europa.eu/app_templates/enrd_assets/pdf/evaluation/EP_Guidelines_Draft_March2014.pdf" TargetMode="External"/><Relationship Id="rId15" Type="http://schemas.openxmlformats.org/officeDocument/2006/relationships/hyperlink" Target="http://ec.europa.eu/smart-regulation/guidelines/tool_13_en.htm" TargetMode="External"/><Relationship Id="rId23" Type="http://schemas.openxmlformats.org/officeDocument/2006/relationships/hyperlink" Target="http://enrd.ec.europa.eu/enrd-static/evaluation/good-practices-workshops/national-rural-networks/en/national-rural-networks_en.html" TargetMode="External"/><Relationship Id="rId28" Type="http://schemas.openxmlformats.org/officeDocument/2006/relationships/hyperlink" Target="http://enrd.ec.europa.eu/app_templates/filedownload.cfm?id=83C6EDCD-9413-1C64-4EAA-1E4E8EC9ED3E" TargetMode="External"/><Relationship Id="rId36" Type="http://schemas.openxmlformats.org/officeDocument/2006/relationships/hyperlink" Target="http://enrd.ec.europa.eu/enrd-static/evaluation/library/evaluation-helpdesk-publications/en/evaluation-helpdesk-publications_en.html" TargetMode="External"/><Relationship Id="rId10" Type="http://schemas.openxmlformats.org/officeDocument/2006/relationships/hyperlink" Target="http://www1.worldbank.org/publicsector/anticorrupt/PoliticalEconomy/stakeholderanalysis.htm" TargetMode="External"/><Relationship Id="rId19" Type="http://schemas.openxmlformats.org/officeDocument/2006/relationships/hyperlink" Target="http://enrd.ec.europa.eu/enrd-static/app_templates/enrd_assets/pdf/guidebook/nrn_handbook_webversion.pdf" TargetMode="External"/><Relationship Id="rId31" Type="http://schemas.openxmlformats.org/officeDocument/2006/relationships/hyperlink" Target="http://ec.europa.eu/dgs/internal_market/docs/evaluation/evaluation_guide_annexes.pdf" TargetMode="External"/><Relationship Id="rId44" Type="http://schemas.openxmlformats.org/officeDocument/2006/relationships/hyperlink" Target="https://en.wikipedia.org/wiki/Behavior" TargetMode="External"/><Relationship Id="rId4" Type="http://schemas.openxmlformats.org/officeDocument/2006/relationships/hyperlink" Target="http://enrd.ec.europa.eu/app_templates/filedownload.cfm?id=7797A2AE-91CD-8D82-C9DB-D30E043439F1" TargetMode="External"/><Relationship Id="rId9" Type="http://schemas.openxmlformats.org/officeDocument/2006/relationships/hyperlink" Target="http://www.who.int/workforcealliance/knowledge/toolkit/33.pdf" TargetMode="External"/><Relationship Id="rId14" Type="http://schemas.openxmlformats.org/officeDocument/2006/relationships/hyperlink" Target="https://enrd.ec.europa.eu/en/networking/network-self-assessment" TargetMode="External"/><Relationship Id="rId22" Type="http://schemas.openxmlformats.org/officeDocument/2006/relationships/hyperlink" Target="http://enrd.ec.europa.eu/enrd-static/evaluation/good-practices-workshops/national-rural-network-programmes/en/national-rural-network-programmes_en.html" TargetMode="External"/><Relationship Id="rId27" Type="http://schemas.openxmlformats.org/officeDocument/2006/relationships/hyperlink" Target="http://enrd.ec.europa.eu/app_templates/filedownload.cfm?id=872FF4F3-F76A-CCF3-63D8-A0B1FB70F601" TargetMode="External"/><Relationship Id="rId30" Type="http://schemas.openxmlformats.org/officeDocument/2006/relationships/hyperlink" Target="http://www.wfp.org/evaluation/methods-and-tools/eqas-evaluation-quality-assurance-system" TargetMode="External"/><Relationship Id="rId35" Type="http://schemas.openxmlformats.org/officeDocument/2006/relationships/hyperlink" Target="http://www.iareg.org/fileadmin/iareg/media/papers/WP2_02.pdf" TargetMode="External"/><Relationship Id="rId43" Type="http://schemas.openxmlformats.org/officeDocument/2006/relationships/hyperlink" Target="https://enrd.ec.europa.eu/sites/enrd/files/assets/pdf/evaluation/national-rural-networks/GPW10_Scotland.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279C08E096F64D9575D7E38D98307C" ma:contentTypeVersion="2" ma:contentTypeDescription="Create a new document." ma:contentTypeScope="" ma:versionID="71ede7a5c95837e53d4ce6c4243f2b97">
  <xsd:schema xmlns:xsd="http://www.w3.org/2001/XMLSchema" xmlns:xs="http://www.w3.org/2001/XMLSchema" xmlns:p="http://schemas.microsoft.com/office/2006/metadata/properties" xmlns:ns2="294d1de4-3ac5-42cb-af17-fa7f1cfff024" targetNamespace="http://schemas.microsoft.com/office/2006/metadata/properties" ma:root="true" ma:fieldsID="f90ef1d7018f4d3ca0c16474ab77add8" ns2:_="">
    <xsd:import namespace="294d1de4-3ac5-42cb-af17-fa7f1cfff024"/>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4d1de4-3ac5-42cb-af17-fa7f1cfff02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A9C2EBB-4836-4B3D-8CB6-50432AFDC2EF}"/>
</file>

<file path=customXml/itemProps2.xml><?xml version="1.0" encoding="utf-8"?>
<ds:datastoreItem xmlns:ds="http://schemas.openxmlformats.org/officeDocument/2006/customXml" ds:itemID="{FB255580-8957-4177-B542-31CF4D0D18FF}"/>
</file>

<file path=customXml/itemProps3.xml><?xml version="1.0" encoding="utf-8"?>
<ds:datastoreItem xmlns:ds="http://schemas.openxmlformats.org/officeDocument/2006/customXml" ds:itemID="{7DF94221-908B-498D-84C1-D51A503FB98D}"/>
</file>

<file path=docProps/app.xml><?xml version="1.0" encoding="utf-8"?>
<Properties xmlns="http://schemas.openxmlformats.org/officeDocument/2006/extended-properties" xmlns:vt="http://schemas.openxmlformats.org/officeDocument/2006/docPropsVTypes">
  <Template>Normal</Template>
  <TotalTime>1</TotalTime>
  <Pages>134</Pages>
  <Words>41247</Words>
  <Characters>235109</Characters>
  <Application>Microsoft Office Word</Application>
  <DocSecurity>0</DocSecurity>
  <Lines>1959</Lines>
  <Paragraphs>551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Myles Stiffler</dc:creator>
  <cp:keywords/>
  <dc:description/>
  <cp:lastModifiedBy>Myles Stiffler</cp:lastModifiedBy>
  <cp:revision>1</cp:revision>
  <dcterms:created xsi:type="dcterms:W3CDTF">2016-10-24T15:51:00Z</dcterms:created>
  <dcterms:modified xsi:type="dcterms:W3CDTF">2016-10-24T15:52:00Z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0x01010061279C08E096F64D9575D7E38D98307C</vt:lpwstr>
  </property>
</Properties>
</file>